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8C5362">
        <w:t>`</w:t>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130205">
        <w:fldChar w:fldCharType="begin"/>
      </w:r>
      <w:r w:rsidR="00130205">
        <w:instrText xml:space="preserve"> DOCPROPERTY "Document number"  \* MERGEFORMAT </w:instrText>
      </w:r>
      <w:r w:rsidR="00130205">
        <w:fldChar w:fldCharType="separate"/>
      </w:r>
      <w:r w:rsidR="003C7161">
        <w:t>UNEP/</w:t>
      </w:r>
      <w:proofErr w:type="spellStart"/>
      <w:r w:rsidR="003C7161">
        <w:t>OzL.Pro</w:t>
      </w:r>
      <w:proofErr w:type="spellEnd"/>
      <w:r w:rsidR="003C7161">
        <w:t>/</w:t>
      </w:r>
      <w:proofErr w:type="spellStart"/>
      <w:r w:rsidR="003C7161">
        <w:t>ExCom</w:t>
      </w:r>
      <w:proofErr w:type="spellEnd"/>
      <w:r w:rsidR="003C7161">
        <w:t>/84/22/Add.1</w:t>
      </w:r>
      <w:r w:rsidR="00130205">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E24259">
        <w:t>28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981006" w:rsidRDefault="00981006" w:rsidP="00722CF2">
      <w:pPr>
        <w:tabs>
          <w:tab w:val="left" w:pos="8280"/>
        </w:tabs>
        <w:rPr>
          <w:b/>
        </w:rPr>
      </w:pPr>
    </w:p>
    <w:p w:rsidR="00981006" w:rsidRDefault="00981006" w:rsidP="00981006">
      <w:pPr>
        <w:tabs>
          <w:tab w:val="left" w:pos="8280"/>
        </w:tabs>
        <w:jc w:val="center"/>
        <w:rPr>
          <w:b/>
        </w:rPr>
      </w:pPr>
      <w:r w:rsidRPr="002B5EA2">
        <w:rPr>
          <w:b/>
        </w:rPr>
        <w:t>REPORTS ON PROJECTS WITH SPECIFIC REPORTING REQUIREMENTS</w:t>
      </w:r>
    </w:p>
    <w:p w:rsidR="00722CF2" w:rsidRDefault="00722CF2" w:rsidP="00981006">
      <w:pPr>
        <w:tabs>
          <w:tab w:val="left" w:pos="8280"/>
        </w:tabs>
        <w:jc w:val="center"/>
        <w:rPr>
          <w:b/>
        </w:rPr>
      </w:pPr>
    </w:p>
    <w:p w:rsidR="00722CF2" w:rsidRDefault="00722CF2" w:rsidP="00722CF2">
      <w:pPr>
        <w:tabs>
          <w:tab w:val="left" w:pos="8280"/>
        </w:tabs>
        <w:jc w:val="center"/>
        <w:rPr>
          <w:b/>
        </w:rPr>
      </w:pPr>
      <w:r>
        <w:rPr>
          <w:b/>
        </w:rPr>
        <w:t>Addendum</w:t>
      </w:r>
    </w:p>
    <w:p w:rsidR="00981006" w:rsidRDefault="00981006" w:rsidP="00981006">
      <w:pPr>
        <w:tabs>
          <w:tab w:val="left" w:pos="8280"/>
        </w:tabs>
        <w:jc w:val="center"/>
        <w:rPr>
          <w:b/>
        </w:rPr>
      </w:pPr>
    </w:p>
    <w:p w:rsidR="00981006" w:rsidRDefault="009B77A9" w:rsidP="00981006">
      <w:pPr>
        <w:pStyle w:val="Heading1"/>
      </w:pPr>
      <w:r>
        <w:t>This A</w:t>
      </w:r>
      <w:r w:rsidR="00981006">
        <w:t xml:space="preserve">ddendum is issued to include reports on projects with specific reporting requirements pertaining to China. </w:t>
      </w:r>
    </w:p>
    <w:p w:rsidR="00981006" w:rsidRDefault="00981006" w:rsidP="00981006">
      <w:pPr>
        <w:pStyle w:val="Heading1"/>
      </w:pPr>
      <w:r>
        <w:t>The document is divided into the following parts:</w:t>
      </w:r>
    </w:p>
    <w:p w:rsidR="00130205" w:rsidRPr="00FA419A" w:rsidRDefault="00130205" w:rsidP="00130205">
      <w:pPr>
        <w:spacing w:after="240"/>
        <w:ind w:left="2160" w:hanging="1444"/>
      </w:pPr>
      <w:r w:rsidRPr="00741F73">
        <w:t>Part I:</w:t>
      </w:r>
      <w:r w:rsidRPr="00FA419A">
        <w:tab/>
      </w:r>
      <w:r w:rsidR="00094471">
        <w:rPr>
          <w:lang w:val="en-CA"/>
        </w:rPr>
        <w:t>Report on progress in the implementation of activities listed in decision 83/41</w:t>
      </w:r>
    </w:p>
    <w:p w:rsidR="00130205" w:rsidRPr="00FA419A" w:rsidRDefault="00130205" w:rsidP="00130205">
      <w:pPr>
        <w:spacing w:after="240"/>
        <w:ind w:left="2160" w:hanging="1444"/>
      </w:pPr>
      <w:r w:rsidRPr="00FA419A">
        <w:t>Part II:</w:t>
      </w:r>
      <w:r w:rsidRPr="00FA419A">
        <w:tab/>
        <w:t>Financial audit reports for the CFC production, halon, polyurethane foam, process agent II, refrigeration servicing and solvent sectors (decision 83/42) (UNDP, UNEP, UNIDO, and World Bank)</w:t>
      </w:r>
    </w:p>
    <w:p w:rsidR="00130205" w:rsidRPr="00FA419A" w:rsidRDefault="00130205" w:rsidP="00130205">
      <w:pPr>
        <w:spacing w:after="240"/>
        <w:ind w:left="2160" w:hanging="1444"/>
      </w:pPr>
      <w:r w:rsidRPr="00CF57BE">
        <w:t>Part III:</w:t>
      </w:r>
      <w:r w:rsidRPr="00FA419A">
        <w:tab/>
        <w:t>Sector plan for the phase-out of methyl bro</w:t>
      </w:r>
      <w:r w:rsidR="00094471">
        <w:t xml:space="preserve">mide production </w:t>
      </w:r>
      <w:r w:rsidR="00094471" w:rsidRPr="000825A1">
        <w:rPr>
          <w:lang w:val="en-CA"/>
        </w:rPr>
        <w:t>(decision</w:t>
      </w:r>
      <w:r w:rsidR="00094471">
        <w:rPr>
          <w:lang w:val="en-CA"/>
        </w:rPr>
        <w:t>s</w:t>
      </w:r>
      <w:r w:rsidR="00094471" w:rsidRPr="000825A1">
        <w:rPr>
          <w:lang w:val="en-CA"/>
        </w:rPr>
        <w:t xml:space="preserve"> 83/43(b)</w:t>
      </w:r>
      <w:r w:rsidR="00094471">
        <w:rPr>
          <w:lang w:val="en-CA"/>
        </w:rPr>
        <w:t>(</w:t>
      </w:r>
      <w:proofErr w:type="spellStart"/>
      <w:r w:rsidR="00094471">
        <w:rPr>
          <w:lang w:val="en-CA"/>
        </w:rPr>
        <w:t>i</w:t>
      </w:r>
      <w:proofErr w:type="spellEnd"/>
      <w:r w:rsidR="00094471">
        <w:rPr>
          <w:lang w:val="en-CA"/>
        </w:rPr>
        <w:t xml:space="preserve">) and </w:t>
      </w:r>
      <w:r w:rsidR="00094471" w:rsidRPr="000825A1">
        <w:rPr>
          <w:lang w:val="en-CA"/>
        </w:rPr>
        <w:t>83/44(b) and (c))</w:t>
      </w:r>
      <w:r w:rsidRPr="00FA419A">
        <w:t xml:space="preserve"> (UNIDO)</w:t>
      </w:r>
    </w:p>
    <w:p w:rsidR="00981006" w:rsidRDefault="00981006" w:rsidP="00981006">
      <w:pPr>
        <w:pStyle w:val="Heading1"/>
        <w:rPr>
          <w:lang w:val="en-CA"/>
        </w:rPr>
      </w:pPr>
      <w:r w:rsidRPr="009A010C">
        <w:rPr>
          <w:lang w:val="en-CA"/>
        </w:rPr>
        <w:t xml:space="preserve">Each part contains a brief description of </w:t>
      </w:r>
      <w:r>
        <w:rPr>
          <w:lang w:val="en-CA"/>
        </w:rPr>
        <w:t xml:space="preserve">the report or the </w:t>
      </w:r>
      <w:r w:rsidRPr="009A010C">
        <w:rPr>
          <w:lang w:val="en-CA"/>
        </w:rPr>
        <w:t>progress</w:t>
      </w:r>
      <w:r>
        <w:rPr>
          <w:lang w:val="en-CA"/>
        </w:rPr>
        <w:t xml:space="preserve"> of implementation of projects</w:t>
      </w:r>
      <w:r w:rsidRPr="009A010C">
        <w:rPr>
          <w:lang w:val="en-CA"/>
        </w:rPr>
        <w:t>, the Secretariat’s comments and recommendations.</w:t>
      </w:r>
    </w:p>
    <w:p w:rsidR="00741F73" w:rsidRPr="00C3476B" w:rsidRDefault="00741F73" w:rsidP="00C3476B">
      <w:pPr>
        <w:ind w:left="1440" w:hanging="1440"/>
      </w:pPr>
      <w:r>
        <w:rPr>
          <w:b/>
          <w:lang w:val="en-CA"/>
        </w:rPr>
        <w:t>PART I:</w:t>
      </w:r>
      <w:r>
        <w:rPr>
          <w:b/>
          <w:lang w:val="en-CA"/>
        </w:rPr>
        <w:tab/>
      </w:r>
      <w:r w:rsidR="00094471" w:rsidRPr="00094471">
        <w:rPr>
          <w:b/>
          <w:caps/>
          <w:lang w:val="en-CA"/>
        </w:rPr>
        <w:t>Report on progress in the implementation of activities listed in decision 83/41</w:t>
      </w:r>
      <w:r w:rsidRPr="00741F73">
        <w:rPr>
          <w:b/>
        </w:rPr>
        <w:t xml:space="preserve"> (UNDP, UNEP, UNIDO, </w:t>
      </w:r>
      <w:r w:rsidR="005A2438">
        <w:rPr>
          <w:b/>
        </w:rPr>
        <w:t>AND WORLD BANK</w:t>
      </w:r>
      <w:r w:rsidRPr="00741F73">
        <w:rPr>
          <w:b/>
        </w:rPr>
        <w:t>)</w:t>
      </w:r>
    </w:p>
    <w:p w:rsidR="00741F73" w:rsidRPr="00BC59E3" w:rsidRDefault="00741F73" w:rsidP="00741F73">
      <w:pPr>
        <w:rPr>
          <w:u w:val="single"/>
          <w:lang w:val="en-CA"/>
        </w:rPr>
      </w:pPr>
    </w:p>
    <w:p w:rsidR="00741F73" w:rsidRPr="00BC59E3" w:rsidRDefault="00741F73" w:rsidP="00741F73">
      <w:pPr>
        <w:rPr>
          <w:b/>
          <w:lang w:val="en-CA"/>
        </w:rPr>
      </w:pPr>
      <w:r w:rsidRPr="00BC59E3">
        <w:rPr>
          <w:b/>
          <w:lang w:val="en-CA"/>
        </w:rPr>
        <w:t>Background</w:t>
      </w:r>
    </w:p>
    <w:p w:rsidR="00741F73" w:rsidRPr="00BC59E3" w:rsidRDefault="00741F73" w:rsidP="00741F73">
      <w:pPr>
        <w:rPr>
          <w:lang w:val="en-CA"/>
        </w:rPr>
      </w:pPr>
    </w:p>
    <w:p w:rsidR="00741F73" w:rsidRPr="00BC59E3" w:rsidRDefault="00741F73" w:rsidP="00741F73">
      <w:pPr>
        <w:pStyle w:val="Heading1"/>
        <w:rPr>
          <w:lang w:val="en-CA"/>
        </w:rPr>
      </w:pPr>
      <w:r w:rsidRPr="00BC59E3">
        <w:rPr>
          <w:lang w:val="en-CA"/>
        </w:rPr>
        <w:t>At the 83</w:t>
      </w:r>
      <w:r w:rsidRPr="00BC59E3">
        <w:rPr>
          <w:vertAlign w:val="superscript"/>
          <w:lang w:val="en-CA"/>
        </w:rPr>
        <w:t>rd</w:t>
      </w:r>
      <w:r w:rsidRPr="00BC59E3">
        <w:rPr>
          <w:lang w:val="en-CA"/>
        </w:rPr>
        <w:t xml:space="preserve"> meeting, the Executive Committee considered a document on the Review of current monitoring, reporting, verification and enforcement systems (MRVE) in accordance with HCFC consumption and production phase-out management plan Agreements between the Government of China and the Executive Committee, submitted by UNDP on behalf of the Government of China. In its deliberations, the Executive Committee </w:t>
      </w:r>
      <w:r w:rsidRPr="00BC59E3">
        <w:rPr>
          <w:i/>
          <w:lang w:val="en-CA"/>
        </w:rPr>
        <w:t xml:space="preserve">inter alia </w:t>
      </w:r>
      <w:r w:rsidRPr="00BC59E3">
        <w:rPr>
          <w:lang w:val="en-CA"/>
        </w:rPr>
        <w:t xml:space="preserve">welcomed a number of regulatory and enforcement actions to be undertaken by the Government; noted with appreciation that the Government will undertake additional actions in support of its enforcement actions; and further noted with appreciation that the Government of China will consider a set of suggestions to supplement and augment its regulatory and enforcement actions. The Executive Committee also noted that the Government of China would submit a </w:t>
      </w:r>
      <w:r w:rsidRPr="00BC59E3">
        <w:rPr>
          <w:lang w:val="en-CA"/>
        </w:rPr>
        <w:lastRenderedPageBreak/>
        <w:t>report at the 84</w:t>
      </w:r>
      <w:r w:rsidRPr="00BC59E3">
        <w:rPr>
          <w:vertAlign w:val="superscript"/>
          <w:lang w:val="en-CA"/>
        </w:rPr>
        <w:t>th</w:t>
      </w:r>
      <w:r w:rsidRPr="00BC59E3">
        <w:rPr>
          <w:lang w:val="en-CA"/>
        </w:rPr>
        <w:t xml:space="preserve"> meeting, and again to the 86</w:t>
      </w:r>
      <w:r w:rsidRPr="00BC59E3">
        <w:rPr>
          <w:vertAlign w:val="superscript"/>
          <w:lang w:val="en-CA"/>
        </w:rPr>
        <w:t>th</w:t>
      </w:r>
      <w:r w:rsidRPr="00BC59E3">
        <w:rPr>
          <w:lang w:val="en-CA"/>
        </w:rPr>
        <w:t xml:space="preserve"> meeting, on its progress in implementing the activities described in sub-paragraphs (a)-(d) of decision 83/41.</w:t>
      </w:r>
    </w:p>
    <w:p w:rsidR="00741F73" w:rsidRPr="00621739" w:rsidRDefault="00741F73" w:rsidP="00621739">
      <w:pPr>
        <w:pStyle w:val="Heading1"/>
        <w:rPr>
          <w:lang w:val="en-CA"/>
        </w:rPr>
      </w:pPr>
      <w:r w:rsidRPr="00BC59E3">
        <w:rPr>
          <w:lang w:val="en-CA"/>
        </w:rPr>
        <w:t>The Government of China has submitted to the 84</w:t>
      </w:r>
      <w:r w:rsidRPr="00BC59E3">
        <w:rPr>
          <w:vertAlign w:val="superscript"/>
          <w:lang w:val="en-CA"/>
        </w:rPr>
        <w:t>th</w:t>
      </w:r>
      <w:r w:rsidRPr="00BC59E3">
        <w:rPr>
          <w:lang w:val="en-CA"/>
        </w:rPr>
        <w:t xml:space="preserve"> meeting a Progress Report pursuant to decision</w:t>
      </w:r>
      <w:r>
        <w:rPr>
          <w:lang w:val="en-CA"/>
        </w:rPr>
        <w:t> </w:t>
      </w:r>
      <w:r w:rsidRPr="00BC59E3">
        <w:rPr>
          <w:lang w:val="en-CA"/>
        </w:rPr>
        <w:t>83/41 (“</w:t>
      </w:r>
      <w:r w:rsidRPr="00BC59E3">
        <w:rPr>
          <w:i/>
          <w:lang w:val="en-CA"/>
        </w:rPr>
        <w:t>Progress Report</w:t>
      </w:r>
      <w:r w:rsidRPr="00BC59E3">
        <w:rPr>
          <w:lang w:val="en-CA"/>
        </w:rPr>
        <w:t>”).</w:t>
      </w:r>
      <w:r w:rsidR="009F48EF">
        <w:rPr>
          <w:lang w:val="en-CA"/>
        </w:rPr>
        <w:t xml:space="preserve"> </w:t>
      </w:r>
      <w:r>
        <w:rPr>
          <w:lang w:val="en-CA"/>
        </w:rPr>
        <w:t xml:space="preserve">As requested by the Government of China, the </w:t>
      </w:r>
      <w:r w:rsidRPr="00BC59E3">
        <w:rPr>
          <w:i/>
          <w:lang w:val="en-CA"/>
        </w:rPr>
        <w:t>Progress Report</w:t>
      </w:r>
      <w:r>
        <w:rPr>
          <w:lang w:val="en-CA"/>
        </w:rPr>
        <w:t xml:space="preserve"> is annexed in its entirety </w:t>
      </w:r>
      <w:r w:rsidR="00324035">
        <w:rPr>
          <w:lang w:val="en-CA"/>
        </w:rPr>
        <w:t xml:space="preserve">to the present document </w:t>
      </w:r>
      <w:r>
        <w:rPr>
          <w:lang w:val="en-CA"/>
        </w:rPr>
        <w:t xml:space="preserve">without editing or further review. </w:t>
      </w:r>
    </w:p>
    <w:p w:rsidR="00130205" w:rsidRPr="009B77A9" w:rsidRDefault="00130205" w:rsidP="009B77A9">
      <w:pPr>
        <w:ind w:left="1440" w:hanging="1440"/>
        <w:rPr>
          <w:b/>
          <w:caps/>
        </w:rPr>
      </w:pPr>
      <w:r w:rsidRPr="00621739">
        <w:rPr>
          <w:b/>
          <w:caps/>
        </w:rPr>
        <w:t>Part II:</w:t>
      </w:r>
      <w:r w:rsidRPr="00621739">
        <w:rPr>
          <w:b/>
          <w:caps/>
        </w:rPr>
        <w:tab/>
        <w:t>Financial audit reports for the CFC</w:t>
      </w:r>
      <w:r w:rsidR="00A809E6">
        <w:rPr>
          <w:b/>
          <w:caps/>
        </w:rPr>
        <w:t xml:space="preserve"> production, halon, </w:t>
      </w:r>
      <w:r w:rsidR="00A809E6">
        <w:rPr>
          <w:b/>
          <w:caps/>
        </w:rPr>
        <w:br/>
      </w:r>
      <w:r w:rsidR="00EC3EF2" w:rsidRPr="00EC3EF2">
        <w:rPr>
          <w:b/>
        </w:rPr>
        <w:t>POLYURETHANE FOAM</w:t>
      </w:r>
      <w:r w:rsidRPr="00621739">
        <w:rPr>
          <w:b/>
          <w:caps/>
        </w:rPr>
        <w:t xml:space="preserve">, process agent II, refrigeration servicing and </w:t>
      </w:r>
      <w:r w:rsidR="00094471" w:rsidRPr="00621739">
        <w:rPr>
          <w:b/>
          <w:caps/>
        </w:rPr>
        <w:t>solvent sectors</w:t>
      </w:r>
      <w:r w:rsidR="00A809E6">
        <w:rPr>
          <w:b/>
          <w:caps/>
        </w:rPr>
        <w:t xml:space="preserve"> (UNDP, UNEP, UNIDO</w:t>
      </w:r>
      <w:r w:rsidRPr="00621739">
        <w:rPr>
          <w:b/>
          <w:caps/>
        </w:rPr>
        <w:t xml:space="preserve"> and World Bank)</w:t>
      </w:r>
    </w:p>
    <w:p w:rsidR="009B77A9" w:rsidRPr="009B77A9" w:rsidRDefault="009B77A9" w:rsidP="00130205">
      <w:pPr>
        <w:widowControl w:val="0"/>
        <w:jc w:val="left"/>
        <w:rPr>
          <w:b/>
        </w:rPr>
      </w:pPr>
    </w:p>
    <w:p w:rsidR="00130205" w:rsidRPr="00493ABF" w:rsidRDefault="00130205" w:rsidP="00130205">
      <w:pPr>
        <w:widowControl w:val="0"/>
        <w:jc w:val="left"/>
        <w:rPr>
          <w:b/>
          <w:lang w:val="en-CA"/>
        </w:rPr>
      </w:pPr>
      <w:r w:rsidRPr="00493ABF">
        <w:rPr>
          <w:b/>
          <w:lang w:val="en-CA"/>
        </w:rPr>
        <w:t>Background</w:t>
      </w:r>
    </w:p>
    <w:p w:rsidR="00130205" w:rsidRPr="00493ABF" w:rsidRDefault="00130205" w:rsidP="00130205">
      <w:pPr>
        <w:widowControl w:val="0"/>
        <w:jc w:val="left"/>
        <w:rPr>
          <w:b/>
          <w:lang w:val="en-CA"/>
        </w:rPr>
      </w:pPr>
    </w:p>
    <w:p w:rsidR="00130205" w:rsidRPr="00493ABF" w:rsidRDefault="00130205" w:rsidP="009B77A9">
      <w:pPr>
        <w:pStyle w:val="Heading1"/>
        <w:widowControl w:val="0"/>
        <w:rPr>
          <w:lang w:val="en-CA"/>
        </w:rPr>
      </w:pPr>
      <w:r w:rsidRPr="00493ABF">
        <w:rPr>
          <w:lang w:val="en-CA"/>
        </w:rPr>
        <w:t>In line with decisions 71/12(b)(ii) and (iii)</w:t>
      </w:r>
      <w:r w:rsidRPr="00493ABF">
        <w:rPr>
          <w:vertAlign w:val="superscript"/>
          <w:lang w:val="en-CA"/>
        </w:rPr>
        <w:footnoteReference w:id="1"/>
      </w:r>
      <w:r w:rsidRPr="00493ABF">
        <w:rPr>
          <w:lang w:val="en-CA"/>
        </w:rPr>
        <w:t>, 72/13</w:t>
      </w:r>
      <w:r w:rsidRPr="00493ABF">
        <w:rPr>
          <w:vertAlign w:val="superscript"/>
          <w:lang w:val="en-CA"/>
        </w:rPr>
        <w:footnoteReference w:id="2"/>
      </w:r>
      <w:r w:rsidRPr="00493ABF">
        <w:rPr>
          <w:lang w:val="en-CA"/>
        </w:rPr>
        <w:t>, 73/20(b)</w:t>
      </w:r>
      <w:r w:rsidRPr="00493ABF">
        <w:rPr>
          <w:vertAlign w:val="superscript"/>
          <w:lang w:val="en-CA"/>
        </w:rPr>
        <w:footnoteReference w:id="3"/>
      </w:r>
      <w:r w:rsidRPr="00493ABF">
        <w:rPr>
          <w:lang w:val="en-CA"/>
        </w:rPr>
        <w:t>, 75/18</w:t>
      </w:r>
      <w:r w:rsidRPr="00493ABF">
        <w:rPr>
          <w:vertAlign w:val="superscript"/>
          <w:lang w:val="en-CA"/>
        </w:rPr>
        <w:footnoteReference w:id="4"/>
      </w:r>
      <w:r w:rsidRPr="00493ABF">
        <w:rPr>
          <w:lang w:val="en-CA"/>
        </w:rPr>
        <w:t>, 77/26(b)</w:t>
      </w:r>
      <w:r w:rsidRPr="00493ABF">
        <w:rPr>
          <w:vertAlign w:val="superscript"/>
          <w:lang w:val="en-CA"/>
        </w:rPr>
        <w:footnoteReference w:id="5"/>
      </w:r>
      <w:r w:rsidRPr="00493ABF">
        <w:rPr>
          <w:lang w:val="en-CA"/>
        </w:rPr>
        <w:t>, and 80/27</w:t>
      </w:r>
      <w:r w:rsidRPr="00493ABF">
        <w:rPr>
          <w:vertAlign w:val="superscript"/>
          <w:lang w:val="en-CA"/>
        </w:rPr>
        <w:footnoteReference w:id="6"/>
      </w:r>
      <w:r w:rsidRPr="00493ABF">
        <w:rPr>
          <w:lang w:val="en-CA"/>
        </w:rPr>
        <w:t>, the Government of China submitted to the 8</w:t>
      </w:r>
      <w:r>
        <w:rPr>
          <w:lang w:val="en-CA"/>
        </w:rPr>
        <w:t>2</w:t>
      </w:r>
      <w:r w:rsidRPr="00493ABF">
        <w:rPr>
          <w:vertAlign w:val="superscript"/>
          <w:lang w:val="en-CA"/>
        </w:rPr>
        <w:t>nd</w:t>
      </w:r>
      <w:r>
        <w:rPr>
          <w:lang w:val="en-CA"/>
        </w:rPr>
        <w:t xml:space="preserve"> and 83</w:t>
      </w:r>
      <w:r w:rsidRPr="00493ABF">
        <w:rPr>
          <w:vertAlign w:val="superscript"/>
          <w:lang w:val="en-CA"/>
        </w:rPr>
        <w:t>rd</w:t>
      </w:r>
      <w:r>
        <w:rPr>
          <w:lang w:val="en-CA"/>
        </w:rPr>
        <w:t xml:space="preserve"> </w:t>
      </w:r>
      <w:r w:rsidRPr="00493ABF">
        <w:rPr>
          <w:lang w:val="en-CA"/>
        </w:rPr>
        <w:t>meeting</w:t>
      </w:r>
      <w:r>
        <w:rPr>
          <w:lang w:val="en-CA"/>
        </w:rPr>
        <w:t>s</w:t>
      </w:r>
      <w:r w:rsidRPr="00493ABF">
        <w:rPr>
          <w:lang w:val="en-CA"/>
        </w:rPr>
        <w:t xml:space="preserve">, through the relevant bilateral and implementing agencies, final progress reports, relevant research, technical assistance reports, and audit reports including the interest accrued during the implementation of the CFC production, halon, </w:t>
      </w:r>
      <w:r w:rsidR="00EC3EF2" w:rsidRPr="00FA419A">
        <w:t>polyurethane foam</w:t>
      </w:r>
      <w:r w:rsidR="00EC3EF2">
        <w:t xml:space="preserve"> (PU)</w:t>
      </w:r>
      <w:r w:rsidRPr="00493ABF">
        <w:rPr>
          <w:lang w:val="en-CA"/>
        </w:rPr>
        <w:t xml:space="preserve"> foam, process agent II, refrigeration servicing and solvent sector plans.</w:t>
      </w:r>
    </w:p>
    <w:p w:rsidR="00130205" w:rsidRPr="00493ABF" w:rsidRDefault="00130205" w:rsidP="009B77A9">
      <w:pPr>
        <w:pStyle w:val="Heading1"/>
        <w:widowControl w:val="0"/>
        <w:rPr>
          <w:lang w:val="en-CA"/>
        </w:rPr>
      </w:pPr>
      <w:r w:rsidRPr="00493ABF">
        <w:rPr>
          <w:lang w:val="en-CA"/>
        </w:rPr>
        <w:t>At the 8</w:t>
      </w:r>
      <w:r>
        <w:rPr>
          <w:lang w:val="en-CA"/>
        </w:rPr>
        <w:t>3</w:t>
      </w:r>
      <w:r w:rsidRPr="00493ABF">
        <w:rPr>
          <w:vertAlign w:val="superscript"/>
          <w:lang w:val="en-CA"/>
        </w:rPr>
        <w:t>rd</w:t>
      </w:r>
      <w:r>
        <w:rPr>
          <w:lang w:val="en-CA"/>
        </w:rPr>
        <w:t xml:space="preserve"> </w:t>
      </w:r>
      <w:r w:rsidRPr="00493ABF">
        <w:rPr>
          <w:lang w:val="en-CA"/>
        </w:rPr>
        <w:t>meeting, the Executive Committee decided to defer, to its 8</w:t>
      </w:r>
      <w:r>
        <w:rPr>
          <w:lang w:val="en-CA"/>
        </w:rPr>
        <w:t>4</w:t>
      </w:r>
      <w:r w:rsidRPr="00493ABF">
        <w:rPr>
          <w:vertAlign w:val="superscript"/>
          <w:lang w:val="en-CA"/>
        </w:rPr>
        <w:t>th</w:t>
      </w:r>
      <w:r>
        <w:rPr>
          <w:lang w:val="en-CA"/>
        </w:rPr>
        <w:t xml:space="preserve"> </w:t>
      </w:r>
      <w:r w:rsidRPr="00493ABF">
        <w:rPr>
          <w:lang w:val="en-CA"/>
        </w:rPr>
        <w:t xml:space="preserve">meeting, consideration of the financial audit reports for CFC production, halon, </w:t>
      </w:r>
      <w:r w:rsidR="00EC3EF2">
        <w:rPr>
          <w:lang w:val="en-CA"/>
        </w:rPr>
        <w:t>PU</w:t>
      </w:r>
      <w:r w:rsidRPr="00493ABF">
        <w:rPr>
          <w:lang w:val="en-CA"/>
        </w:rPr>
        <w:t xml:space="preserve"> foam, process agent II, refrigeration servicing and solvent sectors in China (decision 8</w:t>
      </w:r>
      <w:r>
        <w:rPr>
          <w:lang w:val="en-CA"/>
        </w:rPr>
        <w:t>3/42</w:t>
      </w:r>
      <w:r w:rsidRPr="00493ABF">
        <w:rPr>
          <w:lang w:val="en-CA"/>
        </w:rPr>
        <w:t>). Accordingly, the Government of China, through the relevant implementing agencies, has submitted to the 8</w:t>
      </w:r>
      <w:r>
        <w:rPr>
          <w:lang w:val="en-CA"/>
        </w:rPr>
        <w:t>4</w:t>
      </w:r>
      <w:r w:rsidRPr="00493ABF">
        <w:rPr>
          <w:vertAlign w:val="superscript"/>
          <w:lang w:val="en-CA"/>
        </w:rPr>
        <w:t>th</w:t>
      </w:r>
      <w:r>
        <w:rPr>
          <w:lang w:val="en-CA"/>
        </w:rPr>
        <w:t xml:space="preserve"> </w:t>
      </w:r>
      <w:r w:rsidRPr="00493ABF">
        <w:rPr>
          <w:lang w:val="en-CA"/>
        </w:rPr>
        <w:t xml:space="preserve">meeting </w:t>
      </w:r>
      <w:r>
        <w:rPr>
          <w:lang w:val="en-CA"/>
        </w:rPr>
        <w:t>a financial audit as of June 30 2019, and an</w:t>
      </w:r>
      <w:r w:rsidRPr="00493ABF">
        <w:rPr>
          <w:lang w:val="en-CA"/>
        </w:rPr>
        <w:t xml:space="preserve"> update as of </w:t>
      </w:r>
      <w:r>
        <w:rPr>
          <w:lang w:val="en-CA"/>
        </w:rPr>
        <w:t xml:space="preserve">September </w:t>
      </w:r>
      <w:r w:rsidRPr="00493ABF">
        <w:rPr>
          <w:lang w:val="en-CA"/>
        </w:rPr>
        <w:t>2019 to</w:t>
      </w:r>
      <w:r>
        <w:rPr>
          <w:lang w:val="en-CA"/>
        </w:rPr>
        <w:t xml:space="preserve"> the reports presented at the 83</w:t>
      </w:r>
      <w:r w:rsidRPr="00493ABF">
        <w:rPr>
          <w:vertAlign w:val="superscript"/>
          <w:lang w:val="en-CA"/>
        </w:rPr>
        <w:t>rd</w:t>
      </w:r>
      <w:r>
        <w:rPr>
          <w:lang w:val="en-CA"/>
        </w:rPr>
        <w:t xml:space="preserve"> </w:t>
      </w:r>
      <w:r w:rsidRPr="00493ABF">
        <w:rPr>
          <w:lang w:val="en-CA"/>
        </w:rPr>
        <w:t>meeting.</w:t>
      </w:r>
    </w:p>
    <w:p w:rsidR="00130205" w:rsidRPr="00493ABF" w:rsidRDefault="00130205" w:rsidP="00A809E6">
      <w:pPr>
        <w:pStyle w:val="Heading1"/>
        <w:widowControl w:val="0"/>
        <w:rPr>
          <w:b/>
          <w:lang w:val="en-CA"/>
        </w:rPr>
      </w:pPr>
      <w:r w:rsidRPr="00493ABF">
        <w:rPr>
          <w:lang w:val="en-CA"/>
        </w:rPr>
        <w:t>In order to reflects the updates since the 8</w:t>
      </w:r>
      <w:r>
        <w:rPr>
          <w:lang w:val="en-CA"/>
        </w:rPr>
        <w:t>3</w:t>
      </w:r>
      <w:r w:rsidRPr="00B92312">
        <w:rPr>
          <w:vertAlign w:val="superscript"/>
          <w:lang w:val="en-CA"/>
        </w:rPr>
        <w:t>rd</w:t>
      </w:r>
      <w:r>
        <w:rPr>
          <w:lang w:val="en-CA"/>
        </w:rPr>
        <w:t xml:space="preserve"> </w:t>
      </w:r>
      <w:r w:rsidRPr="00493ABF">
        <w:rPr>
          <w:lang w:val="en-CA"/>
        </w:rPr>
        <w:t>meeting, the Secretariat is using the same document used at the 8</w:t>
      </w:r>
      <w:r>
        <w:rPr>
          <w:lang w:val="en-CA"/>
        </w:rPr>
        <w:t>3</w:t>
      </w:r>
      <w:r w:rsidRPr="00B92312">
        <w:rPr>
          <w:vertAlign w:val="superscript"/>
          <w:lang w:val="en-CA"/>
        </w:rPr>
        <w:t>rd</w:t>
      </w:r>
      <w:r>
        <w:rPr>
          <w:lang w:val="en-CA"/>
        </w:rPr>
        <w:t xml:space="preserve"> </w:t>
      </w:r>
      <w:r w:rsidRPr="00493ABF">
        <w:rPr>
          <w:lang w:val="en-CA"/>
        </w:rPr>
        <w:t>meeting</w:t>
      </w:r>
      <w:r w:rsidRPr="00493ABF">
        <w:rPr>
          <w:rStyle w:val="FootnoteReference"/>
          <w:lang w:val="en-CA"/>
        </w:rPr>
        <w:footnoteReference w:id="7"/>
      </w:r>
      <w:r w:rsidRPr="00493ABF">
        <w:rPr>
          <w:lang w:val="en-CA"/>
        </w:rPr>
        <w:t xml:space="preserve"> </w:t>
      </w:r>
      <w:r w:rsidRPr="00493ABF">
        <w:rPr>
          <w:b/>
          <w:lang w:val="en-CA"/>
        </w:rPr>
        <w:t xml:space="preserve">including in bold new text associated to the review of the updated report. </w:t>
      </w:r>
    </w:p>
    <w:p w:rsidR="00130205" w:rsidRPr="00493ABF" w:rsidRDefault="00130205" w:rsidP="00874A6C">
      <w:pPr>
        <w:widowControl w:val="0"/>
        <w:rPr>
          <w:u w:val="single"/>
          <w:lang w:val="en-CA"/>
        </w:rPr>
      </w:pPr>
      <w:r w:rsidRPr="00493ABF">
        <w:rPr>
          <w:u w:val="single"/>
          <w:lang w:val="en-CA"/>
        </w:rPr>
        <w:lastRenderedPageBreak/>
        <w:t>Planned budgets and progress reports</w:t>
      </w:r>
    </w:p>
    <w:p w:rsidR="00130205" w:rsidRPr="00493ABF" w:rsidRDefault="00130205" w:rsidP="00874A6C">
      <w:pPr>
        <w:widowControl w:val="0"/>
        <w:rPr>
          <w:i/>
          <w:lang w:val="en-CA"/>
        </w:rPr>
      </w:pPr>
    </w:p>
    <w:p w:rsidR="00130205" w:rsidRPr="00493ABF" w:rsidRDefault="00130205" w:rsidP="00130205">
      <w:pPr>
        <w:pStyle w:val="Heading1"/>
        <w:widowControl w:val="0"/>
        <w:rPr>
          <w:lang w:val="en-CA"/>
        </w:rPr>
      </w:pPr>
      <w:r>
        <w:rPr>
          <w:lang w:val="en-CA"/>
        </w:rPr>
        <w:t xml:space="preserve">The financial data in the present report is based on the audit report submitted by the Government of China as of June 2019. </w:t>
      </w:r>
      <w:r w:rsidRPr="00493ABF">
        <w:rPr>
          <w:lang w:val="en-CA"/>
        </w:rPr>
        <w:t xml:space="preserve">As of </w:t>
      </w:r>
      <w:r w:rsidRPr="006B13CD">
        <w:rPr>
          <w:b/>
          <w:lang w:val="en-CA"/>
        </w:rPr>
        <w:t>30 June 2019</w:t>
      </w:r>
      <w:r w:rsidRPr="00493ABF">
        <w:rPr>
          <w:lang w:val="en-CA"/>
        </w:rPr>
        <w:t xml:space="preserve">, remaining balances amounted to </w:t>
      </w:r>
      <w:r w:rsidRPr="00C55E90">
        <w:rPr>
          <w:b/>
          <w:lang w:val="en-CA"/>
        </w:rPr>
        <w:t>US $14,752,436</w:t>
      </w:r>
      <w:r w:rsidRPr="00493ABF">
        <w:rPr>
          <w:lang w:val="en-CA"/>
        </w:rPr>
        <w:t xml:space="preserve">. </w:t>
      </w:r>
      <w:r w:rsidRPr="00C3476B">
        <w:rPr>
          <w:lang w:val="en-CA"/>
        </w:rPr>
        <w:t>Table 1</w:t>
      </w:r>
      <w:r w:rsidRPr="00493ABF">
        <w:rPr>
          <w:lang w:val="en-CA"/>
        </w:rPr>
        <w:t xml:space="preserve"> presents an overview of fund disbursements between </w:t>
      </w:r>
      <w:r w:rsidRPr="00493ABF">
        <w:rPr>
          <w:b/>
          <w:lang w:val="en-CA"/>
        </w:rPr>
        <w:t>1 </w:t>
      </w:r>
      <w:r>
        <w:rPr>
          <w:b/>
          <w:lang w:val="en-CA"/>
        </w:rPr>
        <w:t>July</w:t>
      </w:r>
      <w:r w:rsidRPr="00493ABF">
        <w:rPr>
          <w:b/>
          <w:lang w:val="en-CA"/>
        </w:rPr>
        <w:t xml:space="preserve"> 2018 and </w:t>
      </w:r>
      <w:r>
        <w:rPr>
          <w:b/>
          <w:lang w:val="en-CA"/>
        </w:rPr>
        <w:t>30</w:t>
      </w:r>
      <w:r w:rsidRPr="00493ABF">
        <w:rPr>
          <w:b/>
          <w:lang w:val="en-CA"/>
        </w:rPr>
        <w:t> </w:t>
      </w:r>
      <w:r>
        <w:rPr>
          <w:b/>
          <w:lang w:val="en-CA"/>
        </w:rPr>
        <w:t>June</w:t>
      </w:r>
      <w:r w:rsidRPr="00493ABF">
        <w:rPr>
          <w:b/>
          <w:lang w:val="en-CA"/>
        </w:rPr>
        <w:t> 2019</w:t>
      </w:r>
      <w:r w:rsidRPr="00493ABF">
        <w:rPr>
          <w:lang w:val="en-CA"/>
        </w:rPr>
        <w:t xml:space="preserve">, fund balances, and the planned completion dates for each of the sector plans. </w:t>
      </w:r>
    </w:p>
    <w:p w:rsidR="00130205" w:rsidRPr="00493ABF" w:rsidRDefault="00130205" w:rsidP="00130205">
      <w:pPr>
        <w:keepNext/>
        <w:keepLines/>
        <w:jc w:val="left"/>
        <w:rPr>
          <w:b/>
          <w:lang w:val="en-CA"/>
        </w:rPr>
      </w:pPr>
      <w:r w:rsidRPr="00C3476B">
        <w:rPr>
          <w:b/>
          <w:lang w:val="en-CA"/>
        </w:rPr>
        <w:t>Table 1</w:t>
      </w:r>
      <w:r w:rsidR="00C3476B">
        <w:rPr>
          <w:b/>
          <w:lang w:val="en-CA"/>
        </w:rPr>
        <w:t>:</w:t>
      </w:r>
      <w:r w:rsidRPr="00493ABF">
        <w:rPr>
          <w:b/>
          <w:lang w:val="en-CA"/>
        </w:rPr>
        <w:t xml:space="preserve"> Planned budgets for the use of remaining funds (US $)</w:t>
      </w:r>
    </w:p>
    <w:tbl>
      <w:tblPr>
        <w:tblW w:w="9639" w:type="dxa"/>
        <w:tblInd w:w="-5" w:type="dxa"/>
        <w:tblLayout w:type="fixed"/>
        <w:tblLook w:val="04A0" w:firstRow="1" w:lastRow="0" w:firstColumn="1" w:lastColumn="0" w:noHBand="0" w:noVBand="1"/>
      </w:tblPr>
      <w:tblGrid>
        <w:gridCol w:w="4307"/>
        <w:gridCol w:w="1314"/>
        <w:gridCol w:w="1314"/>
        <w:gridCol w:w="1570"/>
        <w:gridCol w:w="1134"/>
      </w:tblGrid>
      <w:tr w:rsidR="00130205" w:rsidRPr="0095416B" w:rsidTr="00130205">
        <w:trPr>
          <w:tblHeader/>
        </w:trPr>
        <w:tc>
          <w:tcPr>
            <w:tcW w:w="4307" w:type="dxa"/>
            <w:tcBorders>
              <w:top w:val="single" w:sz="4" w:space="0" w:color="auto"/>
              <w:left w:val="single" w:sz="4" w:space="0" w:color="auto"/>
              <w:bottom w:val="single" w:sz="4" w:space="0" w:color="auto"/>
              <w:right w:val="single" w:sz="4" w:space="0" w:color="auto"/>
            </w:tcBorders>
            <w:hideMark/>
          </w:tcPr>
          <w:p w:rsidR="00130205" w:rsidRPr="0095416B" w:rsidRDefault="00130205" w:rsidP="00130205">
            <w:pPr>
              <w:keepNext/>
              <w:keepLines/>
              <w:jc w:val="left"/>
              <w:rPr>
                <w:b/>
                <w:color w:val="000000"/>
                <w:sz w:val="19"/>
                <w:szCs w:val="19"/>
                <w:lang w:val="en-CA"/>
              </w:rPr>
            </w:pPr>
            <w:r w:rsidRPr="0095416B">
              <w:rPr>
                <w:b/>
                <w:color w:val="000000"/>
                <w:sz w:val="19"/>
                <w:szCs w:val="19"/>
                <w:lang w:val="en-CA"/>
              </w:rPr>
              <w:t>Activity</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130205" w:rsidRPr="0095416B" w:rsidRDefault="00130205" w:rsidP="00130205">
            <w:pPr>
              <w:keepNext/>
              <w:keepLines/>
              <w:jc w:val="center"/>
              <w:rPr>
                <w:b/>
                <w:color w:val="000000"/>
                <w:sz w:val="19"/>
                <w:szCs w:val="19"/>
                <w:lang w:val="en-CA"/>
              </w:rPr>
            </w:pPr>
            <w:r w:rsidRPr="0095416B">
              <w:rPr>
                <w:b/>
                <w:color w:val="000000"/>
                <w:sz w:val="19"/>
                <w:szCs w:val="19"/>
                <w:lang w:val="en-CA"/>
              </w:rPr>
              <w:t xml:space="preserve">Balance as at 30 June 2018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130205" w:rsidRPr="0095416B" w:rsidRDefault="00130205" w:rsidP="00130205">
            <w:pPr>
              <w:keepNext/>
              <w:keepLines/>
              <w:jc w:val="center"/>
              <w:rPr>
                <w:b/>
                <w:color w:val="000000"/>
                <w:sz w:val="19"/>
                <w:szCs w:val="19"/>
                <w:lang w:val="en-CA"/>
              </w:rPr>
            </w:pPr>
            <w:r w:rsidRPr="0095416B">
              <w:rPr>
                <w:b/>
                <w:color w:val="000000"/>
                <w:sz w:val="19"/>
                <w:szCs w:val="19"/>
                <w:lang w:val="en-CA"/>
              </w:rPr>
              <w:t xml:space="preserve">New disbursement </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rsidR="00130205" w:rsidRPr="0095416B" w:rsidRDefault="00130205" w:rsidP="00130205">
            <w:pPr>
              <w:keepNext/>
              <w:keepLines/>
              <w:jc w:val="center"/>
              <w:rPr>
                <w:b/>
                <w:color w:val="000000"/>
                <w:sz w:val="19"/>
                <w:szCs w:val="19"/>
                <w:lang w:val="en-CA"/>
              </w:rPr>
            </w:pPr>
            <w:r w:rsidRPr="0095416B">
              <w:rPr>
                <w:b/>
                <w:color w:val="000000"/>
                <w:sz w:val="19"/>
                <w:szCs w:val="19"/>
                <w:lang w:val="en-CA"/>
              </w:rPr>
              <w:t>Balance as at 30 June 2019</w:t>
            </w:r>
          </w:p>
        </w:tc>
        <w:tc>
          <w:tcPr>
            <w:tcW w:w="1134" w:type="dxa"/>
            <w:tcBorders>
              <w:top w:val="single" w:sz="4" w:space="0" w:color="auto"/>
              <w:left w:val="nil"/>
              <w:bottom w:val="single" w:sz="4" w:space="0" w:color="auto"/>
              <w:right w:val="single" w:sz="4" w:space="0" w:color="auto"/>
            </w:tcBorders>
            <w:tcMar>
              <w:left w:w="14" w:type="dxa"/>
              <w:right w:w="14" w:type="dxa"/>
            </w:tcMar>
            <w:hideMark/>
          </w:tcPr>
          <w:p w:rsidR="00130205" w:rsidRPr="0095416B" w:rsidRDefault="00130205" w:rsidP="00130205">
            <w:pPr>
              <w:keepNext/>
              <w:keepLines/>
              <w:jc w:val="center"/>
              <w:rPr>
                <w:b/>
                <w:color w:val="000000"/>
                <w:sz w:val="19"/>
                <w:szCs w:val="19"/>
                <w:lang w:val="en-CA"/>
              </w:rPr>
            </w:pPr>
            <w:r w:rsidRPr="0095416B">
              <w:rPr>
                <w:b/>
                <w:color w:val="000000"/>
                <w:sz w:val="19"/>
                <w:szCs w:val="19"/>
                <w:lang w:val="en-CA"/>
              </w:rPr>
              <w:t>Completion date</w:t>
            </w:r>
          </w:p>
        </w:tc>
      </w:tr>
      <w:tr w:rsidR="00130205" w:rsidRPr="0095416B" w:rsidTr="00130205">
        <w:tc>
          <w:tcPr>
            <w:tcW w:w="9639" w:type="dxa"/>
            <w:gridSpan w:val="5"/>
            <w:tcBorders>
              <w:top w:val="nil"/>
              <w:left w:val="single" w:sz="4" w:space="0" w:color="auto"/>
              <w:bottom w:val="single" w:sz="4" w:space="0" w:color="auto"/>
              <w:right w:val="single" w:sz="4" w:space="0" w:color="auto"/>
            </w:tcBorders>
            <w:noWrap/>
            <w:hideMark/>
          </w:tcPr>
          <w:p w:rsidR="00130205" w:rsidRPr="0095416B" w:rsidRDefault="00130205" w:rsidP="00130205">
            <w:pPr>
              <w:widowControl w:val="0"/>
              <w:jc w:val="left"/>
              <w:rPr>
                <w:color w:val="000000"/>
                <w:sz w:val="19"/>
                <w:szCs w:val="19"/>
                <w:lang w:val="en-CA"/>
              </w:rPr>
            </w:pPr>
            <w:r w:rsidRPr="0095416B">
              <w:rPr>
                <w:b/>
                <w:bCs/>
                <w:color w:val="000000"/>
                <w:sz w:val="19"/>
                <w:szCs w:val="19"/>
                <w:lang w:val="en-CA"/>
              </w:rPr>
              <w:t>CFC production: Total approved US $150,000,000 (World Bank)</w:t>
            </w:r>
            <w:r w:rsidRPr="0095416B">
              <w:rPr>
                <w:color w:val="000000"/>
                <w:sz w:val="19"/>
                <w:szCs w:val="19"/>
                <w:lang w:val="en-CA"/>
              </w:rPr>
              <w:t> </w:t>
            </w: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Research and development on ODS alternatives</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742,087</w:t>
            </w:r>
          </w:p>
        </w:tc>
        <w:tc>
          <w:tcPr>
            <w:tcW w:w="1314" w:type="dxa"/>
            <w:tcBorders>
              <w:top w:val="nil"/>
              <w:left w:val="nil"/>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697,952</w:t>
            </w:r>
          </w:p>
        </w:tc>
        <w:tc>
          <w:tcPr>
            <w:tcW w:w="1570" w:type="dxa"/>
            <w:tcBorders>
              <w:top w:val="nil"/>
              <w:left w:val="nil"/>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44,135</w:t>
            </w:r>
          </w:p>
        </w:tc>
        <w:tc>
          <w:tcPr>
            <w:tcW w:w="113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Supervision and management</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233,411</w:t>
            </w:r>
          </w:p>
        </w:tc>
        <w:tc>
          <w:tcPr>
            <w:tcW w:w="1314" w:type="dxa"/>
            <w:tcBorders>
              <w:top w:val="nil"/>
              <w:left w:val="nil"/>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97,668</w:t>
            </w:r>
          </w:p>
        </w:tc>
        <w:tc>
          <w:tcPr>
            <w:tcW w:w="1570" w:type="dxa"/>
            <w:tcBorders>
              <w:top w:val="nil"/>
              <w:left w:val="nil"/>
              <w:bottom w:val="single" w:sz="4" w:space="0" w:color="auto"/>
              <w:right w:val="single" w:sz="4" w:space="0" w:color="auto"/>
            </w:tcBorders>
            <w:shd w:val="clear" w:color="auto" w:fill="auto"/>
            <w:vAlign w:val="center"/>
            <w:hideMark/>
          </w:tcPr>
          <w:p w:rsidR="00130205" w:rsidRPr="0095416B" w:rsidRDefault="00130205" w:rsidP="00130205">
            <w:pPr>
              <w:jc w:val="right"/>
              <w:rPr>
                <w:color w:val="000000"/>
                <w:sz w:val="19"/>
                <w:szCs w:val="19"/>
              </w:rPr>
            </w:pPr>
            <w:r w:rsidRPr="0095416B">
              <w:rPr>
                <w:color w:val="000000"/>
                <w:sz w:val="19"/>
                <w:szCs w:val="19"/>
              </w:rPr>
              <w:t>135,743</w:t>
            </w:r>
          </w:p>
        </w:tc>
        <w:tc>
          <w:tcPr>
            <w:tcW w:w="113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95416B" w:rsidRDefault="00130205" w:rsidP="00130205">
            <w:pPr>
              <w:jc w:val="right"/>
              <w:rPr>
                <w:b/>
                <w:bCs/>
                <w:color w:val="000000"/>
                <w:sz w:val="19"/>
                <w:szCs w:val="19"/>
              </w:rPr>
            </w:pPr>
            <w:r w:rsidRPr="0095416B">
              <w:rPr>
                <w:b/>
                <w:bCs/>
                <w:color w:val="000000"/>
                <w:sz w:val="19"/>
                <w:szCs w:val="19"/>
              </w:rPr>
              <w:t>975,498</w:t>
            </w:r>
          </w:p>
        </w:tc>
        <w:tc>
          <w:tcPr>
            <w:tcW w:w="1314" w:type="dxa"/>
            <w:tcBorders>
              <w:top w:val="nil"/>
              <w:left w:val="nil"/>
              <w:bottom w:val="single" w:sz="4" w:space="0" w:color="auto"/>
              <w:right w:val="single" w:sz="4" w:space="0" w:color="auto"/>
            </w:tcBorders>
            <w:shd w:val="clear" w:color="auto" w:fill="auto"/>
            <w:noWrap/>
            <w:vAlign w:val="center"/>
            <w:hideMark/>
          </w:tcPr>
          <w:p w:rsidR="00130205" w:rsidRPr="0095416B" w:rsidRDefault="00130205" w:rsidP="00130205">
            <w:pPr>
              <w:jc w:val="right"/>
              <w:rPr>
                <w:b/>
                <w:bCs/>
                <w:color w:val="000000"/>
                <w:sz w:val="19"/>
                <w:szCs w:val="19"/>
              </w:rPr>
            </w:pPr>
            <w:r w:rsidRPr="0095416B">
              <w:rPr>
                <w:b/>
                <w:bCs/>
                <w:color w:val="000000"/>
                <w:sz w:val="19"/>
                <w:szCs w:val="19"/>
              </w:rPr>
              <w:t>795,620</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95416B" w:rsidRDefault="00130205" w:rsidP="00130205">
            <w:pPr>
              <w:jc w:val="right"/>
              <w:rPr>
                <w:b/>
                <w:bCs/>
                <w:color w:val="000000"/>
                <w:sz w:val="19"/>
                <w:szCs w:val="19"/>
              </w:rPr>
            </w:pPr>
            <w:r w:rsidRPr="0095416B">
              <w:rPr>
                <w:b/>
                <w:bCs/>
                <w:color w:val="000000"/>
                <w:sz w:val="19"/>
                <w:szCs w:val="19"/>
              </w:rPr>
              <w:t>179,878</w:t>
            </w:r>
          </w:p>
        </w:tc>
        <w:tc>
          <w:tcPr>
            <w:tcW w:w="1134" w:type="dxa"/>
            <w:tcBorders>
              <w:top w:val="nil"/>
              <w:left w:val="nil"/>
              <w:bottom w:val="single" w:sz="4" w:space="0" w:color="auto"/>
              <w:right w:val="single" w:sz="4" w:space="0" w:color="auto"/>
            </w:tcBorders>
            <w:shd w:val="clear" w:color="auto" w:fill="auto"/>
            <w:noWrap/>
            <w:hideMark/>
          </w:tcPr>
          <w:p w:rsidR="00130205" w:rsidRPr="009A2C5E" w:rsidRDefault="00130205" w:rsidP="00130205">
            <w:pPr>
              <w:jc w:val="right"/>
              <w:rPr>
                <w:b/>
                <w:bCs/>
                <w:color w:val="000000"/>
                <w:sz w:val="19"/>
                <w:szCs w:val="19"/>
              </w:rPr>
            </w:pPr>
            <w:r w:rsidRPr="009A2C5E">
              <w:rPr>
                <w:b/>
                <w:bCs/>
                <w:color w:val="000000"/>
                <w:sz w:val="19"/>
                <w:szCs w:val="19"/>
              </w:rPr>
              <w:t>Dec</w:t>
            </w:r>
            <w:r>
              <w:rPr>
                <w:b/>
                <w:bCs/>
                <w:color w:val="000000"/>
                <w:sz w:val="19"/>
                <w:szCs w:val="19"/>
              </w:rPr>
              <w:t xml:space="preserve"> 20</w:t>
            </w:r>
            <w:r w:rsidRPr="009A2C5E">
              <w:rPr>
                <w:b/>
                <w:bCs/>
                <w:color w:val="000000"/>
                <w:sz w:val="19"/>
                <w:szCs w:val="19"/>
              </w:rPr>
              <w:t>19</w:t>
            </w:r>
          </w:p>
        </w:tc>
      </w:tr>
      <w:tr w:rsidR="00130205" w:rsidRPr="0095416B" w:rsidTr="00130205">
        <w:tc>
          <w:tcPr>
            <w:tcW w:w="9639" w:type="dxa"/>
            <w:gridSpan w:val="5"/>
            <w:tcBorders>
              <w:top w:val="nil"/>
              <w:left w:val="single" w:sz="4" w:space="0" w:color="auto"/>
              <w:bottom w:val="single" w:sz="4" w:space="0" w:color="auto"/>
              <w:right w:val="single" w:sz="4" w:space="0" w:color="auto"/>
            </w:tcBorders>
            <w:noWrap/>
            <w:hideMark/>
          </w:tcPr>
          <w:p w:rsidR="00130205" w:rsidRPr="0095416B" w:rsidRDefault="00130205" w:rsidP="00130205">
            <w:pPr>
              <w:widowControl w:val="0"/>
              <w:jc w:val="left"/>
              <w:rPr>
                <w:b/>
                <w:bCs/>
                <w:color w:val="000000"/>
                <w:sz w:val="19"/>
                <w:szCs w:val="19"/>
                <w:lang w:val="en-CA"/>
              </w:rPr>
            </w:pPr>
            <w:r w:rsidRPr="0095416B">
              <w:rPr>
                <w:b/>
                <w:bCs/>
                <w:color w:val="000000"/>
                <w:sz w:val="19"/>
                <w:szCs w:val="19"/>
                <w:lang w:val="en-CA"/>
              </w:rPr>
              <w:t>Halon sector: Total approved US $62,000,000 (World Bank)</w:t>
            </w: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Establishment of a national halon recycling management center, including capacity building, detecting equipment and information system</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lang w:val="en-CA"/>
              </w:rPr>
            </w:pPr>
            <w:r w:rsidRPr="0095416B">
              <w:rPr>
                <w:color w:val="000000"/>
                <w:sz w:val="19"/>
                <w:szCs w:val="19"/>
              </w:rPr>
              <w:t>2,232,991</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lang w:val="en-CA"/>
              </w:rPr>
            </w:pPr>
            <w:r w:rsidRPr="0095416B">
              <w:rPr>
                <w:color w:val="000000"/>
                <w:sz w:val="19"/>
                <w:szCs w:val="19"/>
              </w:rPr>
              <w:t>1</w:t>
            </w:r>
            <w:r>
              <w:rPr>
                <w:color w:val="000000"/>
                <w:sz w:val="19"/>
                <w:szCs w:val="19"/>
              </w:rPr>
              <w:t>,125,726</w:t>
            </w:r>
          </w:p>
        </w:tc>
        <w:tc>
          <w:tcPr>
            <w:tcW w:w="1570" w:type="dxa"/>
            <w:tcBorders>
              <w:top w:val="single" w:sz="4" w:space="0" w:color="auto"/>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Pr>
                <w:color w:val="000000"/>
                <w:sz w:val="19"/>
                <w:szCs w:val="19"/>
              </w:rPr>
              <w:t>1,107,265</w:t>
            </w:r>
          </w:p>
        </w:tc>
        <w:tc>
          <w:tcPr>
            <w:tcW w:w="1134" w:type="dxa"/>
            <w:tcBorders>
              <w:top w:val="nil"/>
              <w:left w:val="nil"/>
              <w:bottom w:val="single" w:sz="4" w:space="0" w:color="auto"/>
              <w:right w:val="single" w:sz="4" w:space="0" w:color="auto"/>
            </w:tcBorders>
          </w:tcPr>
          <w:p w:rsidR="00130205" w:rsidRPr="0095416B"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Establishment of a halon-1211 recycling center, including collection, transportation, recycling and reclamation</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3,017,686</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Pr>
                <w:color w:val="000000"/>
                <w:sz w:val="19"/>
                <w:szCs w:val="19"/>
              </w:rPr>
              <w:t>3,017,686</w:t>
            </w:r>
          </w:p>
        </w:tc>
        <w:tc>
          <w:tcPr>
            <w:tcW w:w="1134" w:type="dxa"/>
            <w:tcBorders>
              <w:top w:val="nil"/>
              <w:left w:val="nil"/>
              <w:bottom w:val="single" w:sz="4" w:space="0" w:color="auto"/>
              <w:right w:val="single" w:sz="4" w:space="0" w:color="auto"/>
            </w:tcBorders>
          </w:tcPr>
          <w:p w:rsidR="00130205" w:rsidRPr="0095416B"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Establishment of a halon-1301 recycling center, including collection, transportation, recycling and reclamation</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1,305,460</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440,790</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8</w:t>
            </w:r>
            <w:r>
              <w:rPr>
                <w:color w:val="000000"/>
                <w:sz w:val="19"/>
                <w:szCs w:val="19"/>
              </w:rPr>
              <w:t>64,669</w:t>
            </w:r>
          </w:p>
        </w:tc>
        <w:tc>
          <w:tcPr>
            <w:tcW w:w="1134" w:type="dxa"/>
            <w:tcBorders>
              <w:top w:val="nil"/>
              <w:left w:val="nil"/>
              <w:bottom w:val="single" w:sz="4" w:space="0" w:color="auto"/>
              <w:right w:val="single" w:sz="4" w:space="0" w:color="auto"/>
            </w:tcBorders>
          </w:tcPr>
          <w:p w:rsidR="00130205" w:rsidRPr="0095416B"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Technical assistance: investigation of halon quantities for the civil aviation industry and for the ship recycling industry; and policy and regulations for halon recycling</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2,917,936</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256,834</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2</w:t>
            </w:r>
            <w:r>
              <w:rPr>
                <w:color w:val="000000"/>
                <w:sz w:val="19"/>
                <w:szCs w:val="19"/>
              </w:rPr>
              <w:t>,661,102</w:t>
            </w:r>
          </w:p>
        </w:tc>
        <w:tc>
          <w:tcPr>
            <w:tcW w:w="1134" w:type="dxa"/>
            <w:tcBorders>
              <w:top w:val="nil"/>
              <w:left w:val="nil"/>
              <w:bottom w:val="single" w:sz="4" w:space="0" w:color="auto"/>
              <w:right w:val="single" w:sz="4" w:space="0" w:color="auto"/>
            </w:tcBorders>
          </w:tcPr>
          <w:p w:rsidR="00130205" w:rsidRPr="0095416B"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Disposal of unusable halon and residues</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1,504,105</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1</w:t>
            </w:r>
            <w:r>
              <w:rPr>
                <w:color w:val="000000"/>
                <w:sz w:val="19"/>
                <w:szCs w:val="19"/>
              </w:rPr>
              <w:t>,504,105</w:t>
            </w:r>
          </w:p>
        </w:tc>
        <w:tc>
          <w:tcPr>
            <w:tcW w:w="1134" w:type="dxa"/>
            <w:tcBorders>
              <w:top w:val="nil"/>
              <w:left w:val="nil"/>
              <w:bottom w:val="single" w:sz="4" w:space="0" w:color="auto"/>
              <w:right w:val="single" w:sz="4" w:space="0" w:color="auto"/>
            </w:tcBorders>
          </w:tcPr>
          <w:p w:rsidR="00130205" w:rsidRPr="0095416B"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noWrap/>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b/>
                <w:bCs/>
                <w:color w:val="000000"/>
                <w:sz w:val="19"/>
                <w:szCs w:val="19"/>
              </w:rPr>
            </w:pPr>
            <w:r w:rsidRPr="0095416B">
              <w:rPr>
                <w:b/>
                <w:bCs/>
                <w:color w:val="000000"/>
                <w:sz w:val="19"/>
                <w:szCs w:val="19"/>
              </w:rPr>
              <w:t>10,978,178</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b/>
                <w:bCs/>
                <w:color w:val="000000"/>
                <w:sz w:val="19"/>
                <w:szCs w:val="19"/>
              </w:rPr>
            </w:pPr>
            <w:r w:rsidRPr="0095416B">
              <w:rPr>
                <w:b/>
                <w:bCs/>
                <w:color w:val="000000"/>
                <w:sz w:val="19"/>
                <w:szCs w:val="19"/>
              </w:rPr>
              <w:t>1,823,351</w:t>
            </w:r>
          </w:p>
        </w:tc>
        <w:tc>
          <w:tcPr>
            <w:tcW w:w="1570"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b/>
                <w:bCs/>
                <w:color w:val="000000"/>
                <w:sz w:val="19"/>
                <w:szCs w:val="19"/>
              </w:rPr>
            </w:pPr>
            <w:r w:rsidRPr="0095416B">
              <w:rPr>
                <w:b/>
                <w:bCs/>
                <w:color w:val="000000"/>
                <w:sz w:val="19"/>
                <w:szCs w:val="19"/>
              </w:rPr>
              <w:t>9</w:t>
            </w:r>
            <w:r>
              <w:rPr>
                <w:b/>
                <w:bCs/>
                <w:color w:val="000000"/>
                <w:sz w:val="19"/>
                <w:szCs w:val="19"/>
              </w:rPr>
              <w:t>,154,827</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color w:val="000000"/>
                <w:sz w:val="19"/>
                <w:szCs w:val="19"/>
                <w:lang w:val="en-CA"/>
              </w:rPr>
            </w:pPr>
            <w:r w:rsidRPr="0095416B">
              <w:rPr>
                <w:color w:val="000000"/>
                <w:sz w:val="19"/>
                <w:szCs w:val="19"/>
                <w:lang w:val="en-CA"/>
              </w:rPr>
              <w:t>Dec 2022</w:t>
            </w:r>
          </w:p>
        </w:tc>
      </w:tr>
      <w:tr w:rsidR="00130205" w:rsidRPr="0095416B" w:rsidTr="00130205">
        <w:tc>
          <w:tcPr>
            <w:tcW w:w="9639" w:type="dxa"/>
            <w:gridSpan w:val="5"/>
            <w:tcBorders>
              <w:top w:val="nil"/>
              <w:left w:val="single" w:sz="4" w:space="0" w:color="auto"/>
              <w:bottom w:val="single" w:sz="4" w:space="0" w:color="auto"/>
            </w:tcBorders>
            <w:noWrap/>
            <w:hideMark/>
          </w:tcPr>
          <w:p w:rsidR="00130205" w:rsidRPr="0095416B" w:rsidRDefault="00130205" w:rsidP="00130205">
            <w:pPr>
              <w:widowControl w:val="0"/>
              <w:jc w:val="left"/>
              <w:rPr>
                <w:color w:val="000000"/>
                <w:sz w:val="19"/>
                <w:szCs w:val="19"/>
                <w:lang w:val="en-CA"/>
              </w:rPr>
            </w:pPr>
            <w:r w:rsidRPr="0095416B">
              <w:rPr>
                <w:b/>
                <w:bCs/>
                <w:color w:val="000000"/>
                <w:sz w:val="19"/>
                <w:szCs w:val="19"/>
                <w:lang w:val="en-CA"/>
              </w:rPr>
              <w:t>Process agent II: Total approved US $46,500,000 (World Bank)</w:t>
            </w: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Capacity building for local EEBs</w:t>
            </w:r>
          </w:p>
        </w:tc>
        <w:tc>
          <w:tcPr>
            <w:tcW w:w="1314" w:type="dxa"/>
            <w:tcBorders>
              <w:top w:val="single" w:sz="4" w:space="0" w:color="auto"/>
              <w:left w:val="single" w:sz="4" w:space="0" w:color="auto"/>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lang w:val="en-CA"/>
              </w:rPr>
            </w:pPr>
            <w:r w:rsidRPr="0095416B">
              <w:rPr>
                <w:color w:val="000000"/>
                <w:sz w:val="19"/>
                <w:szCs w:val="19"/>
              </w:rPr>
              <w:t>273,694</w:t>
            </w:r>
          </w:p>
        </w:tc>
        <w:tc>
          <w:tcPr>
            <w:tcW w:w="1314" w:type="dxa"/>
            <w:tcBorders>
              <w:top w:val="single" w:sz="4" w:space="0" w:color="auto"/>
              <w:left w:val="nil"/>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rPr>
            </w:pPr>
            <w:r w:rsidRPr="0095416B">
              <w:rPr>
                <w:color w:val="000000"/>
                <w:sz w:val="19"/>
                <w:szCs w:val="19"/>
              </w:rPr>
              <w:t>273,694</w:t>
            </w:r>
          </w:p>
        </w:tc>
        <w:tc>
          <w:tcPr>
            <w:tcW w:w="1570" w:type="dxa"/>
            <w:tcBorders>
              <w:top w:val="single" w:sz="4" w:space="0" w:color="auto"/>
              <w:left w:val="nil"/>
              <w:bottom w:val="single" w:sz="4" w:space="0" w:color="auto"/>
              <w:right w:val="single" w:sz="4" w:space="0" w:color="auto"/>
            </w:tcBorders>
            <w:shd w:val="clear" w:color="auto" w:fill="auto"/>
            <w:noWrap/>
          </w:tcPr>
          <w:p w:rsidR="00130205" w:rsidRPr="0095416B" w:rsidRDefault="00130205" w:rsidP="00130205">
            <w:pPr>
              <w:jc w:val="right"/>
              <w:rPr>
                <w:color w:val="000000"/>
                <w:sz w:val="19"/>
                <w:szCs w:val="19"/>
              </w:rPr>
            </w:pPr>
            <w:r w:rsidRPr="0095416B">
              <w:rPr>
                <w:color w:val="000000"/>
                <w:sz w:val="19"/>
                <w:szCs w:val="19"/>
              </w:rPr>
              <w:t>-</w:t>
            </w:r>
          </w:p>
        </w:tc>
        <w:tc>
          <w:tcPr>
            <w:tcW w:w="1134" w:type="dxa"/>
            <w:tcBorders>
              <w:top w:val="single" w:sz="4" w:space="0" w:color="auto"/>
              <w:left w:val="nil"/>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CTC residue disposal</w:t>
            </w:r>
          </w:p>
        </w:tc>
        <w:tc>
          <w:tcPr>
            <w:tcW w:w="1314" w:type="dxa"/>
            <w:tcBorders>
              <w:top w:val="nil"/>
              <w:left w:val="single" w:sz="4" w:space="0" w:color="auto"/>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rPr>
            </w:pPr>
            <w:r w:rsidRPr="0095416B">
              <w:rPr>
                <w:color w:val="000000"/>
                <w:sz w:val="19"/>
                <w:szCs w:val="19"/>
              </w:rPr>
              <w:t>4,600,000</w:t>
            </w:r>
          </w:p>
        </w:tc>
        <w:tc>
          <w:tcPr>
            <w:tcW w:w="1314"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rPr>
            </w:pPr>
            <w:r>
              <w:rPr>
                <w:color w:val="000000"/>
                <w:sz w:val="19"/>
                <w:szCs w:val="19"/>
              </w:rPr>
              <w:t>3,754,325</w:t>
            </w:r>
          </w:p>
        </w:tc>
        <w:tc>
          <w:tcPr>
            <w:tcW w:w="1570" w:type="dxa"/>
            <w:tcBorders>
              <w:top w:val="nil"/>
              <w:left w:val="nil"/>
              <w:bottom w:val="single" w:sz="4" w:space="0" w:color="auto"/>
              <w:right w:val="single" w:sz="4" w:space="0" w:color="auto"/>
            </w:tcBorders>
            <w:shd w:val="clear" w:color="auto" w:fill="auto"/>
            <w:noWrap/>
          </w:tcPr>
          <w:p w:rsidR="00130205" w:rsidRPr="0095416B" w:rsidRDefault="00130205" w:rsidP="00130205">
            <w:pPr>
              <w:jc w:val="right"/>
              <w:rPr>
                <w:color w:val="000000"/>
                <w:sz w:val="19"/>
                <w:szCs w:val="19"/>
              </w:rPr>
            </w:pPr>
            <w:r w:rsidRPr="0095416B">
              <w:rPr>
                <w:color w:val="000000"/>
                <w:sz w:val="19"/>
                <w:szCs w:val="19"/>
              </w:rPr>
              <w:t>845,675</w:t>
            </w:r>
          </w:p>
        </w:tc>
        <w:tc>
          <w:tcPr>
            <w:tcW w:w="1134"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tcPr>
          <w:p w:rsidR="00130205" w:rsidRPr="0095416B" w:rsidRDefault="00130205" w:rsidP="00130205">
            <w:pPr>
              <w:widowControl w:val="0"/>
              <w:jc w:val="left"/>
              <w:rPr>
                <w:color w:val="000000"/>
                <w:sz w:val="19"/>
                <w:szCs w:val="19"/>
                <w:lang w:val="en-CA"/>
              </w:rPr>
            </w:pPr>
            <w:r w:rsidRPr="0095416B">
              <w:rPr>
                <w:color w:val="000000"/>
                <w:sz w:val="19"/>
                <w:szCs w:val="19"/>
                <w:lang w:val="en-CA"/>
              </w:rPr>
              <w:t>Study on production of CTC and its use for feedstock applications</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20,285</w:t>
            </w:r>
          </w:p>
        </w:tc>
        <w:tc>
          <w:tcPr>
            <w:tcW w:w="1314"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15,824</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4,461</w:t>
            </w:r>
          </w:p>
        </w:tc>
        <w:tc>
          <w:tcPr>
            <w:tcW w:w="1134"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Monitoring, management and post evaluation</w:t>
            </w:r>
          </w:p>
        </w:tc>
        <w:tc>
          <w:tcPr>
            <w:tcW w:w="1314" w:type="dxa"/>
            <w:tcBorders>
              <w:top w:val="nil"/>
              <w:left w:val="single" w:sz="4" w:space="0" w:color="auto"/>
              <w:bottom w:val="single" w:sz="4" w:space="0" w:color="auto"/>
              <w:right w:val="single" w:sz="4" w:space="0" w:color="auto"/>
            </w:tcBorders>
            <w:shd w:val="clear" w:color="auto" w:fill="auto"/>
            <w:hideMark/>
          </w:tcPr>
          <w:p w:rsidR="00130205" w:rsidRPr="0095416B" w:rsidRDefault="00130205" w:rsidP="00130205">
            <w:pPr>
              <w:jc w:val="right"/>
              <w:rPr>
                <w:color w:val="000000"/>
                <w:sz w:val="19"/>
                <w:szCs w:val="19"/>
              </w:rPr>
            </w:pPr>
            <w:r w:rsidRPr="0095416B">
              <w:rPr>
                <w:color w:val="000000"/>
                <w:sz w:val="19"/>
                <w:szCs w:val="19"/>
              </w:rPr>
              <w:t>2,439,041</w:t>
            </w:r>
          </w:p>
        </w:tc>
        <w:tc>
          <w:tcPr>
            <w:tcW w:w="131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color w:val="000000"/>
                <w:sz w:val="19"/>
                <w:szCs w:val="19"/>
              </w:rPr>
            </w:pPr>
            <w:r>
              <w:rPr>
                <w:color w:val="000000"/>
                <w:sz w:val="19"/>
                <w:szCs w:val="19"/>
              </w:rPr>
              <w:t>213,067</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color w:val="000000"/>
                <w:sz w:val="19"/>
                <w:szCs w:val="19"/>
              </w:rPr>
            </w:pPr>
            <w:r w:rsidRPr="0095416B">
              <w:rPr>
                <w:color w:val="000000"/>
                <w:sz w:val="19"/>
                <w:szCs w:val="19"/>
              </w:rPr>
              <w:t>2,225,974</w:t>
            </w:r>
          </w:p>
        </w:tc>
        <w:tc>
          <w:tcPr>
            <w:tcW w:w="113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color w:val="000000"/>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hideMark/>
          </w:tcPr>
          <w:p w:rsidR="00130205" w:rsidRPr="0095416B" w:rsidRDefault="00130205" w:rsidP="00130205">
            <w:pPr>
              <w:jc w:val="right"/>
              <w:rPr>
                <w:b/>
                <w:bCs/>
                <w:color w:val="000000"/>
                <w:sz w:val="19"/>
                <w:szCs w:val="19"/>
              </w:rPr>
            </w:pPr>
            <w:r w:rsidRPr="0095416B">
              <w:rPr>
                <w:b/>
                <w:bCs/>
                <w:color w:val="000000"/>
                <w:sz w:val="19"/>
                <w:szCs w:val="19"/>
              </w:rPr>
              <w:t>7,333,019</w:t>
            </w:r>
          </w:p>
        </w:tc>
        <w:tc>
          <w:tcPr>
            <w:tcW w:w="131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b/>
                <w:bCs/>
                <w:color w:val="000000"/>
                <w:sz w:val="19"/>
                <w:szCs w:val="19"/>
              </w:rPr>
            </w:pPr>
            <w:r w:rsidRPr="0095416B">
              <w:rPr>
                <w:b/>
                <w:bCs/>
                <w:color w:val="000000"/>
                <w:sz w:val="19"/>
                <w:szCs w:val="19"/>
              </w:rPr>
              <w:t>4,256,910</w:t>
            </w:r>
          </w:p>
        </w:tc>
        <w:tc>
          <w:tcPr>
            <w:tcW w:w="1570"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b/>
                <w:bCs/>
                <w:color w:val="000000"/>
                <w:sz w:val="19"/>
                <w:szCs w:val="19"/>
              </w:rPr>
            </w:pPr>
            <w:r w:rsidRPr="0095416B">
              <w:rPr>
                <w:b/>
                <w:bCs/>
                <w:color w:val="000000"/>
                <w:sz w:val="19"/>
                <w:szCs w:val="19"/>
              </w:rPr>
              <w:t>3,076,109</w:t>
            </w:r>
          </w:p>
        </w:tc>
        <w:tc>
          <w:tcPr>
            <w:tcW w:w="1134" w:type="dxa"/>
            <w:tcBorders>
              <w:top w:val="nil"/>
              <w:left w:val="nil"/>
              <w:bottom w:val="single" w:sz="4" w:space="0" w:color="auto"/>
              <w:right w:val="single" w:sz="4" w:space="0" w:color="auto"/>
            </w:tcBorders>
            <w:shd w:val="clear" w:color="auto" w:fill="auto"/>
            <w:hideMark/>
          </w:tcPr>
          <w:p w:rsidR="00130205" w:rsidRPr="009A2C5E" w:rsidRDefault="00130205" w:rsidP="00130205">
            <w:pPr>
              <w:jc w:val="right"/>
              <w:rPr>
                <w:bCs/>
                <w:color w:val="000000"/>
                <w:sz w:val="19"/>
                <w:szCs w:val="19"/>
              </w:rPr>
            </w:pPr>
            <w:r w:rsidRPr="009A2C5E">
              <w:rPr>
                <w:bCs/>
                <w:color w:val="000000"/>
                <w:sz w:val="19"/>
                <w:szCs w:val="19"/>
              </w:rPr>
              <w:t>Dec 2020</w:t>
            </w:r>
          </w:p>
        </w:tc>
      </w:tr>
      <w:tr w:rsidR="00130205" w:rsidRPr="0095416B" w:rsidTr="00130205">
        <w:tc>
          <w:tcPr>
            <w:tcW w:w="9639" w:type="dxa"/>
            <w:gridSpan w:val="5"/>
            <w:tcBorders>
              <w:top w:val="nil"/>
              <w:left w:val="single" w:sz="4" w:space="0" w:color="auto"/>
              <w:bottom w:val="single" w:sz="4" w:space="0" w:color="auto"/>
              <w:right w:val="single" w:sz="4" w:space="0" w:color="auto"/>
            </w:tcBorders>
            <w:noWrap/>
            <w:hideMark/>
          </w:tcPr>
          <w:p w:rsidR="00130205" w:rsidRPr="0095416B" w:rsidRDefault="00130205" w:rsidP="00130205">
            <w:pPr>
              <w:widowControl w:val="0"/>
              <w:jc w:val="left"/>
              <w:rPr>
                <w:color w:val="000000"/>
                <w:sz w:val="19"/>
                <w:szCs w:val="19"/>
                <w:lang w:val="en-CA"/>
              </w:rPr>
            </w:pPr>
            <w:r w:rsidRPr="0095416B">
              <w:rPr>
                <w:b/>
                <w:bCs/>
                <w:color w:val="000000"/>
                <w:sz w:val="19"/>
                <w:szCs w:val="19"/>
                <w:lang w:val="en-CA"/>
              </w:rPr>
              <w:t>PU foam: Total approved US $53,846,000 (World Bank)</w:t>
            </w: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Screening and evaluation of CFC</w:t>
            </w:r>
            <w:r w:rsidRPr="0095416B">
              <w:rPr>
                <w:color w:val="000000"/>
                <w:sz w:val="19"/>
                <w:szCs w:val="19"/>
                <w:lang w:val="en-CA"/>
              </w:rPr>
              <w:noBreakHyphen/>
              <w:t>free substitutes and development of new substitutes</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sz w:val="19"/>
                <w:szCs w:val="19"/>
                <w:lang w:val="en-CA"/>
              </w:rPr>
            </w:pPr>
            <w:r w:rsidRPr="0095416B">
              <w:rPr>
                <w:sz w:val="19"/>
                <w:szCs w:val="19"/>
              </w:rPr>
              <w:t>270,935</w:t>
            </w:r>
          </w:p>
        </w:tc>
        <w:tc>
          <w:tcPr>
            <w:tcW w:w="1314" w:type="dxa"/>
            <w:tcBorders>
              <w:top w:val="single" w:sz="4" w:space="0" w:color="auto"/>
              <w:left w:val="nil"/>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80,994</w:t>
            </w:r>
          </w:p>
        </w:tc>
        <w:tc>
          <w:tcPr>
            <w:tcW w:w="1570" w:type="dxa"/>
            <w:tcBorders>
              <w:top w:val="single" w:sz="4" w:space="0" w:color="auto"/>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r w:rsidRPr="0095416B">
              <w:rPr>
                <w:sz w:val="19"/>
                <w:szCs w:val="19"/>
              </w:rPr>
              <w:t>189,941</w:t>
            </w:r>
          </w:p>
        </w:tc>
        <w:tc>
          <w:tcPr>
            <w:tcW w:w="1134" w:type="dxa"/>
            <w:tcBorders>
              <w:top w:val="single" w:sz="4" w:space="0" w:color="auto"/>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Additional provincial foam activities (capacity building for 11 provinces)</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490,812</w:t>
            </w:r>
          </w:p>
        </w:tc>
        <w:tc>
          <w:tcPr>
            <w:tcW w:w="1314" w:type="dxa"/>
            <w:tcBorders>
              <w:top w:val="nil"/>
              <w:left w:val="nil"/>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260,084</w:t>
            </w:r>
          </w:p>
        </w:tc>
        <w:tc>
          <w:tcPr>
            <w:tcW w:w="1570"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r w:rsidRPr="0095416B">
              <w:rPr>
                <w:sz w:val="19"/>
                <w:szCs w:val="19"/>
              </w:rPr>
              <w:t>230,727</w:t>
            </w:r>
          </w:p>
        </w:tc>
        <w:tc>
          <w:tcPr>
            <w:tcW w:w="1134"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Technical service for the foam enterprise for better application of new alternatives</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375,377</w:t>
            </w:r>
          </w:p>
        </w:tc>
        <w:tc>
          <w:tcPr>
            <w:tcW w:w="1314" w:type="dxa"/>
            <w:tcBorders>
              <w:top w:val="nil"/>
              <w:left w:val="nil"/>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188,039</w:t>
            </w:r>
          </w:p>
        </w:tc>
        <w:tc>
          <w:tcPr>
            <w:tcW w:w="1570"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r w:rsidRPr="0095416B">
              <w:rPr>
                <w:sz w:val="19"/>
                <w:szCs w:val="19"/>
              </w:rPr>
              <w:t>187,338</w:t>
            </w:r>
          </w:p>
        </w:tc>
        <w:tc>
          <w:tcPr>
            <w:tcW w:w="1134"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Continue monitoring of CFC phase</w:t>
            </w:r>
            <w:r w:rsidRPr="0095416B">
              <w:rPr>
                <w:color w:val="000000"/>
                <w:sz w:val="19"/>
                <w:szCs w:val="19"/>
                <w:lang w:val="en-CA"/>
              </w:rPr>
              <w:noBreakHyphen/>
              <w:t>out in the foam sector</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370,373</w:t>
            </w:r>
          </w:p>
        </w:tc>
        <w:tc>
          <w:tcPr>
            <w:tcW w:w="1314" w:type="dxa"/>
            <w:tcBorders>
              <w:top w:val="nil"/>
              <w:left w:val="nil"/>
              <w:bottom w:val="single" w:sz="4" w:space="0" w:color="auto"/>
              <w:right w:val="single" w:sz="4" w:space="0" w:color="auto"/>
            </w:tcBorders>
            <w:shd w:val="clear" w:color="auto" w:fill="auto"/>
            <w:noWrap/>
          </w:tcPr>
          <w:p w:rsidR="00130205" w:rsidRPr="0095416B" w:rsidRDefault="00130205" w:rsidP="00130205">
            <w:pPr>
              <w:jc w:val="right"/>
              <w:rPr>
                <w:sz w:val="19"/>
                <w:szCs w:val="19"/>
              </w:rPr>
            </w:pPr>
            <w:r w:rsidRPr="0095416B">
              <w:rPr>
                <w:sz w:val="19"/>
                <w:szCs w:val="19"/>
              </w:rPr>
              <w:t>105,685</w:t>
            </w:r>
          </w:p>
        </w:tc>
        <w:tc>
          <w:tcPr>
            <w:tcW w:w="1570"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r w:rsidRPr="0095416B">
              <w:rPr>
                <w:sz w:val="19"/>
                <w:szCs w:val="19"/>
              </w:rPr>
              <w:t>264,687</w:t>
            </w:r>
          </w:p>
        </w:tc>
        <w:tc>
          <w:tcPr>
            <w:tcW w:w="1134"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Project monitoring and management</w:t>
            </w:r>
          </w:p>
        </w:tc>
        <w:tc>
          <w:tcPr>
            <w:tcW w:w="1314" w:type="dxa"/>
            <w:tcBorders>
              <w:top w:val="nil"/>
              <w:left w:val="single" w:sz="4" w:space="0" w:color="auto"/>
              <w:bottom w:val="single" w:sz="4" w:space="0" w:color="auto"/>
              <w:right w:val="single" w:sz="4" w:space="0" w:color="auto"/>
            </w:tcBorders>
            <w:shd w:val="clear" w:color="auto" w:fill="auto"/>
          </w:tcPr>
          <w:p w:rsidR="00130205" w:rsidRPr="0095416B" w:rsidRDefault="00130205" w:rsidP="00130205">
            <w:pPr>
              <w:jc w:val="right"/>
              <w:rPr>
                <w:sz w:val="19"/>
                <w:szCs w:val="19"/>
              </w:rPr>
            </w:pPr>
            <w:r w:rsidRPr="0095416B">
              <w:rPr>
                <w:sz w:val="19"/>
                <w:szCs w:val="19"/>
              </w:rPr>
              <w:t>147,901</w:t>
            </w:r>
          </w:p>
        </w:tc>
        <w:tc>
          <w:tcPr>
            <w:tcW w:w="1314" w:type="dxa"/>
            <w:tcBorders>
              <w:top w:val="nil"/>
              <w:left w:val="nil"/>
              <w:bottom w:val="single" w:sz="4" w:space="0" w:color="auto"/>
              <w:right w:val="single" w:sz="4" w:space="0" w:color="auto"/>
            </w:tcBorders>
            <w:shd w:val="clear" w:color="auto" w:fill="auto"/>
          </w:tcPr>
          <w:p w:rsidR="00130205" w:rsidRPr="0095416B" w:rsidRDefault="00130205" w:rsidP="00130205">
            <w:pPr>
              <w:jc w:val="right"/>
              <w:rPr>
                <w:sz w:val="19"/>
                <w:szCs w:val="19"/>
              </w:rPr>
            </w:pPr>
            <w:r w:rsidRPr="0095416B">
              <w:rPr>
                <w:sz w:val="19"/>
                <w:szCs w:val="19"/>
              </w:rPr>
              <w:t>123,587</w:t>
            </w:r>
          </w:p>
        </w:tc>
        <w:tc>
          <w:tcPr>
            <w:tcW w:w="1570"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sz w:val="19"/>
                <w:szCs w:val="19"/>
              </w:rPr>
            </w:pPr>
            <w:r w:rsidRPr="0095416B">
              <w:rPr>
                <w:sz w:val="19"/>
                <w:szCs w:val="19"/>
              </w:rPr>
              <w:t>24,314</w:t>
            </w:r>
          </w:p>
        </w:tc>
        <w:tc>
          <w:tcPr>
            <w:tcW w:w="113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sz w:val="19"/>
                <w:szCs w:val="19"/>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95416B" w:rsidRDefault="00130205" w:rsidP="00130205">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95416B" w:rsidRDefault="00130205" w:rsidP="00130205">
            <w:pPr>
              <w:jc w:val="right"/>
              <w:rPr>
                <w:b/>
                <w:bCs/>
                <w:sz w:val="19"/>
                <w:szCs w:val="19"/>
              </w:rPr>
            </w:pPr>
            <w:r w:rsidRPr="0095416B">
              <w:rPr>
                <w:b/>
                <w:bCs/>
                <w:sz w:val="19"/>
                <w:szCs w:val="19"/>
              </w:rPr>
              <w:t>1,655,397</w:t>
            </w:r>
          </w:p>
        </w:tc>
        <w:tc>
          <w:tcPr>
            <w:tcW w:w="1314" w:type="dxa"/>
            <w:tcBorders>
              <w:top w:val="nil"/>
              <w:left w:val="nil"/>
              <w:bottom w:val="single" w:sz="4" w:space="0" w:color="auto"/>
              <w:right w:val="single" w:sz="4" w:space="0" w:color="auto"/>
            </w:tcBorders>
            <w:shd w:val="clear" w:color="auto" w:fill="auto"/>
            <w:noWrap/>
          </w:tcPr>
          <w:p w:rsidR="00130205" w:rsidRPr="0095416B" w:rsidRDefault="00130205" w:rsidP="00130205">
            <w:pPr>
              <w:jc w:val="right"/>
              <w:rPr>
                <w:b/>
                <w:bCs/>
                <w:sz w:val="19"/>
                <w:szCs w:val="19"/>
              </w:rPr>
            </w:pPr>
            <w:r w:rsidRPr="0095416B">
              <w:rPr>
                <w:b/>
                <w:bCs/>
                <w:sz w:val="19"/>
                <w:szCs w:val="19"/>
              </w:rPr>
              <w:t>758,389</w:t>
            </w:r>
          </w:p>
        </w:tc>
        <w:tc>
          <w:tcPr>
            <w:tcW w:w="1570" w:type="dxa"/>
            <w:tcBorders>
              <w:top w:val="nil"/>
              <w:left w:val="nil"/>
              <w:bottom w:val="single" w:sz="4" w:space="0" w:color="auto"/>
              <w:right w:val="single" w:sz="4" w:space="0" w:color="auto"/>
            </w:tcBorders>
            <w:shd w:val="clear" w:color="auto" w:fill="auto"/>
            <w:noWrap/>
            <w:hideMark/>
          </w:tcPr>
          <w:p w:rsidR="00130205" w:rsidRPr="0095416B" w:rsidRDefault="00130205" w:rsidP="00130205">
            <w:pPr>
              <w:jc w:val="right"/>
              <w:rPr>
                <w:b/>
                <w:bCs/>
                <w:sz w:val="19"/>
                <w:szCs w:val="19"/>
              </w:rPr>
            </w:pPr>
            <w:r w:rsidRPr="0095416B">
              <w:rPr>
                <w:b/>
                <w:bCs/>
                <w:sz w:val="19"/>
                <w:szCs w:val="19"/>
              </w:rPr>
              <w:t>897,009</w:t>
            </w:r>
          </w:p>
        </w:tc>
        <w:tc>
          <w:tcPr>
            <w:tcW w:w="1134" w:type="dxa"/>
            <w:tcBorders>
              <w:top w:val="nil"/>
              <w:left w:val="nil"/>
              <w:bottom w:val="single" w:sz="4" w:space="0" w:color="auto"/>
              <w:right w:val="single" w:sz="4" w:space="0" w:color="auto"/>
            </w:tcBorders>
            <w:shd w:val="clear" w:color="auto" w:fill="auto"/>
            <w:hideMark/>
          </w:tcPr>
          <w:p w:rsidR="00130205" w:rsidRPr="0095416B" w:rsidRDefault="00130205" w:rsidP="00130205">
            <w:pPr>
              <w:jc w:val="right"/>
              <w:rPr>
                <w:b/>
                <w:bCs/>
                <w:sz w:val="19"/>
                <w:szCs w:val="19"/>
              </w:rPr>
            </w:pPr>
            <w:r w:rsidRPr="0095416B">
              <w:rPr>
                <w:b/>
                <w:bCs/>
                <w:sz w:val="19"/>
                <w:szCs w:val="19"/>
              </w:rPr>
              <w:t>Dec</w:t>
            </w:r>
            <w:r>
              <w:rPr>
                <w:b/>
                <w:bCs/>
                <w:sz w:val="19"/>
                <w:szCs w:val="19"/>
              </w:rPr>
              <w:t xml:space="preserve"> 20</w:t>
            </w:r>
            <w:r w:rsidRPr="0095416B">
              <w:rPr>
                <w:b/>
                <w:bCs/>
                <w:sz w:val="19"/>
                <w:szCs w:val="19"/>
              </w:rPr>
              <w:t>19</w:t>
            </w:r>
          </w:p>
        </w:tc>
      </w:tr>
      <w:tr w:rsidR="00130205" w:rsidRPr="0095416B" w:rsidTr="00130205">
        <w:tc>
          <w:tcPr>
            <w:tcW w:w="9639" w:type="dxa"/>
            <w:gridSpan w:val="5"/>
            <w:tcBorders>
              <w:top w:val="nil"/>
              <w:left w:val="single" w:sz="4" w:space="0" w:color="auto"/>
              <w:bottom w:val="single" w:sz="4" w:space="0" w:color="auto"/>
              <w:right w:val="single" w:sz="4" w:space="0" w:color="auto"/>
            </w:tcBorders>
            <w:noWrap/>
            <w:hideMark/>
          </w:tcPr>
          <w:p w:rsidR="00130205" w:rsidRPr="001511E0" w:rsidRDefault="00130205" w:rsidP="00130205">
            <w:pPr>
              <w:widowControl w:val="0"/>
              <w:jc w:val="left"/>
              <w:rPr>
                <w:color w:val="000000"/>
                <w:sz w:val="19"/>
                <w:szCs w:val="19"/>
                <w:lang w:val="en-CA"/>
              </w:rPr>
            </w:pPr>
            <w:r w:rsidRPr="001511E0">
              <w:rPr>
                <w:b/>
                <w:bCs/>
                <w:color w:val="000000"/>
                <w:sz w:val="19"/>
                <w:szCs w:val="19"/>
                <w:lang w:val="en-CA"/>
              </w:rPr>
              <w:t>Refrigeration servicing: Total approved US $7,884,853 (Japan, UNEP, UNIDO)</w:t>
            </w: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Ongoing activities (e.g., eight training centres, training on disposal ships sector, Shenzhen demonstration project)</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130205" w:rsidRPr="001511E0" w:rsidRDefault="00130205" w:rsidP="00130205">
            <w:pPr>
              <w:jc w:val="right"/>
              <w:rPr>
                <w:color w:val="000000"/>
                <w:sz w:val="19"/>
                <w:szCs w:val="19"/>
                <w:lang w:val="en-CA"/>
              </w:rPr>
            </w:pPr>
            <w:r w:rsidRPr="001511E0">
              <w:rPr>
                <w:color w:val="000000"/>
                <w:sz w:val="19"/>
                <w:szCs w:val="19"/>
              </w:rPr>
              <w:t>94,415</w:t>
            </w:r>
          </w:p>
        </w:tc>
        <w:tc>
          <w:tcPr>
            <w:tcW w:w="1314" w:type="dxa"/>
            <w:tcBorders>
              <w:top w:val="single" w:sz="4" w:space="0" w:color="auto"/>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94,415</w:t>
            </w:r>
          </w:p>
        </w:tc>
        <w:tc>
          <w:tcPr>
            <w:tcW w:w="1570" w:type="dxa"/>
            <w:tcBorders>
              <w:top w:val="single" w:sz="4" w:space="0" w:color="auto"/>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0</w:t>
            </w:r>
          </w:p>
        </w:tc>
        <w:tc>
          <w:tcPr>
            <w:tcW w:w="1134" w:type="dxa"/>
            <w:tcBorders>
              <w:top w:val="nil"/>
              <w:left w:val="nil"/>
              <w:bottom w:val="single" w:sz="4" w:space="0" w:color="auto"/>
              <w:right w:val="single" w:sz="4" w:space="0" w:color="auto"/>
            </w:tcBorders>
          </w:tcPr>
          <w:p w:rsidR="00130205" w:rsidRPr="001511E0"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Training programmes for ICR/RAC sub-sectors</w:t>
            </w:r>
          </w:p>
        </w:tc>
        <w:tc>
          <w:tcPr>
            <w:tcW w:w="1314" w:type="dxa"/>
            <w:tcBorders>
              <w:top w:val="nil"/>
              <w:left w:val="single" w:sz="4" w:space="0" w:color="auto"/>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580,733</w:t>
            </w:r>
          </w:p>
        </w:tc>
        <w:tc>
          <w:tcPr>
            <w:tcW w:w="1314"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232,828</w:t>
            </w:r>
          </w:p>
        </w:tc>
        <w:tc>
          <w:tcPr>
            <w:tcW w:w="1570"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347,904</w:t>
            </w:r>
          </w:p>
        </w:tc>
        <w:tc>
          <w:tcPr>
            <w:tcW w:w="1134" w:type="dxa"/>
            <w:tcBorders>
              <w:top w:val="nil"/>
              <w:left w:val="nil"/>
              <w:bottom w:val="single" w:sz="4" w:space="0" w:color="auto"/>
              <w:right w:val="single" w:sz="4" w:space="0" w:color="auto"/>
            </w:tcBorders>
          </w:tcPr>
          <w:p w:rsidR="00130205" w:rsidRPr="001511E0" w:rsidRDefault="00130205" w:rsidP="00130205">
            <w:pPr>
              <w:widowControl w:val="0"/>
              <w:jc w:val="right"/>
              <w:rPr>
                <w:b/>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Research on leakage of refrigeration during R-290 RAC servicing and operation</w:t>
            </w:r>
          </w:p>
        </w:tc>
        <w:tc>
          <w:tcPr>
            <w:tcW w:w="1314" w:type="dxa"/>
            <w:tcBorders>
              <w:top w:val="nil"/>
              <w:left w:val="single" w:sz="4" w:space="0" w:color="auto"/>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282,040</w:t>
            </w:r>
          </w:p>
        </w:tc>
        <w:tc>
          <w:tcPr>
            <w:tcW w:w="1314"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282,040</w:t>
            </w:r>
          </w:p>
        </w:tc>
        <w:tc>
          <w:tcPr>
            <w:tcW w:w="1134" w:type="dxa"/>
            <w:tcBorders>
              <w:top w:val="nil"/>
              <w:left w:val="nil"/>
              <w:bottom w:val="single" w:sz="4" w:space="0" w:color="auto"/>
              <w:right w:val="single" w:sz="4" w:space="0" w:color="auto"/>
            </w:tcBorders>
          </w:tcPr>
          <w:p w:rsidR="00130205" w:rsidRPr="001511E0"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Data survey</w:t>
            </w:r>
          </w:p>
        </w:tc>
        <w:tc>
          <w:tcPr>
            <w:tcW w:w="1314" w:type="dxa"/>
            <w:tcBorders>
              <w:top w:val="nil"/>
              <w:left w:val="single" w:sz="4" w:space="0" w:color="auto"/>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84,586</w:t>
            </w:r>
          </w:p>
        </w:tc>
        <w:tc>
          <w:tcPr>
            <w:tcW w:w="1314"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84,586</w:t>
            </w:r>
          </w:p>
        </w:tc>
        <w:tc>
          <w:tcPr>
            <w:tcW w:w="1570"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color w:val="000000"/>
                <w:sz w:val="19"/>
                <w:szCs w:val="19"/>
              </w:rPr>
            </w:pPr>
            <w:r w:rsidRPr="001511E0">
              <w:rPr>
                <w:color w:val="000000"/>
                <w:sz w:val="19"/>
                <w:szCs w:val="19"/>
              </w:rPr>
              <w:t>0</w:t>
            </w:r>
          </w:p>
        </w:tc>
        <w:tc>
          <w:tcPr>
            <w:tcW w:w="1134" w:type="dxa"/>
            <w:tcBorders>
              <w:top w:val="nil"/>
              <w:left w:val="nil"/>
              <w:bottom w:val="single" w:sz="4" w:space="0" w:color="auto"/>
              <w:right w:val="single" w:sz="4" w:space="0" w:color="auto"/>
            </w:tcBorders>
          </w:tcPr>
          <w:p w:rsidR="00130205" w:rsidRPr="001511E0"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Monitoring and management</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10,000</w:t>
            </w:r>
          </w:p>
        </w:tc>
        <w:tc>
          <w:tcPr>
            <w:tcW w:w="1314" w:type="dxa"/>
            <w:tcBorders>
              <w:top w:val="nil"/>
              <w:left w:val="nil"/>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10,000</w:t>
            </w:r>
          </w:p>
        </w:tc>
        <w:tc>
          <w:tcPr>
            <w:tcW w:w="1134" w:type="dxa"/>
            <w:tcBorders>
              <w:top w:val="nil"/>
              <w:left w:val="nil"/>
              <w:bottom w:val="single" w:sz="4" w:space="0" w:color="auto"/>
              <w:right w:val="single" w:sz="4" w:space="0" w:color="auto"/>
            </w:tcBorders>
            <w:noWrap/>
          </w:tcPr>
          <w:p w:rsidR="00130205" w:rsidRPr="001511E0" w:rsidRDefault="00130205" w:rsidP="00130205">
            <w:pPr>
              <w:widowControl w:val="0"/>
              <w:jc w:val="right"/>
              <w:rPr>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t>Capacity building on ODS monitoring (reallocation of funds from training activities)</w:t>
            </w:r>
          </w:p>
        </w:tc>
        <w:tc>
          <w:tcPr>
            <w:tcW w:w="1314" w:type="dxa"/>
            <w:tcBorders>
              <w:top w:val="nil"/>
              <w:left w:val="single" w:sz="4" w:space="0" w:color="auto"/>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95,846</w:t>
            </w:r>
          </w:p>
        </w:tc>
        <w:tc>
          <w:tcPr>
            <w:tcW w:w="1314" w:type="dxa"/>
            <w:tcBorders>
              <w:top w:val="nil"/>
              <w:left w:val="nil"/>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noWrap/>
          </w:tcPr>
          <w:p w:rsidR="00130205" w:rsidRPr="001511E0" w:rsidRDefault="00130205" w:rsidP="00130205">
            <w:pPr>
              <w:jc w:val="right"/>
              <w:rPr>
                <w:color w:val="000000"/>
                <w:sz w:val="19"/>
                <w:szCs w:val="19"/>
              </w:rPr>
            </w:pPr>
            <w:r w:rsidRPr="001511E0">
              <w:rPr>
                <w:color w:val="000000"/>
                <w:sz w:val="19"/>
                <w:szCs w:val="19"/>
              </w:rPr>
              <w:t>95,846</w:t>
            </w:r>
          </w:p>
        </w:tc>
        <w:tc>
          <w:tcPr>
            <w:tcW w:w="1134" w:type="dxa"/>
            <w:tcBorders>
              <w:top w:val="nil"/>
              <w:left w:val="nil"/>
              <w:bottom w:val="single" w:sz="4" w:space="0" w:color="auto"/>
              <w:right w:val="single" w:sz="4" w:space="0" w:color="auto"/>
            </w:tcBorders>
            <w:noWrap/>
          </w:tcPr>
          <w:p w:rsidR="00130205" w:rsidRPr="001511E0" w:rsidRDefault="00130205" w:rsidP="00130205">
            <w:pPr>
              <w:widowControl w:val="0"/>
              <w:jc w:val="right"/>
              <w:rPr>
                <w:b/>
                <w:color w:val="000000"/>
                <w:sz w:val="19"/>
                <w:szCs w:val="19"/>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vAlign w:val="bottom"/>
          </w:tcPr>
          <w:p w:rsidR="00130205" w:rsidRPr="001511E0" w:rsidRDefault="00130205" w:rsidP="00130205">
            <w:pPr>
              <w:widowControl w:val="0"/>
              <w:jc w:val="left"/>
              <w:rPr>
                <w:color w:val="000000"/>
                <w:sz w:val="19"/>
                <w:szCs w:val="19"/>
                <w:lang w:val="en-CA"/>
              </w:rPr>
            </w:pPr>
            <w:r w:rsidRPr="001511E0">
              <w:rPr>
                <w:color w:val="000000"/>
                <w:sz w:val="19"/>
                <w:szCs w:val="19"/>
                <w:lang w:val="en-CA"/>
              </w:rPr>
              <w:lastRenderedPageBreak/>
              <w:t>Total</w:t>
            </w:r>
          </w:p>
        </w:tc>
        <w:tc>
          <w:tcPr>
            <w:tcW w:w="1314" w:type="dxa"/>
            <w:tcBorders>
              <w:top w:val="nil"/>
              <w:left w:val="single" w:sz="4" w:space="0" w:color="auto"/>
              <w:bottom w:val="single" w:sz="4" w:space="0" w:color="auto"/>
              <w:right w:val="single" w:sz="4" w:space="0" w:color="auto"/>
            </w:tcBorders>
            <w:shd w:val="clear" w:color="auto" w:fill="auto"/>
          </w:tcPr>
          <w:p w:rsidR="00130205" w:rsidRPr="001511E0" w:rsidRDefault="00130205" w:rsidP="00130205">
            <w:pPr>
              <w:jc w:val="right"/>
              <w:rPr>
                <w:b/>
                <w:bCs/>
                <w:color w:val="000000"/>
                <w:sz w:val="19"/>
                <w:szCs w:val="19"/>
              </w:rPr>
            </w:pPr>
            <w:r w:rsidRPr="001511E0">
              <w:rPr>
                <w:b/>
                <w:bCs/>
                <w:color w:val="000000"/>
                <w:sz w:val="19"/>
                <w:szCs w:val="19"/>
              </w:rPr>
              <w:t>1,147,620</w:t>
            </w:r>
          </w:p>
        </w:tc>
        <w:tc>
          <w:tcPr>
            <w:tcW w:w="1314"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b/>
                <w:bCs/>
                <w:color w:val="000000"/>
                <w:sz w:val="19"/>
                <w:szCs w:val="19"/>
              </w:rPr>
            </w:pPr>
            <w:r w:rsidRPr="001511E0">
              <w:rPr>
                <w:b/>
                <w:bCs/>
                <w:color w:val="000000"/>
                <w:sz w:val="19"/>
                <w:szCs w:val="19"/>
              </w:rPr>
              <w:t>411,829</w:t>
            </w:r>
          </w:p>
        </w:tc>
        <w:tc>
          <w:tcPr>
            <w:tcW w:w="1570" w:type="dxa"/>
            <w:tcBorders>
              <w:top w:val="nil"/>
              <w:left w:val="nil"/>
              <w:bottom w:val="single" w:sz="4" w:space="0" w:color="auto"/>
              <w:right w:val="single" w:sz="4" w:space="0" w:color="auto"/>
            </w:tcBorders>
            <w:shd w:val="clear" w:color="auto" w:fill="auto"/>
          </w:tcPr>
          <w:p w:rsidR="00130205" w:rsidRPr="001511E0" w:rsidRDefault="00130205" w:rsidP="00130205">
            <w:pPr>
              <w:jc w:val="right"/>
              <w:rPr>
                <w:b/>
                <w:bCs/>
                <w:color w:val="000000"/>
                <w:sz w:val="19"/>
                <w:szCs w:val="19"/>
              </w:rPr>
            </w:pPr>
            <w:r w:rsidRPr="001511E0">
              <w:rPr>
                <w:b/>
                <w:bCs/>
                <w:color w:val="000000"/>
                <w:sz w:val="19"/>
                <w:szCs w:val="19"/>
              </w:rPr>
              <w:t>735,790</w:t>
            </w:r>
          </w:p>
        </w:tc>
        <w:tc>
          <w:tcPr>
            <w:tcW w:w="1134" w:type="dxa"/>
            <w:tcBorders>
              <w:top w:val="nil"/>
              <w:left w:val="nil"/>
              <w:bottom w:val="single" w:sz="4" w:space="0" w:color="auto"/>
              <w:right w:val="single" w:sz="4" w:space="0" w:color="auto"/>
            </w:tcBorders>
          </w:tcPr>
          <w:p w:rsidR="00130205" w:rsidRPr="001511E0" w:rsidRDefault="00130205" w:rsidP="00130205">
            <w:pPr>
              <w:widowControl w:val="0"/>
              <w:jc w:val="right"/>
              <w:rPr>
                <w:b/>
                <w:color w:val="000000"/>
                <w:sz w:val="19"/>
                <w:szCs w:val="19"/>
                <w:lang w:val="en-CA"/>
              </w:rPr>
            </w:pPr>
            <w:r>
              <w:rPr>
                <w:b/>
                <w:color w:val="000000"/>
                <w:sz w:val="19"/>
                <w:szCs w:val="19"/>
                <w:lang w:val="en-CA"/>
              </w:rPr>
              <w:t>Oct</w:t>
            </w:r>
            <w:r w:rsidRPr="001511E0">
              <w:rPr>
                <w:b/>
                <w:color w:val="000000"/>
                <w:sz w:val="19"/>
                <w:szCs w:val="19"/>
                <w:lang w:val="en-CA"/>
              </w:rPr>
              <w:t xml:space="preserve"> 2019</w:t>
            </w:r>
          </w:p>
        </w:tc>
      </w:tr>
      <w:tr w:rsidR="00130205" w:rsidRPr="0095416B" w:rsidTr="00130205">
        <w:tc>
          <w:tcPr>
            <w:tcW w:w="9639" w:type="dxa"/>
            <w:gridSpan w:val="5"/>
            <w:tcBorders>
              <w:top w:val="nil"/>
              <w:left w:val="single" w:sz="4" w:space="0" w:color="auto"/>
              <w:bottom w:val="single" w:sz="4" w:space="0" w:color="auto"/>
              <w:right w:val="single" w:sz="4" w:space="0" w:color="auto"/>
            </w:tcBorders>
            <w:noWrap/>
            <w:hideMark/>
          </w:tcPr>
          <w:p w:rsidR="00130205" w:rsidRPr="001511E0" w:rsidRDefault="00130205" w:rsidP="00130205">
            <w:pPr>
              <w:widowControl w:val="0"/>
              <w:jc w:val="left"/>
              <w:rPr>
                <w:color w:val="000000"/>
                <w:sz w:val="19"/>
                <w:szCs w:val="19"/>
                <w:lang w:val="en-CA"/>
              </w:rPr>
            </w:pPr>
            <w:r w:rsidRPr="001511E0">
              <w:rPr>
                <w:b/>
                <w:bCs/>
                <w:color w:val="000000"/>
                <w:sz w:val="19"/>
                <w:szCs w:val="19"/>
                <w:lang w:val="en-CA"/>
              </w:rPr>
              <w:t>Solvent sector: Total approved US $52,000,000 (UNDP)</w:t>
            </w: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Combating ODS illegal activities: capacity building for 10 local customs offices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lang w:val="en-CA"/>
              </w:rPr>
            </w:pPr>
            <w:r w:rsidRPr="001511E0">
              <w:rPr>
                <w:sz w:val="19"/>
                <w:szCs w:val="19"/>
              </w:rPr>
              <w:t>644,985</w:t>
            </w:r>
          </w:p>
        </w:tc>
        <w:tc>
          <w:tcPr>
            <w:tcW w:w="1314" w:type="dxa"/>
            <w:tcBorders>
              <w:top w:val="single" w:sz="4" w:space="0" w:color="auto"/>
              <w:left w:val="nil"/>
              <w:bottom w:val="single" w:sz="4" w:space="0" w:color="auto"/>
              <w:right w:val="single" w:sz="4" w:space="0" w:color="auto"/>
            </w:tcBorders>
            <w:shd w:val="clear" w:color="auto" w:fill="auto"/>
            <w:noWrap/>
            <w:vAlign w:val="center"/>
          </w:tcPr>
          <w:p w:rsidR="00130205" w:rsidRPr="001511E0" w:rsidRDefault="00130205" w:rsidP="00130205">
            <w:pPr>
              <w:jc w:val="right"/>
              <w:rPr>
                <w:sz w:val="19"/>
                <w:szCs w:val="19"/>
              </w:rPr>
            </w:pPr>
            <w:r w:rsidRPr="001511E0">
              <w:rPr>
                <w:sz w:val="19"/>
                <w:szCs w:val="19"/>
              </w:rPr>
              <w:t>191,866</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453,119</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b/>
                <w:sz w:val="19"/>
                <w:szCs w:val="19"/>
                <w:highlight w:val="yellow"/>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Capacity building for ODS-related personnel in 14 provinces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340,000</w:t>
            </w:r>
          </w:p>
        </w:tc>
        <w:tc>
          <w:tcPr>
            <w:tcW w:w="1314" w:type="dxa"/>
            <w:tcBorders>
              <w:top w:val="nil"/>
              <w:left w:val="nil"/>
              <w:bottom w:val="single" w:sz="4" w:space="0" w:color="auto"/>
              <w:right w:val="single" w:sz="4" w:space="0" w:color="auto"/>
            </w:tcBorders>
            <w:shd w:val="clear" w:color="auto" w:fill="auto"/>
            <w:noWrap/>
            <w:vAlign w:val="center"/>
          </w:tcPr>
          <w:p w:rsidR="00130205" w:rsidRPr="001511E0" w:rsidRDefault="00130205" w:rsidP="00130205">
            <w:pPr>
              <w:jc w:val="right"/>
              <w:rPr>
                <w:sz w:val="19"/>
                <w:szCs w:val="19"/>
              </w:rPr>
            </w:pPr>
            <w:r w:rsidRPr="001511E0">
              <w:rPr>
                <w:sz w:val="19"/>
                <w:szCs w:val="19"/>
              </w:rPr>
              <w:t>340,000</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0</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sz w:val="19"/>
                <w:szCs w:val="19"/>
                <w:highlight w:val="yellow"/>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Alternative technology assessment and research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140,178</w:t>
            </w:r>
          </w:p>
        </w:tc>
        <w:tc>
          <w:tcPr>
            <w:tcW w:w="1314" w:type="dxa"/>
            <w:tcBorders>
              <w:top w:val="nil"/>
              <w:left w:val="nil"/>
              <w:bottom w:val="single" w:sz="4" w:space="0" w:color="auto"/>
              <w:right w:val="single" w:sz="4" w:space="0" w:color="auto"/>
            </w:tcBorders>
            <w:shd w:val="clear" w:color="auto" w:fill="auto"/>
            <w:noWrap/>
            <w:vAlign w:val="center"/>
          </w:tcPr>
          <w:p w:rsidR="00130205" w:rsidRPr="001511E0" w:rsidRDefault="00130205" w:rsidP="00130205">
            <w:pPr>
              <w:jc w:val="right"/>
              <w:rPr>
                <w:sz w:val="19"/>
                <w:szCs w:val="19"/>
              </w:rPr>
            </w:pPr>
            <w:r w:rsidRPr="001511E0">
              <w:rPr>
                <w:sz w:val="19"/>
                <w:szCs w:val="19"/>
              </w:rPr>
              <w:t>140,178</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0</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sz w:val="19"/>
                <w:szCs w:val="19"/>
                <w:highlight w:val="yellow"/>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Electronic file management system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92,307</w:t>
            </w:r>
          </w:p>
        </w:tc>
        <w:tc>
          <w:tcPr>
            <w:tcW w:w="1314" w:type="dxa"/>
            <w:tcBorders>
              <w:top w:val="nil"/>
              <w:left w:val="nil"/>
              <w:bottom w:val="single" w:sz="4" w:space="0" w:color="auto"/>
              <w:right w:val="single" w:sz="4" w:space="0" w:color="auto"/>
            </w:tcBorders>
            <w:shd w:val="clear" w:color="auto" w:fill="auto"/>
            <w:noWrap/>
            <w:vAlign w:val="center"/>
          </w:tcPr>
          <w:p w:rsidR="00130205" w:rsidRPr="001511E0" w:rsidRDefault="00130205" w:rsidP="00130205">
            <w:pPr>
              <w:jc w:val="right"/>
              <w:rPr>
                <w:sz w:val="19"/>
                <w:szCs w:val="19"/>
              </w:rPr>
            </w:pPr>
            <w:r w:rsidRPr="001511E0">
              <w:rPr>
                <w:sz w:val="19"/>
                <w:szCs w:val="19"/>
              </w:rPr>
              <w:t>0</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92,307</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b/>
                <w:sz w:val="19"/>
                <w:szCs w:val="19"/>
                <w:highlight w:val="yellow"/>
                <w:lang w:val="en-CA"/>
              </w:rPr>
            </w:pPr>
          </w:p>
        </w:tc>
      </w:tr>
      <w:tr w:rsidR="00130205" w:rsidRPr="0095416B" w:rsidTr="00130205">
        <w:tc>
          <w:tcPr>
            <w:tcW w:w="4307" w:type="dxa"/>
            <w:tcBorders>
              <w:top w:val="nil"/>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Activity management and monitoring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249,470</w:t>
            </w:r>
          </w:p>
        </w:tc>
        <w:tc>
          <w:tcPr>
            <w:tcW w:w="1314" w:type="dxa"/>
            <w:tcBorders>
              <w:top w:val="nil"/>
              <w:left w:val="nil"/>
              <w:bottom w:val="single" w:sz="4" w:space="0" w:color="auto"/>
              <w:right w:val="single" w:sz="4" w:space="0" w:color="auto"/>
            </w:tcBorders>
            <w:shd w:val="clear" w:color="auto" w:fill="auto"/>
            <w:noWrap/>
            <w:vAlign w:val="center"/>
          </w:tcPr>
          <w:p w:rsidR="00130205" w:rsidRPr="001511E0" w:rsidRDefault="00130205" w:rsidP="00130205">
            <w:pPr>
              <w:jc w:val="right"/>
              <w:rPr>
                <w:sz w:val="19"/>
                <w:szCs w:val="19"/>
              </w:rPr>
            </w:pPr>
            <w:r w:rsidRPr="001511E0">
              <w:rPr>
                <w:sz w:val="19"/>
                <w:szCs w:val="19"/>
              </w:rPr>
              <w:t>86,074</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sz w:val="19"/>
                <w:szCs w:val="19"/>
              </w:rPr>
            </w:pPr>
            <w:r w:rsidRPr="001511E0">
              <w:rPr>
                <w:sz w:val="19"/>
                <w:szCs w:val="19"/>
              </w:rPr>
              <w:t>163,396</w:t>
            </w:r>
          </w:p>
        </w:tc>
        <w:tc>
          <w:tcPr>
            <w:tcW w:w="1134" w:type="dxa"/>
            <w:tcBorders>
              <w:top w:val="nil"/>
              <w:left w:val="nil"/>
              <w:bottom w:val="single" w:sz="4" w:space="0" w:color="auto"/>
              <w:right w:val="single" w:sz="4" w:space="0" w:color="auto"/>
            </w:tcBorders>
            <w:noWrap/>
          </w:tcPr>
          <w:p w:rsidR="00130205" w:rsidRPr="0095416B" w:rsidRDefault="00130205" w:rsidP="00130205">
            <w:pPr>
              <w:widowControl w:val="0"/>
              <w:jc w:val="right"/>
              <w:rPr>
                <w:b/>
                <w:sz w:val="19"/>
                <w:szCs w:val="19"/>
                <w:highlight w:val="yellow"/>
                <w:lang w:val="en-CA"/>
              </w:rPr>
            </w:pPr>
          </w:p>
        </w:tc>
      </w:tr>
      <w:tr w:rsidR="00130205" w:rsidRPr="009A2C5E" w:rsidTr="00130205">
        <w:tc>
          <w:tcPr>
            <w:tcW w:w="4307" w:type="dxa"/>
            <w:tcBorders>
              <w:top w:val="single" w:sz="4" w:space="0" w:color="auto"/>
              <w:left w:val="single" w:sz="4" w:space="0" w:color="auto"/>
              <w:bottom w:val="single" w:sz="4" w:space="0" w:color="auto"/>
              <w:right w:val="single" w:sz="4" w:space="0" w:color="auto"/>
            </w:tcBorders>
            <w:hideMark/>
          </w:tcPr>
          <w:p w:rsidR="00130205" w:rsidRPr="001511E0" w:rsidRDefault="00130205" w:rsidP="00130205">
            <w:pPr>
              <w:widowControl w:val="0"/>
              <w:jc w:val="left"/>
              <w:rPr>
                <w:sz w:val="19"/>
                <w:szCs w:val="19"/>
                <w:lang w:val="en-CA"/>
              </w:rPr>
            </w:pPr>
            <w:r w:rsidRPr="001511E0">
              <w:rPr>
                <w:sz w:val="19"/>
                <w:szCs w:val="19"/>
                <w:lang w:val="en-CA"/>
              </w:rPr>
              <w:t xml:space="preserve">Total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130205" w:rsidRPr="001511E0" w:rsidRDefault="00130205" w:rsidP="00130205">
            <w:pPr>
              <w:jc w:val="right"/>
              <w:rPr>
                <w:b/>
                <w:bCs/>
                <w:color w:val="000000"/>
                <w:sz w:val="19"/>
                <w:szCs w:val="19"/>
              </w:rPr>
            </w:pPr>
            <w:r w:rsidRPr="001511E0">
              <w:rPr>
                <w:b/>
                <w:bCs/>
                <w:color w:val="000000"/>
                <w:sz w:val="19"/>
                <w:szCs w:val="19"/>
              </w:rPr>
              <w:t>1,466,940</w:t>
            </w:r>
          </w:p>
        </w:tc>
        <w:tc>
          <w:tcPr>
            <w:tcW w:w="1314" w:type="dxa"/>
            <w:tcBorders>
              <w:top w:val="nil"/>
              <w:left w:val="nil"/>
              <w:bottom w:val="single" w:sz="4" w:space="0" w:color="auto"/>
              <w:right w:val="single" w:sz="4" w:space="0" w:color="auto"/>
            </w:tcBorders>
            <w:shd w:val="clear" w:color="auto" w:fill="auto"/>
            <w:noWrap/>
            <w:vAlign w:val="center"/>
          </w:tcPr>
          <w:p w:rsidR="00130205" w:rsidRPr="001511E0" w:rsidRDefault="00130205" w:rsidP="00130205">
            <w:pPr>
              <w:jc w:val="right"/>
              <w:rPr>
                <w:b/>
                <w:bCs/>
                <w:color w:val="000000"/>
                <w:sz w:val="19"/>
                <w:szCs w:val="19"/>
              </w:rPr>
            </w:pPr>
            <w:r w:rsidRPr="001511E0">
              <w:rPr>
                <w:b/>
                <w:bCs/>
                <w:color w:val="000000"/>
                <w:sz w:val="19"/>
                <w:szCs w:val="19"/>
              </w:rPr>
              <w:t>758,118</w:t>
            </w:r>
          </w:p>
        </w:tc>
        <w:tc>
          <w:tcPr>
            <w:tcW w:w="1570" w:type="dxa"/>
            <w:tcBorders>
              <w:top w:val="nil"/>
              <w:left w:val="nil"/>
              <w:bottom w:val="single" w:sz="4" w:space="0" w:color="auto"/>
              <w:right w:val="single" w:sz="4" w:space="0" w:color="auto"/>
            </w:tcBorders>
            <w:shd w:val="clear" w:color="auto" w:fill="auto"/>
            <w:noWrap/>
            <w:vAlign w:val="center"/>
            <w:hideMark/>
          </w:tcPr>
          <w:p w:rsidR="00130205" w:rsidRPr="001511E0" w:rsidRDefault="00130205" w:rsidP="00130205">
            <w:pPr>
              <w:jc w:val="right"/>
              <w:rPr>
                <w:b/>
                <w:bCs/>
                <w:color w:val="000000"/>
                <w:sz w:val="19"/>
                <w:szCs w:val="19"/>
              </w:rPr>
            </w:pPr>
            <w:r w:rsidRPr="001511E0">
              <w:rPr>
                <w:b/>
                <w:bCs/>
                <w:color w:val="000000"/>
                <w:sz w:val="19"/>
                <w:szCs w:val="19"/>
              </w:rPr>
              <w:t>708,822</w:t>
            </w:r>
          </w:p>
        </w:tc>
        <w:tc>
          <w:tcPr>
            <w:tcW w:w="1134" w:type="dxa"/>
            <w:tcBorders>
              <w:top w:val="single" w:sz="4" w:space="0" w:color="auto"/>
              <w:left w:val="nil"/>
              <w:bottom w:val="single" w:sz="4" w:space="0" w:color="auto"/>
              <w:right w:val="single" w:sz="4" w:space="0" w:color="auto"/>
            </w:tcBorders>
            <w:noWrap/>
            <w:hideMark/>
          </w:tcPr>
          <w:p w:rsidR="00130205" w:rsidRPr="009A2C5E" w:rsidRDefault="00130205" w:rsidP="00130205">
            <w:pPr>
              <w:widowControl w:val="0"/>
              <w:jc w:val="right"/>
              <w:rPr>
                <w:b/>
                <w:sz w:val="19"/>
                <w:szCs w:val="19"/>
                <w:highlight w:val="yellow"/>
                <w:lang w:val="en-CA"/>
              </w:rPr>
            </w:pPr>
            <w:r w:rsidRPr="009A2C5E">
              <w:rPr>
                <w:b/>
                <w:sz w:val="19"/>
                <w:szCs w:val="19"/>
                <w:lang w:val="en-CA"/>
              </w:rPr>
              <w:t>Dec 2019</w:t>
            </w:r>
          </w:p>
        </w:tc>
      </w:tr>
      <w:tr w:rsidR="00130205" w:rsidRPr="0095416B" w:rsidTr="00130205">
        <w:trPr>
          <w:trHeight w:val="370"/>
        </w:trPr>
        <w:tc>
          <w:tcPr>
            <w:tcW w:w="4307" w:type="dxa"/>
            <w:tcBorders>
              <w:top w:val="single" w:sz="4" w:space="0" w:color="auto"/>
              <w:left w:val="single" w:sz="4" w:space="0" w:color="auto"/>
              <w:bottom w:val="single" w:sz="4" w:space="0" w:color="auto"/>
              <w:right w:val="single" w:sz="4" w:space="0" w:color="auto"/>
            </w:tcBorders>
          </w:tcPr>
          <w:p w:rsidR="00130205" w:rsidRPr="009A2C5E" w:rsidRDefault="00130205" w:rsidP="00130205">
            <w:pPr>
              <w:widowControl w:val="0"/>
              <w:jc w:val="left"/>
              <w:rPr>
                <w:b/>
                <w:sz w:val="19"/>
                <w:szCs w:val="19"/>
                <w:lang w:val="en-CA"/>
              </w:rPr>
            </w:pPr>
            <w:r w:rsidRPr="009A2C5E">
              <w:rPr>
                <w:b/>
                <w:sz w:val="19"/>
                <w:szCs w:val="19"/>
                <w:lang w:val="en-CA"/>
              </w:rPr>
              <w:t>Summary</w:t>
            </w:r>
          </w:p>
        </w:tc>
        <w:tc>
          <w:tcPr>
            <w:tcW w:w="1314" w:type="dxa"/>
            <w:tcBorders>
              <w:top w:val="single" w:sz="4" w:space="0" w:color="auto"/>
              <w:left w:val="nil"/>
              <w:bottom w:val="single" w:sz="4" w:space="0" w:color="auto"/>
              <w:right w:val="single" w:sz="4" w:space="0" w:color="auto"/>
            </w:tcBorders>
            <w:noWrap/>
          </w:tcPr>
          <w:p w:rsidR="00130205" w:rsidRPr="009A2C5E" w:rsidRDefault="00130205" w:rsidP="00130205">
            <w:pPr>
              <w:jc w:val="right"/>
              <w:rPr>
                <w:b/>
                <w:sz w:val="19"/>
                <w:szCs w:val="19"/>
              </w:rPr>
            </w:pPr>
          </w:p>
        </w:tc>
        <w:tc>
          <w:tcPr>
            <w:tcW w:w="1314" w:type="dxa"/>
            <w:tcBorders>
              <w:top w:val="single" w:sz="4" w:space="0" w:color="auto"/>
              <w:left w:val="nil"/>
              <w:bottom w:val="single" w:sz="4" w:space="0" w:color="auto"/>
              <w:right w:val="single" w:sz="4" w:space="0" w:color="auto"/>
            </w:tcBorders>
            <w:noWrap/>
          </w:tcPr>
          <w:p w:rsidR="00130205" w:rsidRPr="009A2C5E" w:rsidRDefault="00130205" w:rsidP="00130205">
            <w:pPr>
              <w:jc w:val="right"/>
              <w:rPr>
                <w:b/>
                <w:sz w:val="19"/>
                <w:szCs w:val="19"/>
              </w:rPr>
            </w:pPr>
          </w:p>
        </w:tc>
        <w:tc>
          <w:tcPr>
            <w:tcW w:w="1570" w:type="dxa"/>
            <w:tcBorders>
              <w:top w:val="single" w:sz="4" w:space="0" w:color="auto"/>
              <w:left w:val="nil"/>
              <w:bottom w:val="single" w:sz="4" w:space="0" w:color="auto"/>
              <w:right w:val="single" w:sz="4" w:space="0" w:color="auto"/>
            </w:tcBorders>
            <w:noWrap/>
          </w:tcPr>
          <w:p w:rsidR="00130205" w:rsidRPr="009A2C5E" w:rsidRDefault="00130205" w:rsidP="00130205">
            <w:pPr>
              <w:jc w:val="right"/>
              <w:rPr>
                <w:b/>
                <w:sz w:val="19"/>
                <w:szCs w:val="19"/>
              </w:rPr>
            </w:pPr>
          </w:p>
        </w:tc>
        <w:tc>
          <w:tcPr>
            <w:tcW w:w="1134" w:type="dxa"/>
            <w:tcBorders>
              <w:top w:val="single" w:sz="4" w:space="0" w:color="auto"/>
              <w:left w:val="nil"/>
              <w:bottom w:val="single" w:sz="4" w:space="0" w:color="auto"/>
              <w:right w:val="single" w:sz="4" w:space="0" w:color="auto"/>
            </w:tcBorders>
            <w:noWrap/>
          </w:tcPr>
          <w:p w:rsidR="00130205" w:rsidRPr="009A2C5E" w:rsidRDefault="00130205" w:rsidP="00130205">
            <w:pPr>
              <w:widowControl w:val="0"/>
              <w:jc w:val="left"/>
              <w:rPr>
                <w:b/>
                <w:sz w:val="19"/>
                <w:szCs w:val="19"/>
                <w:lang w:val="en-CA"/>
              </w:rPr>
            </w:pP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CFC production (US $150,000,000 - World Bank)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lang w:val="en-CA"/>
              </w:rPr>
            </w:pPr>
            <w:r w:rsidRPr="003A1A1D">
              <w:rPr>
                <w:color w:val="000000"/>
                <w:sz w:val="19"/>
                <w:szCs w:val="19"/>
              </w:rPr>
              <w:t>975,498</w:t>
            </w:r>
          </w:p>
        </w:tc>
        <w:tc>
          <w:tcPr>
            <w:tcW w:w="1314" w:type="dxa"/>
            <w:tcBorders>
              <w:top w:val="single" w:sz="4" w:space="0" w:color="auto"/>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795,620</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lang w:val="en-CA"/>
              </w:rPr>
            </w:pPr>
            <w:r w:rsidRPr="003A1A1D">
              <w:rPr>
                <w:color w:val="000000"/>
                <w:sz w:val="19"/>
                <w:szCs w:val="19"/>
              </w:rPr>
              <w:t>17</w:t>
            </w:r>
            <w:r>
              <w:rPr>
                <w:color w:val="000000"/>
                <w:sz w:val="19"/>
                <w:szCs w:val="19"/>
              </w:rPr>
              <w:t>9</w:t>
            </w:r>
            <w:r w:rsidRPr="003A1A1D">
              <w:rPr>
                <w:color w:val="000000"/>
                <w:sz w:val="19"/>
                <w:szCs w:val="19"/>
              </w:rPr>
              <w:t>,878</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2019</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Halon sector (US $62,000,000 - World Bank)</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10,978,177</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1,823,351</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9,154,827</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2022</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Process agent II (US $46,500,000 - World Bank)</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7,333,019</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4,256,910</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3,076,109</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2020</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PU foam (US $53,846,000 - World Bank)</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1,655,397</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758,389</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897,009</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2019</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Servicing (US $7,884,853 - Japan, UNEP, UNIDO)</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1,147,621</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411,</w:t>
            </w:r>
            <w:r>
              <w:rPr>
                <w:color w:val="000000"/>
                <w:sz w:val="19"/>
                <w:szCs w:val="19"/>
              </w:rPr>
              <w:t>829</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735,791</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2019</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sz w:val="19"/>
                <w:szCs w:val="19"/>
                <w:lang w:val="en-CA"/>
              </w:rPr>
            </w:pPr>
            <w:r w:rsidRPr="003A1A1D">
              <w:rPr>
                <w:sz w:val="19"/>
                <w:szCs w:val="19"/>
                <w:lang w:val="en-CA"/>
              </w:rPr>
              <w:t>Solvent (US $52,000,000 - UNDP)</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1,466,940</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color w:val="000000"/>
                <w:sz w:val="19"/>
                <w:szCs w:val="19"/>
              </w:rPr>
            </w:pPr>
            <w:r w:rsidRPr="003A1A1D">
              <w:rPr>
                <w:color w:val="000000"/>
                <w:sz w:val="19"/>
                <w:szCs w:val="19"/>
              </w:rPr>
              <w:t>758,118</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color w:val="000000"/>
                <w:sz w:val="19"/>
                <w:szCs w:val="19"/>
              </w:rPr>
            </w:pPr>
            <w:r w:rsidRPr="003A1A1D">
              <w:rPr>
                <w:color w:val="000000"/>
                <w:sz w:val="19"/>
                <w:szCs w:val="19"/>
              </w:rPr>
              <w:t>708,822</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right"/>
              <w:rPr>
                <w:sz w:val="19"/>
                <w:szCs w:val="19"/>
                <w:lang w:val="en-CA"/>
              </w:rPr>
            </w:pPr>
            <w:r w:rsidRPr="003A1A1D">
              <w:rPr>
                <w:sz w:val="19"/>
                <w:szCs w:val="19"/>
                <w:lang w:val="en-CA"/>
              </w:rPr>
              <w:t>2019</w:t>
            </w:r>
          </w:p>
        </w:tc>
      </w:tr>
      <w:tr w:rsidR="00130205" w:rsidRPr="0095416B" w:rsidTr="00130205">
        <w:tc>
          <w:tcPr>
            <w:tcW w:w="4307" w:type="dxa"/>
            <w:tcBorders>
              <w:top w:val="single" w:sz="4" w:space="0" w:color="auto"/>
              <w:left w:val="single" w:sz="4" w:space="0" w:color="auto"/>
              <w:bottom w:val="single" w:sz="4" w:space="0" w:color="auto"/>
              <w:right w:val="single" w:sz="4" w:space="0" w:color="auto"/>
            </w:tcBorders>
          </w:tcPr>
          <w:p w:rsidR="00130205" w:rsidRPr="003A1A1D" w:rsidRDefault="00130205" w:rsidP="00130205">
            <w:pPr>
              <w:widowControl w:val="0"/>
              <w:jc w:val="left"/>
              <w:rPr>
                <w:b/>
                <w:sz w:val="19"/>
                <w:szCs w:val="19"/>
                <w:lang w:val="en-CA"/>
              </w:rPr>
            </w:pPr>
            <w:r w:rsidRPr="003A1A1D">
              <w:rPr>
                <w:b/>
                <w:sz w:val="19"/>
                <w:szCs w:val="19"/>
                <w:lang w:val="en-CA"/>
              </w:rPr>
              <w:t>Total</w:t>
            </w:r>
            <w:r>
              <w:rPr>
                <w:b/>
                <w:sz w:val="19"/>
                <w:szCs w:val="19"/>
                <w:lang w:val="en-CA"/>
              </w:rPr>
              <w:t>*</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b/>
                <w:bCs/>
                <w:color w:val="000000"/>
                <w:sz w:val="19"/>
                <w:szCs w:val="19"/>
              </w:rPr>
            </w:pPr>
            <w:r w:rsidRPr="003A1A1D">
              <w:rPr>
                <w:b/>
                <w:bCs/>
                <w:color w:val="000000"/>
                <w:sz w:val="19"/>
                <w:szCs w:val="19"/>
              </w:rPr>
              <w:t>23,556,652</w:t>
            </w:r>
          </w:p>
        </w:tc>
        <w:tc>
          <w:tcPr>
            <w:tcW w:w="1314" w:type="dxa"/>
            <w:tcBorders>
              <w:top w:val="nil"/>
              <w:left w:val="nil"/>
              <w:bottom w:val="single" w:sz="4" w:space="0" w:color="auto"/>
              <w:right w:val="single" w:sz="4" w:space="0" w:color="auto"/>
            </w:tcBorders>
            <w:shd w:val="clear" w:color="auto" w:fill="auto"/>
            <w:noWrap/>
          </w:tcPr>
          <w:p w:rsidR="00130205" w:rsidRPr="003A1A1D" w:rsidRDefault="00130205" w:rsidP="00130205">
            <w:pPr>
              <w:jc w:val="right"/>
              <w:rPr>
                <w:b/>
                <w:bCs/>
                <w:color w:val="000000"/>
                <w:sz w:val="19"/>
                <w:szCs w:val="19"/>
              </w:rPr>
            </w:pPr>
            <w:r>
              <w:rPr>
                <w:b/>
                <w:bCs/>
                <w:color w:val="000000"/>
                <w:sz w:val="19"/>
                <w:szCs w:val="19"/>
              </w:rPr>
              <w:t>8,804,2</w:t>
            </w:r>
            <w:r w:rsidRPr="003A1A1D">
              <w:rPr>
                <w:b/>
                <w:bCs/>
                <w:color w:val="000000"/>
                <w:sz w:val="19"/>
                <w:szCs w:val="19"/>
              </w:rPr>
              <w:t>1</w:t>
            </w:r>
            <w:r>
              <w:rPr>
                <w:b/>
                <w:bCs/>
                <w:color w:val="000000"/>
                <w:sz w:val="19"/>
                <w:szCs w:val="19"/>
              </w:rPr>
              <w:t>7</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130205" w:rsidRPr="003A1A1D" w:rsidRDefault="00130205" w:rsidP="00130205">
            <w:pPr>
              <w:jc w:val="right"/>
              <w:rPr>
                <w:b/>
                <w:bCs/>
                <w:color w:val="000000"/>
                <w:sz w:val="19"/>
                <w:szCs w:val="19"/>
              </w:rPr>
            </w:pPr>
            <w:r w:rsidRPr="003A1A1D">
              <w:rPr>
                <w:b/>
                <w:bCs/>
                <w:color w:val="000000"/>
                <w:sz w:val="19"/>
                <w:szCs w:val="19"/>
              </w:rPr>
              <w:t>14,</w:t>
            </w:r>
            <w:r>
              <w:rPr>
                <w:b/>
                <w:bCs/>
                <w:color w:val="000000"/>
                <w:sz w:val="19"/>
                <w:szCs w:val="19"/>
              </w:rPr>
              <w:t>752</w:t>
            </w:r>
            <w:r w:rsidRPr="003A1A1D">
              <w:rPr>
                <w:b/>
                <w:bCs/>
                <w:color w:val="000000"/>
                <w:sz w:val="19"/>
                <w:szCs w:val="19"/>
              </w:rPr>
              <w:t>,436</w:t>
            </w:r>
          </w:p>
        </w:tc>
        <w:tc>
          <w:tcPr>
            <w:tcW w:w="1134" w:type="dxa"/>
            <w:tcBorders>
              <w:top w:val="single" w:sz="4" w:space="0" w:color="auto"/>
              <w:left w:val="nil"/>
              <w:bottom w:val="single" w:sz="4" w:space="0" w:color="auto"/>
              <w:right w:val="single" w:sz="4" w:space="0" w:color="auto"/>
            </w:tcBorders>
            <w:noWrap/>
          </w:tcPr>
          <w:p w:rsidR="00130205" w:rsidRPr="003A1A1D" w:rsidRDefault="00130205" w:rsidP="00130205">
            <w:pPr>
              <w:widowControl w:val="0"/>
              <w:jc w:val="left"/>
              <w:rPr>
                <w:b/>
                <w:sz w:val="19"/>
                <w:szCs w:val="19"/>
                <w:lang w:val="en-CA"/>
              </w:rPr>
            </w:pPr>
          </w:p>
        </w:tc>
      </w:tr>
    </w:tbl>
    <w:p w:rsidR="00130205" w:rsidRPr="008B1D50" w:rsidRDefault="00130205" w:rsidP="00130205">
      <w:pPr>
        <w:widowControl w:val="0"/>
        <w:rPr>
          <w:lang w:val="en-CA"/>
        </w:rPr>
      </w:pPr>
      <w:r w:rsidRPr="008B1D50">
        <w:rPr>
          <w:b/>
          <w:sz w:val="18"/>
          <w:szCs w:val="18"/>
          <w:lang w:val="en-CA"/>
        </w:rPr>
        <w:t xml:space="preserve">* The progress reports received for each sector plan indicate that as </w:t>
      </w:r>
      <w:r>
        <w:rPr>
          <w:b/>
          <w:sz w:val="18"/>
          <w:szCs w:val="18"/>
          <w:lang w:val="en-CA"/>
        </w:rPr>
        <w:t>o</w:t>
      </w:r>
      <w:r w:rsidRPr="008B1D50">
        <w:rPr>
          <w:b/>
          <w:sz w:val="18"/>
          <w:szCs w:val="18"/>
          <w:lang w:val="en-CA"/>
        </w:rPr>
        <w:t xml:space="preserve">f </w:t>
      </w:r>
      <w:r>
        <w:rPr>
          <w:b/>
          <w:sz w:val="18"/>
          <w:szCs w:val="18"/>
          <w:lang w:val="en-CA"/>
        </w:rPr>
        <w:t xml:space="preserve">31 </w:t>
      </w:r>
      <w:r w:rsidRPr="008B1D50">
        <w:rPr>
          <w:b/>
          <w:sz w:val="18"/>
          <w:szCs w:val="18"/>
          <w:lang w:val="en-CA"/>
        </w:rPr>
        <w:t>August 2019 the balance has been reduced to</w:t>
      </w:r>
      <w:r>
        <w:rPr>
          <w:b/>
          <w:sz w:val="18"/>
          <w:szCs w:val="18"/>
          <w:lang w:val="en-CA"/>
        </w:rPr>
        <w:t xml:space="preserve"> US $</w:t>
      </w:r>
      <w:r w:rsidRPr="008B1D50">
        <w:rPr>
          <w:b/>
          <w:sz w:val="18"/>
          <w:szCs w:val="18"/>
          <w:lang w:val="en-CA"/>
        </w:rPr>
        <w:t xml:space="preserve">13,280,207 </w:t>
      </w:r>
      <w:r>
        <w:rPr>
          <w:b/>
          <w:sz w:val="18"/>
          <w:szCs w:val="18"/>
          <w:lang w:val="en-CA"/>
        </w:rPr>
        <w:t>(i.e., US $</w:t>
      </w:r>
      <w:r w:rsidRPr="008B1D50">
        <w:rPr>
          <w:b/>
          <w:sz w:val="18"/>
          <w:szCs w:val="18"/>
          <w:lang w:val="en-CA"/>
        </w:rPr>
        <w:t xml:space="preserve">179,878 </w:t>
      </w:r>
      <w:r>
        <w:rPr>
          <w:b/>
          <w:sz w:val="18"/>
          <w:szCs w:val="18"/>
          <w:lang w:val="en-CA"/>
        </w:rPr>
        <w:t>in C</w:t>
      </w:r>
      <w:r w:rsidRPr="008B1D50">
        <w:rPr>
          <w:b/>
          <w:sz w:val="18"/>
          <w:szCs w:val="18"/>
          <w:lang w:val="en-CA"/>
        </w:rPr>
        <w:t xml:space="preserve">FC production; </w:t>
      </w:r>
      <w:r>
        <w:rPr>
          <w:b/>
          <w:sz w:val="18"/>
          <w:szCs w:val="18"/>
          <w:lang w:val="en-CA"/>
        </w:rPr>
        <w:t>US $</w:t>
      </w:r>
      <w:r w:rsidRPr="008B1D50">
        <w:rPr>
          <w:b/>
          <w:sz w:val="18"/>
          <w:szCs w:val="18"/>
          <w:lang w:val="en-CA"/>
        </w:rPr>
        <w:t xml:space="preserve">9,154,827 </w:t>
      </w:r>
      <w:r>
        <w:rPr>
          <w:b/>
          <w:sz w:val="18"/>
          <w:szCs w:val="18"/>
          <w:lang w:val="en-CA"/>
        </w:rPr>
        <w:t xml:space="preserve">in </w:t>
      </w:r>
      <w:r w:rsidRPr="008B1D50">
        <w:rPr>
          <w:b/>
          <w:sz w:val="18"/>
          <w:szCs w:val="18"/>
          <w:lang w:val="en-CA"/>
        </w:rPr>
        <w:t>halon;</w:t>
      </w:r>
      <w:r>
        <w:rPr>
          <w:b/>
          <w:sz w:val="18"/>
          <w:szCs w:val="18"/>
          <w:lang w:val="en-CA"/>
        </w:rPr>
        <w:t xml:space="preserve"> US $</w:t>
      </w:r>
      <w:r w:rsidRPr="008B1D50">
        <w:rPr>
          <w:b/>
          <w:sz w:val="18"/>
          <w:szCs w:val="18"/>
          <w:lang w:val="en-CA"/>
        </w:rPr>
        <w:t xml:space="preserve">3,076,109 </w:t>
      </w:r>
      <w:r>
        <w:rPr>
          <w:b/>
          <w:sz w:val="18"/>
          <w:szCs w:val="18"/>
          <w:lang w:val="en-CA"/>
        </w:rPr>
        <w:t xml:space="preserve">in </w:t>
      </w:r>
      <w:r w:rsidRPr="008B1D50">
        <w:rPr>
          <w:b/>
          <w:sz w:val="18"/>
          <w:szCs w:val="18"/>
          <w:lang w:val="en-CA"/>
        </w:rPr>
        <w:t>process agent</w:t>
      </w:r>
      <w:r>
        <w:rPr>
          <w:b/>
          <w:sz w:val="18"/>
          <w:szCs w:val="18"/>
          <w:lang w:val="en-CA"/>
        </w:rPr>
        <w:t xml:space="preserve"> II</w:t>
      </w:r>
      <w:r w:rsidRPr="008B1D50">
        <w:rPr>
          <w:b/>
          <w:sz w:val="18"/>
          <w:szCs w:val="18"/>
          <w:lang w:val="en-CA"/>
        </w:rPr>
        <w:t>;</w:t>
      </w:r>
      <w:r>
        <w:rPr>
          <w:b/>
          <w:sz w:val="18"/>
          <w:szCs w:val="18"/>
          <w:lang w:val="en-CA"/>
        </w:rPr>
        <w:t xml:space="preserve"> US $</w:t>
      </w:r>
      <w:r w:rsidRPr="008B1D50">
        <w:rPr>
          <w:b/>
          <w:sz w:val="18"/>
          <w:szCs w:val="18"/>
          <w:lang w:val="en-CA"/>
        </w:rPr>
        <w:t xml:space="preserve">200,000 </w:t>
      </w:r>
      <w:r>
        <w:rPr>
          <w:b/>
          <w:sz w:val="18"/>
          <w:szCs w:val="18"/>
          <w:lang w:val="en-CA"/>
        </w:rPr>
        <w:t>in</w:t>
      </w:r>
      <w:r w:rsidRPr="008B1D50">
        <w:rPr>
          <w:b/>
          <w:sz w:val="18"/>
          <w:szCs w:val="18"/>
          <w:lang w:val="en-CA"/>
        </w:rPr>
        <w:t xml:space="preserve"> PU foam; </w:t>
      </w:r>
      <w:r>
        <w:rPr>
          <w:b/>
          <w:sz w:val="18"/>
          <w:szCs w:val="18"/>
          <w:lang w:val="en-CA"/>
        </w:rPr>
        <w:t>US $</w:t>
      </w:r>
      <w:r w:rsidRPr="008B1D50">
        <w:rPr>
          <w:b/>
          <w:sz w:val="18"/>
          <w:szCs w:val="18"/>
          <w:lang w:val="en-CA"/>
        </w:rPr>
        <w:t>288,183</w:t>
      </w:r>
      <w:r>
        <w:rPr>
          <w:b/>
          <w:sz w:val="18"/>
          <w:szCs w:val="18"/>
          <w:lang w:val="en-CA"/>
        </w:rPr>
        <w:t xml:space="preserve"> in</w:t>
      </w:r>
      <w:r w:rsidRPr="008B1D50">
        <w:rPr>
          <w:b/>
          <w:sz w:val="18"/>
          <w:szCs w:val="18"/>
          <w:lang w:val="en-CA"/>
        </w:rPr>
        <w:t xml:space="preserve"> servicing and </w:t>
      </w:r>
      <w:r>
        <w:rPr>
          <w:b/>
          <w:sz w:val="18"/>
          <w:szCs w:val="18"/>
          <w:lang w:val="en-CA"/>
        </w:rPr>
        <w:t>US $</w:t>
      </w:r>
      <w:r w:rsidRPr="008B1D50">
        <w:rPr>
          <w:b/>
          <w:sz w:val="18"/>
          <w:szCs w:val="18"/>
          <w:lang w:val="en-CA"/>
        </w:rPr>
        <w:t xml:space="preserve">381,211 </w:t>
      </w:r>
      <w:r>
        <w:rPr>
          <w:b/>
          <w:sz w:val="18"/>
          <w:szCs w:val="18"/>
          <w:lang w:val="en-CA"/>
        </w:rPr>
        <w:t>in</w:t>
      </w:r>
      <w:r w:rsidRPr="008B1D50">
        <w:rPr>
          <w:b/>
          <w:sz w:val="18"/>
          <w:szCs w:val="18"/>
          <w:lang w:val="en-CA"/>
        </w:rPr>
        <w:t xml:space="preserve"> solvent</w:t>
      </w:r>
      <w:r>
        <w:rPr>
          <w:b/>
          <w:sz w:val="18"/>
          <w:szCs w:val="18"/>
          <w:lang w:val="en-CA"/>
        </w:rPr>
        <w:t>)</w:t>
      </w:r>
      <w:r w:rsidRPr="008B1D50">
        <w:rPr>
          <w:b/>
          <w:sz w:val="18"/>
          <w:szCs w:val="18"/>
          <w:lang w:val="en-CA"/>
        </w:rPr>
        <w:t xml:space="preserve">. </w:t>
      </w:r>
      <w:r>
        <w:rPr>
          <w:b/>
          <w:sz w:val="18"/>
          <w:szCs w:val="18"/>
          <w:lang w:val="en-CA"/>
        </w:rPr>
        <w:t>T</w:t>
      </w:r>
      <w:r w:rsidRPr="008B1D50">
        <w:rPr>
          <w:b/>
          <w:sz w:val="18"/>
          <w:szCs w:val="18"/>
          <w:lang w:val="en-CA"/>
        </w:rPr>
        <w:t>hose additional expenditures are</w:t>
      </w:r>
      <w:r>
        <w:rPr>
          <w:b/>
          <w:sz w:val="18"/>
          <w:szCs w:val="18"/>
          <w:lang w:val="en-CA"/>
        </w:rPr>
        <w:t xml:space="preserve"> only</w:t>
      </w:r>
      <w:r w:rsidRPr="008B1D50">
        <w:rPr>
          <w:b/>
          <w:sz w:val="18"/>
          <w:szCs w:val="18"/>
          <w:lang w:val="en-CA"/>
        </w:rPr>
        <w:t xml:space="preserve"> included here for information purpose </w:t>
      </w:r>
      <w:r>
        <w:rPr>
          <w:b/>
          <w:sz w:val="18"/>
          <w:szCs w:val="18"/>
          <w:lang w:val="en-CA"/>
        </w:rPr>
        <w:t>as they h</w:t>
      </w:r>
      <w:r w:rsidRPr="008B1D50">
        <w:rPr>
          <w:b/>
          <w:sz w:val="18"/>
          <w:szCs w:val="18"/>
          <w:lang w:val="en-CA"/>
        </w:rPr>
        <w:t>ave not been audited. The audited balance as of 30 June 2019 is</w:t>
      </w:r>
      <w:r>
        <w:rPr>
          <w:b/>
          <w:sz w:val="18"/>
          <w:szCs w:val="18"/>
          <w:lang w:val="en-CA"/>
        </w:rPr>
        <w:t xml:space="preserve"> US $</w:t>
      </w:r>
      <w:r w:rsidRPr="008B1D50">
        <w:rPr>
          <w:b/>
          <w:sz w:val="18"/>
          <w:szCs w:val="18"/>
          <w:lang w:val="en-CA"/>
        </w:rPr>
        <w:t>14,752,436</w:t>
      </w:r>
      <w:r>
        <w:rPr>
          <w:b/>
          <w:sz w:val="18"/>
          <w:szCs w:val="18"/>
          <w:lang w:val="en-CA"/>
        </w:rPr>
        <w:t>.</w:t>
      </w:r>
      <w:r w:rsidRPr="008B1D50">
        <w:rPr>
          <w:lang w:val="en-CA"/>
        </w:rPr>
        <w:t xml:space="preserve"> </w:t>
      </w:r>
    </w:p>
    <w:p w:rsidR="00130205" w:rsidRPr="000909F6" w:rsidRDefault="00130205" w:rsidP="00130205">
      <w:pPr>
        <w:widowControl w:val="0"/>
        <w:jc w:val="left"/>
        <w:rPr>
          <w:lang w:val="en-CA"/>
        </w:rPr>
      </w:pPr>
    </w:p>
    <w:p w:rsidR="00130205" w:rsidRPr="008A49EA" w:rsidRDefault="00130205" w:rsidP="00130205">
      <w:pPr>
        <w:pStyle w:val="Heading1"/>
        <w:rPr>
          <w:b/>
          <w:lang w:val="en-CA"/>
        </w:rPr>
      </w:pPr>
      <w:r w:rsidRPr="000909F6">
        <w:rPr>
          <w:lang w:val="en-CA"/>
        </w:rPr>
        <w:t xml:space="preserve">Financial audits of the disbursements as of </w:t>
      </w:r>
      <w:r w:rsidRPr="000909F6">
        <w:rPr>
          <w:b/>
          <w:lang w:val="en-CA"/>
        </w:rPr>
        <w:t>30 June 201</w:t>
      </w:r>
      <w:r>
        <w:rPr>
          <w:b/>
          <w:lang w:val="en-CA"/>
        </w:rPr>
        <w:t>9</w:t>
      </w:r>
      <w:r w:rsidRPr="000909F6">
        <w:rPr>
          <w:lang w:val="en-CA"/>
        </w:rPr>
        <w:t xml:space="preserve"> were conducted by </w:t>
      </w:r>
      <w:proofErr w:type="spellStart"/>
      <w:r w:rsidRPr="000909F6">
        <w:rPr>
          <w:lang w:val="en-CA"/>
        </w:rPr>
        <w:t>Daxin</w:t>
      </w:r>
      <w:proofErr w:type="spellEnd"/>
      <w:r w:rsidRPr="000909F6">
        <w:rPr>
          <w:lang w:val="en-CA"/>
        </w:rPr>
        <w:t xml:space="preserve"> Certified Public Accounts LLP according to national standards. The audit opinion was that </w:t>
      </w:r>
      <w:r w:rsidRPr="008A49EA">
        <w:rPr>
          <w:b/>
          <w:lang w:val="en-CA"/>
        </w:rPr>
        <w:t xml:space="preserve">the statements of project grant and disbursement of the CFC production, halon, CTC process agent, </w:t>
      </w:r>
      <w:r w:rsidR="00EC3EF2">
        <w:rPr>
          <w:b/>
          <w:lang w:val="en-CA"/>
        </w:rPr>
        <w:t>PU</w:t>
      </w:r>
      <w:r w:rsidRPr="008A49EA">
        <w:rPr>
          <w:b/>
          <w:lang w:val="en-CA"/>
        </w:rPr>
        <w:t xml:space="preserve"> foam, solvent and refrigeration servicing sector plans were in compliance with the rules of the Montreal Protocol and the accounting standards of China</w:t>
      </w:r>
      <w:r>
        <w:rPr>
          <w:b/>
          <w:lang w:val="en-CA"/>
        </w:rPr>
        <w:t>,</w:t>
      </w:r>
      <w:r w:rsidRPr="008A49EA">
        <w:rPr>
          <w:b/>
          <w:lang w:val="en-CA"/>
        </w:rPr>
        <w:t xml:space="preserve"> and had been fairly and justly presented by the Foreign</w:t>
      </w:r>
      <w:r w:rsidRPr="008A49EA">
        <w:rPr>
          <w:b/>
        </w:rPr>
        <w:t xml:space="preserve"> Environmental Cooperation </w:t>
      </w:r>
      <w:proofErr w:type="spellStart"/>
      <w:r w:rsidRPr="008A49EA">
        <w:rPr>
          <w:b/>
        </w:rPr>
        <w:t>Center</w:t>
      </w:r>
      <w:proofErr w:type="spellEnd"/>
      <w:r w:rsidRPr="008A49EA">
        <w:rPr>
          <w:b/>
          <w:lang w:val="en-CA"/>
        </w:rPr>
        <w:t>/Ministry of Ecology and Environment (FECO/MEE) of China.</w:t>
      </w:r>
    </w:p>
    <w:p w:rsidR="00130205" w:rsidRPr="009A2C5E" w:rsidRDefault="00130205" w:rsidP="00130205">
      <w:pPr>
        <w:pStyle w:val="Heading1"/>
        <w:rPr>
          <w:lang w:val="en-CA"/>
        </w:rPr>
      </w:pPr>
      <w:r w:rsidRPr="009A2C5E">
        <w:rPr>
          <w:lang w:val="en-CA"/>
        </w:rPr>
        <w:t>The activities implemented in each sector plan since 1 July 2018 are summarized below.</w:t>
      </w:r>
    </w:p>
    <w:p w:rsidR="00130205" w:rsidRPr="009A2C5E" w:rsidRDefault="00130205" w:rsidP="00130205">
      <w:pPr>
        <w:rPr>
          <w:u w:val="single"/>
          <w:lang w:val="en-CA"/>
        </w:rPr>
      </w:pPr>
      <w:r w:rsidRPr="009A2C5E">
        <w:rPr>
          <w:u w:val="single"/>
          <w:lang w:val="en-CA"/>
        </w:rPr>
        <w:t>CFC production sector</w:t>
      </w:r>
    </w:p>
    <w:p w:rsidR="00130205" w:rsidRPr="00A96CBF" w:rsidRDefault="00130205" w:rsidP="00130205">
      <w:pPr>
        <w:rPr>
          <w:b/>
          <w:i/>
          <w:highlight w:val="yellow"/>
          <w:lang w:val="en-CA"/>
        </w:rPr>
      </w:pPr>
    </w:p>
    <w:p w:rsidR="00130205" w:rsidRPr="009A2C5E" w:rsidRDefault="00130205" w:rsidP="00130205">
      <w:pPr>
        <w:pStyle w:val="Heading1"/>
        <w:rPr>
          <w:lang w:val="en-CA"/>
        </w:rPr>
      </w:pPr>
      <w:r w:rsidRPr="009A2C5E">
        <w:rPr>
          <w:lang w:val="en-CA"/>
        </w:rPr>
        <w:t xml:space="preserve">Since 2015, the only remaining activities in the CFC production sector plan are in research and development (R&amp;D) of ODS alternatives, and supervision and management. A total of </w:t>
      </w:r>
      <w:r w:rsidRPr="009A2C5E">
        <w:rPr>
          <w:b/>
          <w:lang w:val="en-CA"/>
        </w:rPr>
        <w:t>US $795,620</w:t>
      </w:r>
      <w:r w:rsidRPr="009A2C5E">
        <w:rPr>
          <w:lang w:val="en-CA"/>
        </w:rPr>
        <w:t xml:space="preserve"> had been disbursed </w:t>
      </w:r>
      <w:r w:rsidRPr="009A2C5E">
        <w:rPr>
          <w:b/>
          <w:lang w:val="en-CA"/>
        </w:rPr>
        <w:t xml:space="preserve">between 1 July 2018 and 30 June 2019. </w:t>
      </w:r>
      <w:r w:rsidRPr="009A2C5E">
        <w:rPr>
          <w:lang w:val="en-CA"/>
        </w:rPr>
        <w:t xml:space="preserve">The remaining funding of </w:t>
      </w:r>
      <w:r w:rsidRPr="009A2C5E">
        <w:rPr>
          <w:b/>
          <w:lang w:val="en-CA"/>
        </w:rPr>
        <w:t>US $179,878</w:t>
      </w:r>
      <w:r w:rsidRPr="009A2C5E">
        <w:rPr>
          <w:lang w:val="en-CA"/>
        </w:rPr>
        <w:t xml:space="preserve"> is expected to be disbursed by the end of 2019.</w:t>
      </w:r>
    </w:p>
    <w:p w:rsidR="00130205" w:rsidRPr="007F1FA2" w:rsidRDefault="00130205" w:rsidP="00130205">
      <w:pPr>
        <w:pStyle w:val="Heading1"/>
        <w:rPr>
          <w:lang w:val="en-CA"/>
        </w:rPr>
      </w:pPr>
      <w:r w:rsidRPr="007F1FA2">
        <w:rPr>
          <w:lang w:val="en-CA"/>
        </w:rPr>
        <w:t xml:space="preserve">Regarding R&amp;D of ODS alternatives, thirteen proposals have been selected, </w:t>
      </w:r>
      <w:r w:rsidRPr="007F1FA2">
        <w:rPr>
          <w:b/>
          <w:lang w:val="en-CA"/>
        </w:rPr>
        <w:t xml:space="preserve">all </w:t>
      </w:r>
      <w:r w:rsidRPr="007F1FA2">
        <w:rPr>
          <w:lang w:val="en-CA"/>
        </w:rPr>
        <w:t>of which have been completed</w:t>
      </w:r>
      <w:r w:rsidRPr="007F1FA2">
        <w:rPr>
          <w:b/>
          <w:lang w:val="en-CA"/>
        </w:rPr>
        <w:t xml:space="preserve"> and passed project acceptance. Since the 82</w:t>
      </w:r>
      <w:r w:rsidRPr="007F1FA2">
        <w:rPr>
          <w:b/>
          <w:vertAlign w:val="superscript"/>
          <w:lang w:val="en-CA"/>
        </w:rPr>
        <w:t>nd</w:t>
      </w:r>
      <w:r w:rsidRPr="007F1FA2">
        <w:rPr>
          <w:b/>
          <w:lang w:val="en-CA"/>
        </w:rPr>
        <w:t xml:space="preserve"> meeting, US $697,952 was disbursed. Due to currency fluctuations between the time when the contracts were signed and when payments were made, there is an unallocated balance of US $4</w:t>
      </w:r>
      <w:r>
        <w:rPr>
          <w:b/>
          <w:lang w:val="en-CA"/>
        </w:rPr>
        <w:t>4,135</w:t>
      </w:r>
      <w:r w:rsidRPr="007F1FA2">
        <w:rPr>
          <w:b/>
          <w:lang w:val="en-CA"/>
        </w:rPr>
        <w:t xml:space="preserve"> that the Government of China proposes to use to </w:t>
      </w:r>
      <w:r w:rsidRPr="007F1FA2">
        <w:rPr>
          <w:b/>
          <w:lang w:val="en-CA" w:eastAsia="zh-CN"/>
        </w:rPr>
        <w:t>purchase instruments for ODS monitoring for local Ecology and Environment Bureaus (EEBs) to build their capacity and achieve sustainable CFC phase-out compliance</w:t>
      </w:r>
      <w:r w:rsidRPr="007F1FA2">
        <w:rPr>
          <w:lang w:val="en-CA"/>
        </w:rPr>
        <w:t>.</w:t>
      </w:r>
    </w:p>
    <w:p w:rsidR="00130205" w:rsidRPr="007F1FA2" w:rsidRDefault="00130205" w:rsidP="00130205">
      <w:pPr>
        <w:pStyle w:val="Heading1"/>
        <w:rPr>
          <w:lang w:val="en-CA"/>
        </w:rPr>
      </w:pPr>
      <w:r w:rsidRPr="007F1FA2">
        <w:rPr>
          <w:lang w:val="en-CA" w:eastAsia="zh-CN"/>
        </w:rPr>
        <w:t>A total of US $233,</w:t>
      </w:r>
      <w:r w:rsidRPr="00552423">
        <w:rPr>
          <w:lang w:val="en-CA" w:eastAsia="zh-CN"/>
        </w:rPr>
        <w:t xml:space="preserve">411 had been allocated to supervision and management. </w:t>
      </w:r>
      <w:r w:rsidRPr="00552423">
        <w:rPr>
          <w:b/>
          <w:lang w:val="en-CA" w:eastAsia="zh-CN"/>
        </w:rPr>
        <w:t>FECO</w:t>
      </w:r>
      <w:r w:rsidRPr="00552423">
        <w:rPr>
          <w:lang w:val="en-CA" w:eastAsia="zh-CN"/>
        </w:rPr>
        <w:t xml:space="preserve"> has disbursed US $97,668 to produce video training materials for ODS import and export management </w:t>
      </w:r>
      <w:r w:rsidRPr="00552423">
        <w:rPr>
          <w:b/>
          <w:lang w:val="en-CA" w:eastAsia="zh-CN"/>
        </w:rPr>
        <w:t>(US $32,073, with a remaining contract value of US $80,080)</w:t>
      </w:r>
      <w:r w:rsidRPr="00552423">
        <w:rPr>
          <w:lang w:val="en-CA" w:eastAsia="zh-CN"/>
        </w:rPr>
        <w:t>,</w:t>
      </w:r>
      <w:r w:rsidRPr="00552423">
        <w:t xml:space="preserve"> </w:t>
      </w:r>
      <w:r w:rsidRPr="00552423">
        <w:rPr>
          <w:b/>
        </w:rPr>
        <w:t xml:space="preserve">for a </w:t>
      </w:r>
      <w:r w:rsidRPr="00552423">
        <w:rPr>
          <w:b/>
          <w:lang w:val="en-CA" w:eastAsia="zh-CN"/>
        </w:rPr>
        <w:t>training workshop held on 21-23 January 2019 in Changsha, for 140 officers from all the provincial EEBs (US $22,801); for a video on industry compliance that was screened on the 2018 Ozone Day (US $34,145); and for the 2018 financial audit for all the sectors (US $8,649)</w:t>
      </w:r>
      <w:r w:rsidRPr="00552423">
        <w:rPr>
          <w:lang w:val="en-CA" w:eastAsia="zh-CN"/>
        </w:rPr>
        <w:t xml:space="preserve">. The </w:t>
      </w:r>
      <w:r w:rsidRPr="00552423">
        <w:rPr>
          <w:b/>
          <w:lang w:val="en-CA" w:eastAsia="zh-CN"/>
        </w:rPr>
        <w:t xml:space="preserve">remaining unallocated </w:t>
      </w:r>
      <w:r w:rsidRPr="00552423">
        <w:rPr>
          <w:lang w:val="en-CA" w:eastAsia="zh-CN"/>
        </w:rPr>
        <w:t xml:space="preserve">balance </w:t>
      </w:r>
      <w:r w:rsidRPr="00552423">
        <w:rPr>
          <w:b/>
          <w:lang w:val="en-CA" w:eastAsia="zh-CN"/>
        </w:rPr>
        <w:t xml:space="preserve">of US $55,662 </w:t>
      </w:r>
      <w:r w:rsidRPr="00552423">
        <w:rPr>
          <w:lang w:val="en-CA" w:eastAsia="zh-CN"/>
        </w:rPr>
        <w:t>will</w:t>
      </w:r>
      <w:r w:rsidRPr="007F1FA2">
        <w:rPr>
          <w:lang w:val="en-CA" w:eastAsia="zh-CN"/>
        </w:rPr>
        <w:t xml:space="preserve"> be used by FECO to purchase instruments for ODS monitoring for local </w:t>
      </w:r>
      <w:r w:rsidRPr="007F1FA2">
        <w:rPr>
          <w:b/>
          <w:lang w:val="en-CA" w:eastAsia="zh-CN"/>
        </w:rPr>
        <w:t>EEBs</w:t>
      </w:r>
      <w:r w:rsidRPr="007F1FA2">
        <w:rPr>
          <w:lang w:val="en-CA" w:eastAsia="zh-CN"/>
        </w:rPr>
        <w:t xml:space="preserve"> to build their capacity and achieve sustainable </w:t>
      </w:r>
      <w:r w:rsidRPr="007F1FA2">
        <w:rPr>
          <w:lang w:val="en-CA" w:eastAsia="zh-CN"/>
        </w:rPr>
        <w:lastRenderedPageBreak/>
        <w:t>CFC phase-out compliance</w:t>
      </w:r>
      <w:r w:rsidRPr="007F1FA2">
        <w:rPr>
          <w:lang w:val="en-CA"/>
        </w:rPr>
        <w:t xml:space="preserve">. </w:t>
      </w:r>
      <w:r w:rsidRPr="007F1FA2">
        <w:rPr>
          <w:b/>
          <w:lang w:val="en-CA"/>
        </w:rPr>
        <w:t>The total remaining un</w:t>
      </w:r>
      <w:r>
        <w:rPr>
          <w:b/>
          <w:lang w:val="en-CA"/>
        </w:rPr>
        <w:t>allocated balance of US$ 99,797</w:t>
      </w:r>
      <w:r w:rsidRPr="007F1FA2">
        <w:rPr>
          <w:b/>
          <w:lang w:val="en-CA"/>
        </w:rPr>
        <w:t xml:space="preserve"> from the CFC production sector, together with the unallocated fund from other sectors, is planned to be allocated to purchase instruments detect both pure ODS and ODS-containing foam products. Based on the purchase cycles of the detectors, the contract of this activity has been signed, and is expected to be completed by the end of 2019.</w:t>
      </w:r>
    </w:p>
    <w:p w:rsidR="00130205" w:rsidRPr="00C55E90" w:rsidRDefault="00130205" w:rsidP="00130205">
      <w:pPr>
        <w:keepNext/>
        <w:rPr>
          <w:u w:val="single"/>
          <w:lang w:val="en-CA"/>
        </w:rPr>
      </w:pPr>
      <w:r w:rsidRPr="00C55E90">
        <w:rPr>
          <w:u w:val="single"/>
          <w:lang w:val="en-CA"/>
        </w:rPr>
        <w:t>Halon sector</w:t>
      </w:r>
    </w:p>
    <w:p w:rsidR="00130205" w:rsidRPr="00A96CBF" w:rsidRDefault="00130205" w:rsidP="00130205">
      <w:pPr>
        <w:keepNext/>
        <w:rPr>
          <w:highlight w:val="yellow"/>
          <w:lang w:val="en-CA"/>
        </w:rPr>
      </w:pPr>
    </w:p>
    <w:p w:rsidR="00130205" w:rsidRPr="00C55E90" w:rsidRDefault="00130205" w:rsidP="00130205">
      <w:pPr>
        <w:pStyle w:val="Heading1"/>
        <w:rPr>
          <w:lang w:val="en-CA"/>
        </w:rPr>
      </w:pPr>
      <w:r w:rsidRPr="00C55E90">
        <w:rPr>
          <w:lang w:val="en-CA"/>
        </w:rPr>
        <w:t xml:space="preserve">A total of </w:t>
      </w:r>
      <w:r w:rsidRPr="00C55E90">
        <w:rPr>
          <w:b/>
          <w:lang w:val="en-CA"/>
        </w:rPr>
        <w:t>US $1,823,351</w:t>
      </w:r>
      <w:r w:rsidRPr="00C55E90">
        <w:rPr>
          <w:lang w:val="en-CA"/>
        </w:rPr>
        <w:t xml:space="preserve"> was disbursed between</w:t>
      </w:r>
      <w:r w:rsidRPr="00C55E90">
        <w:t xml:space="preserve"> </w:t>
      </w:r>
      <w:r w:rsidRPr="00C55E90">
        <w:rPr>
          <w:b/>
          <w:lang w:val="en-CA"/>
        </w:rPr>
        <w:t>1 July 2018 and 30 June 2019</w:t>
      </w:r>
      <w:r w:rsidRPr="00C55E90">
        <w:rPr>
          <w:lang w:val="en-CA"/>
        </w:rPr>
        <w:t xml:space="preserve">. The remaining funding of </w:t>
      </w:r>
      <w:r w:rsidRPr="00C55E90">
        <w:rPr>
          <w:b/>
          <w:lang w:val="en-CA"/>
        </w:rPr>
        <w:t>US $9,154,82</w:t>
      </w:r>
      <w:r>
        <w:rPr>
          <w:b/>
          <w:lang w:val="en-CA"/>
        </w:rPr>
        <w:t>7</w:t>
      </w:r>
      <w:r w:rsidRPr="00C55E90">
        <w:rPr>
          <w:lang w:val="en-CA"/>
        </w:rPr>
        <w:t xml:space="preserve"> is expected to be disbursed between the end of 2019 and 2022.</w:t>
      </w:r>
    </w:p>
    <w:p w:rsidR="00130205" w:rsidRPr="00BD3222" w:rsidRDefault="00130205" w:rsidP="00130205">
      <w:pPr>
        <w:pStyle w:val="Heading1"/>
        <w:rPr>
          <w:lang w:val="en-CA"/>
        </w:rPr>
      </w:pPr>
      <w:r w:rsidRPr="00BD3222">
        <w:rPr>
          <w:lang w:val="en-CA"/>
        </w:rPr>
        <w:t>In 2014, FECO prepared a plan to develop the national halon recycling and management system (NHRMC), and the remaining funding of the halon sector was entirely designated to support this program. Between 2015 and 2016, FECO established the NHRMC in cooperation with the certification center for fire products within the Ministry of Public Security. In 2017, the NHRMC publicized halon recycling in Shanghai, and worked with the government and the private sector to encourage halon recycling. Based on the experience gained in the last three years and feedback received, in 2018, NHRMC and FECO redesigned the work plan, started a project to develop an information management system and recycled 1.5 tonnes of halon</w:t>
      </w:r>
      <w:r w:rsidRPr="00BD3222">
        <w:rPr>
          <w:lang w:val="en-CA"/>
        </w:rPr>
        <w:noBreakHyphen/>
        <w:t>1301 from Tianjin and Jiangsu. Part of the remaining funding will be used for the purchase of equipment for stations, centers and local fire-fighting bureaus to analyze halon product components and identify their purity during recycling.</w:t>
      </w:r>
    </w:p>
    <w:p w:rsidR="00130205" w:rsidRPr="00BD3222" w:rsidRDefault="00130205" w:rsidP="00130205">
      <w:pPr>
        <w:pStyle w:val="Heading1"/>
        <w:rPr>
          <w:lang w:val="en-CA"/>
        </w:rPr>
      </w:pPr>
      <w:r w:rsidRPr="00BD3222">
        <w:rPr>
          <w:rFonts w:eastAsia="SimSun"/>
        </w:rPr>
        <w:t xml:space="preserve">In 2018, </w:t>
      </w:r>
      <w:r w:rsidRPr="00BD3222">
        <w:rPr>
          <w:lang w:val="en-CA"/>
        </w:rPr>
        <w:t xml:space="preserve">Shanghai </w:t>
      </w:r>
      <w:proofErr w:type="spellStart"/>
      <w:r w:rsidRPr="00BD3222">
        <w:rPr>
          <w:lang w:val="en-CA"/>
        </w:rPr>
        <w:t>Leinuo</w:t>
      </w:r>
      <w:proofErr w:type="spellEnd"/>
      <w:r w:rsidRPr="00BD3222">
        <w:rPr>
          <w:lang w:val="en-CA"/>
        </w:rPr>
        <w:t xml:space="preserve"> Security Technology Co., Ltd </w:t>
      </w:r>
      <w:r w:rsidRPr="00BD3222">
        <w:rPr>
          <w:rFonts w:eastAsia="SimSun"/>
        </w:rPr>
        <w:t>also recycled 450 kg of halon</w:t>
      </w:r>
      <w:r w:rsidRPr="00BD3222">
        <w:rPr>
          <w:rFonts w:eastAsia="SimSun"/>
        </w:rPr>
        <w:noBreakHyphen/>
        <w:t xml:space="preserve">1301 from discarded ships for sale. As the market price of recycled halon-1301 was insufficient to cover the recycling cost, </w:t>
      </w:r>
      <w:proofErr w:type="spellStart"/>
      <w:r w:rsidRPr="00BD3222">
        <w:rPr>
          <w:rFonts w:eastAsia="SimSun"/>
        </w:rPr>
        <w:t>Leinuo</w:t>
      </w:r>
      <w:proofErr w:type="spellEnd"/>
      <w:r w:rsidRPr="00BD3222">
        <w:rPr>
          <w:rFonts w:eastAsia="SimSun"/>
        </w:rPr>
        <w:t xml:space="preserve"> applied to NHRMC for a compensatory subsidy, which NHRMC is currently evaluating. </w:t>
      </w:r>
      <w:r w:rsidRPr="00BD3222">
        <w:rPr>
          <w:lang w:val="en-CA"/>
        </w:rPr>
        <w:t xml:space="preserve">In January 2019, </w:t>
      </w:r>
      <w:proofErr w:type="spellStart"/>
      <w:r w:rsidRPr="00BD3222">
        <w:rPr>
          <w:rFonts w:eastAsia="SimSun"/>
        </w:rPr>
        <w:t>Leinuo</w:t>
      </w:r>
      <w:proofErr w:type="spellEnd"/>
      <w:r w:rsidRPr="00BD3222">
        <w:rPr>
          <w:rFonts w:eastAsia="SimSun"/>
        </w:rPr>
        <w:t xml:space="preserve"> </w:t>
      </w:r>
      <w:r w:rsidRPr="00BD3222">
        <w:rPr>
          <w:lang w:val="en-CA"/>
        </w:rPr>
        <w:t xml:space="preserve">was formally certified as national halon-1301 recycling station and </w:t>
      </w:r>
      <w:r w:rsidRPr="00F4594F">
        <w:rPr>
          <w:b/>
          <w:lang w:val="en-CA"/>
        </w:rPr>
        <w:t>is currentl</w:t>
      </w:r>
      <w:r>
        <w:rPr>
          <w:b/>
          <w:lang w:val="en-CA"/>
        </w:rPr>
        <w:t>y receiving</w:t>
      </w:r>
      <w:r w:rsidRPr="00BD3222">
        <w:rPr>
          <w:lang w:val="en-CA"/>
        </w:rPr>
        <w:t xml:space="preserve"> assistance to enhance its capacity.</w:t>
      </w:r>
    </w:p>
    <w:p w:rsidR="00130205" w:rsidRPr="0089210B" w:rsidRDefault="00130205" w:rsidP="00130205">
      <w:pPr>
        <w:pStyle w:val="Heading1"/>
        <w:rPr>
          <w:rFonts w:eastAsia="SimSun"/>
          <w:b/>
        </w:rPr>
      </w:pPr>
      <w:r w:rsidRPr="0089210B">
        <w:rPr>
          <w:rFonts w:eastAsia="SimSun"/>
          <w:b/>
        </w:rPr>
        <w:t xml:space="preserve">The investigation of halon quantities for the Chinese civil aviation industry was concluded. </w:t>
      </w:r>
      <w:r>
        <w:rPr>
          <w:rFonts w:eastAsia="SimSun"/>
          <w:b/>
        </w:rPr>
        <w:t>Amounts of h</w:t>
      </w:r>
      <w:r w:rsidRPr="0089210B">
        <w:rPr>
          <w:rFonts w:eastAsia="SimSun"/>
          <w:b/>
        </w:rPr>
        <w:t>al</w:t>
      </w:r>
      <w:r>
        <w:rPr>
          <w:rFonts w:eastAsia="SimSun"/>
          <w:b/>
        </w:rPr>
        <w:t>on</w:t>
      </w:r>
      <w:r>
        <w:rPr>
          <w:rFonts w:eastAsia="SimSun"/>
          <w:b/>
        </w:rPr>
        <w:noBreakHyphen/>
        <w:t>1301 and halon</w:t>
      </w:r>
      <w:r>
        <w:rPr>
          <w:rFonts w:eastAsia="SimSun"/>
          <w:b/>
        </w:rPr>
        <w:noBreakHyphen/>
        <w:t>1211 existing in aircrafts and</w:t>
      </w:r>
      <w:r w:rsidRPr="0089210B">
        <w:rPr>
          <w:rFonts w:eastAsia="SimSun"/>
          <w:b/>
        </w:rPr>
        <w:t xml:space="preserve"> maintenance enterprises</w:t>
      </w:r>
      <w:r>
        <w:rPr>
          <w:rFonts w:eastAsia="SimSun"/>
          <w:b/>
        </w:rPr>
        <w:t xml:space="preserve"> were estimated, and</w:t>
      </w:r>
      <w:r w:rsidRPr="0089210B">
        <w:rPr>
          <w:rFonts w:eastAsia="SimSun"/>
          <w:b/>
        </w:rPr>
        <w:t xml:space="preserve"> </w:t>
      </w:r>
      <w:r>
        <w:rPr>
          <w:rFonts w:eastAsia="SimSun"/>
          <w:b/>
        </w:rPr>
        <w:t>it confirmed that a</w:t>
      </w:r>
      <w:r w:rsidRPr="0089210B">
        <w:rPr>
          <w:rFonts w:eastAsia="SimSun"/>
          <w:b/>
        </w:rPr>
        <w:t xml:space="preserve">irports are no longer using </w:t>
      </w:r>
      <w:r>
        <w:rPr>
          <w:rFonts w:eastAsia="SimSun"/>
          <w:b/>
        </w:rPr>
        <w:t>h</w:t>
      </w:r>
      <w:r w:rsidRPr="0089210B">
        <w:rPr>
          <w:rFonts w:eastAsia="SimSun"/>
          <w:b/>
        </w:rPr>
        <w:t>alon</w:t>
      </w:r>
      <w:r>
        <w:rPr>
          <w:rFonts w:eastAsia="SimSun"/>
          <w:b/>
        </w:rPr>
        <w:noBreakHyphen/>
      </w:r>
      <w:r w:rsidRPr="0089210B">
        <w:rPr>
          <w:rFonts w:eastAsia="SimSun"/>
          <w:b/>
        </w:rPr>
        <w:t xml:space="preserve">1301 and </w:t>
      </w:r>
      <w:r>
        <w:rPr>
          <w:rFonts w:eastAsia="SimSun"/>
          <w:b/>
        </w:rPr>
        <w:t>halon</w:t>
      </w:r>
      <w:r>
        <w:rPr>
          <w:rFonts w:eastAsia="SimSun"/>
          <w:b/>
        </w:rPr>
        <w:noBreakHyphen/>
      </w:r>
      <w:r w:rsidRPr="0089210B">
        <w:rPr>
          <w:rFonts w:eastAsia="SimSun"/>
          <w:b/>
        </w:rPr>
        <w:t>1211 in fire extinguishers</w:t>
      </w:r>
      <w:r>
        <w:rPr>
          <w:rFonts w:eastAsia="SimSun"/>
          <w:b/>
        </w:rPr>
        <w:t>, in line with regulations</w:t>
      </w:r>
      <w:r w:rsidRPr="0089210B">
        <w:rPr>
          <w:rFonts w:eastAsia="SimSun"/>
          <w:b/>
        </w:rPr>
        <w:t>.</w:t>
      </w:r>
    </w:p>
    <w:p w:rsidR="00130205" w:rsidRPr="00BD3222" w:rsidRDefault="00130205" w:rsidP="00130205">
      <w:pPr>
        <w:pStyle w:val="Heading1"/>
        <w:rPr>
          <w:rFonts w:eastAsia="SimSun"/>
        </w:rPr>
      </w:pPr>
      <w:r w:rsidRPr="00BD3222">
        <w:rPr>
          <w:lang w:val="en-CA"/>
        </w:rPr>
        <w:t>FECO is currently selecting qualified enterprises to undertake the establishment of a halon</w:t>
      </w:r>
      <w:r>
        <w:rPr>
          <w:lang w:val="en-CA"/>
        </w:rPr>
        <w:noBreakHyphen/>
      </w:r>
      <w:r w:rsidRPr="00BD3222">
        <w:rPr>
          <w:lang w:val="en-CA"/>
        </w:rPr>
        <w:t xml:space="preserve">1211 recycling center. The project is estimated to start in 2019 and be completed in 2020. In the meantime, FECO will provide assistance to the enterprise Zhejiang </w:t>
      </w:r>
      <w:proofErr w:type="spellStart"/>
      <w:r w:rsidRPr="00BD3222">
        <w:rPr>
          <w:lang w:val="en-CA"/>
        </w:rPr>
        <w:t>Dongyang</w:t>
      </w:r>
      <w:proofErr w:type="spellEnd"/>
      <w:r w:rsidRPr="00BD3222">
        <w:rPr>
          <w:lang w:val="en-CA"/>
        </w:rPr>
        <w:t xml:space="preserve"> chemical Co., Ltd to ensure the safe storage of 2,261.4 tonnes of halon-1211. </w:t>
      </w:r>
      <w:r w:rsidRPr="00BD3222">
        <w:rPr>
          <w:rFonts w:eastAsia="SimSun"/>
        </w:rPr>
        <w:t xml:space="preserve">In December 2018, FECO and NHRMC approved the project at US $1.45 million for new storage tanks and cylinders and the establishment of a stocks management and monitoring system. Currently, FECO and NHRMC are addressing safety concerns raised by the local government and the project is expected to restart </w:t>
      </w:r>
      <w:r>
        <w:rPr>
          <w:b/>
          <w:lang w:val="en-CA"/>
        </w:rPr>
        <w:t xml:space="preserve">in </w:t>
      </w:r>
      <w:r w:rsidRPr="00B6069C">
        <w:rPr>
          <w:b/>
          <w:lang w:val="en-CA"/>
        </w:rPr>
        <w:t>November 2019</w:t>
      </w:r>
      <w:r>
        <w:rPr>
          <w:b/>
          <w:lang w:val="en-CA"/>
        </w:rPr>
        <w:t>.</w:t>
      </w:r>
      <w:r w:rsidRPr="00BD3222">
        <w:rPr>
          <w:rFonts w:eastAsia="SimSun"/>
        </w:rPr>
        <w:t xml:space="preserve"> </w:t>
      </w:r>
      <w:r w:rsidRPr="00BD3222">
        <w:rPr>
          <w:lang w:val="en-CA"/>
        </w:rPr>
        <w:t xml:space="preserve">FECO and NHRMC plan to organize the policy and regulation research for halon recycling in 2019. </w:t>
      </w:r>
    </w:p>
    <w:p w:rsidR="00130205" w:rsidRPr="00B6069C" w:rsidRDefault="00130205" w:rsidP="00130205">
      <w:pPr>
        <w:pStyle w:val="Heading1"/>
        <w:rPr>
          <w:rFonts w:eastAsia="SimSun"/>
          <w:b/>
        </w:rPr>
      </w:pPr>
      <w:r w:rsidRPr="00BD3222">
        <w:rPr>
          <w:rFonts w:eastAsia="SimSun"/>
        </w:rPr>
        <w:t xml:space="preserve">FECO and NHRMC </w:t>
      </w:r>
      <w:r w:rsidRPr="00B6069C">
        <w:rPr>
          <w:rFonts w:eastAsia="SimSun"/>
          <w:b/>
        </w:rPr>
        <w:t>approved</w:t>
      </w:r>
      <w:r w:rsidRPr="00B6069C">
        <w:rPr>
          <w:rFonts w:eastAsia="SimSun"/>
        </w:rPr>
        <w:t xml:space="preserve"> a contra</w:t>
      </w:r>
      <w:r w:rsidRPr="00BD3222">
        <w:rPr>
          <w:rFonts w:eastAsia="SimSun"/>
        </w:rPr>
        <w:t xml:space="preserve">ct for US $200,000 with the Shanghai fire department to investigate halon quantities and distribution in the Shanghai district. </w:t>
      </w:r>
      <w:r w:rsidRPr="00B6069C">
        <w:rPr>
          <w:rFonts w:eastAsia="SimSun"/>
          <w:b/>
        </w:rPr>
        <w:t>Terms of reference for a similar contract with the Henan fire department are being prepared.</w:t>
      </w:r>
    </w:p>
    <w:p w:rsidR="00130205" w:rsidRDefault="00130205" w:rsidP="00130205">
      <w:pPr>
        <w:pStyle w:val="Heading1"/>
        <w:rPr>
          <w:rFonts w:eastAsia="SimSun"/>
        </w:rPr>
      </w:pPr>
      <w:r w:rsidRPr="00BD3222">
        <w:rPr>
          <w:rFonts w:eastAsia="SimSun"/>
        </w:rPr>
        <w:t>NHRMC and FECO are committed to exploring the feasibility of international cooperation on halon recycling and disposal, to assist other Article 5 countries in achieving the compliance target.</w:t>
      </w:r>
      <w:bookmarkStart w:id="0" w:name="_Hlk524524810"/>
      <w:r w:rsidRPr="00BD3222">
        <w:rPr>
          <w:rFonts w:eastAsia="SimSun"/>
        </w:rPr>
        <w:t xml:space="preserve"> In the next few decades, HFC fire-fighting products have the potential to becom</w:t>
      </w:r>
      <w:bookmarkEnd w:id="0"/>
      <w:r w:rsidRPr="00BD3222">
        <w:rPr>
          <w:rFonts w:eastAsia="SimSun"/>
        </w:rPr>
        <w:t>e the main substitute for halon products. Considering that the Kigali Amendment will gradually reduce the production and consumption of HFC, relevant experience learned from the establishment of NHRMC could be adapted to HFC recycling, reclaiming, recovering and disposal.</w:t>
      </w:r>
    </w:p>
    <w:p w:rsidR="00130205" w:rsidRPr="0089210B" w:rsidRDefault="00130205" w:rsidP="00130205">
      <w:pPr>
        <w:pStyle w:val="Heading1"/>
        <w:rPr>
          <w:rFonts w:eastAsia="SimSun"/>
          <w:b/>
        </w:rPr>
      </w:pPr>
      <w:r w:rsidRPr="0089210B">
        <w:rPr>
          <w:rFonts w:eastAsia="SimSun"/>
          <w:b/>
        </w:rPr>
        <w:lastRenderedPageBreak/>
        <w:t xml:space="preserve">FECO intends to </w:t>
      </w:r>
      <w:r>
        <w:rPr>
          <w:rFonts w:eastAsia="SimSun"/>
          <w:b/>
        </w:rPr>
        <w:t>implement</w:t>
      </w:r>
      <w:r w:rsidRPr="0089210B">
        <w:rPr>
          <w:rFonts w:eastAsia="SimSun"/>
          <w:b/>
        </w:rPr>
        <w:t xml:space="preserve"> a project for </w:t>
      </w:r>
      <w:r>
        <w:rPr>
          <w:rFonts w:eastAsia="SimSun"/>
          <w:b/>
        </w:rPr>
        <w:t xml:space="preserve">monitoring </w:t>
      </w:r>
      <w:r w:rsidRPr="0089210B">
        <w:rPr>
          <w:rFonts w:eastAsia="SimSun"/>
          <w:b/>
        </w:rPr>
        <w:t>the feedstock use of halon</w:t>
      </w:r>
      <w:r>
        <w:rPr>
          <w:rFonts w:eastAsia="SimSun"/>
          <w:b/>
        </w:rPr>
        <w:noBreakHyphen/>
      </w:r>
      <w:r w:rsidRPr="0089210B">
        <w:rPr>
          <w:rFonts w:eastAsia="SimSun"/>
          <w:b/>
        </w:rPr>
        <w:t xml:space="preserve">1301 and </w:t>
      </w:r>
      <w:r>
        <w:rPr>
          <w:rFonts w:eastAsia="SimSun"/>
          <w:b/>
        </w:rPr>
        <w:t xml:space="preserve">identifying </w:t>
      </w:r>
      <w:r w:rsidRPr="0089210B">
        <w:rPr>
          <w:rFonts w:eastAsia="SimSun"/>
          <w:b/>
        </w:rPr>
        <w:t>any possible illegal production and sales of halon</w:t>
      </w:r>
      <w:r>
        <w:rPr>
          <w:rFonts w:eastAsia="SimSun"/>
          <w:b/>
        </w:rPr>
        <w:noBreakHyphen/>
      </w:r>
      <w:r w:rsidRPr="0089210B">
        <w:rPr>
          <w:rFonts w:eastAsia="SimSun"/>
          <w:b/>
        </w:rPr>
        <w:t xml:space="preserve">1301. At present, this project is still </w:t>
      </w:r>
      <w:r>
        <w:rPr>
          <w:rFonts w:eastAsia="SimSun"/>
          <w:b/>
        </w:rPr>
        <w:t>under preparation</w:t>
      </w:r>
      <w:r w:rsidRPr="0089210B">
        <w:rPr>
          <w:rFonts w:eastAsia="SimSun"/>
          <w:b/>
        </w:rPr>
        <w:t xml:space="preserve"> and coordination with the relevant department.</w:t>
      </w:r>
    </w:p>
    <w:p w:rsidR="00130205" w:rsidRPr="00B6069C" w:rsidRDefault="00130205" w:rsidP="00130205">
      <w:pPr>
        <w:pStyle w:val="Heading1"/>
        <w:rPr>
          <w:rFonts w:eastAsia="SimSun"/>
        </w:rPr>
      </w:pPr>
      <w:r w:rsidRPr="00B6069C">
        <w:rPr>
          <w:rFonts w:eastAsia="SimSun"/>
        </w:rPr>
        <w:t xml:space="preserve">With the funding so far disbursed, the Government of China has gradually established and operated the NHRMC. </w:t>
      </w:r>
      <w:r w:rsidRPr="00466583">
        <w:rPr>
          <w:rFonts w:eastAsia="SimSun"/>
        </w:rPr>
        <w:t xml:space="preserve">Out of the balance of </w:t>
      </w:r>
      <w:r w:rsidRPr="00466583">
        <w:rPr>
          <w:rFonts w:eastAsia="SimSun"/>
          <w:b/>
        </w:rPr>
        <w:t>US $9.15</w:t>
      </w:r>
      <w:r w:rsidRPr="00466583">
        <w:rPr>
          <w:rFonts w:eastAsia="SimSun"/>
        </w:rPr>
        <w:t xml:space="preserve"> million, </w:t>
      </w:r>
      <w:r w:rsidRPr="00466583">
        <w:rPr>
          <w:rFonts w:eastAsia="SimSun"/>
          <w:b/>
        </w:rPr>
        <w:t>US $1.89</w:t>
      </w:r>
      <w:r w:rsidRPr="00466583">
        <w:rPr>
          <w:rFonts w:eastAsia="SimSun"/>
        </w:rPr>
        <w:t xml:space="preserve"> million are committed on ongoing activities. The </w:t>
      </w:r>
      <w:r w:rsidRPr="00466583">
        <w:rPr>
          <w:rFonts w:eastAsia="SimSun"/>
          <w:b/>
        </w:rPr>
        <w:t>US $7.26</w:t>
      </w:r>
      <w:r w:rsidRPr="00466583">
        <w:rPr>
          <w:rFonts w:eastAsia="SimSun"/>
        </w:rPr>
        <w:t> million</w:t>
      </w:r>
      <w:r w:rsidRPr="00B6069C">
        <w:rPr>
          <w:rFonts w:eastAsia="SimSun"/>
        </w:rPr>
        <w:t xml:space="preserve"> not committed yet will be used on activities aimed to further improve the recycling system and achieve sustainable management of halons, including: the establishment and operation of the halon-1211 recycling centre, halon-1301 recycling operations, capacity building for halon recycling stations, procurement of halon detecting instrument, policy and regulation research for halon recycling, investigation of halon quantities in key areas of China and disposal of unusable halon and residues. These activities will be implemented between 2019 and 2022.</w:t>
      </w:r>
    </w:p>
    <w:p w:rsidR="00130205" w:rsidRPr="00B6069C" w:rsidRDefault="00130205" w:rsidP="00130205">
      <w:pPr>
        <w:keepNext/>
        <w:rPr>
          <w:u w:val="single"/>
          <w:lang w:val="en-CA"/>
        </w:rPr>
      </w:pPr>
      <w:r w:rsidRPr="00B6069C">
        <w:rPr>
          <w:u w:val="single"/>
          <w:lang w:val="en-CA"/>
        </w:rPr>
        <w:t>Process agent II</w:t>
      </w:r>
    </w:p>
    <w:p w:rsidR="00130205" w:rsidRPr="00B6069C" w:rsidRDefault="00130205" w:rsidP="00130205">
      <w:pPr>
        <w:keepNext/>
        <w:rPr>
          <w:i/>
          <w:highlight w:val="yellow"/>
          <w:lang w:val="en-CA"/>
        </w:rPr>
      </w:pPr>
    </w:p>
    <w:p w:rsidR="00130205" w:rsidRPr="00BD3222" w:rsidRDefault="00130205" w:rsidP="00130205">
      <w:pPr>
        <w:pStyle w:val="Heading1"/>
        <w:rPr>
          <w:lang w:val="en-CA"/>
        </w:rPr>
      </w:pPr>
      <w:r w:rsidRPr="00BD3222">
        <w:rPr>
          <w:lang w:val="en-CA"/>
        </w:rPr>
        <w:t xml:space="preserve">A total of </w:t>
      </w:r>
      <w:r w:rsidRPr="00BD3222">
        <w:rPr>
          <w:b/>
          <w:lang w:val="en-CA"/>
        </w:rPr>
        <w:t>US $4,256,910</w:t>
      </w:r>
      <w:r w:rsidRPr="00BD3222">
        <w:rPr>
          <w:lang w:val="en-CA"/>
        </w:rPr>
        <w:t xml:space="preserve"> was disbursed between </w:t>
      </w:r>
      <w:r w:rsidRPr="00BD3222">
        <w:rPr>
          <w:b/>
          <w:lang w:val="en-CA"/>
        </w:rPr>
        <w:t>1 July 2018 and 30 June 2019</w:t>
      </w:r>
      <w:r w:rsidRPr="00BD3222">
        <w:rPr>
          <w:lang w:val="en-CA"/>
        </w:rPr>
        <w:t xml:space="preserve">. The remaining funding of </w:t>
      </w:r>
      <w:r w:rsidRPr="00BD3222">
        <w:rPr>
          <w:b/>
          <w:lang w:val="en-CA"/>
        </w:rPr>
        <w:t>US $3,076,109</w:t>
      </w:r>
      <w:r>
        <w:rPr>
          <w:lang w:val="en-CA"/>
        </w:rPr>
        <w:t xml:space="preserve"> is</w:t>
      </w:r>
      <w:r w:rsidRPr="00BD3222">
        <w:rPr>
          <w:lang w:val="en-CA"/>
        </w:rPr>
        <w:t xml:space="preserve"> expected to be disbursed between the end of 2019 and 202</w:t>
      </w:r>
      <w:r>
        <w:rPr>
          <w:lang w:val="en-CA"/>
        </w:rPr>
        <w:t>0</w:t>
      </w:r>
      <w:r w:rsidRPr="00BD3222">
        <w:rPr>
          <w:lang w:val="en-CA"/>
        </w:rPr>
        <w:t>.</w:t>
      </w:r>
      <w:r>
        <w:rPr>
          <w:rStyle w:val="FootnoteReference"/>
          <w:lang w:val="en-CA"/>
        </w:rPr>
        <w:footnoteReference w:id="8"/>
      </w:r>
    </w:p>
    <w:p w:rsidR="00130205" w:rsidRDefault="00130205" w:rsidP="00130205">
      <w:pPr>
        <w:pStyle w:val="Heading1"/>
        <w:rPr>
          <w:b/>
          <w:lang w:val="en-CA"/>
        </w:rPr>
      </w:pPr>
      <w:r w:rsidRPr="00A063DD">
        <w:rPr>
          <w:b/>
          <w:lang w:val="en-CA"/>
        </w:rPr>
        <w:t xml:space="preserve">The progress report on the process agent II was received </w:t>
      </w:r>
      <w:r>
        <w:rPr>
          <w:b/>
          <w:lang w:val="en-CA"/>
        </w:rPr>
        <w:t xml:space="preserve">on </w:t>
      </w:r>
      <w:r w:rsidRPr="00A063DD">
        <w:rPr>
          <w:b/>
          <w:lang w:val="en-CA"/>
        </w:rPr>
        <w:t xml:space="preserve">15 November 2019 and the Secretariat was unable to review that report in time for inclusion in the present document. </w:t>
      </w:r>
      <w:r>
        <w:rPr>
          <w:b/>
          <w:lang w:val="en-CA"/>
        </w:rPr>
        <w:t>For ease of reference, the information as presented to the 83</w:t>
      </w:r>
      <w:r w:rsidRPr="00DD073D">
        <w:rPr>
          <w:b/>
          <w:vertAlign w:val="superscript"/>
          <w:lang w:val="en-CA"/>
        </w:rPr>
        <w:t>rd</w:t>
      </w:r>
      <w:r>
        <w:rPr>
          <w:b/>
          <w:lang w:val="en-CA"/>
        </w:rPr>
        <w:t xml:space="preserve"> meeting is included below. </w:t>
      </w:r>
    </w:p>
    <w:p w:rsidR="00130205" w:rsidRPr="00A063DD" w:rsidRDefault="00130205" w:rsidP="00130205">
      <w:pPr>
        <w:pStyle w:val="Heading1"/>
        <w:rPr>
          <w:lang w:val="en-CA"/>
        </w:rPr>
      </w:pPr>
      <w:r w:rsidRPr="00A063DD">
        <w:rPr>
          <w:lang w:val="en-CA"/>
        </w:rPr>
        <w:t>Six EEBs working with producers of CTC and other ODS received assistance to set up ODS management offices, establish specialized channels for enterprises to report ODS data, and undertake on</w:t>
      </w:r>
      <w:r>
        <w:rPr>
          <w:lang w:val="en-CA"/>
        </w:rPr>
        <w:noBreakHyphen/>
      </w:r>
      <w:r w:rsidRPr="00A063DD">
        <w:rPr>
          <w:lang w:val="en-CA"/>
        </w:rPr>
        <w:t>site inspections of enterprises. The project has been completed and the last payment was disbursed in January</w:t>
      </w:r>
      <w:r>
        <w:rPr>
          <w:lang w:val="en-CA"/>
        </w:rPr>
        <w:t> </w:t>
      </w:r>
      <w:r w:rsidRPr="00A063DD">
        <w:rPr>
          <w:lang w:val="en-CA"/>
        </w:rPr>
        <w:t>2019, for a total disbursement of US $280,000 for this activity. The remaining balance of US $8,357 is proposed to be allocated to strengthened ODS monitoring and management.</w:t>
      </w:r>
    </w:p>
    <w:p w:rsidR="00130205" w:rsidRPr="00A063DD" w:rsidRDefault="00130205" w:rsidP="00F36AC5">
      <w:pPr>
        <w:pStyle w:val="Heading1"/>
        <w:keepNext/>
        <w:rPr>
          <w:lang w:val="en-CA"/>
        </w:rPr>
      </w:pPr>
      <w:r w:rsidRPr="00A063DD">
        <w:rPr>
          <w:lang w:val="en-CA"/>
        </w:rPr>
        <w:t xml:space="preserve">A CTC residue disposal project is being implemented to support CTC by-producers in the disposal of their distillation residues from CTC refining and conversion facilities. Contracts for US $4.6 million in total were signed with nine enterprises for the construction of incinerators (3), the upgrading of existing incinerators (2), the construction of residue reduction devices (2), and for operation costs subsidies (2). Construction of the three incinerators and two residue reduction devices has been completed, with the incinerators and devices tested; one enterprise finished the upgrade to its existing incinerator, while the other has not yet finished its upgrade. On-site verification of the two enterprisers receiving subsidies for the operation of their incinerators confirmed their use to dispose CTC residues. The level of disbursement for those activities was US $3,228,084, with US $1,371,915 in payments still to be made upon completion of the activities by December 2019. The remaining balance of US $845,970 is proposed to be allocated to strengthened ODS monitoring and management. </w:t>
      </w:r>
    </w:p>
    <w:p w:rsidR="00130205" w:rsidRPr="000C1F0C" w:rsidRDefault="00130205" w:rsidP="00130205">
      <w:pPr>
        <w:pStyle w:val="Heading1"/>
        <w:rPr>
          <w:b/>
          <w:lang w:val="en-CA"/>
        </w:rPr>
      </w:pPr>
      <w:r w:rsidRPr="000C1F0C">
        <w:rPr>
          <w:lang w:val="en-CA"/>
        </w:rPr>
        <w:t xml:space="preserve">As per the requirements of decision 75/18 of the Executive Committee, a study on China’s production of CTC and its use for feedstock applications was launched in March 2018. Questionnaires for methane chloride production enterprises (CTC by-producers) and CTC feedstock use enterprises have been designed and were distributed in July. On-site investigations at the enterprises are being carried out, and a report assessing current emissions from CTC production and the feedstock usage is under preparation. </w:t>
      </w:r>
      <w:r w:rsidRPr="000C1F0C">
        <w:rPr>
          <w:b/>
          <w:lang w:val="en-CA"/>
        </w:rPr>
        <w:t>The report was submitted on 21 October 2019</w:t>
      </w:r>
      <w:r w:rsidRPr="000C1F0C">
        <w:rPr>
          <w:lang w:val="en-CA"/>
        </w:rPr>
        <w:t xml:space="preserve">; </w:t>
      </w:r>
      <w:r w:rsidRPr="000C1F0C">
        <w:rPr>
          <w:b/>
          <w:lang w:val="en-CA"/>
        </w:rPr>
        <w:t>the Secretariat will present that report, and the Secre</w:t>
      </w:r>
      <w:r>
        <w:rPr>
          <w:b/>
          <w:lang w:val="en-CA"/>
        </w:rPr>
        <w:t>tariat’s review thereof, in A</w:t>
      </w:r>
      <w:r w:rsidRPr="000C1F0C">
        <w:rPr>
          <w:b/>
          <w:lang w:val="en-CA"/>
        </w:rPr>
        <w:t xml:space="preserve">ddendum </w:t>
      </w:r>
      <w:r>
        <w:rPr>
          <w:b/>
          <w:lang w:val="en-CA"/>
        </w:rPr>
        <w:t>I</w:t>
      </w:r>
      <w:r w:rsidR="001D5CF4">
        <w:rPr>
          <w:b/>
          <w:lang w:val="en-CA"/>
        </w:rPr>
        <w:t>I</w:t>
      </w:r>
      <w:r>
        <w:rPr>
          <w:b/>
          <w:lang w:val="en-CA"/>
        </w:rPr>
        <w:t xml:space="preserve"> </w:t>
      </w:r>
      <w:r w:rsidR="001D5CF4">
        <w:rPr>
          <w:b/>
          <w:lang w:val="en-CA"/>
        </w:rPr>
        <w:t xml:space="preserve">to </w:t>
      </w:r>
      <w:r w:rsidRPr="000C1F0C">
        <w:rPr>
          <w:b/>
          <w:lang w:val="en-CA"/>
        </w:rPr>
        <w:t>document</w:t>
      </w:r>
      <w:r w:rsidR="001D5CF4">
        <w:rPr>
          <w:b/>
          <w:lang w:val="en-CA"/>
        </w:rPr>
        <w:t xml:space="preserve"> UNEP/</w:t>
      </w:r>
      <w:proofErr w:type="spellStart"/>
      <w:r w:rsidR="001D5CF4">
        <w:rPr>
          <w:b/>
          <w:lang w:val="en-CA"/>
        </w:rPr>
        <w:t>OzLPro</w:t>
      </w:r>
      <w:proofErr w:type="spellEnd"/>
      <w:r w:rsidR="001D5CF4">
        <w:rPr>
          <w:b/>
          <w:lang w:val="en-CA"/>
        </w:rPr>
        <w:t>/</w:t>
      </w:r>
      <w:proofErr w:type="spellStart"/>
      <w:r w:rsidR="001D5CF4">
        <w:rPr>
          <w:b/>
          <w:lang w:val="en-CA"/>
        </w:rPr>
        <w:t>ExCom</w:t>
      </w:r>
      <w:proofErr w:type="spellEnd"/>
      <w:r w:rsidR="001D5CF4">
        <w:rPr>
          <w:b/>
          <w:lang w:val="en-CA"/>
        </w:rPr>
        <w:t>/84/22</w:t>
      </w:r>
      <w:r w:rsidRPr="000C1F0C">
        <w:rPr>
          <w:b/>
          <w:lang w:val="en-CA"/>
        </w:rPr>
        <w:t xml:space="preserve">. </w:t>
      </w:r>
    </w:p>
    <w:p w:rsidR="00130205" w:rsidRPr="00A063DD" w:rsidRDefault="00130205" w:rsidP="00130205">
      <w:pPr>
        <w:pStyle w:val="Heading1"/>
        <w:rPr>
          <w:lang w:val="en-CA"/>
        </w:rPr>
      </w:pPr>
      <w:r w:rsidRPr="00A063DD">
        <w:rPr>
          <w:lang w:val="en-CA"/>
        </w:rPr>
        <w:t xml:space="preserve">Decision XXIII/6 specifies that after 31 December 2014, the use of CTC for the testing of oil in water would only be allowed under an essential use exemption. In 2017, the Government of China announced its commitment to phase out the use of CTC for laboratory testing of oil in water by 2019. In </w:t>
      </w:r>
      <w:r w:rsidRPr="00A063DD">
        <w:rPr>
          <w:lang w:val="en-CA"/>
        </w:rPr>
        <w:lastRenderedPageBreak/>
        <w:t xml:space="preserve">January 2018, FECO signed a contract with Tianjin Eco-Environmental Monitoring Center to develop alternative testing standards. Technical ways of replacing CTC with n-hexane have now been determined, and three national standards have been developed and were released and became effective 1 January 2019, and US $10,978, representing the final payment under the contract, was disbursed. The contract with Beijing </w:t>
      </w:r>
      <w:proofErr w:type="spellStart"/>
      <w:r w:rsidRPr="00A063DD">
        <w:rPr>
          <w:lang w:val="en-CA"/>
        </w:rPr>
        <w:t>Guohua</w:t>
      </w:r>
      <w:proofErr w:type="spellEnd"/>
      <w:r w:rsidRPr="00A063DD">
        <w:rPr>
          <w:lang w:val="en-CA"/>
        </w:rPr>
        <w:t xml:space="preserve"> </w:t>
      </w:r>
      <w:proofErr w:type="spellStart"/>
      <w:r w:rsidRPr="00A063DD">
        <w:rPr>
          <w:lang w:val="en-CA"/>
        </w:rPr>
        <w:t>Jingshi</w:t>
      </w:r>
      <w:proofErr w:type="spellEnd"/>
      <w:r w:rsidRPr="00A063DD">
        <w:rPr>
          <w:lang w:val="en-CA"/>
        </w:rPr>
        <w:t xml:space="preserve"> Consulting Co., Ltd., was signed in August 2018 to continue </w:t>
      </w:r>
      <w:r w:rsidRPr="00A063DD">
        <w:rPr>
          <w:lang w:val="en-US"/>
        </w:rPr>
        <w:t xml:space="preserve">training and advocacy for alternative technologies to replace analytical use of ODS in laboratories; the contract value is </w:t>
      </w:r>
      <w:r w:rsidRPr="00A063DD">
        <w:rPr>
          <w:lang w:val="en-CA"/>
        </w:rPr>
        <w:t xml:space="preserve">US $110,224, and the first payment of US $10,978 was disbursed. A further </w:t>
      </w:r>
      <w:r w:rsidRPr="00A063DD">
        <w:rPr>
          <w:lang w:val="en-US"/>
        </w:rPr>
        <w:t>US $14,125 was disbursed to experts for technical support for project evaluation, acceptance and site verification.</w:t>
      </w:r>
    </w:p>
    <w:p w:rsidR="00130205" w:rsidRPr="00A063DD" w:rsidRDefault="00130205" w:rsidP="00130205">
      <w:pPr>
        <w:pStyle w:val="Heading1"/>
        <w:rPr>
          <w:lang w:val="en-CA"/>
        </w:rPr>
      </w:pPr>
      <w:r w:rsidRPr="00A063DD">
        <w:rPr>
          <w:lang w:val="en-CA"/>
        </w:rPr>
        <w:t xml:space="preserve">In addition, two projects have been launched to strengthen capacity building for sustainable compliance with the Montreal Protocol. One project is the design and construction of an ODS online data reporting information system (stage II) (US $250,000). The online system will complement the HCFC online management information system </w:t>
      </w:r>
      <w:r w:rsidR="00894F66">
        <w:rPr>
          <w:lang w:val="en-CA"/>
        </w:rPr>
        <w:t xml:space="preserve">(MIS) </w:t>
      </w:r>
      <w:r w:rsidRPr="00A063DD">
        <w:rPr>
          <w:lang w:val="en-CA"/>
        </w:rPr>
        <w:t xml:space="preserve">established under the stage I of the HPPMP by incorporating data on all ODS and will be a management platform to MEE and local EEBs to monitor enterprises under their jurisdiction. The other project is capacity building for customs in the area of supervision and management of ODS (US $750,000). </w:t>
      </w:r>
      <w:r w:rsidRPr="00A063DD">
        <w:rPr>
          <w:lang w:val="en-US"/>
        </w:rPr>
        <w:t xml:space="preserve">FECO is coordinating the supervision and management of ODS </w:t>
      </w:r>
      <w:r w:rsidRPr="00A063DD">
        <w:rPr>
          <w:rFonts w:hint="eastAsia"/>
          <w:lang w:val="en-US"/>
        </w:rPr>
        <w:t xml:space="preserve">trade </w:t>
      </w:r>
      <w:r w:rsidRPr="00A063DD">
        <w:rPr>
          <w:lang w:val="en-US"/>
        </w:rPr>
        <w:t>with the new department at the Customs Authority given institutional reforms at the Customs Authority</w:t>
      </w:r>
      <w:r w:rsidRPr="00A063DD">
        <w:rPr>
          <w:lang w:val="en-CA"/>
        </w:rPr>
        <w:t>.</w:t>
      </w:r>
    </w:p>
    <w:p w:rsidR="00130205" w:rsidRPr="00A063DD" w:rsidRDefault="00130205" w:rsidP="00130205">
      <w:pPr>
        <w:pStyle w:val="Heading1"/>
        <w:rPr>
          <w:lang w:val="en-CA"/>
        </w:rPr>
      </w:pPr>
      <w:r w:rsidRPr="00A063DD">
        <w:rPr>
          <w:lang w:val="en-CA"/>
        </w:rPr>
        <w:t>Given unallocated balances of approximately US $1.24 million, the Government of China proposes to undertake the following activities to enhance the long-term monitoring and management of ODS:</w:t>
      </w:r>
    </w:p>
    <w:p w:rsidR="00130205" w:rsidRPr="00A063DD" w:rsidRDefault="00130205" w:rsidP="00130205">
      <w:pPr>
        <w:pStyle w:val="Heading2"/>
        <w:numPr>
          <w:ilvl w:val="1"/>
          <w:numId w:val="1"/>
        </w:numPr>
        <w:rPr>
          <w:lang w:eastAsia="zh-CN"/>
        </w:rPr>
      </w:pPr>
      <w:r w:rsidRPr="00A063DD">
        <w:rPr>
          <w:rFonts w:hint="eastAsia"/>
          <w:lang w:eastAsia="zh-CN"/>
        </w:rPr>
        <w:t>C</w:t>
      </w:r>
      <w:r w:rsidRPr="00A063DD">
        <w:rPr>
          <w:lang w:eastAsia="zh-CN"/>
        </w:rPr>
        <w:t>onstruction and upgrade the online monitoring system</w:t>
      </w:r>
      <w:r w:rsidRPr="00A063DD">
        <w:rPr>
          <w:rFonts w:hint="eastAsia"/>
          <w:lang w:eastAsia="zh-CN"/>
        </w:rPr>
        <w:t xml:space="preserve"> on CTC production</w:t>
      </w:r>
      <w:r w:rsidRPr="00A063DD">
        <w:rPr>
          <w:lang w:eastAsia="zh-CN"/>
        </w:rPr>
        <w:t xml:space="preserve">. This system would complement the ODS </w:t>
      </w:r>
      <w:r w:rsidR="00894F66">
        <w:rPr>
          <w:lang w:eastAsia="zh-CN"/>
        </w:rPr>
        <w:t>MIS</w:t>
      </w:r>
      <w:r w:rsidRPr="00A063DD">
        <w:rPr>
          <w:lang w:eastAsia="zh-CN"/>
        </w:rPr>
        <w:t xml:space="preserve"> by focusing on</w:t>
      </w:r>
      <w:r w:rsidRPr="00A063DD">
        <w:rPr>
          <w:rFonts w:eastAsia="SimSun"/>
          <w:color w:val="365F91" w:themeColor="accent1" w:themeShade="BF"/>
          <w:sz w:val="24"/>
          <w:szCs w:val="21"/>
          <w:lang w:val="en-US" w:eastAsia="zh-CN"/>
        </w:rPr>
        <w:t xml:space="preserve"> </w:t>
      </w:r>
      <w:r w:rsidRPr="00A063DD">
        <w:rPr>
          <w:lang w:val="en-US" w:eastAsia="zh-CN"/>
        </w:rPr>
        <w:t xml:space="preserve">the CTC production, conversion, sales and stockpile among all the </w:t>
      </w:r>
      <w:r w:rsidR="00EC1C3A" w:rsidRPr="00EC1C3A">
        <w:rPr>
          <w:shd w:val="clear" w:color="auto" w:fill="FFFFFF"/>
        </w:rPr>
        <w:t>chloromethane</w:t>
      </w:r>
      <w:r w:rsidR="00EC1C3A" w:rsidRPr="00A063DD">
        <w:rPr>
          <w:lang w:val="en-US" w:eastAsia="zh-CN"/>
        </w:rPr>
        <w:t xml:space="preserve"> </w:t>
      </w:r>
      <w:r w:rsidR="00EC1C3A">
        <w:rPr>
          <w:lang w:val="en-US" w:eastAsia="zh-CN"/>
        </w:rPr>
        <w:t>(</w:t>
      </w:r>
      <w:r w:rsidRPr="00A063DD">
        <w:rPr>
          <w:lang w:val="en-US" w:eastAsia="zh-CN"/>
        </w:rPr>
        <w:t>CM</w:t>
      </w:r>
      <w:r w:rsidR="00EC1C3A">
        <w:rPr>
          <w:lang w:val="en-US" w:eastAsia="zh-CN"/>
        </w:rPr>
        <w:t>)</w:t>
      </w:r>
      <w:r w:rsidRPr="00A063DD">
        <w:rPr>
          <w:lang w:val="en-US" w:eastAsia="zh-CN"/>
        </w:rPr>
        <w:t xml:space="preserve"> producers</w:t>
      </w:r>
      <w:r w:rsidRPr="00A063DD">
        <w:rPr>
          <w:lang w:eastAsia="zh-CN"/>
        </w:rPr>
        <w:t>;</w:t>
      </w:r>
    </w:p>
    <w:p w:rsidR="00130205" w:rsidRPr="00A063DD" w:rsidRDefault="00130205" w:rsidP="00130205">
      <w:pPr>
        <w:pStyle w:val="Heading2"/>
        <w:numPr>
          <w:ilvl w:val="1"/>
          <w:numId w:val="1"/>
        </w:numPr>
        <w:rPr>
          <w:lang w:eastAsia="zh-CN"/>
        </w:rPr>
      </w:pPr>
      <w:r w:rsidRPr="00A063DD">
        <w:rPr>
          <w:lang w:eastAsia="zh-CN"/>
        </w:rPr>
        <w:t>Investigations of CTC produc</w:t>
      </w:r>
      <w:r w:rsidRPr="00A063DD">
        <w:rPr>
          <w:rFonts w:hint="eastAsia"/>
          <w:lang w:eastAsia="zh-CN"/>
        </w:rPr>
        <w:t>tion</w:t>
      </w:r>
      <w:r w:rsidRPr="00A063DD">
        <w:rPr>
          <w:lang w:eastAsia="zh-CN"/>
        </w:rPr>
        <w:t xml:space="preserve"> and feedstock uses. This activity will complement the study to be submitted in line with decision 75/18, which was</w:t>
      </w:r>
      <w:r w:rsidRPr="00A063DD">
        <w:rPr>
          <w:rFonts w:eastAsia="SimSun"/>
          <w:color w:val="365F91" w:themeColor="accent1" w:themeShade="BF"/>
          <w:sz w:val="24"/>
          <w:szCs w:val="21"/>
          <w:lang w:val="en-US" w:eastAsia="zh-CN"/>
        </w:rPr>
        <w:t xml:space="preserve"> </w:t>
      </w:r>
      <w:r w:rsidRPr="00A063DD">
        <w:rPr>
          <w:lang w:val="en-US" w:eastAsia="zh-CN"/>
        </w:rPr>
        <w:t>carried out by an expert with a focus on CTC emissions during CTC production and feedstock uses. This activity is planned as an on-site survey and verification for CTC production and feedstock uses. PCE plants would not be covered</w:t>
      </w:r>
      <w:r w:rsidRPr="00A063DD">
        <w:rPr>
          <w:lang w:eastAsia="zh-CN"/>
        </w:rPr>
        <w:t>;</w:t>
      </w:r>
    </w:p>
    <w:p w:rsidR="00130205" w:rsidRPr="00A063DD" w:rsidRDefault="00130205" w:rsidP="00130205">
      <w:pPr>
        <w:pStyle w:val="Heading2"/>
        <w:numPr>
          <w:ilvl w:val="1"/>
          <w:numId w:val="1"/>
        </w:numPr>
        <w:rPr>
          <w:lang w:eastAsia="zh-CN"/>
        </w:rPr>
      </w:pPr>
      <w:r w:rsidRPr="00A063DD">
        <w:rPr>
          <w:rFonts w:hint="eastAsia"/>
          <w:lang w:eastAsia="zh-CN"/>
        </w:rPr>
        <w:t xml:space="preserve">Support to enterprises on </w:t>
      </w:r>
      <w:r w:rsidRPr="00A063DD">
        <w:rPr>
          <w:lang w:eastAsia="zh-CN"/>
        </w:rPr>
        <w:t>development</w:t>
      </w:r>
      <w:r w:rsidRPr="00A063DD">
        <w:rPr>
          <w:rFonts w:hint="eastAsia"/>
          <w:lang w:eastAsia="zh-CN"/>
        </w:rPr>
        <w:t xml:space="preserve"> and supply </w:t>
      </w:r>
      <w:r w:rsidRPr="00A063DD">
        <w:rPr>
          <w:lang w:eastAsia="zh-CN"/>
        </w:rPr>
        <w:t xml:space="preserve">of </w:t>
      </w:r>
      <w:r w:rsidRPr="00A063DD">
        <w:rPr>
          <w:rFonts w:hint="eastAsia"/>
          <w:lang w:eastAsia="zh-CN"/>
        </w:rPr>
        <w:t>the necessary reagent (substitute of CTC)</w:t>
      </w:r>
      <w:r w:rsidRPr="00A063DD">
        <w:rPr>
          <w:lang w:eastAsia="zh-CN"/>
        </w:rPr>
        <w:t xml:space="preserve"> </w:t>
      </w:r>
      <w:r w:rsidRPr="00A063DD">
        <w:rPr>
          <w:rFonts w:hint="eastAsia"/>
          <w:lang w:eastAsia="zh-CN"/>
        </w:rPr>
        <w:t>that is applied by the amended national standard</w:t>
      </w:r>
      <w:r w:rsidRPr="00A063DD">
        <w:rPr>
          <w:lang w:eastAsia="zh-CN"/>
        </w:rPr>
        <w:t xml:space="preserve">. </w:t>
      </w:r>
      <w:r w:rsidRPr="00A063DD">
        <w:rPr>
          <w:lang w:val="en-US" w:eastAsia="zh-CN"/>
        </w:rPr>
        <w:t>The supply of substitute, PCE, does not fulfill the market demand after the new standard was released. This activity would support reagent manufactures to set up the necessary purifying facilities of PCE to meet the requirements of the new standard and market demand</w:t>
      </w:r>
      <w:r w:rsidRPr="00A063DD">
        <w:rPr>
          <w:lang w:eastAsia="zh-CN"/>
        </w:rPr>
        <w:t>;</w:t>
      </w:r>
    </w:p>
    <w:p w:rsidR="00130205" w:rsidRPr="00A063DD" w:rsidRDefault="00130205" w:rsidP="00130205">
      <w:pPr>
        <w:pStyle w:val="Heading2"/>
        <w:numPr>
          <w:ilvl w:val="1"/>
          <w:numId w:val="1"/>
        </w:numPr>
        <w:rPr>
          <w:lang w:eastAsia="zh-CN"/>
        </w:rPr>
      </w:pPr>
      <w:r w:rsidRPr="00A063DD">
        <w:rPr>
          <w:lang w:eastAsia="zh-CN"/>
        </w:rPr>
        <w:t>Training and capacity building on ODS supervision and enforcement for local EEBs.</w:t>
      </w:r>
      <w:r w:rsidRPr="00A063DD">
        <w:rPr>
          <w:rFonts w:eastAsia="SimSun"/>
          <w:color w:val="365F91" w:themeColor="accent1" w:themeShade="BF"/>
          <w:sz w:val="24"/>
          <w:szCs w:val="21"/>
          <w:lang w:val="en-US" w:eastAsia="zh-CN"/>
        </w:rPr>
        <w:t xml:space="preserve"> </w:t>
      </w:r>
      <w:r w:rsidRPr="00A063DD">
        <w:rPr>
          <w:lang w:val="en-US" w:eastAsia="zh-CN"/>
        </w:rPr>
        <w:t>The activity is to conduct regular training courses to local EEBs on ODS management, inspection, supervision and enforcement. Staff from provincial, municipal and county-level EEBs engaged in environmental monitoring will be trained</w:t>
      </w:r>
      <w:r w:rsidRPr="00A063DD">
        <w:rPr>
          <w:lang w:eastAsia="zh-CN"/>
        </w:rPr>
        <w:t>;</w:t>
      </w:r>
    </w:p>
    <w:p w:rsidR="00130205" w:rsidRPr="00A063DD" w:rsidRDefault="00C947B7" w:rsidP="00130205">
      <w:pPr>
        <w:pStyle w:val="Heading2"/>
        <w:numPr>
          <w:ilvl w:val="1"/>
          <w:numId w:val="1"/>
        </w:numPr>
        <w:rPr>
          <w:lang w:eastAsia="zh-CN"/>
        </w:rPr>
      </w:pPr>
      <w:hyperlink r:id="rId9" w:history="1">
        <w:r w:rsidR="00130205" w:rsidRPr="00A063DD">
          <w:rPr>
            <w:lang w:eastAsia="zh-CN"/>
          </w:rPr>
          <w:t>Market</w:t>
        </w:r>
      </w:hyperlink>
      <w:r w:rsidR="00130205" w:rsidRPr="00A063DD">
        <w:rPr>
          <w:lang w:eastAsia="zh-CN"/>
        </w:rPr>
        <w:t> </w:t>
      </w:r>
      <w:hyperlink r:id="rId10" w:history="1">
        <w:r w:rsidR="00130205" w:rsidRPr="00A063DD">
          <w:rPr>
            <w:lang w:eastAsia="zh-CN"/>
          </w:rPr>
          <w:t>supervision</w:t>
        </w:r>
      </w:hyperlink>
      <w:r w:rsidR="00130205" w:rsidRPr="00A063DD">
        <w:rPr>
          <w:lang w:eastAsia="zh-CN"/>
        </w:rPr>
        <w:t xml:space="preserve"> and information collection</w:t>
      </w:r>
      <w:r w:rsidR="00130205" w:rsidRPr="00A063DD">
        <w:rPr>
          <w:rFonts w:hint="eastAsia"/>
          <w:lang w:eastAsia="zh-CN"/>
        </w:rPr>
        <w:t xml:space="preserve"> on ODS sales</w:t>
      </w:r>
      <w:r w:rsidR="00130205" w:rsidRPr="00A063DD">
        <w:rPr>
          <w:lang w:eastAsia="zh-CN"/>
        </w:rPr>
        <w:t xml:space="preserve">. </w:t>
      </w:r>
      <w:r w:rsidR="00130205" w:rsidRPr="00A063DD">
        <w:rPr>
          <w:lang w:val="en-US" w:eastAsia="zh-CN"/>
        </w:rPr>
        <w:t>A consulting firm will be contracted to collect information of ODS sales and market, and to identify suspected illegal sales. The information related to such sales will be reported to MEE for further action</w:t>
      </w:r>
      <w:r w:rsidR="00130205" w:rsidRPr="00A063DD">
        <w:rPr>
          <w:lang w:eastAsia="zh-CN"/>
        </w:rPr>
        <w:t>; and</w:t>
      </w:r>
    </w:p>
    <w:p w:rsidR="00130205" w:rsidRPr="00A063DD" w:rsidRDefault="00130205" w:rsidP="00130205">
      <w:pPr>
        <w:pStyle w:val="Heading2"/>
        <w:numPr>
          <w:ilvl w:val="1"/>
          <w:numId w:val="1"/>
        </w:numPr>
        <w:rPr>
          <w:lang w:eastAsia="zh-CN"/>
        </w:rPr>
      </w:pPr>
      <w:r w:rsidRPr="00A063DD">
        <w:rPr>
          <w:lang w:eastAsia="zh-CN"/>
        </w:rPr>
        <w:t>Technical, policy and law support on ODS management, inspection, supervision, enforcement, as well as ODS disposal, etc.</w:t>
      </w:r>
      <w:r w:rsidRPr="00A063DD">
        <w:rPr>
          <w:rFonts w:eastAsia="SimSun"/>
          <w:color w:val="365F91" w:themeColor="accent1" w:themeShade="BF"/>
          <w:sz w:val="24"/>
          <w:szCs w:val="21"/>
          <w:lang w:val="en-US" w:eastAsia="zh-CN"/>
        </w:rPr>
        <w:t xml:space="preserve"> </w:t>
      </w:r>
      <w:r w:rsidRPr="00A063DD">
        <w:rPr>
          <w:lang w:val="en-US" w:eastAsia="zh-CN"/>
        </w:rPr>
        <w:t>Individual experts will be hired to provide such support to relevant institutions.</w:t>
      </w:r>
    </w:p>
    <w:p w:rsidR="00130205" w:rsidRPr="00B52FDC" w:rsidRDefault="00130205" w:rsidP="00130205">
      <w:pPr>
        <w:keepNext/>
        <w:spacing w:after="240"/>
        <w:outlineLvl w:val="0"/>
        <w:rPr>
          <w:bCs/>
          <w:u w:val="single"/>
          <w:lang w:val="en-CA"/>
        </w:rPr>
      </w:pPr>
      <w:r w:rsidRPr="00B52FDC">
        <w:rPr>
          <w:bCs/>
          <w:u w:val="single"/>
          <w:lang w:val="en-CA"/>
        </w:rPr>
        <w:lastRenderedPageBreak/>
        <w:t>PU foam</w:t>
      </w:r>
    </w:p>
    <w:p w:rsidR="00130205" w:rsidRDefault="00130205" w:rsidP="00130205">
      <w:pPr>
        <w:pStyle w:val="Heading1"/>
        <w:rPr>
          <w:lang w:val="en-CA"/>
        </w:rPr>
      </w:pPr>
      <w:r w:rsidRPr="00BD3222">
        <w:rPr>
          <w:lang w:val="en-CA"/>
        </w:rPr>
        <w:t xml:space="preserve">A total of </w:t>
      </w:r>
      <w:r w:rsidRPr="00BD3222">
        <w:rPr>
          <w:b/>
          <w:lang w:val="en-CA"/>
        </w:rPr>
        <w:t>US $</w:t>
      </w:r>
      <w:r>
        <w:rPr>
          <w:b/>
          <w:lang w:val="en-CA"/>
        </w:rPr>
        <w:t>758,839</w:t>
      </w:r>
      <w:r w:rsidRPr="00BD3222">
        <w:rPr>
          <w:lang w:val="en-CA"/>
        </w:rPr>
        <w:t xml:space="preserve"> was disbursed between </w:t>
      </w:r>
      <w:r w:rsidRPr="00BD3222">
        <w:rPr>
          <w:b/>
          <w:lang w:val="en-CA"/>
        </w:rPr>
        <w:t>1 July 2018 and 30 June 2019</w:t>
      </w:r>
      <w:r w:rsidRPr="00BD3222">
        <w:rPr>
          <w:lang w:val="en-CA"/>
        </w:rPr>
        <w:t xml:space="preserve">. </w:t>
      </w:r>
      <w:r>
        <w:rPr>
          <w:lang w:val="en-CA"/>
        </w:rPr>
        <w:t>Out of t</w:t>
      </w:r>
      <w:r w:rsidRPr="00BD3222">
        <w:rPr>
          <w:lang w:val="en-CA"/>
        </w:rPr>
        <w:t xml:space="preserve">he remaining funding of </w:t>
      </w:r>
      <w:r w:rsidRPr="00BD3222">
        <w:rPr>
          <w:b/>
          <w:lang w:val="en-CA"/>
        </w:rPr>
        <w:t>US $</w:t>
      </w:r>
      <w:r>
        <w:rPr>
          <w:b/>
          <w:lang w:val="en-CA"/>
        </w:rPr>
        <w:t>897,009 as of 30 June 2019, t</w:t>
      </w:r>
      <w:r w:rsidRPr="00FC1428">
        <w:rPr>
          <w:b/>
          <w:lang w:val="en-CA"/>
        </w:rPr>
        <w:t xml:space="preserve">he progress report submitted indicates that as of end September 2019 there is a balance of </w:t>
      </w:r>
      <w:r>
        <w:rPr>
          <w:b/>
          <w:lang w:val="en-CA"/>
        </w:rPr>
        <w:t xml:space="preserve">US $200,000 </w:t>
      </w:r>
      <w:r w:rsidRPr="00BD3222">
        <w:rPr>
          <w:lang w:val="en-CA"/>
        </w:rPr>
        <w:t xml:space="preserve">expected to be </w:t>
      </w:r>
      <w:r w:rsidRPr="00FE3F41">
        <w:rPr>
          <w:lang w:val="en-CA"/>
        </w:rPr>
        <w:t xml:space="preserve">disbursed </w:t>
      </w:r>
      <w:r w:rsidRPr="00FE3F41">
        <w:rPr>
          <w:b/>
          <w:lang w:val="en-CA"/>
        </w:rPr>
        <w:t>by the end of 2019</w:t>
      </w:r>
      <w:r w:rsidRPr="00FE3F41">
        <w:rPr>
          <w:lang w:val="en-CA"/>
        </w:rPr>
        <w:t>.</w:t>
      </w:r>
    </w:p>
    <w:p w:rsidR="00130205" w:rsidRPr="00A063DD" w:rsidRDefault="00130205" w:rsidP="00130205">
      <w:pPr>
        <w:pStyle w:val="Heading1"/>
        <w:rPr>
          <w:lang w:val="en-CA"/>
        </w:rPr>
      </w:pPr>
      <w:r w:rsidRPr="00F902B0">
        <w:rPr>
          <w:lang w:val="en-CA" w:eastAsia="zh-CN"/>
        </w:rPr>
        <w:t>The remaining balance is</w:t>
      </w:r>
      <w:r w:rsidRPr="00A063DD">
        <w:rPr>
          <w:lang w:val="en-CA" w:eastAsia="zh-CN"/>
        </w:rPr>
        <w:t xml:space="preserve"> being used in the procurement of instant blowing agent detector</w:t>
      </w:r>
      <w:r>
        <w:rPr>
          <w:lang w:val="en-CA" w:eastAsia="zh-CN"/>
        </w:rPr>
        <w:t>s</w:t>
      </w:r>
      <w:r w:rsidRPr="00A063DD">
        <w:rPr>
          <w:lang w:val="en-CA" w:eastAsia="zh-CN"/>
        </w:rPr>
        <w:t xml:space="preserve">. Ten research activities implemented in the PU foam sector were completed during the first half of 2018. These </w:t>
      </w:r>
      <w:r w:rsidRPr="00A063DD">
        <w:rPr>
          <w:lang w:val="en-CA"/>
        </w:rPr>
        <w:t>proposals had been selected to support the development of formulations with zero-ODP and low</w:t>
      </w:r>
      <w:r w:rsidRPr="00A063DD">
        <w:rPr>
          <w:lang w:val="en-CA"/>
        </w:rPr>
        <w:noBreakHyphen/>
        <w:t xml:space="preserve">GWP blowing agents at low prices that could be used by small and medium-sized enterprises (SMEs), and formulations of pre-blended polyol systems to optimize the stability, performance and insulation properties of foam products. </w:t>
      </w:r>
    </w:p>
    <w:p w:rsidR="00130205" w:rsidRPr="00A063DD" w:rsidRDefault="00130205" w:rsidP="00130205">
      <w:pPr>
        <w:pStyle w:val="Heading1"/>
        <w:rPr>
          <w:lang w:val="en-CA"/>
        </w:rPr>
      </w:pPr>
      <w:r w:rsidRPr="00A063DD">
        <w:rPr>
          <w:lang w:val="en-CA"/>
        </w:rPr>
        <w:t>In June 2018, a spray field test was completed at a construction site in Hebei province with HFO as the blowing agent. The field test sprayed over 2,350 m</w:t>
      </w:r>
      <w:r w:rsidRPr="00A063DD">
        <w:rPr>
          <w:vertAlign w:val="superscript"/>
          <w:lang w:val="en-CA"/>
        </w:rPr>
        <w:t>2</w:t>
      </w:r>
      <w:r w:rsidRPr="00A063DD">
        <w:rPr>
          <w:lang w:val="en-CA"/>
        </w:rPr>
        <w:t xml:space="preserve"> for domestic buildings. Dimensional stability, insulation performance, and other relevant foam properties were assessed in the winter under low ambient temperature and the report is being finalized. </w:t>
      </w:r>
    </w:p>
    <w:p w:rsidR="00130205" w:rsidRPr="00A063DD" w:rsidRDefault="00130205" w:rsidP="00130205">
      <w:pPr>
        <w:pStyle w:val="Heading1"/>
        <w:rPr>
          <w:lang w:val="en-CA"/>
        </w:rPr>
      </w:pPr>
      <w:r w:rsidRPr="00A063DD">
        <w:rPr>
          <w:lang w:val="en-CA"/>
        </w:rPr>
        <w:t>In December 2014, FECO signed contracts with four systems houses that established production capacity for water-blown based pre-blend polyols by installing production facilities and laboratory equipment, and through trials and testing of the new formulations. Currently, the systems houses are providing technical services to downstream foam enterprises and have sold over 2,000 </w:t>
      </w:r>
      <w:proofErr w:type="spellStart"/>
      <w:r w:rsidRPr="00A063DD">
        <w:rPr>
          <w:lang w:val="en-CA"/>
        </w:rPr>
        <w:t>mt</w:t>
      </w:r>
      <w:proofErr w:type="spellEnd"/>
      <w:r w:rsidRPr="00A063DD">
        <w:rPr>
          <w:lang w:val="en-CA"/>
        </w:rPr>
        <w:t xml:space="preserve"> of alternative pre-blended polyols</w:t>
      </w:r>
      <w:r w:rsidRPr="00A063DD">
        <w:t xml:space="preserve"> to </w:t>
      </w:r>
      <w:r w:rsidRPr="00A063DD">
        <w:rPr>
          <w:lang w:val="en-CA"/>
        </w:rPr>
        <w:t>downstream users including SMEs.</w:t>
      </w:r>
      <w:r w:rsidRPr="00A063DD">
        <w:t xml:space="preserve"> </w:t>
      </w:r>
      <w:r w:rsidRPr="00A063DD">
        <w:rPr>
          <w:lang w:val="en-CA"/>
        </w:rPr>
        <w:t>The four projects were completed in June 2018 and the systems houses received their last payment early 2019.</w:t>
      </w:r>
    </w:p>
    <w:p w:rsidR="00130205" w:rsidRPr="00552423" w:rsidRDefault="00130205" w:rsidP="00130205">
      <w:pPr>
        <w:pStyle w:val="Heading1"/>
        <w:rPr>
          <w:lang w:val="en-CA"/>
        </w:rPr>
      </w:pPr>
      <w:r w:rsidRPr="00A063DD">
        <w:rPr>
          <w:lang w:val="en-CA"/>
        </w:rPr>
        <w:t>FECO also signed contracts with EEBs in 11 provinces/cities aimed at enhancing public awareness of ozone layer protection, strengthening sustainable compliance capability, and ensuring that no CFCs or other controlled ODS would resurge post 2010</w:t>
      </w:r>
      <w:r w:rsidRPr="00A063DD">
        <w:t xml:space="preserve">. </w:t>
      </w:r>
      <w:r w:rsidRPr="00FE3F41">
        <w:rPr>
          <w:lang w:val="en-CA"/>
        </w:rPr>
        <w:t xml:space="preserve">The </w:t>
      </w:r>
      <w:r w:rsidRPr="00A063DD">
        <w:rPr>
          <w:lang w:val="en-CA"/>
        </w:rPr>
        <w:t xml:space="preserve">11 local EEBs had fulfilled the goals and conditions as per required in the contract. The projects have strengthened the knowledge, management and enforcement capacity of these 11 regions, and promoted awareness of the national ODS management </w:t>
      </w:r>
      <w:r w:rsidRPr="00552423">
        <w:rPr>
          <w:lang w:val="en-CA"/>
        </w:rPr>
        <w:t>regulations. The 11 EEBs completed the projects in December 2018 and received final payments on their contracts.</w:t>
      </w:r>
    </w:p>
    <w:p w:rsidR="00130205" w:rsidRPr="00552423" w:rsidRDefault="00130205" w:rsidP="00130205">
      <w:pPr>
        <w:pStyle w:val="Heading1"/>
        <w:rPr>
          <w:b/>
          <w:lang w:val="en-CA"/>
        </w:rPr>
      </w:pPr>
      <w:r w:rsidRPr="00552423">
        <w:rPr>
          <w:lang w:val="en-CA"/>
        </w:rPr>
        <w:t>The Government has issued the Regulations on ODS Management and the Circular on the Management of Construction of Facilities Producing or Using ODS, and has taken other policy actions to prohibit the re-use of phased</w:t>
      </w:r>
      <w:r w:rsidRPr="00552423">
        <w:rPr>
          <w:lang w:val="en-CA"/>
        </w:rPr>
        <w:noBreakHyphen/>
        <w:t xml:space="preserve">out CFCs and enforce the controls on HCFCs. However, the foam sector contains a large number of enterprises with various applications. Therefore, FECO has continued monitoring activities through contracts with five provinces (i.e., Hebei, Henan, Shandong, Si </w:t>
      </w:r>
      <w:proofErr w:type="spellStart"/>
      <w:r w:rsidRPr="00552423">
        <w:rPr>
          <w:lang w:val="en-CA"/>
        </w:rPr>
        <w:t>Chuan</w:t>
      </w:r>
      <w:proofErr w:type="spellEnd"/>
      <w:r w:rsidRPr="00552423">
        <w:rPr>
          <w:lang w:val="en-CA"/>
        </w:rPr>
        <w:t xml:space="preserve"> and Tianjin), where the majority of systems houses and foam enterprises are located, to visit chemical dealers, systems houses, and foam enterprises to collect samples of blowing agents, pre</w:t>
      </w:r>
      <w:r w:rsidRPr="00552423">
        <w:rPr>
          <w:lang w:val="en-CA"/>
        </w:rPr>
        <w:noBreakHyphen/>
        <w:t xml:space="preserve">blended polyol systems, and final foam products. </w:t>
      </w:r>
      <w:r w:rsidRPr="00552423">
        <w:rPr>
          <w:b/>
          <w:lang w:val="en-CA"/>
        </w:rPr>
        <w:t>As of the 83</w:t>
      </w:r>
      <w:r w:rsidRPr="00552423">
        <w:rPr>
          <w:b/>
          <w:vertAlign w:val="superscript"/>
          <w:lang w:val="en-CA"/>
        </w:rPr>
        <w:t>rd</w:t>
      </w:r>
      <w:r w:rsidRPr="00552423">
        <w:rPr>
          <w:b/>
          <w:lang w:val="en-CA"/>
        </w:rPr>
        <w:t xml:space="preserve"> meeting</w:t>
      </w:r>
      <w:r w:rsidRPr="00552423">
        <w:rPr>
          <w:lang w:val="en-CA"/>
        </w:rPr>
        <w:t>,</w:t>
      </w:r>
      <w:r w:rsidRPr="00552423">
        <w:rPr>
          <w:b/>
          <w:lang w:val="en-CA"/>
        </w:rPr>
        <w:t xml:space="preserve"> </w:t>
      </w:r>
      <w:r w:rsidRPr="00552423">
        <w:rPr>
          <w:lang w:val="en-CA"/>
        </w:rPr>
        <w:t>over 420 foam enterprises and systems houses have been visited, and over 780 foam and raw material samples have been collected. According to the preliminary test of the samples, there is a small percentage of those samples suspected of probably containing phased</w:t>
      </w:r>
      <w:r w:rsidRPr="00552423">
        <w:rPr>
          <w:lang w:val="en-CA"/>
        </w:rPr>
        <w:noBreakHyphen/>
        <w:t xml:space="preserve">out CFC/HCFC. Three enterprises in Shandong were detected with illegal use of CFC-11, and were subject to the punishment in accordance with ODS management regulation. </w:t>
      </w:r>
      <w:r w:rsidRPr="00552423">
        <w:rPr>
          <w:b/>
          <w:lang w:val="en-CA"/>
        </w:rPr>
        <w:t>The most updated information on the findings of these monitoring activities, including those related to the inspection of an additional 656</w:t>
      </w:r>
      <w:r>
        <w:rPr>
          <w:b/>
          <w:lang w:val="en-CA"/>
        </w:rPr>
        <w:t> </w:t>
      </w:r>
      <w:r w:rsidRPr="00552423">
        <w:rPr>
          <w:b/>
          <w:lang w:val="en-CA"/>
        </w:rPr>
        <w:t>system</w:t>
      </w:r>
      <w:r>
        <w:rPr>
          <w:b/>
          <w:lang w:val="en-CA"/>
        </w:rPr>
        <w:t>s</w:t>
      </w:r>
      <w:r w:rsidRPr="00552423">
        <w:rPr>
          <w:b/>
          <w:lang w:val="en-CA"/>
        </w:rPr>
        <w:t xml:space="preserve"> houses and foam </w:t>
      </w:r>
      <w:r>
        <w:rPr>
          <w:b/>
          <w:lang w:val="en-CA"/>
        </w:rPr>
        <w:t>enterprise</w:t>
      </w:r>
      <w:r w:rsidRPr="00552423">
        <w:rPr>
          <w:b/>
          <w:lang w:val="en-CA"/>
        </w:rPr>
        <w:t xml:space="preserve">s, is </w:t>
      </w:r>
      <w:r>
        <w:rPr>
          <w:b/>
          <w:lang w:val="en-CA"/>
        </w:rPr>
        <w:t>present</w:t>
      </w:r>
      <w:r w:rsidRPr="00552423">
        <w:rPr>
          <w:b/>
          <w:lang w:val="en-CA"/>
        </w:rPr>
        <w:t xml:space="preserve">ed in </w:t>
      </w:r>
      <w:r w:rsidR="00C3476B">
        <w:rPr>
          <w:b/>
          <w:lang w:val="en-CA"/>
        </w:rPr>
        <w:t xml:space="preserve">the report </w:t>
      </w:r>
      <w:r w:rsidR="001D5CF4">
        <w:rPr>
          <w:b/>
          <w:lang w:val="en-CA"/>
        </w:rPr>
        <w:t>annexed to</w:t>
      </w:r>
      <w:r w:rsidRPr="00C3476B">
        <w:rPr>
          <w:b/>
          <w:lang w:val="en-CA"/>
        </w:rPr>
        <w:t xml:space="preserve"> the present </w:t>
      </w:r>
      <w:r w:rsidR="001D5CF4" w:rsidRPr="00C3476B">
        <w:rPr>
          <w:b/>
          <w:lang w:val="en-CA"/>
        </w:rPr>
        <w:t>document</w:t>
      </w:r>
      <w:r w:rsidR="001D5CF4">
        <w:rPr>
          <w:b/>
          <w:lang w:val="en-CA"/>
        </w:rPr>
        <w:t xml:space="preserve">, </w:t>
      </w:r>
      <w:r w:rsidR="001D5CF4" w:rsidRPr="00552423">
        <w:rPr>
          <w:b/>
          <w:lang w:val="en-CA"/>
        </w:rPr>
        <w:t>submitted</w:t>
      </w:r>
      <w:r w:rsidR="001D5CF4">
        <w:rPr>
          <w:b/>
          <w:lang w:val="en-CA"/>
        </w:rPr>
        <w:t xml:space="preserve"> by the Government of China</w:t>
      </w:r>
      <w:r w:rsidRPr="00552423">
        <w:rPr>
          <w:b/>
          <w:lang w:val="en-CA"/>
        </w:rPr>
        <w:t xml:space="preserve"> in line with decision 83/41(e).</w:t>
      </w:r>
    </w:p>
    <w:p w:rsidR="00130205" w:rsidRPr="00A063DD" w:rsidRDefault="00130205" w:rsidP="00130205">
      <w:pPr>
        <w:pStyle w:val="Heading1"/>
        <w:rPr>
          <w:lang w:val="en-CA"/>
        </w:rPr>
      </w:pPr>
      <w:r w:rsidRPr="00A063DD">
        <w:rPr>
          <w:lang w:val="en-CA"/>
        </w:rPr>
        <w:t xml:space="preserve">The Government considers that the monitoring activities have effectively enforced the established policy system. However, the efficiency of inspection and monitoring of the foam sector can be hindered by the number of subsectors and system houses, inadequate knowledge on the part of inspectors regarding foam production, and an insufficient number of blowing-agent detectors (not all cities and counties have them). In addition, the regulations on ODS management are concise and do not provide detailed instructions </w:t>
      </w:r>
      <w:r w:rsidRPr="00A063DD">
        <w:rPr>
          <w:lang w:val="en-CA"/>
        </w:rPr>
        <w:lastRenderedPageBreak/>
        <w:t xml:space="preserve">on dealing with each specific situation that may arise, leaving things up to provincial policy and EEB interpretation. Moreover, the alternative technologies have not penetrated the sector and higher costs undermine the willingness of SMEs to convert to zero-ODP, low-GWP alternatives. These challenges are well noted by FECO and MEE, which will continue providing technical support to local EEBs and environmental monitoring branches via different channels. </w:t>
      </w:r>
    </w:p>
    <w:p w:rsidR="00130205" w:rsidRPr="00FE3F41" w:rsidRDefault="00130205" w:rsidP="00130205">
      <w:pPr>
        <w:pStyle w:val="Heading1"/>
        <w:rPr>
          <w:b/>
          <w:lang w:val="en-CA"/>
        </w:rPr>
      </w:pPr>
      <w:r w:rsidRPr="00A063DD">
        <w:rPr>
          <w:lang w:val="en-CA"/>
        </w:rPr>
        <w:t xml:space="preserve">Fourteen instant blowing agent detectors were procured and allocated to five EEBs to continue monitoring of CFC phase-out in the foam sector. Based on the positive results obtained in improving the efficiency of inspections, US $200,000 were allocated to procure 14 additional detectors to strengthen monitoring and enforcement capacity in key provinces lacking testing equipment. </w:t>
      </w:r>
      <w:r w:rsidRPr="00FE3F41">
        <w:rPr>
          <w:b/>
          <w:lang w:val="en-CA"/>
        </w:rPr>
        <w:t>Given that not all detectors have been assembled and delivered to destined provinces, the funding will most likely not be disbursed before the end of 2019</w:t>
      </w:r>
      <w:r>
        <w:rPr>
          <w:b/>
          <w:lang w:val="en-CA"/>
        </w:rPr>
        <w:t>.</w:t>
      </w:r>
    </w:p>
    <w:p w:rsidR="00130205" w:rsidRPr="00A063DD" w:rsidRDefault="00130205" w:rsidP="00130205">
      <w:pPr>
        <w:pStyle w:val="Heading1"/>
        <w:rPr>
          <w:lang w:val="en-CA"/>
        </w:rPr>
      </w:pPr>
      <w:r w:rsidRPr="00A063DD">
        <w:rPr>
          <w:lang w:val="en-CA"/>
        </w:rPr>
        <w:t>In order to improve testing capacity and facilitate enforcement (only three institutions that can provide certified testing reports), the Government of China will support six additional testing centers to adopt a technical standard on testing blowing agent in foam and become certified as PU foam blowing agent testing labs by the end of 2019.</w:t>
      </w:r>
    </w:p>
    <w:p w:rsidR="00130205" w:rsidRPr="00A063DD" w:rsidRDefault="00130205" w:rsidP="00130205">
      <w:pPr>
        <w:pStyle w:val="Heading1"/>
        <w:rPr>
          <w:lang w:val="en-CA"/>
        </w:rPr>
      </w:pPr>
      <w:r w:rsidRPr="00A063DD">
        <w:rPr>
          <w:lang w:val="en-CA"/>
        </w:rPr>
        <w:t xml:space="preserve">The Government of China also held the International Workshop on Capacity Building for the Implementation of the Montreal Protocol in China on </w:t>
      </w:r>
      <w:r w:rsidR="00C947B7">
        <w:rPr>
          <w:lang w:val="en-CA"/>
        </w:rPr>
        <w:t>18 March</w:t>
      </w:r>
      <w:r w:rsidRPr="00A063DD">
        <w:rPr>
          <w:lang w:val="en-CA"/>
        </w:rPr>
        <w:t xml:space="preserve"> 2019</w:t>
      </w:r>
      <w:r w:rsidR="00C947B7">
        <w:rPr>
          <w:lang w:val="en-CA"/>
        </w:rPr>
        <w:t>, with over 10</w:t>
      </w:r>
      <w:r w:rsidRPr="00A063DD">
        <w:rPr>
          <w:lang w:val="en-CA"/>
        </w:rPr>
        <w:t xml:space="preserve"> Ar</w:t>
      </w:r>
      <w:r w:rsidR="00C947B7">
        <w:rPr>
          <w:lang w:val="en-CA"/>
        </w:rPr>
        <w:t xml:space="preserve">ticle 5 and </w:t>
      </w:r>
      <w:r w:rsidR="00C947B7">
        <w:rPr>
          <w:lang w:val="en-CA"/>
        </w:rPr>
        <w:br/>
      </w:r>
      <w:bookmarkStart w:id="1" w:name="_GoBack"/>
      <w:bookmarkEnd w:id="1"/>
      <w:r w:rsidR="00C947B7">
        <w:rPr>
          <w:lang w:val="en-CA"/>
        </w:rPr>
        <w:t>non-Article 5 P</w:t>
      </w:r>
      <w:r w:rsidRPr="00A063DD">
        <w:rPr>
          <w:lang w:val="en-CA"/>
        </w:rPr>
        <w:t xml:space="preserve">arties, the Ozone Secretariat, the Fund Secretariat, the Scientific Assessment Panel and all implementing agencies. Balances of nearly US $100,000 were </w:t>
      </w:r>
      <w:r w:rsidRPr="0070191E">
        <w:rPr>
          <w:b/>
          <w:lang w:val="en-CA"/>
        </w:rPr>
        <w:t>used</w:t>
      </w:r>
      <w:r w:rsidRPr="00A063DD">
        <w:rPr>
          <w:lang w:val="en-CA"/>
        </w:rPr>
        <w:t xml:space="preserve"> to deliver this workshop, the testing fee for the samples of foam and polyols accrued since August 2018 and increasing testing capacity.</w:t>
      </w:r>
    </w:p>
    <w:p w:rsidR="00130205" w:rsidRPr="00A063DD" w:rsidRDefault="00130205" w:rsidP="00130205">
      <w:pPr>
        <w:spacing w:after="240"/>
        <w:outlineLvl w:val="0"/>
        <w:rPr>
          <w:bCs/>
          <w:u w:val="single"/>
          <w:lang w:val="en-CA"/>
        </w:rPr>
      </w:pPr>
      <w:r w:rsidRPr="00A063DD">
        <w:rPr>
          <w:bCs/>
          <w:u w:val="single"/>
          <w:lang w:val="en-CA"/>
        </w:rPr>
        <w:t>CFC refrigeration servicing sector</w:t>
      </w:r>
    </w:p>
    <w:p w:rsidR="00130205" w:rsidRPr="00BD3222" w:rsidRDefault="00130205" w:rsidP="00130205">
      <w:pPr>
        <w:pStyle w:val="Heading1"/>
        <w:rPr>
          <w:lang w:val="en-CA"/>
        </w:rPr>
      </w:pPr>
      <w:r w:rsidRPr="00BD3222">
        <w:rPr>
          <w:lang w:val="en-CA"/>
        </w:rPr>
        <w:t xml:space="preserve">A total of </w:t>
      </w:r>
      <w:r>
        <w:rPr>
          <w:b/>
          <w:lang w:val="en-CA"/>
        </w:rPr>
        <w:t>US $411,829</w:t>
      </w:r>
      <w:r w:rsidRPr="00BD3222">
        <w:rPr>
          <w:lang w:val="en-CA"/>
        </w:rPr>
        <w:t xml:space="preserve"> was disbursed between </w:t>
      </w:r>
      <w:r w:rsidRPr="00BD3222">
        <w:rPr>
          <w:b/>
          <w:lang w:val="en-CA"/>
        </w:rPr>
        <w:t>1 July 2018 and 30 June 2019</w:t>
      </w:r>
      <w:r>
        <w:rPr>
          <w:lang w:val="en-CA"/>
        </w:rPr>
        <w:t>. Out of t</w:t>
      </w:r>
      <w:r w:rsidRPr="00BD3222">
        <w:rPr>
          <w:lang w:val="en-CA"/>
        </w:rPr>
        <w:t xml:space="preserve">he remaining funding of </w:t>
      </w:r>
      <w:r w:rsidRPr="00BD3222">
        <w:rPr>
          <w:b/>
          <w:lang w:val="en-CA"/>
        </w:rPr>
        <w:t>US $</w:t>
      </w:r>
      <w:r>
        <w:rPr>
          <w:b/>
          <w:lang w:val="en-CA"/>
        </w:rPr>
        <w:t xml:space="preserve">735,790 as of 30 June 2019, the progress report submitted indicates that as of end September 2019 there is a balance of US $288,183 </w:t>
      </w:r>
      <w:r w:rsidRPr="00FC1428">
        <w:rPr>
          <w:lang w:val="en-CA"/>
        </w:rPr>
        <w:t>expected to be</w:t>
      </w:r>
      <w:r>
        <w:rPr>
          <w:b/>
          <w:lang w:val="en-CA"/>
        </w:rPr>
        <w:t xml:space="preserve"> </w:t>
      </w:r>
      <w:r w:rsidRPr="00BD3222">
        <w:rPr>
          <w:lang w:val="en-CA"/>
        </w:rPr>
        <w:t xml:space="preserve">disbursed </w:t>
      </w:r>
      <w:r>
        <w:rPr>
          <w:lang w:val="en-CA"/>
        </w:rPr>
        <w:t xml:space="preserve">by the </w:t>
      </w:r>
      <w:r w:rsidRPr="00BD3222">
        <w:rPr>
          <w:lang w:val="en-CA"/>
        </w:rPr>
        <w:t xml:space="preserve">end of </w:t>
      </w:r>
      <w:r w:rsidRPr="0070191E">
        <w:rPr>
          <w:b/>
          <w:lang w:val="en-CA"/>
        </w:rPr>
        <w:t>October</w:t>
      </w:r>
      <w:r w:rsidR="00F36AC5">
        <w:rPr>
          <w:b/>
          <w:lang w:val="en-CA"/>
        </w:rPr>
        <w:t> </w:t>
      </w:r>
      <w:r w:rsidRPr="0070191E">
        <w:rPr>
          <w:b/>
          <w:lang w:val="en-CA"/>
        </w:rPr>
        <w:t>2019</w:t>
      </w:r>
      <w:r w:rsidRPr="00BD3222">
        <w:rPr>
          <w:lang w:val="en-CA"/>
        </w:rPr>
        <w:t>.</w:t>
      </w:r>
    </w:p>
    <w:p w:rsidR="00130205" w:rsidRPr="00A063DD" w:rsidRDefault="00130205" w:rsidP="00130205">
      <w:pPr>
        <w:pStyle w:val="Heading1"/>
        <w:rPr>
          <w:lang w:val="en-CA"/>
        </w:rPr>
      </w:pPr>
      <w:r w:rsidRPr="00A063DD">
        <w:rPr>
          <w:lang w:val="en-CA"/>
        </w:rPr>
        <w:t xml:space="preserve">All of the 13 training centers established by FECO in 13 cities to implement vocational training courses for servicing technicians have completed their projects. As of August 2018, more than 4,100 technicians, trainers and students had been trained (three of the centres have completed the training programme). In 2017-2018, FECO conducted site visits and issued final reports for all 13 training projects. </w:t>
      </w:r>
    </w:p>
    <w:p w:rsidR="00130205" w:rsidRPr="00A063DD" w:rsidRDefault="00130205" w:rsidP="00130205">
      <w:pPr>
        <w:pStyle w:val="Heading1"/>
        <w:rPr>
          <w:lang w:val="en-CA"/>
        </w:rPr>
      </w:pPr>
      <w:r w:rsidRPr="00A063DD">
        <w:rPr>
          <w:lang w:val="en-CA"/>
        </w:rPr>
        <w:t xml:space="preserve">By the end of 2018, an additional 500 technicians were trained in the two additional training centres contracted in 2017. In 2018, FECO </w:t>
      </w:r>
      <w:r w:rsidRPr="0070191E">
        <w:rPr>
          <w:lang w:val="en-CA"/>
        </w:rPr>
        <w:t xml:space="preserve">signed contracts with four additional training centers for training in good refrigeration practices that </w:t>
      </w:r>
      <w:r w:rsidRPr="0070191E">
        <w:rPr>
          <w:b/>
          <w:lang w:val="en-CA"/>
        </w:rPr>
        <w:t>will finish by end October 2019</w:t>
      </w:r>
      <w:r w:rsidRPr="0070191E">
        <w:rPr>
          <w:lang w:val="en-CA"/>
        </w:rPr>
        <w:t>, and</w:t>
      </w:r>
      <w:r w:rsidRPr="00A063DD">
        <w:rPr>
          <w:lang w:val="en-CA"/>
        </w:rPr>
        <w:t xml:space="preserve"> completed a research on refrigerant leakage control during the operation and servicing of R-290-based air-conditioning systems, and the two surveys on the disposal-ships sector and on the cold chain in supermarkets. A total of 150 technicians and managers from the disposal-ships sector were trained on ODS management policies and reduction of ODS emissions through recovery.</w:t>
      </w:r>
    </w:p>
    <w:p w:rsidR="00130205" w:rsidRPr="00A063DD" w:rsidRDefault="00130205" w:rsidP="00130205">
      <w:pPr>
        <w:pStyle w:val="Heading1"/>
        <w:rPr>
          <w:lang w:val="en-CA"/>
        </w:rPr>
      </w:pPr>
      <w:r w:rsidRPr="00A063DD">
        <w:rPr>
          <w:lang w:val="en-CA"/>
        </w:rPr>
        <w:t>Monitoring and management activities (including consultancy, training, evaluation and verifications) will be conducted by FECO to achieve sustainable compliance with CFC phase-out.</w:t>
      </w:r>
      <w:r w:rsidRPr="00A063DD">
        <w:t xml:space="preserve"> </w:t>
      </w:r>
      <w:r w:rsidR="00A809E6">
        <w:br/>
      </w:r>
      <w:r w:rsidRPr="00A063DD">
        <w:t xml:space="preserve">A </w:t>
      </w:r>
      <w:r w:rsidRPr="00A063DD">
        <w:rPr>
          <w:lang w:val="en-CA"/>
        </w:rPr>
        <w:t>balance of US $15,924 from training activities was allocated to monitoring for the procurement of ODS instant detectors to support EEBs in undertaking on-site inspections.</w:t>
      </w:r>
    </w:p>
    <w:p w:rsidR="00130205" w:rsidRPr="00A063DD" w:rsidRDefault="00130205" w:rsidP="00130205">
      <w:pPr>
        <w:keepNext/>
        <w:spacing w:after="240"/>
        <w:rPr>
          <w:bCs/>
          <w:u w:val="single"/>
          <w:lang w:val="en-CA"/>
        </w:rPr>
      </w:pPr>
      <w:r w:rsidRPr="00A063DD">
        <w:rPr>
          <w:bCs/>
          <w:u w:val="single"/>
          <w:lang w:val="en-CA"/>
        </w:rPr>
        <w:t>Solvent sector</w:t>
      </w:r>
    </w:p>
    <w:p w:rsidR="00130205" w:rsidRPr="00BD3222" w:rsidRDefault="00130205" w:rsidP="00130205">
      <w:pPr>
        <w:pStyle w:val="Heading1"/>
        <w:rPr>
          <w:lang w:val="en-CA"/>
        </w:rPr>
      </w:pPr>
      <w:r w:rsidRPr="00BD3222">
        <w:rPr>
          <w:lang w:val="en-CA"/>
        </w:rPr>
        <w:t xml:space="preserve">A total of </w:t>
      </w:r>
      <w:r w:rsidRPr="00BD3222">
        <w:rPr>
          <w:b/>
          <w:lang w:val="en-CA"/>
        </w:rPr>
        <w:t>US $</w:t>
      </w:r>
      <w:r>
        <w:rPr>
          <w:b/>
          <w:lang w:val="en-CA"/>
        </w:rPr>
        <w:t>758,118</w:t>
      </w:r>
      <w:r w:rsidRPr="00BD3222">
        <w:rPr>
          <w:lang w:val="en-CA"/>
        </w:rPr>
        <w:t xml:space="preserve"> was disbursed between </w:t>
      </w:r>
      <w:r w:rsidRPr="00BD3222">
        <w:rPr>
          <w:b/>
          <w:lang w:val="en-CA"/>
        </w:rPr>
        <w:t>1 July 2018 and 30 June 2019</w:t>
      </w:r>
      <w:r w:rsidRPr="00BD3222">
        <w:rPr>
          <w:lang w:val="en-CA"/>
        </w:rPr>
        <w:t xml:space="preserve">. </w:t>
      </w:r>
      <w:r>
        <w:rPr>
          <w:lang w:val="en-CA"/>
        </w:rPr>
        <w:t xml:space="preserve">Out of the </w:t>
      </w:r>
      <w:r w:rsidRPr="00BD3222">
        <w:rPr>
          <w:lang w:val="en-CA"/>
        </w:rPr>
        <w:t xml:space="preserve">remaining funding of </w:t>
      </w:r>
      <w:r w:rsidRPr="00BD3222">
        <w:rPr>
          <w:b/>
          <w:lang w:val="en-CA"/>
        </w:rPr>
        <w:t>US $</w:t>
      </w:r>
      <w:r>
        <w:rPr>
          <w:b/>
          <w:lang w:val="en-CA"/>
        </w:rPr>
        <w:t>708,822 as of 30 June 2019</w:t>
      </w:r>
      <w:r>
        <w:rPr>
          <w:lang w:val="en-CA"/>
        </w:rPr>
        <w:t xml:space="preserve"> </w:t>
      </w:r>
      <w:r w:rsidRPr="00DD073D">
        <w:rPr>
          <w:b/>
          <w:lang w:val="en-CA"/>
        </w:rPr>
        <w:t xml:space="preserve">the progress report submitted </w:t>
      </w:r>
      <w:r>
        <w:rPr>
          <w:b/>
          <w:lang w:val="en-CA"/>
        </w:rPr>
        <w:t xml:space="preserve">indicates that as of </w:t>
      </w:r>
      <w:r w:rsidRPr="00DD073D">
        <w:rPr>
          <w:b/>
          <w:lang w:val="en-CA"/>
        </w:rPr>
        <w:t>end of September 2019</w:t>
      </w:r>
      <w:r>
        <w:rPr>
          <w:b/>
          <w:lang w:val="en-CA"/>
        </w:rPr>
        <w:t xml:space="preserve"> there is a balance of </w:t>
      </w:r>
      <w:r w:rsidRPr="00DD073D">
        <w:rPr>
          <w:b/>
          <w:lang w:val="en-CA"/>
        </w:rPr>
        <w:t xml:space="preserve">US $381,211 </w:t>
      </w:r>
      <w:r w:rsidRPr="00BD3222">
        <w:rPr>
          <w:lang w:val="en-CA"/>
        </w:rPr>
        <w:t>expected to be disbursed b</w:t>
      </w:r>
      <w:r>
        <w:rPr>
          <w:lang w:val="en-CA"/>
        </w:rPr>
        <w:t>y</w:t>
      </w:r>
      <w:r w:rsidRPr="00BD3222">
        <w:rPr>
          <w:lang w:val="en-CA"/>
        </w:rPr>
        <w:t xml:space="preserve"> the end of 2019.</w:t>
      </w:r>
    </w:p>
    <w:p w:rsidR="00130205" w:rsidRPr="00540861" w:rsidRDefault="00130205" w:rsidP="00130205">
      <w:pPr>
        <w:pStyle w:val="Heading1"/>
        <w:rPr>
          <w:lang w:val="en-CA"/>
        </w:rPr>
      </w:pPr>
      <w:r w:rsidRPr="00540861">
        <w:rPr>
          <w:lang w:val="en-CA"/>
        </w:rPr>
        <w:lastRenderedPageBreak/>
        <w:t>As of August 31, 2018, 3,800 officers from ten customs offices had received training on ODS</w:t>
      </w:r>
      <w:r w:rsidR="00874A6C">
        <w:rPr>
          <w:lang w:val="en-CA"/>
        </w:rPr>
        <w:noBreakHyphen/>
      </w:r>
      <w:r w:rsidRPr="00540861">
        <w:rPr>
          <w:lang w:val="en-CA"/>
        </w:rPr>
        <w:t xml:space="preserve">related issues and each customs office that had made ODS checking part of its regular work received testing equipment. </w:t>
      </w:r>
      <w:r w:rsidRPr="00540861">
        <w:rPr>
          <w:lang w:val="en-CA" w:eastAsia="zh-CN"/>
        </w:rPr>
        <w:t>As of 30 June 2018, m</w:t>
      </w:r>
      <w:r w:rsidRPr="00540861">
        <w:rPr>
          <w:lang w:val="en-CA"/>
        </w:rPr>
        <w:t>ore than 5,000 local EEB officers had received training on ODS</w:t>
      </w:r>
      <w:r w:rsidR="00874A6C">
        <w:rPr>
          <w:lang w:val="en-CA"/>
        </w:rPr>
        <w:noBreakHyphen/>
      </w:r>
      <w:r w:rsidRPr="00540861">
        <w:rPr>
          <w:lang w:val="en-CA"/>
        </w:rPr>
        <w:t>related policies, a</w:t>
      </w:r>
      <w:r w:rsidRPr="00540861">
        <w:rPr>
          <w:lang w:val="en-CA" w:eastAsia="zh-CN"/>
        </w:rPr>
        <w:t>nd over 18,000 people had participated in public awareness activities. Local EEBs organized more than 30 on</w:t>
      </w:r>
      <w:r w:rsidRPr="00540861">
        <w:rPr>
          <w:lang w:val="en-CA" w:eastAsia="zh-CN"/>
        </w:rPr>
        <w:noBreakHyphen/>
        <w:t>site inspections of ODS enterprises. All 31 EEBs assisted finished completion reports and received the final payment by the end of 2018.</w:t>
      </w:r>
    </w:p>
    <w:p w:rsidR="00130205" w:rsidRPr="00540861" w:rsidRDefault="00130205" w:rsidP="00130205">
      <w:pPr>
        <w:pStyle w:val="Heading1"/>
        <w:rPr>
          <w:lang w:val="en-CA" w:eastAsia="zh-CN"/>
        </w:rPr>
      </w:pPr>
      <w:r w:rsidRPr="00540861">
        <w:rPr>
          <w:lang w:val="en-CA"/>
        </w:rPr>
        <w:t xml:space="preserve">FECO, with the support of Peking University, finished the report “Analysis on the impacts of ratification by China of the Kigali Amendment on HFC management.” </w:t>
      </w:r>
      <w:r w:rsidRPr="00540861">
        <w:rPr>
          <w:lang w:val="en-CA" w:eastAsia="zh-CN"/>
        </w:rPr>
        <w:t>Research on alternative technologies and on silicone oil optimization at five institutions</w:t>
      </w:r>
      <w:r w:rsidRPr="00540861">
        <w:rPr>
          <w:vertAlign w:val="superscript"/>
          <w:lang w:val="en-CA" w:eastAsia="zh-CN"/>
        </w:rPr>
        <w:footnoteReference w:id="9"/>
      </w:r>
      <w:r w:rsidRPr="00540861">
        <w:rPr>
          <w:lang w:val="en-CA" w:eastAsia="zh-CN"/>
        </w:rPr>
        <w:t xml:space="preserve"> was completed. Management and monitoring activities, including on-site verifications, monitoring audits and project evaluations, continued to be implemented. </w:t>
      </w:r>
    </w:p>
    <w:p w:rsidR="00130205" w:rsidRPr="00BC5204" w:rsidRDefault="00130205" w:rsidP="00130205">
      <w:pPr>
        <w:pStyle w:val="Heading1"/>
        <w:rPr>
          <w:b/>
          <w:lang w:val="en-CA" w:eastAsia="zh-CN"/>
        </w:rPr>
      </w:pPr>
      <w:r w:rsidRPr="00540861">
        <w:rPr>
          <w:lang w:val="en-CA" w:eastAsia="zh-CN"/>
        </w:rPr>
        <w:t xml:space="preserve">An electronic management system for ODS related </w:t>
      </w:r>
      <w:r w:rsidRPr="00BC5204">
        <w:rPr>
          <w:lang w:val="en-CA" w:eastAsia="zh-CN"/>
        </w:rPr>
        <w:t xml:space="preserve">documents </w:t>
      </w:r>
      <w:r>
        <w:rPr>
          <w:b/>
          <w:lang w:val="en-CA" w:eastAsia="zh-CN"/>
        </w:rPr>
        <w:t xml:space="preserve">was </w:t>
      </w:r>
      <w:r w:rsidRPr="00BC5204">
        <w:rPr>
          <w:b/>
          <w:lang w:val="en-CA" w:eastAsia="zh-CN"/>
        </w:rPr>
        <w:t>finalized</w:t>
      </w:r>
      <w:r w:rsidRPr="00BC5204">
        <w:rPr>
          <w:lang w:val="en-CA" w:eastAsia="zh-CN"/>
        </w:rPr>
        <w:t xml:space="preserve"> and</w:t>
      </w:r>
      <w:r w:rsidRPr="00540861">
        <w:rPr>
          <w:lang w:val="en-CA" w:eastAsia="zh-CN"/>
        </w:rPr>
        <w:t xml:space="preserve"> the last payment for US $92,307 </w:t>
      </w:r>
      <w:r w:rsidRPr="00642320">
        <w:rPr>
          <w:b/>
          <w:lang w:val="en-CA" w:eastAsia="zh-CN"/>
        </w:rPr>
        <w:t>was</w:t>
      </w:r>
      <w:r w:rsidRPr="00E54110">
        <w:rPr>
          <w:lang w:val="en-CA" w:eastAsia="zh-CN"/>
        </w:rPr>
        <w:t xml:space="preserve"> </w:t>
      </w:r>
      <w:r w:rsidRPr="00540861">
        <w:rPr>
          <w:lang w:val="en-CA" w:eastAsia="zh-CN"/>
        </w:rPr>
        <w:t>disbursed.</w:t>
      </w:r>
      <w:r>
        <w:rPr>
          <w:lang w:val="en-CA" w:eastAsia="zh-CN"/>
        </w:rPr>
        <w:t xml:space="preserve"> A balance of US $453,119, </w:t>
      </w:r>
      <w:r w:rsidRPr="00BC5204">
        <w:rPr>
          <w:b/>
          <w:lang w:val="en-CA" w:eastAsia="zh-CN"/>
        </w:rPr>
        <w:t>together with other financial resources from other sector plans</w:t>
      </w:r>
      <w:r>
        <w:rPr>
          <w:lang w:val="en-CA" w:eastAsia="zh-CN"/>
        </w:rPr>
        <w:t xml:space="preserve">, </w:t>
      </w:r>
      <w:r w:rsidRPr="00540861">
        <w:rPr>
          <w:lang w:val="en-CA" w:eastAsia="zh-CN"/>
        </w:rPr>
        <w:t xml:space="preserve">has been committed to the procurement of </w:t>
      </w:r>
      <w:r w:rsidRPr="00BC5204">
        <w:rPr>
          <w:b/>
          <w:lang w:val="en-CA" w:eastAsia="zh-CN"/>
        </w:rPr>
        <w:t xml:space="preserve">50 sets of </w:t>
      </w:r>
      <w:r w:rsidRPr="00540861">
        <w:rPr>
          <w:lang w:val="en-CA" w:eastAsia="zh-CN"/>
        </w:rPr>
        <w:t xml:space="preserve">ODS instant testing equipment to support </w:t>
      </w:r>
      <w:r w:rsidRPr="00BC5204">
        <w:rPr>
          <w:b/>
          <w:lang w:val="en-CA" w:eastAsia="zh-CN"/>
        </w:rPr>
        <w:t>28 provinces</w:t>
      </w:r>
      <w:r w:rsidRPr="00540861">
        <w:rPr>
          <w:lang w:val="en-CA" w:eastAsia="zh-CN"/>
        </w:rPr>
        <w:t>.</w:t>
      </w:r>
      <w:r>
        <w:rPr>
          <w:lang w:val="en-CA" w:eastAsia="zh-CN"/>
        </w:rPr>
        <w:t xml:space="preserve"> </w:t>
      </w:r>
      <w:r w:rsidRPr="00BC5204">
        <w:rPr>
          <w:b/>
          <w:lang w:val="en-CA" w:eastAsia="zh-CN"/>
        </w:rPr>
        <w:t xml:space="preserve">The first 20 sets have been delivered to local EEBs, and the remaining 30 will be delivered before the end of </w:t>
      </w:r>
      <w:r>
        <w:rPr>
          <w:b/>
          <w:lang w:val="en-CA" w:eastAsia="zh-CN"/>
        </w:rPr>
        <w:t>2019</w:t>
      </w:r>
      <w:r w:rsidRPr="00BC5204">
        <w:rPr>
          <w:b/>
          <w:lang w:val="en-CA" w:eastAsia="zh-CN"/>
        </w:rPr>
        <w:t xml:space="preserve">. The disbursement of balances will take place by </w:t>
      </w:r>
      <w:r>
        <w:rPr>
          <w:b/>
          <w:lang w:val="en-CA" w:eastAsia="zh-CN"/>
        </w:rPr>
        <w:t xml:space="preserve">the </w:t>
      </w:r>
      <w:r w:rsidRPr="00BC5204">
        <w:rPr>
          <w:b/>
          <w:lang w:val="en-CA" w:eastAsia="zh-CN"/>
        </w:rPr>
        <w:t>end</w:t>
      </w:r>
      <w:r>
        <w:rPr>
          <w:b/>
          <w:lang w:val="en-CA" w:eastAsia="zh-CN"/>
        </w:rPr>
        <w:t xml:space="preserve"> of</w:t>
      </w:r>
      <w:r w:rsidRPr="00BC5204">
        <w:rPr>
          <w:b/>
          <w:lang w:val="en-CA" w:eastAsia="zh-CN"/>
        </w:rPr>
        <w:t xml:space="preserve"> December</w:t>
      </w:r>
      <w:r>
        <w:rPr>
          <w:b/>
          <w:lang w:val="en-CA" w:eastAsia="zh-CN"/>
        </w:rPr>
        <w:t> </w:t>
      </w:r>
      <w:r w:rsidRPr="00BC5204">
        <w:rPr>
          <w:b/>
          <w:lang w:val="en-CA" w:eastAsia="zh-CN"/>
        </w:rPr>
        <w:t>2019.</w:t>
      </w:r>
    </w:p>
    <w:p w:rsidR="00130205" w:rsidRPr="00540861" w:rsidRDefault="00130205" w:rsidP="00130205">
      <w:pPr>
        <w:pStyle w:val="Heading1"/>
        <w:rPr>
          <w:lang w:val="en-CA" w:eastAsia="zh-CN"/>
        </w:rPr>
      </w:pPr>
      <w:r w:rsidRPr="00540861">
        <w:rPr>
          <w:lang w:val="en-CA" w:eastAsia="zh-CN"/>
        </w:rPr>
        <w:t>As per decision 73/20, UNDP revised the PCR submitted in 2012 to reflect the activities implemented under the solvent sector during the last four years. A final PCR will be submitted when the remaining balances are disbursed.</w:t>
      </w:r>
    </w:p>
    <w:p w:rsidR="00130205" w:rsidRPr="005123DA" w:rsidRDefault="00130205" w:rsidP="00130205">
      <w:pPr>
        <w:keepNext/>
        <w:spacing w:after="240"/>
        <w:rPr>
          <w:b/>
          <w:bCs/>
          <w:lang w:val="en-CA"/>
        </w:rPr>
      </w:pPr>
      <w:r w:rsidRPr="005123DA">
        <w:rPr>
          <w:b/>
          <w:bCs/>
          <w:lang w:val="en-CA"/>
        </w:rPr>
        <w:t>Interest accrued</w:t>
      </w:r>
    </w:p>
    <w:p w:rsidR="00130205" w:rsidRPr="005123DA" w:rsidRDefault="00130205" w:rsidP="00130205">
      <w:pPr>
        <w:pStyle w:val="Heading1"/>
        <w:rPr>
          <w:lang w:val="en-CA"/>
        </w:rPr>
      </w:pPr>
      <w:r w:rsidRPr="00C3476B">
        <w:rPr>
          <w:lang w:val="en-CA"/>
        </w:rPr>
        <w:t>Table 2</w:t>
      </w:r>
      <w:r w:rsidRPr="005123DA">
        <w:rPr>
          <w:lang w:val="en-CA"/>
        </w:rPr>
        <w:t xml:space="preserve"> presents the amount of interest collected.</w:t>
      </w:r>
    </w:p>
    <w:p w:rsidR="00130205" w:rsidRPr="005123DA" w:rsidRDefault="00130205" w:rsidP="00130205">
      <w:pPr>
        <w:keepNext/>
        <w:shd w:val="clear" w:color="auto" w:fill="FFFFFF"/>
        <w:rPr>
          <w:b/>
          <w:bCs/>
          <w:color w:val="000000"/>
          <w:lang w:val="en-CA"/>
        </w:rPr>
      </w:pPr>
      <w:r w:rsidRPr="00C3476B">
        <w:rPr>
          <w:b/>
          <w:bCs/>
          <w:color w:val="000000"/>
          <w:lang w:val="en-CA"/>
        </w:rPr>
        <w:t>Table 2</w:t>
      </w:r>
      <w:r w:rsidR="00C3476B">
        <w:rPr>
          <w:b/>
          <w:bCs/>
          <w:color w:val="000000"/>
          <w:lang w:val="en-CA"/>
        </w:rPr>
        <w:t>:</w:t>
      </w:r>
      <w:r w:rsidRPr="005123DA">
        <w:rPr>
          <w:b/>
          <w:bCs/>
          <w:color w:val="000000"/>
          <w:lang w:val="en-CA"/>
        </w:rPr>
        <w:t xml:space="preserve"> Interest reported from the sector plans in China (US $)</w:t>
      </w:r>
    </w:p>
    <w:tbl>
      <w:tblPr>
        <w:tblW w:w="5000" w:type="pct"/>
        <w:tblLook w:val="04A0" w:firstRow="1" w:lastRow="0" w:firstColumn="1" w:lastColumn="0" w:noHBand="0" w:noVBand="1"/>
      </w:tblPr>
      <w:tblGrid>
        <w:gridCol w:w="4531"/>
        <w:gridCol w:w="2553"/>
        <w:gridCol w:w="2266"/>
      </w:tblGrid>
      <w:tr w:rsidR="00130205" w:rsidRPr="00A96CBF" w:rsidTr="00130205">
        <w:trPr>
          <w:tblHeader/>
        </w:trPr>
        <w:tc>
          <w:tcPr>
            <w:tcW w:w="2423" w:type="pct"/>
            <w:tcBorders>
              <w:top w:val="single" w:sz="4" w:space="0" w:color="auto"/>
              <w:left w:val="single" w:sz="4" w:space="0" w:color="auto"/>
              <w:bottom w:val="single" w:sz="4" w:space="0" w:color="auto"/>
              <w:right w:val="single" w:sz="4" w:space="0" w:color="auto"/>
            </w:tcBorders>
            <w:shd w:val="clear" w:color="000000" w:fill="FFFFFF"/>
            <w:hideMark/>
          </w:tcPr>
          <w:p w:rsidR="00130205" w:rsidRPr="005123DA" w:rsidRDefault="00130205" w:rsidP="00130205">
            <w:pPr>
              <w:keepNext/>
              <w:jc w:val="center"/>
              <w:rPr>
                <w:b/>
                <w:bCs/>
                <w:color w:val="000000"/>
                <w:sz w:val="20"/>
                <w:szCs w:val="20"/>
                <w:lang w:val="en-CA"/>
              </w:rPr>
            </w:pPr>
            <w:r w:rsidRPr="005123DA">
              <w:rPr>
                <w:b/>
                <w:bCs/>
                <w:color w:val="000000"/>
                <w:sz w:val="20"/>
                <w:szCs w:val="20"/>
                <w:lang w:val="en-CA"/>
              </w:rPr>
              <w:t>Sector</w:t>
            </w:r>
          </w:p>
        </w:tc>
        <w:tc>
          <w:tcPr>
            <w:tcW w:w="1365" w:type="pct"/>
            <w:tcBorders>
              <w:top w:val="single" w:sz="4" w:space="0" w:color="auto"/>
              <w:left w:val="nil"/>
              <w:bottom w:val="single" w:sz="4" w:space="0" w:color="auto"/>
              <w:right w:val="single" w:sz="4" w:space="0" w:color="auto"/>
            </w:tcBorders>
            <w:shd w:val="clear" w:color="000000" w:fill="FFFFFF"/>
            <w:hideMark/>
          </w:tcPr>
          <w:p w:rsidR="00130205" w:rsidRPr="005123DA" w:rsidRDefault="00130205" w:rsidP="00130205">
            <w:pPr>
              <w:keepNext/>
              <w:jc w:val="center"/>
              <w:rPr>
                <w:b/>
                <w:bCs/>
                <w:color w:val="000000"/>
                <w:sz w:val="20"/>
                <w:szCs w:val="20"/>
                <w:lang w:val="en-CA"/>
              </w:rPr>
            </w:pPr>
            <w:r w:rsidRPr="005123DA">
              <w:rPr>
                <w:b/>
                <w:bCs/>
                <w:color w:val="000000"/>
                <w:sz w:val="20"/>
                <w:szCs w:val="20"/>
                <w:lang w:val="en-CA"/>
              </w:rPr>
              <w:t>1 July 201</w:t>
            </w:r>
            <w:r>
              <w:rPr>
                <w:b/>
                <w:bCs/>
                <w:color w:val="000000"/>
                <w:sz w:val="20"/>
                <w:szCs w:val="20"/>
                <w:lang w:val="en-CA"/>
              </w:rPr>
              <w:t>8</w:t>
            </w:r>
            <w:r w:rsidRPr="005123DA">
              <w:rPr>
                <w:b/>
                <w:bCs/>
                <w:color w:val="000000"/>
                <w:sz w:val="20"/>
                <w:szCs w:val="20"/>
                <w:lang w:val="en-CA"/>
              </w:rPr>
              <w:t xml:space="preserve"> – </w:t>
            </w:r>
          </w:p>
          <w:p w:rsidR="00130205" w:rsidRPr="005123DA" w:rsidRDefault="00130205" w:rsidP="00130205">
            <w:pPr>
              <w:keepNext/>
              <w:jc w:val="center"/>
              <w:rPr>
                <w:b/>
                <w:bCs/>
                <w:color w:val="000000"/>
                <w:sz w:val="20"/>
                <w:szCs w:val="20"/>
                <w:lang w:val="en-CA"/>
              </w:rPr>
            </w:pPr>
            <w:r w:rsidRPr="005123DA">
              <w:rPr>
                <w:b/>
                <w:bCs/>
                <w:color w:val="000000"/>
                <w:sz w:val="20"/>
                <w:szCs w:val="20"/>
                <w:lang w:val="en-CA"/>
              </w:rPr>
              <w:t>30 June 201</w:t>
            </w:r>
            <w:r>
              <w:rPr>
                <w:b/>
                <w:bCs/>
                <w:color w:val="000000"/>
                <w:sz w:val="20"/>
                <w:szCs w:val="20"/>
                <w:lang w:val="en-CA"/>
              </w:rPr>
              <w:t>9</w:t>
            </w:r>
          </w:p>
        </w:tc>
        <w:tc>
          <w:tcPr>
            <w:tcW w:w="1212" w:type="pct"/>
            <w:tcBorders>
              <w:top w:val="single" w:sz="4" w:space="0" w:color="auto"/>
              <w:left w:val="nil"/>
              <w:bottom w:val="single" w:sz="4" w:space="0" w:color="auto"/>
              <w:right w:val="single" w:sz="4" w:space="0" w:color="auto"/>
            </w:tcBorders>
            <w:shd w:val="clear" w:color="000000" w:fill="FFFFFF"/>
          </w:tcPr>
          <w:p w:rsidR="00130205" w:rsidRPr="005123DA" w:rsidRDefault="00130205" w:rsidP="00130205">
            <w:pPr>
              <w:keepNext/>
              <w:jc w:val="center"/>
              <w:rPr>
                <w:b/>
                <w:bCs/>
                <w:color w:val="000000"/>
                <w:sz w:val="20"/>
                <w:szCs w:val="20"/>
                <w:lang w:val="en-CA"/>
              </w:rPr>
            </w:pPr>
            <w:r w:rsidRPr="005123DA">
              <w:rPr>
                <w:b/>
                <w:bCs/>
                <w:color w:val="000000"/>
                <w:sz w:val="20"/>
                <w:szCs w:val="20"/>
                <w:lang w:val="en-CA"/>
              </w:rPr>
              <w:t xml:space="preserve">1 January 2010 – </w:t>
            </w:r>
          </w:p>
          <w:p w:rsidR="00130205" w:rsidRPr="005123DA" w:rsidRDefault="00130205" w:rsidP="00130205">
            <w:pPr>
              <w:keepNext/>
              <w:jc w:val="center"/>
              <w:rPr>
                <w:b/>
                <w:bCs/>
                <w:color w:val="000000"/>
                <w:sz w:val="20"/>
                <w:szCs w:val="20"/>
                <w:lang w:val="en-CA"/>
              </w:rPr>
            </w:pPr>
            <w:r w:rsidRPr="005123DA">
              <w:rPr>
                <w:b/>
                <w:bCs/>
                <w:color w:val="000000"/>
                <w:sz w:val="20"/>
                <w:szCs w:val="20"/>
                <w:lang w:val="en-CA"/>
              </w:rPr>
              <w:t>30 June 201</w:t>
            </w:r>
            <w:r>
              <w:rPr>
                <w:b/>
                <w:bCs/>
                <w:color w:val="000000"/>
                <w:sz w:val="20"/>
                <w:szCs w:val="20"/>
                <w:lang w:val="en-CA"/>
              </w:rPr>
              <w:t>9</w:t>
            </w:r>
            <w:r w:rsidRPr="005123DA">
              <w:rPr>
                <w:b/>
                <w:bCs/>
                <w:color w:val="000000"/>
                <w:sz w:val="20"/>
                <w:szCs w:val="20"/>
                <w:lang w:val="en-CA"/>
              </w:rPr>
              <w:t xml:space="preserve"> </w:t>
            </w:r>
          </w:p>
        </w:tc>
      </w:tr>
      <w:tr w:rsidR="00130205" w:rsidRPr="00A96CBF" w:rsidTr="00130205">
        <w:tc>
          <w:tcPr>
            <w:tcW w:w="2423" w:type="pct"/>
            <w:tcBorders>
              <w:top w:val="nil"/>
              <w:left w:val="single" w:sz="4" w:space="0" w:color="auto"/>
              <w:bottom w:val="single" w:sz="4" w:space="0" w:color="auto"/>
              <w:right w:val="single" w:sz="4" w:space="0" w:color="auto"/>
            </w:tcBorders>
            <w:shd w:val="clear" w:color="000000" w:fill="FFFFFF"/>
            <w:hideMark/>
          </w:tcPr>
          <w:p w:rsidR="00130205" w:rsidRPr="005123DA" w:rsidRDefault="00130205" w:rsidP="00130205">
            <w:pPr>
              <w:widowControl w:val="0"/>
              <w:rPr>
                <w:color w:val="000000"/>
                <w:sz w:val="20"/>
                <w:szCs w:val="20"/>
                <w:lang w:val="en-CA"/>
              </w:rPr>
            </w:pPr>
            <w:r w:rsidRPr="005123DA">
              <w:rPr>
                <w:color w:val="000000"/>
                <w:sz w:val="20"/>
                <w:szCs w:val="20"/>
                <w:lang w:val="en-CA"/>
              </w:rPr>
              <w:t>CFC production, halon, process agent II, and PU foam</w:t>
            </w:r>
          </w:p>
        </w:tc>
        <w:tc>
          <w:tcPr>
            <w:tcW w:w="1365" w:type="pct"/>
            <w:tcBorders>
              <w:top w:val="nil"/>
              <w:left w:val="nil"/>
              <w:bottom w:val="single" w:sz="4" w:space="0" w:color="auto"/>
              <w:right w:val="single" w:sz="4" w:space="0" w:color="auto"/>
            </w:tcBorders>
            <w:tcMar>
              <w:left w:w="115" w:type="dxa"/>
              <w:right w:w="1440" w:type="dxa"/>
            </w:tcMar>
            <w:hideMark/>
          </w:tcPr>
          <w:p w:rsidR="00130205" w:rsidRPr="005123DA" w:rsidRDefault="00130205" w:rsidP="00130205">
            <w:pPr>
              <w:widowControl w:val="0"/>
              <w:ind w:right="-1298"/>
              <w:jc w:val="right"/>
              <w:rPr>
                <w:color w:val="000000"/>
                <w:sz w:val="20"/>
                <w:szCs w:val="20"/>
                <w:lang w:val="en-CA"/>
              </w:rPr>
            </w:pPr>
            <w:r w:rsidRPr="005123DA">
              <w:rPr>
                <w:color w:val="000000"/>
                <w:sz w:val="20"/>
                <w:szCs w:val="20"/>
                <w:lang w:val="en-CA"/>
              </w:rPr>
              <w:t>979</w:t>
            </w:r>
          </w:p>
        </w:tc>
        <w:tc>
          <w:tcPr>
            <w:tcW w:w="1212" w:type="pct"/>
            <w:tcBorders>
              <w:top w:val="nil"/>
              <w:left w:val="nil"/>
              <w:bottom w:val="single" w:sz="4" w:space="0" w:color="auto"/>
              <w:right w:val="single" w:sz="4" w:space="0" w:color="auto"/>
            </w:tcBorders>
          </w:tcPr>
          <w:p w:rsidR="00130205" w:rsidRPr="005123DA" w:rsidRDefault="00130205" w:rsidP="00130205">
            <w:pPr>
              <w:widowControl w:val="0"/>
              <w:jc w:val="right"/>
              <w:rPr>
                <w:color w:val="000000"/>
                <w:sz w:val="20"/>
                <w:szCs w:val="20"/>
                <w:lang w:val="en-CA"/>
              </w:rPr>
            </w:pPr>
            <w:r w:rsidRPr="005123DA">
              <w:rPr>
                <w:color w:val="000000"/>
                <w:sz w:val="20"/>
                <w:szCs w:val="20"/>
                <w:lang w:val="en-CA"/>
              </w:rPr>
              <w:t>22,088</w:t>
            </w:r>
          </w:p>
        </w:tc>
      </w:tr>
      <w:tr w:rsidR="00130205" w:rsidRPr="00A96CBF" w:rsidTr="00130205">
        <w:tc>
          <w:tcPr>
            <w:tcW w:w="2423" w:type="pct"/>
            <w:tcBorders>
              <w:top w:val="nil"/>
              <w:left w:val="single" w:sz="4" w:space="0" w:color="auto"/>
              <w:bottom w:val="single" w:sz="4" w:space="0" w:color="auto"/>
              <w:right w:val="single" w:sz="4" w:space="0" w:color="auto"/>
            </w:tcBorders>
            <w:shd w:val="clear" w:color="000000" w:fill="FFFFFF"/>
            <w:noWrap/>
            <w:hideMark/>
          </w:tcPr>
          <w:p w:rsidR="00130205" w:rsidRPr="005123DA" w:rsidRDefault="00130205" w:rsidP="00130205">
            <w:pPr>
              <w:widowControl w:val="0"/>
              <w:rPr>
                <w:color w:val="000000"/>
                <w:sz w:val="20"/>
                <w:szCs w:val="20"/>
                <w:lang w:val="en-CA"/>
              </w:rPr>
            </w:pPr>
            <w:r w:rsidRPr="005123DA">
              <w:rPr>
                <w:color w:val="000000"/>
                <w:sz w:val="20"/>
                <w:szCs w:val="20"/>
                <w:lang w:val="en-CA"/>
              </w:rPr>
              <w:t>Refrigeration servicing</w:t>
            </w:r>
          </w:p>
        </w:tc>
        <w:tc>
          <w:tcPr>
            <w:tcW w:w="1365" w:type="pct"/>
            <w:tcBorders>
              <w:top w:val="nil"/>
              <w:left w:val="nil"/>
              <w:bottom w:val="single" w:sz="4" w:space="0" w:color="auto"/>
              <w:right w:val="single" w:sz="4" w:space="0" w:color="auto"/>
            </w:tcBorders>
            <w:tcMar>
              <w:left w:w="115" w:type="dxa"/>
              <w:right w:w="1440" w:type="dxa"/>
            </w:tcMar>
            <w:hideMark/>
          </w:tcPr>
          <w:p w:rsidR="00130205" w:rsidRPr="005123DA" w:rsidRDefault="00130205" w:rsidP="00130205">
            <w:pPr>
              <w:widowControl w:val="0"/>
              <w:ind w:right="-1298"/>
              <w:jc w:val="right"/>
              <w:rPr>
                <w:color w:val="000000"/>
                <w:sz w:val="20"/>
                <w:szCs w:val="20"/>
                <w:lang w:val="en-CA"/>
              </w:rPr>
            </w:pPr>
            <w:r w:rsidRPr="005123DA">
              <w:rPr>
                <w:color w:val="000000"/>
                <w:sz w:val="20"/>
                <w:szCs w:val="20"/>
                <w:lang w:val="en-CA"/>
              </w:rPr>
              <w:t>4,322</w:t>
            </w:r>
          </w:p>
        </w:tc>
        <w:tc>
          <w:tcPr>
            <w:tcW w:w="1212" w:type="pct"/>
            <w:tcBorders>
              <w:top w:val="nil"/>
              <w:left w:val="nil"/>
              <w:bottom w:val="single" w:sz="4" w:space="0" w:color="auto"/>
              <w:right w:val="single" w:sz="4" w:space="0" w:color="auto"/>
            </w:tcBorders>
          </w:tcPr>
          <w:p w:rsidR="00130205" w:rsidRPr="005123DA" w:rsidRDefault="00130205" w:rsidP="00130205">
            <w:pPr>
              <w:widowControl w:val="0"/>
              <w:jc w:val="right"/>
              <w:rPr>
                <w:color w:val="000000"/>
                <w:sz w:val="20"/>
                <w:szCs w:val="20"/>
                <w:lang w:val="en-CA"/>
              </w:rPr>
            </w:pPr>
            <w:r w:rsidRPr="005123DA">
              <w:rPr>
                <w:color w:val="000000"/>
                <w:sz w:val="20"/>
                <w:szCs w:val="20"/>
                <w:lang w:val="en-CA"/>
              </w:rPr>
              <w:t>97,887</w:t>
            </w:r>
          </w:p>
        </w:tc>
      </w:tr>
      <w:tr w:rsidR="00130205" w:rsidRPr="00A96CBF" w:rsidTr="00130205">
        <w:tc>
          <w:tcPr>
            <w:tcW w:w="2423" w:type="pct"/>
            <w:tcBorders>
              <w:top w:val="nil"/>
              <w:left w:val="single" w:sz="4" w:space="0" w:color="auto"/>
              <w:bottom w:val="single" w:sz="4" w:space="0" w:color="auto"/>
              <w:right w:val="single" w:sz="4" w:space="0" w:color="auto"/>
            </w:tcBorders>
            <w:shd w:val="clear" w:color="000000" w:fill="FFFFFF"/>
            <w:noWrap/>
            <w:hideMark/>
          </w:tcPr>
          <w:p w:rsidR="00130205" w:rsidRPr="00D44FF5" w:rsidRDefault="00130205" w:rsidP="00130205">
            <w:pPr>
              <w:widowControl w:val="0"/>
              <w:rPr>
                <w:color w:val="000000"/>
                <w:sz w:val="20"/>
                <w:szCs w:val="20"/>
                <w:lang w:val="en-CA"/>
              </w:rPr>
            </w:pPr>
            <w:r w:rsidRPr="00D44FF5">
              <w:rPr>
                <w:color w:val="000000"/>
                <w:sz w:val="20"/>
                <w:szCs w:val="20"/>
                <w:lang w:val="en-CA"/>
              </w:rPr>
              <w:t>Solvent</w:t>
            </w:r>
          </w:p>
        </w:tc>
        <w:tc>
          <w:tcPr>
            <w:tcW w:w="1365" w:type="pct"/>
            <w:tcBorders>
              <w:top w:val="nil"/>
              <w:left w:val="nil"/>
              <w:bottom w:val="single" w:sz="4" w:space="0" w:color="auto"/>
              <w:right w:val="single" w:sz="4" w:space="0" w:color="auto"/>
            </w:tcBorders>
            <w:tcMar>
              <w:left w:w="115" w:type="dxa"/>
              <w:right w:w="1440" w:type="dxa"/>
            </w:tcMar>
            <w:hideMark/>
          </w:tcPr>
          <w:p w:rsidR="00130205" w:rsidRPr="00D44FF5" w:rsidRDefault="00130205" w:rsidP="00130205">
            <w:pPr>
              <w:widowControl w:val="0"/>
              <w:ind w:right="-1298"/>
              <w:jc w:val="right"/>
              <w:rPr>
                <w:color w:val="000000"/>
                <w:sz w:val="20"/>
                <w:szCs w:val="20"/>
                <w:lang w:val="en-CA"/>
              </w:rPr>
            </w:pPr>
            <w:r w:rsidRPr="00D44FF5">
              <w:rPr>
                <w:color w:val="000000"/>
                <w:sz w:val="20"/>
                <w:szCs w:val="20"/>
                <w:lang w:val="en-CA"/>
              </w:rPr>
              <w:t>24,508</w:t>
            </w:r>
          </w:p>
        </w:tc>
        <w:tc>
          <w:tcPr>
            <w:tcW w:w="1212" w:type="pct"/>
            <w:tcBorders>
              <w:top w:val="nil"/>
              <w:left w:val="nil"/>
              <w:bottom w:val="single" w:sz="4" w:space="0" w:color="auto"/>
              <w:right w:val="single" w:sz="4" w:space="0" w:color="auto"/>
            </w:tcBorders>
          </w:tcPr>
          <w:p w:rsidR="00130205" w:rsidRPr="00D44FF5" w:rsidRDefault="00130205" w:rsidP="00130205">
            <w:pPr>
              <w:widowControl w:val="0"/>
              <w:jc w:val="right"/>
              <w:rPr>
                <w:color w:val="000000"/>
                <w:sz w:val="20"/>
                <w:szCs w:val="20"/>
                <w:lang w:val="en-CA"/>
              </w:rPr>
            </w:pPr>
            <w:r w:rsidRPr="00D44FF5">
              <w:rPr>
                <w:color w:val="000000"/>
                <w:sz w:val="20"/>
                <w:szCs w:val="20"/>
                <w:lang w:val="en-CA"/>
              </w:rPr>
              <w:t>350,144</w:t>
            </w:r>
          </w:p>
        </w:tc>
      </w:tr>
      <w:tr w:rsidR="00130205" w:rsidRPr="00A96CBF" w:rsidTr="00130205">
        <w:tc>
          <w:tcPr>
            <w:tcW w:w="2423" w:type="pct"/>
            <w:tcBorders>
              <w:top w:val="nil"/>
              <w:left w:val="single" w:sz="4" w:space="0" w:color="auto"/>
              <w:bottom w:val="single" w:sz="4" w:space="0" w:color="auto"/>
              <w:right w:val="single" w:sz="4" w:space="0" w:color="auto"/>
            </w:tcBorders>
            <w:shd w:val="clear" w:color="000000" w:fill="FFFFFF"/>
            <w:hideMark/>
          </w:tcPr>
          <w:p w:rsidR="00130205" w:rsidRPr="00D44FF5" w:rsidRDefault="00130205" w:rsidP="00130205">
            <w:pPr>
              <w:widowControl w:val="0"/>
              <w:rPr>
                <w:b/>
                <w:bCs/>
                <w:color w:val="000000"/>
                <w:sz w:val="20"/>
                <w:szCs w:val="20"/>
                <w:lang w:val="en-CA"/>
              </w:rPr>
            </w:pPr>
            <w:r w:rsidRPr="00D44FF5">
              <w:rPr>
                <w:b/>
                <w:bCs/>
                <w:color w:val="000000"/>
                <w:sz w:val="20"/>
                <w:szCs w:val="20"/>
                <w:lang w:val="en-CA"/>
              </w:rPr>
              <w:t>Total</w:t>
            </w:r>
          </w:p>
        </w:tc>
        <w:tc>
          <w:tcPr>
            <w:tcW w:w="1365" w:type="pct"/>
            <w:tcBorders>
              <w:top w:val="nil"/>
              <w:left w:val="nil"/>
              <w:bottom w:val="single" w:sz="4" w:space="0" w:color="auto"/>
              <w:right w:val="single" w:sz="4" w:space="0" w:color="auto"/>
            </w:tcBorders>
            <w:tcMar>
              <w:left w:w="115" w:type="dxa"/>
              <w:right w:w="1440" w:type="dxa"/>
            </w:tcMar>
            <w:hideMark/>
          </w:tcPr>
          <w:p w:rsidR="00130205" w:rsidRPr="00D44FF5" w:rsidRDefault="00130205" w:rsidP="00130205">
            <w:pPr>
              <w:widowControl w:val="0"/>
              <w:ind w:right="-1298"/>
              <w:jc w:val="right"/>
              <w:rPr>
                <w:b/>
                <w:color w:val="000000"/>
                <w:sz w:val="20"/>
                <w:szCs w:val="20"/>
                <w:lang w:val="en-CA"/>
              </w:rPr>
            </w:pPr>
            <w:r w:rsidRPr="00D44FF5">
              <w:rPr>
                <w:b/>
                <w:color w:val="000000"/>
                <w:sz w:val="20"/>
                <w:szCs w:val="20"/>
                <w:lang w:val="en-CA"/>
              </w:rPr>
              <w:t>29,809</w:t>
            </w:r>
          </w:p>
        </w:tc>
        <w:tc>
          <w:tcPr>
            <w:tcW w:w="1212" w:type="pct"/>
            <w:tcBorders>
              <w:top w:val="nil"/>
              <w:left w:val="nil"/>
              <w:bottom w:val="single" w:sz="4" w:space="0" w:color="auto"/>
              <w:right w:val="single" w:sz="4" w:space="0" w:color="auto"/>
            </w:tcBorders>
          </w:tcPr>
          <w:p w:rsidR="00130205" w:rsidRPr="00D44FF5" w:rsidRDefault="00130205" w:rsidP="00130205">
            <w:pPr>
              <w:widowControl w:val="0"/>
              <w:jc w:val="right"/>
              <w:rPr>
                <w:b/>
                <w:color w:val="000000"/>
                <w:sz w:val="20"/>
                <w:szCs w:val="20"/>
                <w:lang w:val="en-CA"/>
              </w:rPr>
            </w:pPr>
            <w:r w:rsidRPr="00D44FF5">
              <w:rPr>
                <w:b/>
                <w:color w:val="000000"/>
                <w:sz w:val="20"/>
                <w:szCs w:val="20"/>
                <w:lang w:val="en-CA"/>
              </w:rPr>
              <w:t>470,119</w:t>
            </w:r>
          </w:p>
        </w:tc>
      </w:tr>
    </w:tbl>
    <w:p w:rsidR="00130205" w:rsidRPr="000C03E1" w:rsidRDefault="00130205" w:rsidP="00130205">
      <w:pPr>
        <w:shd w:val="clear" w:color="auto" w:fill="FFFFFF"/>
        <w:rPr>
          <w:bCs/>
          <w:color w:val="000000"/>
          <w:lang w:val="en-CA"/>
        </w:rPr>
      </w:pPr>
    </w:p>
    <w:p w:rsidR="00130205" w:rsidRPr="000C03E1" w:rsidRDefault="00130205" w:rsidP="00130205">
      <w:pPr>
        <w:pStyle w:val="Heading1"/>
        <w:rPr>
          <w:lang w:val="en-CA"/>
        </w:rPr>
      </w:pPr>
      <w:r w:rsidRPr="000C03E1">
        <w:rPr>
          <w:lang w:val="en-CA"/>
        </w:rPr>
        <w:t xml:space="preserve">As in past reports, the interest accrued for the solvent sector is significantly higher than that accrued for other sectors, as interest from RMB accounts is higher than interest from US dollar accounts. </w:t>
      </w:r>
    </w:p>
    <w:p w:rsidR="00130205" w:rsidRPr="000C03E1" w:rsidRDefault="00130205" w:rsidP="00130205">
      <w:pPr>
        <w:spacing w:after="240"/>
        <w:outlineLvl w:val="0"/>
        <w:rPr>
          <w:lang w:val="en-CA"/>
        </w:rPr>
      </w:pPr>
      <w:r w:rsidRPr="000C03E1">
        <w:rPr>
          <w:b/>
          <w:bCs/>
          <w:lang w:val="en-CA"/>
        </w:rPr>
        <w:t>Secretariat’s comments</w:t>
      </w:r>
      <w:r w:rsidRPr="000C03E1">
        <w:rPr>
          <w:lang w:val="en-CA"/>
        </w:rPr>
        <w:t xml:space="preserve"> </w:t>
      </w:r>
    </w:p>
    <w:p w:rsidR="00130205" w:rsidRPr="000C03E1" w:rsidRDefault="00130205" w:rsidP="00130205">
      <w:pPr>
        <w:spacing w:after="240"/>
        <w:outlineLvl w:val="0"/>
        <w:rPr>
          <w:u w:val="single"/>
          <w:lang w:val="en-CA"/>
        </w:rPr>
      </w:pPr>
      <w:r w:rsidRPr="000C03E1">
        <w:rPr>
          <w:u w:val="single"/>
          <w:lang w:val="en-CA"/>
        </w:rPr>
        <w:t>Overall progress</w:t>
      </w:r>
    </w:p>
    <w:p w:rsidR="00130205" w:rsidRPr="00CB1D20" w:rsidRDefault="00130205" w:rsidP="00130205">
      <w:pPr>
        <w:pStyle w:val="Heading1"/>
        <w:rPr>
          <w:lang w:val="en-CA"/>
        </w:rPr>
      </w:pPr>
      <w:r w:rsidRPr="00CB1D20">
        <w:rPr>
          <w:lang w:val="en-CA"/>
        </w:rPr>
        <w:t>At the 80</w:t>
      </w:r>
      <w:r w:rsidRPr="00CB1D20">
        <w:rPr>
          <w:vertAlign w:val="superscript"/>
          <w:lang w:val="en-CA"/>
        </w:rPr>
        <w:t>th</w:t>
      </w:r>
      <w:r w:rsidRPr="00CB1D20">
        <w:rPr>
          <w:lang w:val="en-CA"/>
        </w:rPr>
        <w:t xml:space="preserve"> meeting, the implementing agencies provided reassurance that the funding balances associated with each of the sector plans would be fully disbursed by the end of 2018 and that the project completion reports would be submitted to the first meeting of the Executive Committee in 2019. Subsequently, the Executive Committee noted with appreciation </w:t>
      </w:r>
      <w:r w:rsidRPr="00CB1D20">
        <w:rPr>
          <w:i/>
          <w:lang w:val="en-CA"/>
        </w:rPr>
        <w:t>inter alia</w:t>
      </w:r>
      <w:r w:rsidRPr="00CB1D20">
        <w:rPr>
          <w:lang w:val="en-CA"/>
        </w:rPr>
        <w:t xml:space="preserve"> that the Government of China had confirmed that all activities associated with each of the sector plans would be completed by the end of 2018, that relevant research and technical assistance reports would be submitted to the last meeting of 2018, and that the project completion reports would be submitted to the first meeting of the Executive Committee in 2019 (decision 80/27(c)).</w:t>
      </w:r>
    </w:p>
    <w:p w:rsidR="00130205" w:rsidRPr="00CB1D20" w:rsidRDefault="00130205" w:rsidP="00130205">
      <w:pPr>
        <w:pStyle w:val="Heading1"/>
        <w:rPr>
          <w:lang w:val="en-CA"/>
        </w:rPr>
      </w:pPr>
      <w:r w:rsidRPr="00CB1D20">
        <w:rPr>
          <w:lang w:val="en-CA"/>
        </w:rPr>
        <w:lastRenderedPageBreak/>
        <w:t>Furthermore, during the 80</w:t>
      </w:r>
      <w:r w:rsidRPr="00CB1D20">
        <w:rPr>
          <w:vertAlign w:val="superscript"/>
          <w:lang w:val="en-CA"/>
        </w:rPr>
        <w:t>th</w:t>
      </w:r>
      <w:r w:rsidRPr="00CB1D20">
        <w:rPr>
          <w:lang w:val="en-CA"/>
        </w:rPr>
        <w:t xml:space="preserve"> meeting, the Committee held informal discussions on the issue of the return of balances, and in reporting the outcome of those discussions, one member, supported by another member, said that, while the request for the return of the outstanding balances to the Fund had been withdrawn, in his view and in the view of others, outstanding balances should in principle be returned to the Fund or offset against future approvals, and the issue of the return of balances should be revisited at a future meeting of the Committee (UNEP/</w:t>
      </w:r>
      <w:proofErr w:type="spellStart"/>
      <w:r w:rsidRPr="00CB1D20">
        <w:rPr>
          <w:lang w:val="en-CA"/>
        </w:rPr>
        <w:t>OzL.Pro</w:t>
      </w:r>
      <w:proofErr w:type="spellEnd"/>
      <w:r w:rsidRPr="00CB1D20">
        <w:rPr>
          <w:lang w:val="en-CA"/>
        </w:rPr>
        <w:t>/</w:t>
      </w:r>
      <w:proofErr w:type="spellStart"/>
      <w:r w:rsidRPr="00CB1D20">
        <w:rPr>
          <w:lang w:val="en-CA"/>
        </w:rPr>
        <w:t>ExCom</w:t>
      </w:r>
      <w:proofErr w:type="spellEnd"/>
      <w:r w:rsidRPr="00CB1D20">
        <w:rPr>
          <w:lang w:val="en-CA"/>
        </w:rPr>
        <w:t xml:space="preserve">/80/59). </w:t>
      </w:r>
    </w:p>
    <w:p w:rsidR="00130205" w:rsidRPr="00CB1D20" w:rsidRDefault="00130205" w:rsidP="00130205">
      <w:pPr>
        <w:pStyle w:val="Heading1"/>
        <w:rPr>
          <w:b/>
          <w:lang w:val="en-CA"/>
        </w:rPr>
      </w:pPr>
      <w:r w:rsidRPr="00CB1D20">
        <w:rPr>
          <w:lang w:val="en-CA"/>
        </w:rPr>
        <w:t>The progress reports submitted to the 82</w:t>
      </w:r>
      <w:r w:rsidRPr="00CB1D20">
        <w:rPr>
          <w:vertAlign w:val="superscript"/>
          <w:lang w:val="en-CA"/>
        </w:rPr>
        <w:t>nd</w:t>
      </w:r>
      <w:r w:rsidRPr="00CB1D20">
        <w:rPr>
          <w:lang w:val="en-CA"/>
        </w:rPr>
        <w:t xml:space="preserve"> meeting indicate that the commitment to complete all activities by the end of 2018 </w:t>
      </w:r>
      <w:r w:rsidRPr="00CB1D20">
        <w:rPr>
          <w:b/>
          <w:lang w:val="en-CA"/>
        </w:rPr>
        <w:t>had</w:t>
      </w:r>
      <w:r w:rsidRPr="00CB1D20">
        <w:rPr>
          <w:lang w:val="en-CA"/>
        </w:rPr>
        <w:t xml:space="preserve"> not been fulfilled in several of the sector plans, and some sector plans </w:t>
      </w:r>
      <w:r w:rsidRPr="00CB1D20">
        <w:rPr>
          <w:b/>
          <w:lang w:val="en-CA"/>
        </w:rPr>
        <w:t>were</w:t>
      </w:r>
      <w:r w:rsidRPr="00CB1D20">
        <w:rPr>
          <w:lang w:val="en-CA"/>
        </w:rPr>
        <w:t xml:space="preserve"> proposed for extension to 2020 (process agent II) and to 2022 (halon). It </w:t>
      </w:r>
      <w:r w:rsidRPr="00CB1D20">
        <w:rPr>
          <w:b/>
          <w:lang w:val="en-CA"/>
        </w:rPr>
        <w:t>was</w:t>
      </w:r>
      <w:r w:rsidRPr="00CB1D20">
        <w:rPr>
          <w:lang w:val="en-CA"/>
        </w:rPr>
        <w:t xml:space="preserve"> also noted that all other sector plans with the planned completion date of December 2018 (CFC production, PU foam, servicing, solvent) </w:t>
      </w:r>
      <w:r w:rsidRPr="00CB1D20">
        <w:rPr>
          <w:b/>
          <w:lang w:val="en-CA"/>
        </w:rPr>
        <w:t>had</w:t>
      </w:r>
      <w:r w:rsidRPr="00CB1D20">
        <w:rPr>
          <w:lang w:val="en-CA"/>
        </w:rPr>
        <w:t xml:space="preserve"> balances, which </w:t>
      </w:r>
      <w:r w:rsidRPr="00CB1D20">
        <w:rPr>
          <w:b/>
          <w:lang w:val="en-CA"/>
        </w:rPr>
        <w:t>were</w:t>
      </w:r>
      <w:r w:rsidRPr="00CB1D20">
        <w:rPr>
          <w:lang w:val="en-CA"/>
        </w:rPr>
        <w:t xml:space="preserve"> planned for disbursement in 2019. Out of the balance of US $25.89 million, as of 30 June 2017, only US $4.13 million (16 per cent) had been disbursed. The balance </w:t>
      </w:r>
      <w:r w:rsidRPr="00CB1D20">
        <w:rPr>
          <w:b/>
          <w:lang w:val="en-CA"/>
        </w:rPr>
        <w:t>at the 82</w:t>
      </w:r>
      <w:r w:rsidRPr="00CB1D20">
        <w:rPr>
          <w:b/>
          <w:vertAlign w:val="superscript"/>
          <w:lang w:val="en-CA"/>
        </w:rPr>
        <w:t>nd</w:t>
      </w:r>
      <w:r w:rsidRPr="00CB1D20">
        <w:rPr>
          <w:b/>
          <w:lang w:val="en-CA"/>
        </w:rPr>
        <w:t> meeting</w:t>
      </w:r>
      <w:r w:rsidRPr="00CB1D20">
        <w:rPr>
          <w:lang w:val="en-CA"/>
        </w:rPr>
        <w:t xml:space="preserve"> of US $22.24 million </w:t>
      </w:r>
      <w:r w:rsidRPr="00CB1D20">
        <w:rPr>
          <w:b/>
          <w:lang w:val="en-CA"/>
        </w:rPr>
        <w:t>was</w:t>
      </w:r>
      <w:r w:rsidRPr="00CB1D20">
        <w:rPr>
          <w:lang w:val="en-CA"/>
        </w:rPr>
        <w:t xml:space="preserve"> still only 43 per cent of the total balance of US $52 million available in 31 December 2009. </w:t>
      </w:r>
    </w:p>
    <w:p w:rsidR="00130205" w:rsidRPr="00CB1D20" w:rsidRDefault="00130205" w:rsidP="00130205">
      <w:pPr>
        <w:pStyle w:val="Heading1"/>
        <w:rPr>
          <w:lang w:val="en-CA"/>
        </w:rPr>
      </w:pPr>
      <w:r w:rsidRPr="00CB1D20">
        <w:rPr>
          <w:lang w:val="en-CA"/>
        </w:rPr>
        <w:t xml:space="preserve">The Government of China noted the points raised above, and emphasized that there was no specific decision or requirement to return funds, further stating that the remaining funds are necessary to achieve the overall goal of permanent and sustainable phase-out and have been programmed accordingly. </w:t>
      </w:r>
      <w:r w:rsidR="00A809E6">
        <w:rPr>
          <w:lang w:val="en-CA"/>
        </w:rPr>
        <w:br/>
      </w:r>
      <w:r w:rsidRPr="00CB1D20">
        <w:rPr>
          <w:lang w:val="en-CA"/>
        </w:rPr>
        <w:t>In addition, the Government of China indicated that:</w:t>
      </w:r>
    </w:p>
    <w:p w:rsidR="00130205" w:rsidRPr="00512235" w:rsidRDefault="00130205" w:rsidP="00130205">
      <w:pPr>
        <w:pStyle w:val="Heading2"/>
        <w:numPr>
          <w:ilvl w:val="1"/>
          <w:numId w:val="1"/>
        </w:numPr>
        <w:rPr>
          <w:lang w:val="en-CA"/>
        </w:rPr>
      </w:pPr>
      <w:r w:rsidRPr="00CB1D20">
        <w:rPr>
          <w:lang w:val="en-CA"/>
        </w:rPr>
        <w:t xml:space="preserve">All </w:t>
      </w:r>
      <w:r w:rsidRPr="00512235">
        <w:rPr>
          <w:lang w:val="en-CA"/>
        </w:rPr>
        <w:t xml:space="preserve">substantive activities in the CFC production, PU foam, refrigeration servicing and solvent sectors will be completed as scheduled by December 2018 and final disbursements will be made in 2019 after satisfactory completion of the activities by December 2018; </w:t>
      </w:r>
    </w:p>
    <w:p w:rsidR="00130205" w:rsidRPr="00512235" w:rsidRDefault="00130205" w:rsidP="00130205">
      <w:pPr>
        <w:pStyle w:val="Heading2"/>
        <w:numPr>
          <w:ilvl w:val="1"/>
          <w:numId w:val="1"/>
        </w:numPr>
        <w:rPr>
          <w:lang w:val="en-CA"/>
        </w:rPr>
      </w:pPr>
      <w:r w:rsidRPr="00512235">
        <w:rPr>
          <w:lang w:val="en-CA"/>
        </w:rPr>
        <w:t xml:space="preserve">The major reason for non-completion of the halon sector activities is that from 2014 to 2018, FECO focused on building the foundation and gradually developing the </w:t>
      </w:r>
      <w:r w:rsidR="0066468D" w:rsidRPr="00BD3222">
        <w:rPr>
          <w:lang w:val="en-CA"/>
        </w:rPr>
        <w:t>NHRMC</w:t>
      </w:r>
      <w:r w:rsidRPr="00512235">
        <w:rPr>
          <w:lang w:val="en-CA"/>
        </w:rPr>
        <w:t xml:space="preserve">. FECO summarized the lessons learned from the demonstration project of the halon bank (2008-2013) and set up a strategic plan that established the halon recycling system in 2014. After four years of efforts, the </w:t>
      </w:r>
      <w:r w:rsidR="0066468D" w:rsidRPr="00BD3222">
        <w:rPr>
          <w:lang w:val="en-CA"/>
        </w:rPr>
        <w:t>NHRMC</w:t>
      </w:r>
      <w:r w:rsidRPr="00512235">
        <w:rPr>
          <w:lang w:val="en-CA"/>
        </w:rPr>
        <w:t xml:space="preserve"> is established and in operation; </w:t>
      </w:r>
    </w:p>
    <w:p w:rsidR="00130205" w:rsidRPr="00512235" w:rsidRDefault="00130205" w:rsidP="00130205">
      <w:pPr>
        <w:pStyle w:val="Heading2"/>
        <w:numPr>
          <w:ilvl w:val="1"/>
          <w:numId w:val="1"/>
        </w:numPr>
        <w:rPr>
          <w:lang w:val="en-CA"/>
        </w:rPr>
      </w:pPr>
      <w:r w:rsidRPr="00512235">
        <w:rPr>
          <w:lang w:val="en-CA"/>
        </w:rPr>
        <w:t>There were three main reasons for the non-completion of the process agent II sector plan. First, as CTC residue disposal is also controlled by the hazardous waste management system in China, FECO first completed the feasibility analysis before the project was launched, including site visits with experts to the CTC by-producers and hazardous waste disposal centers, and several rounds of discussion with the key provincial EEBs. Second, building the capacity of local EEBs is a long-term project under which the local EEBs were required to carry out numerous activities and to meet the relevant milestones. Finally, CTC, as a by</w:t>
      </w:r>
      <w:r w:rsidRPr="00512235">
        <w:rPr>
          <w:lang w:val="en-CA"/>
        </w:rPr>
        <w:noBreakHyphen/>
        <w:t>product of CM plants, will continue to be generated, and it is expected that its use as a feedstock will continue in the future. Hence, continued long</w:t>
      </w:r>
      <w:r w:rsidRPr="00512235">
        <w:rPr>
          <w:lang w:val="en-CA"/>
        </w:rPr>
        <w:noBreakHyphen/>
        <w:t>term monitoring of the production and use of CTC is always required. And it is necessary for MEE to improve and refine the regulations.</w:t>
      </w:r>
    </w:p>
    <w:p w:rsidR="00130205" w:rsidRPr="00250717" w:rsidRDefault="00130205" w:rsidP="00130205">
      <w:pPr>
        <w:pStyle w:val="Heading1"/>
        <w:rPr>
          <w:b/>
          <w:lang w:val="en-CA"/>
        </w:rPr>
      </w:pPr>
      <w:r w:rsidRPr="00250717">
        <w:rPr>
          <w:b/>
          <w:lang w:val="en-CA"/>
        </w:rPr>
        <w:t>The progress reports submitted to the 84</w:t>
      </w:r>
      <w:r w:rsidRPr="00250717">
        <w:rPr>
          <w:b/>
          <w:vertAlign w:val="superscript"/>
          <w:lang w:val="en-CA"/>
        </w:rPr>
        <w:t>th</w:t>
      </w:r>
      <w:r w:rsidRPr="00250717">
        <w:rPr>
          <w:b/>
          <w:lang w:val="en-CA"/>
        </w:rPr>
        <w:t xml:space="preserve"> meeting indicate that all activities </w:t>
      </w:r>
      <w:r>
        <w:rPr>
          <w:b/>
          <w:lang w:val="en-CA"/>
        </w:rPr>
        <w:t>for the servicing sector</w:t>
      </w:r>
      <w:r w:rsidRPr="00250717">
        <w:rPr>
          <w:b/>
          <w:lang w:val="en-CA"/>
        </w:rPr>
        <w:t xml:space="preserve"> would be completed by</w:t>
      </w:r>
      <w:r>
        <w:rPr>
          <w:b/>
          <w:lang w:val="en-CA"/>
        </w:rPr>
        <w:t xml:space="preserve"> October 2019; </w:t>
      </w:r>
      <w:r w:rsidRPr="00250717">
        <w:rPr>
          <w:b/>
          <w:lang w:val="en-CA"/>
        </w:rPr>
        <w:t>CFC production, PU foam, and solvent</w:t>
      </w:r>
      <w:r>
        <w:rPr>
          <w:b/>
          <w:lang w:val="en-CA"/>
        </w:rPr>
        <w:t xml:space="preserve"> sectors</w:t>
      </w:r>
      <w:r w:rsidRPr="00E54110">
        <w:rPr>
          <w:b/>
          <w:lang w:val="en-CA"/>
        </w:rPr>
        <w:t xml:space="preserve"> </w:t>
      </w:r>
      <w:r w:rsidRPr="00250717">
        <w:rPr>
          <w:b/>
          <w:lang w:val="en-CA"/>
        </w:rPr>
        <w:t>would be completed by</w:t>
      </w:r>
      <w:r>
        <w:rPr>
          <w:b/>
          <w:lang w:val="en-CA"/>
        </w:rPr>
        <w:t xml:space="preserve"> </w:t>
      </w:r>
      <w:r w:rsidRPr="00250717">
        <w:rPr>
          <w:b/>
          <w:lang w:val="en-CA"/>
        </w:rPr>
        <w:t>December 2019</w:t>
      </w:r>
      <w:r>
        <w:rPr>
          <w:b/>
          <w:lang w:val="en-CA"/>
        </w:rPr>
        <w:t>;</w:t>
      </w:r>
      <w:r w:rsidRPr="00250717">
        <w:rPr>
          <w:b/>
          <w:lang w:val="en-CA"/>
        </w:rPr>
        <w:t xml:space="preserve"> process agent II would be completed by 2020</w:t>
      </w:r>
      <w:r>
        <w:rPr>
          <w:b/>
          <w:lang w:val="en-CA"/>
        </w:rPr>
        <w:t>;</w:t>
      </w:r>
      <w:r w:rsidRPr="00250717">
        <w:rPr>
          <w:b/>
          <w:lang w:val="en-CA"/>
        </w:rPr>
        <w:t xml:space="preserve"> and halon </w:t>
      </w:r>
      <w:r>
        <w:rPr>
          <w:b/>
          <w:lang w:val="en-CA"/>
        </w:rPr>
        <w:t xml:space="preserve">sector </w:t>
      </w:r>
      <w:r w:rsidRPr="00250717">
        <w:rPr>
          <w:b/>
          <w:lang w:val="en-CA"/>
        </w:rPr>
        <w:t>by 2022.</w:t>
      </w:r>
    </w:p>
    <w:p w:rsidR="00130205" w:rsidRPr="000C03E1" w:rsidRDefault="00130205" w:rsidP="00130205">
      <w:pPr>
        <w:pStyle w:val="Heading1"/>
        <w:numPr>
          <w:ilvl w:val="0"/>
          <w:numId w:val="0"/>
        </w:numPr>
        <w:rPr>
          <w:u w:val="single"/>
          <w:lang w:val="en-CA"/>
        </w:rPr>
      </w:pPr>
      <w:r w:rsidRPr="000C03E1">
        <w:rPr>
          <w:u w:val="single"/>
          <w:lang w:val="en-CA"/>
        </w:rPr>
        <w:t xml:space="preserve">Additional comments on overall progress from the updated report submitted to the </w:t>
      </w:r>
      <w:r w:rsidRPr="00250717">
        <w:rPr>
          <w:b/>
          <w:u w:val="single"/>
          <w:lang w:val="en-CA"/>
        </w:rPr>
        <w:t>84</w:t>
      </w:r>
      <w:r w:rsidRPr="00250717">
        <w:rPr>
          <w:b/>
          <w:u w:val="single"/>
          <w:vertAlign w:val="superscript"/>
          <w:lang w:val="en-CA"/>
        </w:rPr>
        <w:t>th</w:t>
      </w:r>
      <w:r w:rsidRPr="00250717">
        <w:rPr>
          <w:b/>
          <w:u w:val="single"/>
          <w:lang w:val="en-CA"/>
        </w:rPr>
        <w:t xml:space="preserve"> </w:t>
      </w:r>
      <w:r w:rsidRPr="000C03E1">
        <w:rPr>
          <w:u w:val="single"/>
          <w:lang w:val="en-CA"/>
        </w:rPr>
        <w:t>meeting</w:t>
      </w:r>
    </w:p>
    <w:p w:rsidR="00130205" w:rsidRPr="000C03E1" w:rsidRDefault="00130205" w:rsidP="00130205">
      <w:pPr>
        <w:pStyle w:val="Heading1"/>
        <w:numPr>
          <w:ilvl w:val="0"/>
          <w:numId w:val="0"/>
        </w:numPr>
        <w:rPr>
          <w:i/>
          <w:lang w:val="en-CA"/>
        </w:rPr>
      </w:pPr>
      <w:r w:rsidRPr="000C03E1">
        <w:rPr>
          <w:i/>
          <w:lang w:val="en-CA"/>
        </w:rPr>
        <w:t>Date of completion of the sector plans</w:t>
      </w:r>
    </w:p>
    <w:p w:rsidR="00130205" w:rsidRPr="000C03E1" w:rsidRDefault="00130205" w:rsidP="00130205">
      <w:pPr>
        <w:pStyle w:val="Heading1"/>
        <w:rPr>
          <w:lang w:val="en-CA"/>
        </w:rPr>
      </w:pPr>
      <w:r w:rsidRPr="000C03E1">
        <w:rPr>
          <w:lang w:val="en-CA"/>
        </w:rPr>
        <w:t>At the 82</w:t>
      </w:r>
      <w:r w:rsidRPr="000C03E1">
        <w:rPr>
          <w:vertAlign w:val="superscript"/>
          <w:lang w:val="en-CA"/>
        </w:rPr>
        <w:t>nd</w:t>
      </w:r>
      <w:r w:rsidRPr="000C03E1">
        <w:rPr>
          <w:lang w:val="en-CA"/>
        </w:rPr>
        <w:t xml:space="preserve"> meeting, the Government of China indicated that all substantive activities in the CFC production, PU foam, refrigeration servicing and solvent sectors would be completed as scheduled by </w:t>
      </w:r>
      <w:r w:rsidRPr="000C03E1">
        <w:rPr>
          <w:lang w:val="en-CA"/>
        </w:rPr>
        <w:lastRenderedPageBreak/>
        <w:t>December 2018 and final disbursements would be made by 2019 after satisfactory completion of the activities in December 2018; while the completion of the process agent II and halon sector plans would be December 2020 and December 2022, respectively. However, the Executive Committee did not take a decision on this matter and decided to defer consideration of the financial audit reports to the 83</w:t>
      </w:r>
      <w:r w:rsidRPr="000C03E1">
        <w:rPr>
          <w:vertAlign w:val="superscript"/>
          <w:lang w:val="en-CA"/>
        </w:rPr>
        <w:t>rd</w:t>
      </w:r>
      <w:r w:rsidRPr="000C03E1">
        <w:rPr>
          <w:lang w:val="en-CA"/>
        </w:rPr>
        <w:t> </w:t>
      </w:r>
      <w:r w:rsidRPr="00A6148B">
        <w:rPr>
          <w:b/>
          <w:lang w:val="en-CA"/>
        </w:rPr>
        <w:t>and 84</w:t>
      </w:r>
      <w:r w:rsidRPr="00A6148B">
        <w:rPr>
          <w:b/>
          <w:vertAlign w:val="superscript"/>
          <w:lang w:val="en-CA"/>
        </w:rPr>
        <w:t>th</w:t>
      </w:r>
      <w:r>
        <w:rPr>
          <w:lang w:val="en-CA"/>
        </w:rPr>
        <w:t> </w:t>
      </w:r>
      <w:r w:rsidRPr="000C03E1">
        <w:rPr>
          <w:lang w:val="en-CA"/>
        </w:rPr>
        <w:t>meeting</w:t>
      </w:r>
      <w:r w:rsidRPr="00A6148B">
        <w:rPr>
          <w:b/>
          <w:lang w:val="en-CA"/>
        </w:rPr>
        <w:t>s</w:t>
      </w:r>
      <w:r w:rsidRPr="000C03E1">
        <w:rPr>
          <w:lang w:val="en-CA"/>
        </w:rPr>
        <w:t xml:space="preserve"> (decision</w:t>
      </w:r>
      <w:r>
        <w:rPr>
          <w:lang w:val="en-CA"/>
        </w:rPr>
        <w:t>s</w:t>
      </w:r>
      <w:r w:rsidRPr="000C03E1">
        <w:rPr>
          <w:lang w:val="en-CA"/>
        </w:rPr>
        <w:t> 82/17</w:t>
      </w:r>
      <w:r w:rsidRPr="00A6148B">
        <w:rPr>
          <w:b/>
          <w:lang w:val="en-CA"/>
        </w:rPr>
        <w:t xml:space="preserve"> and 83/42</w:t>
      </w:r>
      <w:r w:rsidRPr="000C03E1">
        <w:rPr>
          <w:lang w:val="en-CA"/>
        </w:rPr>
        <w:t xml:space="preserve">). The updates indicate that none of the sector plans was completed in December 2018 as all of them have additional activities ongoing/planned in 2019. </w:t>
      </w:r>
    </w:p>
    <w:p w:rsidR="00130205" w:rsidRPr="000C03E1" w:rsidRDefault="00130205" w:rsidP="00130205">
      <w:pPr>
        <w:pStyle w:val="Heading1"/>
        <w:rPr>
          <w:lang w:val="en-CA"/>
        </w:rPr>
      </w:pPr>
      <w:r w:rsidRPr="000C03E1">
        <w:rPr>
          <w:lang w:val="en-CA"/>
        </w:rPr>
        <w:t>Noting that the Executive Committee did not decide on the extension of the projects beyond December 2018, the Secretariat considered that no further activities should have been conducted in 2019. The Government of China considered that the assessment that no other activities should have been conducted in 2019, cannot be deemed correct or incorrect from the Committee’s perspective.</w:t>
      </w:r>
    </w:p>
    <w:p w:rsidR="00130205" w:rsidRPr="000C03E1" w:rsidRDefault="00130205" w:rsidP="00130205">
      <w:pPr>
        <w:pStyle w:val="Heading1"/>
        <w:rPr>
          <w:lang w:val="en-CA"/>
        </w:rPr>
      </w:pPr>
      <w:r w:rsidRPr="000C03E1">
        <w:rPr>
          <w:lang w:val="en-CA"/>
        </w:rPr>
        <w:t xml:space="preserve">The updated dates of completion of the sector plans proposed by the Government of China are </w:t>
      </w:r>
      <w:r w:rsidRPr="00545FB0">
        <w:rPr>
          <w:b/>
          <w:lang w:val="en-CA"/>
        </w:rPr>
        <w:t>October 2019 for the servicing sector</w:t>
      </w:r>
      <w:r>
        <w:rPr>
          <w:b/>
          <w:lang w:val="en-CA"/>
        </w:rPr>
        <w:t>;</w:t>
      </w:r>
      <w:r>
        <w:rPr>
          <w:lang w:val="en-CA"/>
        </w:rPr>
        <w:t xml:space="preserve"> </w:t>
      </w:r>
      <w:r w:rsidRPr="00A6148B">
        <w:rPr>
          <w:b/>
          <w:lang w:val="en-CA"/>
        </w:rPr>
        <w:t>December</w:t>
      </w:r>
      <w:r w:rsidRPr="000C03E1">
        <w:rPr>
          <w:lang w:val="en-CA"/>
        </w:rPr>
        <w:t xml:space="preserve"> 2019 for CFC production, PU foam, refrigeratio</w:t>
      </w:r>
      <w:r>
        <w:rPr>
          <w:lang w:val="en-CA"/>
        </w:rPr>
        <w:t>n servicing and solvent sectors;</w:t>
      </w:r>
      <w:r w:rsidRPr="000C03E1">
        <w:rPr>
          <w:lang w:val="en-CA"/>
        </w:rPr>
        <w:t xml:space="preserve"> December 2020 for the process agent II</w:t>
      </w:r>
      <w:r>
        <w:rPr>
          <w:lang w:val="en-CA"/>
        </w:rPr>
        <w:t>;</w:t>
      </w:r>
      <w:r w:rsidRPr="000C03E1">
        <w:rPr>
          <w:lang w:val="en-CA"/>
        </w:rPr>
        <w:t xml:space="preserve"> and December 2022 for the halon sector plan.</w:t>
      </w:r>
    </w:p>
    <w:p w:rsidR="00130205" w:rsidRPr="000C03E1" w:rsidRDefault="00130205" w:rsidP="00130205">
      <w:pPr>
        <w:pStyle w:val="Heading1"/>
        <w:numPr>
          <w:ilvl w:val="0"/>
          <w:numId w:val="0"/>
        </w:numPr>
        <w:rPr>
          <w:i/>
          <w:lang w:val="en-CA"/>
        </w:rPr>
      </w:pPr>
      <w:r w:rsidRPr="000C03E1">
        <w:rPr>
          <w:i/>
          <w:lang w:val="en-CA"/>
        </w:rPr>
        <w:t>Use of funds from several sectors in common activities</w:t>
      </w:r>
    </w:p>
    <w:p w:rsidR="00130205" w:rsidRPr="000C03E1" w:rsidRDefault="00130205" w:rsidP="00130205">
      <w:pPr>
        <w:pStyle w:val="Heading1"/>
        <w:rPr>
          <w:lang w:val="en-CA"/>
        </w:rPr>
      </w:pPr>
      <w:r w:rsidRPr="000C03E1">
        <w:rPr>
          <w:lang w:val="en-CA"/>
        </w:rPr>
        <w:t>It was also noted that part of the balances in several of the sectors were being allocated to cross</w:t>
      </w:r>
      <w:r>
        <w:rPr>
          <w:lang w:val="en-CA"/>
        </w:rPr>
        <w:noBreakHyphen/>
      </w:r>
      <w:r w:rsidRPr="000C03E1">
        <w:rPr>
          <w:lang w:val="en-CA"/>
        </w:rPr>
        <w:t>cutting areas related to the overall monitoring of the plans (e.g., the procurement of ODS identifiers, assistance to customs, monitoring workshop, the cost of the technical audit for all sectors to one sector, i.e.,</w:t>
      </w:r>
      <w:r>
        <w:rPr>
          <w:lang w:val="en-CA"/>
        </w:rPr>
        <w:t> </w:t>
      </w:r>
      <w:r w:rsidRPr="000C03E1">
        <w:rPr>
          <w:lang w:val="en-CA"/>
        </w:rPr>
        <w:t>CFC production). The Government of China indicated that some of the balances are precisely being allocated to this type of activities following strong signals from the Committee and the Secretariat that balances should be diverted away from the narrow focus of individual sector plans to monitoring to ensure sustainable ODS phase</w:t>
      </w:r>
      <w:r>
        <w:rPr>
          <w:lang w:val="en-CA"/>
        </w:rPr>
        <w:noBreakHyphen/>
      </w:r>
      <w:r w:rsidRPr="000C03E1">
        <w:rPr>
          <w:lang w:val="en-CA"/>
        </w:rPr>
        <w:t>out, particularly sustainable CFC</w:t>
      </w:r>
      <w:r>
        <w:rPr>
          <w:lang w:val="en-CA"/>
        </w:rPr>
        <w:noBreakHyphen/>
      </w:r>
      <w:r w:rsidRPr="000C03E1">
        <w:rPr>
          <w:lang w:val="en-CA"/>
        </w:rPr>
        <w:t>11 phase</w:t>
      </w:r>
      <w:r w:rsidRPr="000C03E1">
        <w:rPr>
          <w:lang w:val="en-CA"/>
        </w:rPr>
        <w:noBreakHyphen/>
        <w:t>out.</w:t>
      </w:r>
    </w:p>
    <w:p w:rsidR="00130205" w:rsidRPr="000C03E1" w:rsidRDefault="00130205" w:rsidP="00130205">
      <w:pPr>
        <w:pStyle w:val="Heading1"/>
        <w:rPr>
          <w:lang w:val="en-CA"/>
        </w:rPr>
      </w:pPr>
      <w:r w:rsidRPr="000C03E1">
        <w:rPr>
          <w:lang w:val="en-CA"/>
        </w:rPr>
        <w:t>On the area of capacity building to EEBs, which was present in several sectors and is practically completed, the Government of China provided an overarching summary of the assistance provided over the years and the results obtained. A total of 31 EEBs participated in the ODS capacity building project during the past five years with support, respectively from the PU foam sector plan (11 EEBs, US $2,900,000), the process agent II sector plan</w:t>
      </w:r>
      <w:r w:rsidRPr="000C03E1">
        <w:rPr>
          <w:rFonts w:ascii="MS Gothic" w:eastAsia="MS Gothic" w:hAnsi="MS Gothic" w:cs="MS Gothic" w:hint="eastAsia"/>
          <w:lang w:val="en-CA"/>
        </w:rPr>
        <w:t>（</w:t>
      </w:r>
      <w:r w:rsidRPr="000C03E1">
        <w:rPr>
          <w:lang w:val="en-CA"/>
        </w:rPr>
        <w:t>six EEBs, US $2,800,000) and the solvent sector plan (14 EEBs, US $3,880,000).</w:t>
      </w:r>
      <w:r w:rsidRPr="000C03E1">
        <w:rPr>
          <w:rStyle w:val="FootnoteReference"/>
          <w:lang w:val="en-CA"/>
        </w:rPr>
        <w:footnoteReference w:id="10"/>
      </w:r>
      <w:r w:rsidRPr="000C03E1">
        <w:rPr>
          <w:lang w:val="en-CA"/>
        </w:rPr>
        <w:t xml:space="preserve"> </w:t>
      </w:r>
    </w:p>
    <w:p w:rsidR="00130205" w:rsidRPr="000C03E1" w:rsidRDefault="00130205" w:rsidP="00130205">
      <w:pPr>
        <w:pStyle w:val="Heading1"/>
        <w:rPr>
          <w:lang w:val="en-CA"/>
        </w:rPr>
      </w:pPr>
      <w:r w:rsidRPr="000C03E1">
        <w:rPr>
          <w:lang w:val="en-CA"/>
        </w:rPr>
        <w:t>A brief summary of the activities implemented as provided by FECO is presented below:</w:t>
      </w:r>
    </w:p>
    <w:p w:rsidR="00130205" w:rsidRPr="000C03E1" w:rsidRDefault="00130205" w:rsidP="00130205">
      <w:pPr>
        <w:pStyle w:val="Heading2"/>
        <w:numPr>
          <w:ilvl w:val="1"/>
          <w:numId w:val="1"/>
        </w:numPr>
        <w:rPr>
          <w:lang w:val="en-CA"/>
        </w:rPr>
      </w:pPr>
      <w:r w:rsidRPr="000C03E1">
        <w:rPr>
          <w:lang w:val="en-CA"/>
        </w:rPr>
        <w:t xml:space="preserve">Established compliance coordination mechanism for ozone layer protection at local Government level; carried out data survey on ODS production and consumption, and on ODS sales, import and export, where relevant; and identified ODS consumer enterprises in their jurisdiction; </w:t>
      </w:r>
    </w:p>
    <w:p w:rsidR="00130205" w:rsidRPr="000C03E1" w:rsidRDefault="00130205" w:rsidP="00130205">
      <w:pPr>
        <w:pStyle w:val="Heading2"/>
        <w:numPr>
          <w:ilvl w:val="1"/>
          <w:numId w:val="1"/>
        </w:numPr>
        <w:rPr>
          <w:lang w:val="en-CA"/>
        </w:rPr>
      </w:pPr>
      <w:r w:rsidRPr="000C03E1">
        <w:rPr>
          <w:lang w:val="en-CA"/>
        </w:rPr>
        <w:t xml:space="preserve">Strictly controlled new construction projects through environmental impact assessment approval at local level to ensure that no new ODS production and consumption facilities are approved in China except for feedstock use; </w:t>
      </w:r>
    </w:p>
    <w:p w:rsidR="00130205" w:rsidRPr="000C03E1" w:rsidRDefault="00130205" w:rsidP="00130205">
      <w:pPr>
        <w:pStyle w:val="Heading2"/>
        <w:numPr>
          <w:ilvl w:val="1"/>
          <w:numId w:val="1"/>
        </w:numPr>
        <w:rPr>
          <w:lang w:val="en-CA"/>
        </w:rPr>
      </w:pPr>
      <w:r w:rsidRPr="000C03E1">
        <w:rPr>
          <w:lang w:val="en-CA"/>
        </w:rPr>
        <w:t>Organized training workshops on ODS management and compliance targeting city or county level officers and enterprises. More than 35,000 officers of local EEBs and other relevant authorities and more than 13,000 enterprises management staff have received training. Organized awareness-raising activities on ozone layer protection across the country through internet, television, schools or communities; and</w:t>
      </w:r>
    </w:p>
    <w:p w:rsidR="00130205" w:rsidRPr="000C03E1" w:rsidRDefault="00130205" w:rsidP="00C05C8A">
      <w:pPr>
        <w:pStyle w:val="Heading2"/>
        <w:keepNext/>
        <w:widowControl/>
        <w:numPr>
          <w:ilvl w:val="1"/>
          <w:numId w:val="1"/>
        </w:numPr>
        <w:rPr>
          <w:lang w:val="en-CA"/>
        </w:rPr>
      </w:pPr>
      <w:r w:rsidRPr="000C03E1">
        <w:rPr>
          <w:lang w:val="en-CA"/>
        </w:rPr>
        <w:lastRenderedPageBreak/>
        <w:t>Took actions jointly to crack down ODS illegal behaviors based on the information received through the reporting platform and other sources, the ministry and local EEBs.</w:t>
      </w:r>
    </w:p>
    <w:p w:rsidR="00130205" w:rsidRPr="000C03E1" w:rsidRDefault="00130205" w:rsidP="00130205">
      <w:pPr>
        <w:pStyle w:val="Heading1"/>
        <w:rPr>
          <w:lang w:val="en-CA"/>
        </w:rPr>
      </w:pPr>
      <w:r w:rsidRPr="000C03E1">
        <w:rPr>
          <w:lang w:val="en-CA"/>
        </w:rPr>
        <w:t xml:space="preserve">In addition, using funding from the CFC production sector, a training workshop was </w:t>
      </w:r>
      <w:r w:rsidRPr="000C03E1">
        <w:rPr>
          <w:lang w:val="en-US"/>
        </w:rPr>
        <w:t xml:space="preserve">held in Changsha, Hunan Province 21-23 January 2019 for 140 officers from all provinces to share experience and lessons learned on ODS management. </w:t>
      </w:r>
    </w:p>
    <w:p w:rsidR="00130205" w:rsidRPr="000C03E1" w:rsidRDefault="00130205" w:rsidP="00130205">
      <w:pPr>
        <w:pStyle w:val="Heading1"/>
        <w:rPr>
          <w:lang w:val="en-CA"/>
        </w:rPr>
      </w:pPr>
      <w:r w:rsidRPr="000C03E1">
        <w:rPr>
          <w:lang w:val="en-CA"/>
        </w:rPr>
        <w:t xml:space="preserve">Regarding the plan to supply of ODS instant detectors to EEBs to strengthen their monitoring and enforcement capacity, which is also present in several of the sector plans, the Government of China provided an overarching summary as well. The total funding for this purpose is estimated at US $768,479 from the following sources: CFC production plan (US $99,436), PU foam sector plan (US $200,000), solvent sector plan (US $453,119) and servicing sector (US $15,924). In order to efficiently use funds, MEE plans to combine the balance from those four sectors to purchase the same type of detectors for local EEBs. MEE plans to purchase detectors as much as possible through centralized procurement. It will cover all provincial EEBs, especially major PU foam consumer areas, which will be equipped with more detectors. </w:t>
      </w:r>
    </w:p>
    <w:p w:rsidR="00130205" w:rsidRPr="00642320" w:rsidRDefault="00130205" w:rsidP="00130205">
      <w:pPr>
        <w:pStyle w:val="Heading1"/>
        <w:rPr>
          <w:lang w:val="en-CA"/>
        </w:rPr>
      </w:pPr>
      <w:r w:rsidRPr="00642320">
        <w:rPr>
          <w:lang w:val="en-CA"/>
        </w:rPr>
        <w:t>The Government of China also explained that the suitcase-size</w:t>
      </w:r>
      <w:r>
        <w:rPr>
          <w:lang w:val="en-CA"/>
        </w:rPr>
        <w:t>d</w:t>
      </w:r>
      <w:r w:rsidRPr="00642320">
        <w:rPr>
          <w:lang w:val="en-CA"/>
        </w:rPr>
        <w:t xml:space="preserve"> instant detectors</w:t>
      </w:r>
      <w:r>
        <w:rPr>
          <w:rStyle w:val="FootnoteReference"/>
          <w:lang w:val="en-CA"/>
        </w:rPr>
        <w:footnoteReference w:id="11"/>
      </w:r>
      <w:r>
        <w:rPr>
          <w:lang w:val="en-CA"/>
        </w:rPr>
        <w:t xml:space="preserve"> </w:t>
      </w:r>
      <w:r w:rsidRPr="00642320">
        <w:rPr>
          <w:lang w:val="en-CA"/>
        </w:rPr>
        <w:t>are capable to test the components of foam products, blowing agents</w:t>
      </w:r>
      <w:r>
        <w:rPr>
          <w:lang w:val="en-CA"/>
        </w:rPr>
        <w:t>,</w:t>
      </w:r>
      <w:r w:rsidRPr="00642320">
        <w:rPr>
          <w:lang w:val="en-CA"/>
        </w:rPr>
        <w:t xml:space="preserve"> as well as pre</w:t>
      </w:r>
      <w:r>
        <w:rPr>
          <w:lang w:val="en-CA"/>
        </w:rPr>
        <w:noBreakHyphen/>
      </w:r>
      <w:r w:rsidRPr="00642320">
        <w:rPr>
          <w:lang w:val="en-CA"/>
        </w:rPr>
        <w:t>blended polyol</w:t>
      </w:r>
      <w:r>
        <w:rPr>
          <w:lang w:val="en-CA"/>
        </w:rPr>
        <w:t>s</w:t>
      </w:r>
      <w:r w:rsidRPr="00642320">
        <w:rPr>
          <w:lang w:val="en-CA"/>
        </w:rPr>
        <w:t xml:space="preserve">. In testing, the collected sample is put into the detector through the feed port. The detector then generates the testing map against the chemicals contained in the sample through gas chromatography method. As per the different peak times of chemicals, the component of blowing agents can be screened on a preliminarily basis. The entire testing process of one sample </w:t>
      </w:r>
      <w:r>
        <w:rPr>
          <w:lang w:val="en-CA"/>
        </w:rPr>
        <w:t>usually takes about 20 minutes.</w:t>
      </w:r>
    </w:p>
    <w:p w:rsidR="00130205" w:rsidRPr="000C03E1" w:rsidRDefault="00130205" w:rsidP="00130205">
      <w:pPr>
        <w:pStyle w:val="Heading1"/>
        <w:rPr>
          <w:lang w:val="en-CA"/>
        </w:rPr>
      </w:pPr>
      <w:r w:rsidRPr="000C03E1">
        <w:rPr>
          <w:lang w:val="en-CA"/>
        </w:rPr>
        <w:t>The Secretariat supports the use of these remaining balances for supply of ODS instant detectors to EEBs on the understanding that the Government of China will continue to report on the results of local EEBs monitoring efforts, including cases were CFC-11 was detected, in future financial audit reports. Once all the remaining balances under the projects included in the financial audit have been disbursed and those projects have been completed, the Secretariat proposes that Government of China continue such reporting under the annual progress reports of the HPMP PU foam sector.</w:t>
      </w:r>
    </w:p>
    <w:p w:rsidR="00130205" w:rsidRPr="000C0DC5" w:rsidRDefault="00130205" w:rsidP="00130205">
      <w:pPr>
        <w:rPr>
          <w:i/>
          <w:lang w:val="en-CA"/>
        </w:rPr>
      </w:pPr>
      <w:r w:rsidRPr="000C0DC5">
        <w:rPr>
          <w:i/>
          <w:lang w:val="en-CA"/>
        </w:rPr>
        <w:t>Summary of remaining balances and activities proposed</w:t>
      </w:r>
    </w:p>
    <w:p w:rsidR="00130205" w:rsidRPr="000C0DC5" w:rsidRDefault="00130205" w:rsidP="00130205">
      <w:pPr>
        <w:rPr>
          <w:u w:val="single"/>
          <w:lang w:val="en-CA"/>
        </w:rPr>
      </w:pPr>
    </w:p>
    <w:p w:rsidR="00130205" w:rsidRPr="000C0DC5" w:rsidRDefault="00130205" w:rsidP="00874A6C">
      <w:pPr>
        <w:pStyle w:val="Heading1"/>
        <w:widowControl w:val="0"/>
        <w:rPr>
          <w:b/>
          <w:lang w:val="en-CA"/>
        </w:rPr>
      </w:pPr>
      <w:r w:rsidRPr="000C0DC5">
        <w:rPr>
          <w:lang w:val="en-CA"/>
        </w:rPr>
        <w:t>In summary, based on the information provided by the Government of China up to the 84</w:t>
      </w:r>
      <w:r w:rsidRPr="000C0DC5">
        <w:rPr>
          <w:vertAlign w:val="superscript"/>
          <w:lang w:val="en-CA"/>
        </w:rPr>
        <w:t>th</w:t>
      </w:r>
      <w:r w:rsidRPr="000C0DC5">
        <w:rPr>
          <w:lang w:val="en-CA"/>
        </w:rPr>
        <w:t xml:space="preserve"> meeting, out of the fund balance of </w:t>
      </w:r>
      <w:r w:rsidRPr="000C0DC5">
        <w:rPr>
          <w:b/>
          <w:lang w:val="en-CA"/>
        </w:rPr>
        <w:t>US $14.75 million, US $2.52 million from the CFC production, PU foam, solvent and servicing sector plans will be used mostly in ongoing monitoring activities and will be disbursed no later than December 2019; US $3.07 million from the process agent</w:t>
      </w:r>
      <w:r>
        <w:rPr>
          <w:b/>
          <w:lang w:val="en-CA"/>
        </w:rPr>
        <w:t> </w:t>
      </w:r>
      <w:r w:rsidRPr="000C0DC5">
        <w:rPr>
          <w:b/>
          <w:lang w:val="en-CA"/>
        </w:rPr>
        <w:t>II sector plan will be used in an online ODS management system and customs training, and activities to strengthen long</w:t>
      </w:r>
      <w:r>
        <w:rPr>
          <w:b/>
          <w:lang w:val="en-CA"/>
        </w:rPr>
        <w:noBreakHyphen/>
      </w:r>
      <w:r w:rsidRPr="000C0DC5">
        <w:rPr>
          <w:b/>
          <w:lang w:val="en-CA"/>
        </w:rPr>
        <w:t>term, sustainable ODS monitoring</w:t>
      </w:r>
      <w:r>
        <w:rPr>
          <w:b/>
          <w:lang w:val="en-CA"/>
        </w:rPr>
        <w:t>, and</w:t>
      </w:r>
      <w:r w:rsidRPr="000C0DC5">
        <w:rPr>
          <w:b/>
          <w:lang w:val="en-CA"/>
        </w:rPr>
        <w:t xml:space="preserve"> </w:t>
      </w:r>
      <w:r>
        <w:rPr>
          <w:b/>
          <w:lang w:val="en-CA"/>
        </w:rPr>
        <w:t xml:space="preserve">will be disbursed </w:t>
      </w:r>
      <w:r w:rsidRPr="000C0DC5">
        <w:rPr>
          <w:b/>
          <w:lang w:val="en-CA"/>
        </w:rPr>
        <w:t>up to December</w:t>
      </w:r>
      <w:r>
        <w:rPr>
          <w:b/>
          <w:lang w:val="en-CA"/>
        </w:rPr>
        <w:t> </w:t>
      </w:r>
      <w:r w:rsidRPr="000C0DC5">
        <w:rPr>
          <w:b/>
          <w:lang w:val="en-CA"/>
        </w:rPr>
        <w:t xml:space="preserve">2020; and </w:t>
      </w:r>
      <w:r>
        <w:rPr>
          <w:b/>
          <w:lang w:val="en-CA"/>
        </w:rPr>
        <w:t>US $</w:t>
      </w:r>
      <w:r w:rsidRPr="000C0DC5">
        <w:rPr>
          <w:b/>
          <w:lang w:val="en-CA"/>
        </w:rPr>
        <w:t>9.15</w:t>
      </w:r>
      <w:r>
        <w:rPr>
          <w:b/>
          <w:lang w:val="en-CA"/>
        </w:rPr>
        <w:t> </w:t>
      </w:r>
      <w:r w:rsidRPr="000C0DC5">
        <w:rPr>
          <w:b/>
          <w:lang w:val="en-CA"/>
        </w:rPr>
        <w:t xml:space="preserve">million from the halon sector plan will be used in the activities aimed to further improve the recycling system and achieve sustainable management of halons </w:t>
      </w:r>
      <w:r>
        <w:rPr>
          <w:b/>
          <w:lang w:val="en-CA"/>
        </w:rPr>
        <w:t xml:space="preserve">and will be disbursed </w:t>
      </w:r>
      <w:r w:rsidRPr="000C0DC5">
        <w:rPr>
          <w:b/>
          <w:lang w:val="en-CA"/>
        </w:rPr>
        <w:t>up to December</w:t>
      </w:r>
      <w:r>
        <w:rPr>
          <w:b/>
          <w:lang w:val="en-CA"/>
        </w:rPr>
        <w:t> </w:t>
      </w:r>
      <w:r w:rsidRPr="000C0DC5">
        <w:rPr>
          <w:b/>
          <w:lang w:val="en-CA"/>
        </w:rPr>
        <w:t>2022.</w:t>
      </w:r>
    </w:p>
    <w:p w:rsidR="00130205" w:rsidRPr="000C03E1" w:rsidRDefault="00130205" w:rsidP="00874A6C">
      <w:pPr>
        <w:keepNext/>
        <w:rPr>
          <w:u w:val="single"/>
          <w:lang w:val="en-CA"/>
        </w:rPr>
      </w:pPr>
      <w:r w:rsidRPr="000C03E1">
        <w:rPr>
          <w:u w:val="single"/>
          <w:lang w:val="en-CA"/>
        </w:rPr>
        <w:t>Monitoring sustainability of the phase</w:t>
      </w:r>
      <w:r w:rsidRPr="000C03E1">
        <w:rPr>
          <w:u w:val="single"/>
          <w:lang w:val="en-CA"/>
        </w:rPr>
        <w:noBreakHyphen/>
        <w:t>out</w:t>
      </w:r>
    </w:p>
    <w:p w:rsidR="00130205" w:rsidRPr="00545FB0" w:rsidRDefault="00130205" w:rsidP="00874A6C">
      <w:pPr>
        <w:keepNext/>
        <w:rPr>
          <w:lang w:val="en-CA"/>
        </w:rPr>
      </w:pPr>
    </w:p>
    <w:p w:rsidR="00130205" w:rsidRPr="00545FB0" w:rsidRDefault="00130205" w:rsidP="00874A6C">
      <w:pPr>
        <w:pStyle w:val="Heading1"/>
        <w:keepNext/>
        <w:rPr>
          <w:lang w:val="en-CA"/>
        </w:rPr>
      </w:pPr>
      <w:r w:rsidRPr="00545FB0">
        <w:rPr>
          <w:lang w:val="en-CA"/>
        </w:rPr>
        <w:t>Each sector plan allocated funds for activities the Secretariat considers would contribute to the sustainable, long-term monitoring of the phase-out</w:t>
      </w:r>
      <w:r w:rsidRPr="00512235">
        <w:rPr>
          <w:lang w:val="en-CA"/>
        </w:rPr>
        <w:t>, including supervision and management, activities related to information management, capacity building for EEBs, and</w:t>
      </w:r>
      <w:r w:rsidRPr="00545FB0">
        <w:rPr>
          <w:lang w:val="en-CA"/>
        </w:rPr>
        <w:t xml:space="preserve"> other activities. At </w:t>
      </w:r>
      <w:r w:rsidRPr="00545FB0">
        <w:rPr>
          <w:b/>
          <w:lang w:val="en-CA"/>
        </w:rPr>
        <w:t>the 82</w:t>
      </w:r>
      <w:r w:rsidRPr="00545FB0">
        <w:rPr>
          <w:b/>
          <w:vertAlign w:val="superscript"/>
          <w:lang w:val="en-CA"/>
        </w:rPr>
        <w:t>nd</w:t>
      </w:r>
      <w:r w:rsidRPr="00545FB0">
        <w:rPr>
          <w:b/>
          <w:lang w:val="en-CA"/>
        </w:rPr>
        <w:t xml:space="preserve"> meeting </w:t>
      </w:r>
      <w:r w:rsidRPr="00545FB0">
        <w:rPr>
          <w:lang w:val="en-CA"/>
        </w:rPr>
        <w:t xml:space="preserve">the Secretariat </w:t>
      </w:r>
      <w:r w:rsidRPr="00545FB0">
        <w:rPr>
          <w:b/>
          <w:lang w:val="en-CA"/>
        </w:rPr>
        <w:t xml:space="preserve">requested that </w:t>
      </w:r>
      <w:r w:rsidRPr="00545FB0">
        <w:rPr>
          <w:lang w:val="en-CA"/>
        </w:rPr>
        <w:t xml:space="preserve">the Government of China provide additional information on how the activities undertaken would contribute to the sustainable, long-term monitoring of the phase-out. </w:t>
      </w:r>
      <w:r w:rsidRPr="00545FB0">
        <w:rPr>
          <w:b/>
          <w:lang w:val="en-CA"/>
        </w:rPr>
        <w:t xml:space="preserve">For ease </w:t>
      </w:r>
      <w:r w:rsidRPr="00545FB0">
        <w:rPr>
          <w:b/>
          <w:lang w:val="en-CA"/>
        </w:rPr>
        <w:lastRenderedPageBreak/>
        <w:t xml:space="preserve">of reference, </w:t>
      </w:r>
      <w:r w:rsidRPr="00545FB0">
        <w:rPr>
          <w:lang w:val="en-CA"/>
        </w:rPr>
        <w:t>the input provided by the Government of China and the Secretariat’s comments</w:t>
      </w:r>
      <w:r w:rsidRPr="00545FB0">
        <w:rPr>
          <w:b/>
          <w:lang w:val="en-CA"/>
        </w:rPr>
        <w:t>, as reflected in the document presented to the 83</w:t>
      </w:r>
      <w:r w:rsidRPr="00545FB0">
        <w:rPr>
          <w:b/>
          <w:vertAlign w:val="superscript"/>
          <w:lang w:val="en-CA"/>
        </w:rPr>
        <w:t>rd</w:t>
      </w:r>
      <w:r w:rsidRPr="00545FB0">
        <w:rPr>
          <w:b/>
          <w:lang w:val="en-CA"/>
        </w:rPr>
        <w:t xml:space="preserve"> meeting,</w:t>
      </w:r>
      <w:r w:rsidRPr="00545FB0">
        <w:rPr>
          <w:lang w:val="en-CA"/>
        </w:rPr>
        <w:t xml:space="preserve"> are below.</w:t>
      </w:r>
    </w:p>
    <w:p w:rsidR="00130205" w:rsidRPr="00545FB0" w:rsidRDefault="00130205" w:rsidP="00130205">
      <w:pPr>
        <w:rPr>
          <w:i/>
          <w:lang w:val="en-CA"/>
        </w:rPr>
      </w:pPr>
      <w:r w:rsidRPr="00545FB0">
        <w:rPr>
          <w:i/>
          <w:lang w:val="en-CA"/>
        </w:rPr>
        <w:t>CTC production sector and the process agent sector</w:t>
      </w:r>
    </w:p>
    <w:p w:rsidR="00130205" w:rsidRPr="00545FB0" w:rsidRDefault="00130205" w:rsidP="00130205">
      <w:pPr>
        <w:rPr>
          <w:lang w:val="en-CA"/>
        </w:rPr>
      </w:pPr>
    </w:p>
    <w:p w:rsidR="00130205" w:rsidRPr="00545FB0" w:rsidRDefault="00130205" w:rsidP="00130205">
      <w:pPr>
        <w:pStyle w:val="Heading1"/>
        <w:rPr>
          <w:lang w:val="en-CA"/>
        </w:rPr>
      </w:pPr>
      <w:r w:rsidRPr="00545FB0">
        <w:rPr>
          <w:lang w:val="en-CA"/>
        </w:rPr>
        <w:t>CTC continues to be co-produced at CM plants (together with methyl chloride, methylene chloride and chloroform) where the ratio of CTC produced is reduced as much as possible. CTC is still used for feedstock by a number of chemical producers, for process agent (PA) applications where CTC emission control is applied, and for laboratory uses as allowed by the Parties to Montreal Protocol, governed by the Country’s registration and quota system. In order to ensure that CTC production and consumption is limited within the amount allowed by the Government of China, CTC consumption quotas for laboratory uses and PA applications are issued by the MEE/FECO to relevant enterprises. Each CTC feedstock user is required to be registered in MEE/FECO. Qualified CTC producers are allowed to sell CTC to the CTC users with consumption quota or registration. Any excess CTC produced by qualified producers has to be converted to methylene chloride/</w:t>
      </w:r>
      <w:proofErr w:type="spellStart"/>
      <w:r w:rsidRPr="00545FB0">
        <w:rPr>
          <w:lang w:val="en-CA"/>
        </w:rPr>
        <w:t>perchloroethylene</w:t>
      </w:r>
      <w:proofErr w:type="spellEnd"/>
      <w:r w:rsidRPr="00545FB0">
        <w:rPr>
          <w:lang w:val="en-CA"/>
        </w:rPr>
        <w:t xml:space="preserve"> (</w:t>
      </w:r>
      <w:proofErr w:type="spellStart"/>
      <w:r w:rsidRPr="00545FB0">
        <w:rPr>
          <w:lang w:val="en-CA"/>
        </w:rPr>
        <w:t>MCl</w:t>
      </w:r>
      <w:proofErr w:type="spellEnd"/>
      <w:r w:rsidRPr="00545FB0">
        <w:rPr>
          <w:lang w:val="en-CA"/>
        </w:rPr>
        <w:t>/PCE) or incinerated. Hence, continued monitoring of the production and use of CTC, and reporting of CTC production /consumption data to MEE/FECO, and regular inspection by local EEBs is required.</w:t>
      </w:r>
    </w:p>
    <w:p w:rsidR="00130205" w:rsidRPr="00545FB0" w:rsidRDefault="00130205" w:rsidP="00130205">
      <w:pPr>
        <w:pStyle w:val="Heading1"/>
        <w:rPr>
          <w:lang w:val="en-CA"/>
        </w:rPr>
      </w:pPr>
      <w:r w:rsidRPr="00545FB0">
        <w:rPr>
          <w:lang w:val="en-CA"/>
        </w:rPr>
        <w:t>In order to strengthen the daily monitoring of CTC producers by both MEE and local EEBs, the CTC online monitoring system is planned to be restarted and upgraded. An online monitoring platform is to be set up, through which MEE and local EEBs would get real-time data from the CTC producers.</w:t>
      </w:r>
    </w:p>
    <w:p w:rsidR="00130205" w:rsidRPr="00545FB0" w:rsidRDefault="00130205" w:rsidP="00130205">
      <w:pPr>
        <w:pStyle w:val="Heading1"/>
        <w:rPr>
          <w:lang w:val="en-CA"/>
        </w:rPr>
      </w:pPr>
      <w:r w:rsidRPr="00545FB0">
        <w:rPr>
          <w:lang w:val="en-CA"/>
        </w:rPr>
        <w:t>As identified during implementation of the CTC production phase-out plan, residues containing CTC are generated with CTC production. If not incinerated, or entrusted for incineration, there is a risk that CTC could be recovered and sold for illegal uses. In order to reduce the risk, incineration facilities at nine CM plants have been funded by FECO and the local EEBs will have to monitor disposal of CTC residues.</w:t>
      </w:r>
    </w:p>
    <w:p w:rsidR="00130205" w:rsidRPr="00545FB0" w:rsidRDefault="00130205" w:rsidP="00130205">
      <w:pPr>
        <w:pStyle w:val="Heading1"/>
        <w:rPr>
          <w:lang w:val="en-CA"/>
        </w:rPr>
      </w:pPr>
      <w:r w:rsidRPr="00545FB0">
        <w:rPr>
          <w:lang w:val="en-CA"/>
        </w:rPr>
        <w:t>In 2017, the Government of China announced its commitment to phase out the use of CTC for laboratory testing of oil in water by the year of 2019. In order to replace CTC with a non-ODS extracting agent in oil in water tests, research, tests and analysis have been completed by MEE, through which ways for replacing CTC have been determined and the relevant national standards are expected to be released in the near future. Given that replacing CTC is not only a technical issue, MEE will continue to carry out relevant training and advocacy for alternative technologies and launch a project to encourage enterprises to improve the quality of the alternative reagent to replace CTC in laboratories.</w:t>
      </w:r>
    </w:p>
    <w:p w:rsidR="00130205" w:rsidRPr="00545FB0" w:rsidRDefault="00130205" w:rsidP="00130205">
      <w:pPr>
        <w:pStyle w:val="Heading1"/>
        <w:rPr>
          <w:lang w:val="en-CA"/>
        </w:rPr>
      </w:pPr>
      <w:r w:rsidRPr="00545FB0">
        <w:rPr>
          <w:lang w:val="en-CA"/>
        </w:rPr>
        <w:t>The Government also indicated its understanding that the remaining funds could also be used for any new process agents the Parties might decide to add to the list of process agents controlled by the Montreal Protocol.</w:t>
      </w:r>
    </w:p>
    <w:p w:rsidR="00130205" w:rsidRPr="00545FB0" w:rsidRDefault="00130205" w:rsidP="00130205">
      <w:pPr>
        <w:pStyle w:val="Heading1"/>
        <w:rPr>
          <w:lang w:val="en-CA"/>
        </w:rPr>
      </w:pPr>
      <w:r w:rsidRPr="00545FB0">
        <w:rPr>
          <w:lang w:val="en-CA"/>
        </w:rPr>
        <w:t>Understanding these challenges, the Government of China sees the need to extend the program beyond 2018 and continue to use the funds to ensure the sustainability of the phase-out of CTC for controlled uses.</w:t>
      </w:r>
    </w:p>
    <w:p w:rsidR="00130205" w:rsidRPr="00545FB0" w:rsidRDefault="00130205" w:rsidP="00130205">
      <w:pPr>
        <w:pStyle w:val="Heading1"/>
      </w:pPr>
      <w:r w:rsidRPr="00545FB0">
        <w:t xml:space="preserve">The Secretariat noted with appreciation the proposal to </w:t>
      </w:r>
      <w:r w:rsidRPr="00545FB0">
        <w:rPr>
          <w:lang w:val="en-CA" w:eastAsia="zh-CN"/>
        </w:rPr>
        <w:t xml:space="preserve">allocate </w:t>
      </w:r>
      <w:r w:rsidRPr="00545FB0">
        <w:rPr>
          <w:lang w:val="en-US" w:eastAsia="zh-CN"/>
        </w:rPr>
        <w:t>US $1,200,000 for long</w:t>
      </w:r>
      <w:r w:rsidRPr="00545FB0">
        <w:rPr>
          <w:lang w:val="en-US" w:eastAsia="zh-CN"/>
        </w:rPr>
        <w:noBreakHyphen/>
        <w:t xml:space="preserve">term monitoring and management for the sector. While supporting the allocation of funding for this purpose, the Secretariat noted the substantial level of funding and sought to better understand how the activities that would be funded would relate to those already undertaken. </w:t>
      </w:r>
      <w:r w:rsidRPr="00545FB0">
        <w:rPr>
          <w:lang w:val="en-CA"/>
        </w:rPr>
        <w:t xml:space="preserve">The Secretariat also sought clarification on how CTC producers obtain their qualification; how users become registered, and whether such registration would be restricted to users with a demonstrated </w:t>
      </w:r>
      <w:r w:rsidRPr="00545FB0">
        <w:t xml:space="preserve">PA application, feedstock use, or laboratory use; whether and how FECO allocated a quota for CTC; additional information related to the online monitoring system, including when it is expected to be operational; and whether all CM plants were required to have and operate an incinerator to dispose of CTC residues. </w:t>
      </w:r>
    </w:p>
    <w:p w:rsidR="00130205" w:rsidRPr="00545FB0" w:rsidRDefault="00130205" w:rsidP="00130205">
      <w:pPr>
        <w:pStyle w:val="Heading1"/>
      </w:pPr>
      <w:r w:rsidRPr="00545FB0">
        <w:lastRenderedPageBreak/>
        <w:t>The Government of China informed that there are 15 CM producers with co</w:t>
      </w:r>
      <w:r w:rsidRPr="00545FB0">
        <w:noBreakHyphen/>
        <w:t xml:space="preserve">production of CTC and other CMs. Only three out of the 15 CM producers are allowed to sell CTC to registered users with an annual quota from FECO for feedstock, laboratory, and PA uses only. Only CTC producers that have a production quota before 2007 are allowed to sell CTC. MEE/FECO reviews their status annually. </w:t>
      </w:r>
    </w:p>
    <w:p w:rsidR="00130205" w:rsidRPr="00545FB0" w:rsidRDefault="00130205" w:rsidP="00130205">
      <w:pPr>
        <w:pStyle w:val="Heading1"/>
      </w:pPr>
      <w:r w:rsidRPr="00545FB0">
        <w:t xml:space="preserve">In total, there are eight enterprises for laboratory use and PA use that is required to apply for annual procurement quota to MEE. For 2017, MEE issued 395 </w:t>
      </w:r>
      <w:proofErr w:type="spellStart"/>
      <w:r w:rsidRPr="00545FB0">
        <w:t>mt</w:t>
      </w:r>
      <w:proofErr w:type="spellEnd"/>
      <w:r w:rsidRPr="00545FB0">
        <w:t xml:space="preserve"> quota to these eight enterprises. For feedstock users, MEE performs annual registration management. The CTC feedstock user applying for registration must submit the necessary approval documents, including an environmental impact assessment (EIA). FECO announces the registration results on its website after reviewing the submitted documents to confirm the feedstock use and the quantity of CTC, which cannot exceed the approved capacity of the feedstock facility in the EIA document. The registration specifies the type of product to be produced using CTC and quantity of CTC.</w:t>
      </w:r>
    </w:p>
    <w:p w:rsidR="00130205" w:rsidRPr="00545FB0" w:rsidRDefault="00130205" w:rsidP="00130205">
      <w:pPr>
        <w:pStyle w:val="Heading1"/>
      </w:pPr>
      <w:r w:rsidRPr="00545FB0">
        <w:t>In China, the CTC residue disposal is required to comply with the hazardous waste management regulations, which is a different regime from ODS regulations. According to the current policy, CMs producers could choose to dispose the CTC residue at their own disposal facilities with EIA approved by local EEBs, or send the residue to a qualified hazardous waste disposal centre. The producers are required to report the amount of residue produced, disposed, and stored to local EEBs. In addition, in</w:t>
      </w:r>
      <w:r>
        <w:noBreakHyphen/>
      </w:r>
      <w:r w:rsidRPr="00545FB0">
        <w:t xml:space="preserve">house disposal facilities are monitored by local EEBs to ensure compliance with the national discharge standard and the requirements of the approved EIA. FECO further clarified that three of the CM producers are part of a group of </w:t>
      </w:r>
      <w:r>
        <w:t>enterprises</w:t>
      </w:r>
      <w:r w:rsidRPr="00545FB0">
        <w:t xml:space="preserve"> with HCFC-22 production; however, those CM plants are not part of the HCFC</w:t>
      </w:r>
      <w:r>
        <w:noBreakHyphen/>
      </w:r>
      <w:r w:rsidRPr="00545FB0">
        <w:t xml:space="preserve">22 production </w:t>
      </w:r>
      <w:r>
        <w:t>enterprise</w:t>
      </w:r>
      <w:r w:rsidRPr="00545FB0">
        <w:t xml:space="preserve">s but independent entities within the group of </w:t>
      </w:r>
      <w:r>
        <w:t>enterpris</w:t>
      </w:r>
      <w:r w:rsidRPr="00545FB0">
        <w:t xml:space="preserve">es. Therefore, the incinerators used for the destruction of HFC-23 by-product are different from the incinerators used to destroy CTC; subsidies provided for the destruction of HFC-23 by-product are similarly distinct from those provided for the destruction of CTC.  </w:t>
      </w:r>
    </w:p>
    <w:p w:rsidR="00130205" w:rsidRPr="00545FB0" w:rsidRDefault="00130205" w:rsidP="00130205">
      <w:pPr>
        <w:pStyle w:val="Heading1"/>
      </w:pPr>
      <w:r w:rsidRPr="00545FB0">
        <w:t>The local EEBs inspect all CTC producers and registered users in areas under their jurisdiction. According to the current regulations, there is no mandatory requirement for inspection frequency, but in practice it is at least once a year. Local EEBs inspect distributors that store CTC onsite. Regular inspection of CTC producers and feedstock users will continue after the funding has been exhausted and the project completed.</w:t>
      </w:r>
    </w:p>
    <w:p w:rsidR="00130205" w:rsidRPr="00545FB0" w:rsidRDefault="00130205" w:rsidP="00130205">
      <w:pPr>
        <w:pStyle w:val="Heading1"/>
      </w:pPr>
      <w:r w:rsidRPr="00545FB0">
        <w:t xml:space="preserve">The CTC online monitoring system was shut down in 2015 due to a technical issue. That system only covers CMs producers under the CTC sector plan but not the new CMs producers, and so MEE/FECO has been working to find ways to expand the CTC online monitoring system to all CMs producers. </w:t>
      </w:r>
    </w:p>
    <w:p w:rsidR="00130205" w:rsidRPr="00545FB0" w:rsidRDefault="00130205" w:rsidP="00130205">
      <w:pPr>
        <w:pStyle w:val="Heading1"/>
      </w:pPr>
      <w:r w:rsidRPr="00545FB0">
        <w:t xml:space="preserve">Remaining balances are planned to be used for </w:t>
      </w:r>
      <w:r w:rsidRPr="00545FB0">
        <w:rPr>
          <w:lang w:val="en-US"/>
        </w:rPr>
        <w:t>an ODS online management system (US $250,000), for capacity-building with the Customs Authority (US $750,000), and for six activities to strengthen long</w:t>
      </w:r>
      <w:r>
        <w:rPr>
          <w:lang w:val="en-US"/>
        </w:rPr>
        <w:noBreakHyphen/>
      </w:r>
      <w:r w:rsidRPr="00545FB0">
        <w:rPr>
          <w:lang w:val="en-US"/>
        </w:rPr>
        <w:t>term, sustainable ODS monitoring (US $1.24 million). The Secretariat notes the following:</w:t>
      </w:r>
    </w:p>
    <w:p w:rsidR="00130205" w:rsidRPr="00545FB0" w:rsidRDefault="00130205" w:rsidP="00130205">
      <w:pPr>
        <w:pStyle w:val="Heading2"/>
        <w:numPr>
          <w:ilvl w:val="1"/>
          <w:numId w:val="1"/>
        </w:numPr>
      </w:pPr>
      <w:r w:rsidRPr="00545FB0">
        <w:rPr>
          <w:lang w:val="en-US"/>
        </w:rPr>
        <w:t xml:space="preserve">The ODS online management system will enable all enterprises that use ODS to apply and register as an ODS user, and to report data. Accordingly, the Secretariat supports the proposal in principle, while noting that the Secretariat is not sufficiently familiar with the details of the existing ODS online management system to be able to identify how that system will be modified and, therefore, a reasonable level of funding for this activity. Moreover, funding from other projects, including MB production, the industrial and commercial refrigeration and the room air-conditioning sector plans under the </w:t>
      </w:r>
      <w:r w:rsidR="00C05C8A">
        <w:rPr>
          <w:lang w:val="en-US"/>
        </w:rPr>
        <w:t>HCFC phase</w:t>
      </w:r>
      <w:r w:rsidR="00C05C8A">
        <w:rPr>
          <w:lang w:val="en-US"/>
        </w:rPr>
        <w:noBreakHyphen/>
        <w:t>out management plan (</w:t>
      </w:r>
      <w:r w:rsidRPr="00545FB0">
        <w:rPr>
          <w:lang w:val="en-US"/>
        </w:rPr>
        <w:t>HPMP</w:t>
      </w:r>
      <w:r w:rsidR="00C05C8A">
        <w:rPr>
          <w:lang w:val="en-US"/>
        </w:rPr>
        <w:t>)</w:t>
      </w:r>
      <w:r w:rsidRPr="00545FB0">
        <w:rPr>
          <w:lang w:val="en-US"/>
        </w:rPr>
        <w:t xml:space="preserve">, and the </w:t>
      </w:r>
      <w:r w:rsidR="00C05C8A">
        <w:rPr>
          <w:lang w:val="en-US"/>
        </w:rPr>
        <w:t>HCFC production phase</w:t>
      </w:r>
      <w:r w:rsidR="00C05C8A">
        <w:rPr>
          <w:lang w:val="en-US"/>
        </w:rPr>
        <w:noBreakHyphen/>
        <w:t>out management plan (</w:t>
      </w:r>
      <w:r w:rsidRPr="00545FB0">
        <w:rPr>
          <w:lang w:val="en-US"/>
        </w:rPr>
        <w:t>HPPMP</w:t>
      </w:r>
      <w:r w:rsidR="00C05C8A">
        <w:rPr>
          <w:lang w:val="en-US"/>
        </w:rPr>
        <w:t>)</w:t>
      </w:r>
      <w:r w:rsidRPr="00545FB0">
        <w:rPr>
          <w:lang w:val="en-US"/>
        </w:rPr>
        <w:t xml:space="preserve">, has similarly been used to strengthen the ODS online management system. Such pooling of funding is likely an efficient use of resources, but makes monitoring the financial and implementation progress challenging; </w:t>
      </w:r>
    </w:p>
    <w:p w:rsidR="00130205" w:rsidRPr="00545FB0" w:rsidRDefault="00130205" w:rsidP="00C05C8A">
      <w:pPr>
        <w:pStyle w:val="Heading2"/>
        <w:keepNext/>
        <w:widowControl/>
        <w:numPr>
          <w:ilvl w:val="1"/>
          <w:numId w:val="1"/>
        </w:numPr>
        <w:rPr>
          <w:lang w:val="en-US"/>
        </w:rPr>
      </w:pPr>
      <w:r w:rsidRPr="00545FB0">
        <w:rPr>
          <w:lang w:val="en-US"/>
        </w:rPr>
        <w:lastRenderedPageBreak/>
        <w:t xml:space="preserve">Funding is similarly proposed under the MB production sector for capacity-building with the Customs Authority. FECO clarified that the contract under the MB production sector is focused on </w:t>
      </w:r>
      <w:r w:rsidR="00EC3EF2">
        <w:rPr>
          <w:lang w:val="en-US"/>
        </w:rPr>
        <w:t>MB</w:t>
      </w:r>
      <w:r w:rsidRPr="00545FB0">
        <w:rPr>
          <w:lang w:val="en-US"/>
        </w:rPr>
        <w:t xml:space="preserve"> used for quarantine and pre-shipment (QPS) uses, while the capacity</w:t>
      </w:r>
      <w:r w:rsidR="00C05C8A">
        <w:rPr>
          <w:lang w:val="en-US"/>
        </w:rPr>
        <w:noBreakHyphen/>
      </w:r>
      <w:r w:rsidRPr="00545FB0">
        <w:rPr>
          <w:lang w:val="en-US"/>
        </w:rPr>
        <w:t>building under the process agent II plan would be focused on anti</w:t>
      </w:r>
      <w:r>
        <w:rPr>
          <w:lang w:val="en-US"/>
        </w:rPr>
        <w:noBreakHyphen/>
      </w:r>
      <w:r w:rsidRPr="00545FB0">
        <w:rPr>
          <w:lang w:val="en-US"/>
        </w:rPr>
        <w:t>smuggling efforts. Given the delays in signing the contract under the MP production sector, the Secretariat believes it will be important to closely monitor the progress of this activity to ensure that it can be completed by December 2020;</w:t>
      </w:r>
    </w:p>
    <w:p w:rsidR="00130205" w:rsidRPr="00243483" w:rsidRDefault="00130205" w:rsidP="00130205">
      <w:pPr>
        <w:pStyle w:val="Heading2"/>
        <w:numPr>
          <w:ilvl w:val="1"/>
          <w:numId w:val="1"/>
        </w:numPr>
        <w:rPr>
          <w:lang w:val="en-US"/>
        </w:rPr>
      </w:pPr>
      <w:r w:rsidRPr="00545FB0">
        <w:rPr>
          <w:lang w:val="en-US"/>
        </w:rPr>
        <w:t>While the six proposed activities will be useful, the Secretariat is unclear who much funding would be allocated to each activity. In addition, the Secretariat considers that additional reporting to the Executive Committee on the outcome of some of the activities would be useful. For example, the activity related to market supervision could provide a better understanding of how facilities that produced CFC-11 were able to purchase CTC.</w:t>
      </w:r>
      <w:r w:rsidRPr="00545FB0">
        <w:t xml:space="preserve"> </w:t>
      </w:r>
      <w:r w:rsidRPr="00545FB0">
        <w:rPr>
          <w:lang w:val="en-US"/>
        </w:rPr>
        <w:t xml:space="preserve">Moreover, the market supervision activity appears to be an activity that that a consulting firm would undertake for the duration of the contract for that activity. The Secretariat suggests that such market supervision would continue to be helpful after the completion of the project, and that a budget within MEE be allocated for that purpose. The construction </w:t>
      </w:r>
      <w:r w:rsidRPr="00243483">
        <w:rPr>
          <w:lang w:val="en-US"/>
        </w:rPr>
        <w:t>and upgrade of the online monitoring system on CTC production would enable such market supervision.</w:t>
      </w:r>
      <w:r w:rsidRPr="00243483">
        <w:t xml:space="preserve"> </w:t>
      </w:r>
      <w:r w:rsidRPr="00243483">
        <w:rPr>
          <w:lang w:val="en-US"/>
        </w:rPr>
        <w:t>The Secretariat suggests that the Government of China, through the World Bank, provide additional information on the proposed activities, their budget, and a progress report on their implementation, to the 85</w:t>
      </w:r>
      <w:r w:rsidRPr="00243483">
        <w:rPr>
          <w:vertAlign w:val="superscript"/>
          <w:lang w:val="en-US"/>
        </w:rPr>
        <w:t>th</w:t>
      </w:r>
      <w:r w:rsidRPr="00243483">
        <w:rPr>
          <w:lang w:val="en-US"/>
        </w:rPr>
        <w:t> meeting. The Executive Committee may also wish to provide additional guidance on the US $1 million allocated to the ODS online management system and capacity-building with the Customs Authority.</w:t>
      </w:r>
    </w:p>
    <w:p w:rsidR="00130205" w:rsidRPr="00243483" w:rsidRDefault="00130205" w:rsidP="00130205">
      <w:pPr>
        <w:pStyle w:val="Heading1"/>
        <w:keepNext/>
        <w:rPr>
          <w:lang w:val="en-CA"/>
        </w:rPr>
      </w:pPr>
      <w:r w:rsidRPr="00243483">
        <w:rPr>
          <w:lang w:val="en-US"/>
        </w:rPr>
        <w:t xml:space="preserve">As further discussed in the document on the overview of the Country’s monitoring, reporting and verification contained in Part I of document </w:t>
      </w:r>
      <w:r w:rsidRPr="00243483">
        <w:rPr>
          <w:b/>
        </w:rPr>
        <w:t>UNEP/</w:t>
      </w:r>
      <w:proofErr w:type="spellStart"/>
      <w:r w:rsidRPr="00243483">
        <w:rPr>
          <w:b/>
        </w:rPr>
        <w:t>OzL.Pro</w:t>
      </w:r>
      <w:proofErr w:type="spellEnd"/>
      <w:r w:rsidRPr="00243483">
        <w:rPr>
          <w:b/>
        </w:rPr>
        <w:t>/</w:t>
      </w:r>
      <w:proofErr w:type="spellStart"/>
      <w:r w:rsidRPr="00243483">
        <w:rPr>
          <w:b/>
        </w:rPr>
        <w:t>ExCom</w:t>
      </w:r>
      <w:proofErr w:type="spellEnd"/>
      <w:r w:rsidRPr="00243483">
        <w:rPr>
          <w:b/>
        </w:rPr>
        <w:t>/83/11/Add.1</w:t>
      </w:r>
      <w:r w:rsidRPr="00243483">
        <w:rPr>
          <w:lang w:val="en-US"/>
        </w:rPr>
        <w:t xml:space="preserve">, the Secretariat strongly supports the proposed measures to strengthen the monitoring of CTC, and shares the view that improved CTC monitoring is vital to ensuring both the sustainability of the phase-out of controlled uses of CTC and of the production of CFCs. Based on additional information provided by the Government of China, recently discovered illegal CFC production facilities used the common production pathway, i.e., liquid phase fluorination of CTC and anhydrous hydrogen fluoride in the presence of antimony chloride; those facilities were able to purchase CTC for use as a raw material, suggesting that strengthened mechanisms to monitor CTC will be beneficial. The Secretariat believes the measures proposed will help in this regard. However, the Secretariat is unclear why PCE plants have not been included in the Government of China’s CTC monitoring efforts. </w:t>
      </w:r>
    </w:p>
    <w:p w:rsidR="00130205" w:rsidRPr="00545FB0" w:rsidRDefault="00130205" w:rsidP="00130205">
      <w:pPr>
        <w:pStyle w:val="Heading1"/>
        <w:keepNext/>
        <w:numPr>
          <w:ilvl w:val="0"/>
          <w:numId w:val="0"/>
        </w:numPr>
        <w:rPr>
          <w:i/>
          <w:lang w:val="en-CA"/>
        </w:rPr>
      </w:pPr>
      <w:r w:rsidRPr="00545FB0">
        <w:rPr>
          <w:i/>
          <w:lang w:val="en-CA"/>
        </w:rPr>
        <w:t>CFC production phase-out</w:t>
      </w:r>
    </w:p>
    <w:p w:rsidR="00130205" w:rsidRPr="00545FB0" w:rsidRDefault="00130205" w:rsidP="00130205">
      <w:pPr>
        <w:pStyle w:val="Heading1"/>
        <w:rPr>
          <w:lang w:val="en-CA"/>
        </w:rPr>
      </w:pPr>
      <w:r w:rsidRPr="00545FB0">
        <w:rPr>
          <w:lang w:val="en-CA"/>
        </w:rPr>
        <w:t>At the 82</w:t>
      </w:r>
      <w:r w:rsidRPr="00545FB0">
        <w:rPr>
          <w:vertAlign w:val="superscript"/>
          <w:lang w:val="en-CA"/>
        </w:rPr>
        <w:t>nd</w:t>
      </w:r>
      <w:r w:rsidRPr="00545FB0">
        <w:rPr>
          <w:lang w:val="en-CA"/>
        </w:rPr>
        <w:t xml:space="preserve"> meeting, the Government indicated that, as found in recent atmospheric monitoring results, it appeared that there is some production and emission of CFCs, especially CFC-11. As all the known CFC production facilities were dismantled as part of the CFC Phase-out Sector Plan and FECO had visited all the previous producers of CFCs and found that none of them had restarted CFC production, any CFC production would come from illegal production facilities set up without permits. The Secretariat notes that the verifications submitted in line with the CFC production phase-out sector plan included photographic and video evidence demonstrating that key equipment had been destroyed or rendered unusable. </w:t>
      </w:r>
    </w:p>
    <w:p w:rsidR="00130205" w:rsidRPr="00545FB0" w:rsidRDefault="00130205" w:rsidP="00130205">
      <w:pPr>
        <w:pStyle w:val="Heading1"/>
        <w:rPr>
          <w:lang w:val="en-CA"/>
        </w:rPr>
      </w:pPr>
      <w:r w:rsidRPr="00545FB0">
        <w:rPr>
          <w:lang w:val="en-CA"/>
        </w:rPr>
        <w:t xml:space="preserve">In order to identify any illegal CFC production, the monitoring of CTC production will be strengthened as indicated under the PA project. In addition, FECO proposes to expand the provincial atmospheric monitoring program in some provinces where illegal production might take place. </w:t>
      </w:r>
    </w:p>
    <w:p w:rsidR="00130205" w:rsidRPr="008E2A9C" w:rsidRDefault="00130205" w:rsidP="00130205">
      <w:pPr>
        <w:pStyle w:val="Heading1"/>
      </w:pPr>
      <w:r w:rsidRPr="00545FB0">
        <w:rPr>
          <w:lang w:val="en-CA"/>
        </w:rPr>
        <w:t xml:space="preserve">Production of CFC requires CTC and anhydrous hydrogen fluoride. Noting that monitoring the use of anhydrous hydrogen fluoride would be difficult, the Secretariat considers that strengthened monitoring of CTC production will be a key step in preventing future illegal CFC production. Similarly, the Secretariat considers that the proposal to expand the provincial atmospheric monitoring program would be invaluable </w:t>
      </w:r>
      <w:r w:rsidRPr="00545FB0">
        <w:rPr>
          <w:lang w:val="en-CA"/>
        </w:rPr>
        <w:lastRenderedPageBreak/>
        <w:t xml:space="preserve">in detecting and deterring future illegal CFC production. The Secretariat enquired whether the current provincial </w:t>
      </w:r>
      <w:r w:rsidRPr="00545FB0">
        <w:t>atmospheric monitoring program already included instruments to observe CFCs and CTC, and how it would be expanded</w:t>
      </w:r>
      <w:r w:rsidRPr="008E2A9C">
        <w:t xml:space="preserve">. The review of </w:t>
      </w:r>
      <w:r w:rsidR="00EC3EF2">
        <w:t xml:space="preserve">the </w:t>
      </w:r>
      <w:r w:rsidRPr="008E2A9C">
        <w:t xml:space="preserve">current </w:t>
      </w:r>
      <w:r w:rsidR="00EC3EF2" w:rsidRPr="00BC59E3">
        <w:rPr>
          <w:lang w:val="en-CA"/>
        </w:rPr>
        <w:t>MRVE</w:t>
      </w:r>
      <w:r w:rsidR="00EC3EF2" w:rsidRPr="008E2A9C">
        <w:t xml:space="preserve"> </w:t>
      </w:r>
      <w:r w:rsidRPr="008E2A9C">
        <w:t>(decisions 82/65 and 82/71(a)) submitted by the Government of China provides additional information on the Country’s atmospheric monitoring network, and its plans to expand it to ensure the sustainability of ODS phase-out</w:t>
      </w:r>
      <w:r w:rsidR="00C3476B">
        <w:rPr>
          <w:b/>
        </w:rPr>
        <w:t xml:space="preserve">; and the report </w:t>
      </w:r>
      <w:r w:rsidR="001D5CF4">
        <w:rPr>
          <w:b/>
        </w:rPr>
        <w:t>annexed to</w:t>
      </w:r>
      <w:r w:rsidR="00C3476B" w:rsidRPr="00C3476B">
        <w:rPr>
          <w:b/>
        </w:rPr>
        <w:t xml:space="preserve"> the present document</w:t>
      </w:r>
      <w:r w:rsidR="001D5CF4">
        <w:rPr>
          <w:b/>
        </w:rPr>
        <w:t>,</w:t>
      </w:r>
      <w:r w:rsidRPr="008E2A9C">
        <w:rPr>
          <w:b/>
        </w:rPr>
        <w:t xml:space="preserve"> submitted by the Government of China in line with decision 83/41(e)</w:t>
      </w:r>
      <w:r w:rsidR="001D5CF4">
        <w:rPr>
          <w:b/>
        </w:rPr>
        <w:t>,</w:t>
      </w:r>
      <w:r w:rsidRPr="008E2A9C">
        <w:rPr>
          <w:b/>
        </w:rPr>
        <w:t xml:space="preserve"> provides an update on the progress made towards establishing that atmospheric monitoring network, as well as information on an additional CFC</w:t>
      </w:r>
      <w:r w:rsidRPr="008E2A9C">
        <w:rPr>
          <w:b/>
        </w:rPr>
        <w:noBreakHyphen/>
        <w:t>11 production facility that was detected in 2019</w:t>
      </w:r>
      <w:r w:rsidRPr="008E2A9C">
        <w:t xml:space="preserve">. </w:t>
      </w:r>
    </w:p>
    <w:p w:rsidR="00130205" w:rsidRPr="00A038E1" w:rsidRDefault="00130205" w:rsidP="00130205">
      <w:pPr>
        <w:keepNext/>
        <w:keepLines/>
        <w:rPr>
          <w:i/>
          <w:lang w:val="en-CA"/>
        </w:rPr>
      </w:pPr>
      <w:r w:rsidRPr="00545FB0">
        <w:rPr>
          <w:i/>
          <w:lang w:val="en-CA"/>
        </w:rPr>
        <w:t>PU foam sector</w:t>
      </w:r>
    </w:p>
    <w:p w:rsidR="00130205" w:rsidRPr="00A96CBF" w:rsidRDefault="00130205" w:rsidP="00130205">
      <w:pPr>
        <w:keepNext/>
        <w:keepLines/>
        <w:rPr>
          <w:highlight w:val="yellow"/>
          <w:lang w:val="en-CA"/>
        </w:rPr>
      </w:pPr>
    </w:p>
    <w:p w:rsidR="00130205" w:rsidRPr="00A038E1" w:rsidRDefault="00130205" w:rsidP="00130205">
      <w:pPr>
        <w:pStyle w:val="Heading1"/>
        <w:keepNext/>
        <w:keepLines/>
        <w:rPr>
          <w:lang w:val="en-CA"/>
        </w:rPr>
      </w:pPr>
      <w:r w:rsidRPr="00A038E1">
        <w:rPr>
          <w:lang w:val="en-CA"/>
        </w:rPr>
        <w:t xml:space="preserve">The Government indicated that while it assumed that CFC-11 had been phased out, it is now known that some CFCs might be illegally produced and used as blowing agents in the PU foam sector. In order to monitor what kind of blowing agents are used and to identify potential illegal use of CFC-11 in the PU foam sector, the inspection capacity of </w:t>
      </w:r>
      <w:r w:rsidRPr="00512235">
        <w:rPr>
          <w:lang w:val="en-CA"/>
        </w:rPr>
        <w:t>local EEBs has</w:t>
      </w:r>
      <w:r w:rsidRPr="00A038E1">
        <w:rPr>
          <w:lang w:val="en-CA"/>
        </w:rPr>
        <w:t xml:space="preserve"> been strengthened. However, increased monitoring of PU foam manufacturers and foam systems houses is still needed. Hence, the Government considers that the continuation of the monitoring program beyond 2018 is needed until the Government of China’s funding is fully exhausted. </w:t>
      </w:r>
    </w:p>
    <w:p w:rsidR="00130205" w:rsidRPr="00A038E1" w:rsidRDefault="00130205" w:rsidP="00130205">
      <w:pPr>
        <w:pStyle w:val="Heading1"/>
        <w:rPr>
          <w:lang w:val="en-CA"/>
        </w:rPr>
      </w:pPr>
      <w:r w:rsidRPr="00A038E1">
        <w:rPr>
          <w:lang w:val="en-CA"/>
        </w:rPr>
        <w:t>In addition, although there is extensive, ongoing monitoring of foam enterprises that converted from CFC-11, including sampling of foam for analysis of the foam blowing agent content, the Government recognizes that there could be a gap in CFC-11 monitoring if all applications are not addressed beyond foam. Accordingly, the Government of China and the implementing agencies plan to coordinate monitoring between sectors.</w:t>
      </w:r>
    </w:p>
    <w:p w:rsidR="00130205" w:rsidRPr="00A038E1" w:rsidRDefault="00130205" w:rsidP="00130205">
      <w:pPr>
        <w:pStyle w:val="Heading1"/>
        <w:rPr>
          <w:lang w:val="en-CA"/>
        </w:rPr>
      </w:pPr>
      <w:r w:rsidRPr="00A038E1">
        <w:rPr>
          <w:lang w:val="en-CA"/>
        </w:rPr>
        <w:t>The Secretariat emphasized the need to ensure the sustained phase-out of CFC-11 even after the funding under the PU foam sector plan was exhausted, and noted that 420 foam enterprises and systems houses have been visited in five provinces, and over 780 samples of raw material have been collected for analysis. With regard to the small percentage of samples suspected to contain CFC-HCFC, the Secretariat asked if the analysis by the certified labs confirmed use of CFC and, if so, in what proportion and what relevant rules and regulations would apply to enterprises using it.</w:t>
      </w:r>
    </w:p>
    <w:p w:rsidR="00130205" w:rsidRPr="001C27EA" w:rsidRDefault="00130205" w:rsidP="00130205">
      <w:pPr>
        <w:pStyle w:val="Heading1"/>
        <w:rPr>
          <w:b/>
          <w:lang w:val="en-CA"/>
        </w:rPr>
      </w:pPr>
      <w:r w:rsidRPr="001C27EA">
        <w:rPr>
          <w:lang w:val="en-CA"/>
        </w:rPr>
        <w:t xml:space="preserve">The Government informed that the enterprises that have samples containing CFC-HCFCs are under investigation and hence under the joint mandate of the local EEB and Public Security (local police). The results were expected to be released to the public by the end of October. The updated report </w:t>
      </w:r>
      <w:r w:rsidRPr="001C27EA">
        <w:rPr>
          <w:b/>
          <w:lang w:val="en-CA"/>
        </w:rPr>
        <w:t>at the 83</w:t>
      </w:r>
      <w:r w:rsidRPr="001C27EA">
        <w:rPr>
          <w:b/>
          <w:vertAlign w:val="superscript"/>
          <w:lang w:val="en-CA"/>
        </w:rPr>
        <w:t>rd</w:t>
      </w:r>
      <w:r w:rsidR="003D2ACB">
        <w:rPr>
          <w:b/>
          <w:lang w:val="en-CA"/>
        </w:rPr>
        <w:t> </w:t>
      </w:r>
      <w:r w:rsidRPr="001C27EA">
        <w:rPr>
          <w:b/>
          <w:lang w:val="en-CA"/>
        </w:rPr>
        <w:t>meeting</w:t>
      </w:r>
      <w:r w:rsidRPr="001C27EA">
        <w:rPr>
          <w:lang w:val="en-CA"/>
        </w:rPr>
        <w:t xml:space="preserve"> indicated that three enterprises in Shandong were detected with illegal use of CFC-11, they were subject to punishment in accordance to regulations and the cases were closed. The Government clarified that this was part of the provincial monitoring activities. The ten cases reported in the monitoring and evaluation report are an outcome of the 2018 special campaign implemented.</w:t>
      </w:r>
      <w:r w:rsidRPr="001C27EA">
        <w:rPr>
          <w:b/>
          <w:lang w:val="en-CA"/>
        </w:rPr>
        <w:t xml:space="preserve"> </w:t>
      </w:r>
    </w:p>
    <w:p w:rsidR="00130205" w:rsidRPr="008E2A9C" w:rsidRDefault="00130205" w:rsidP="00130205">
      <w:pPr>
        <w:pStyle w:val="Heading1"/>
        <w:rPr>
          <w:lang w:val="en-CA"/>
        </w:rPr>
      </w:pPr>
      <w:r w:rsidRPr="001C27EA">
        <w:rPr>
          <w:lang w:val="en-CA"/>
        </w:rPr>
        <w:t>On the relevant rules and regulations that would apply to enterprises using banned ODS, the Government indicated that so far, three enterprises had</w:t>
      </w:r>
      <w:r w:rsidRPr="00A038E1">
        <w:rPr>
          <w:lang w:val="en-CA"/>
        </w:rPr>
        <w:t xml:space="preserve"> been detected illegally using CFC-11, and had been subject to the punishment set out in accordance with ODS management regulation. </w:t>
      </w:r>
      <w:r w:rsidRPr="001C27EA">
        <w:rPr>
          <w:b/>
          <w:lang w:val="en-CA"/>
        </w:rPr>
        <w:t xml:space="preserve">The most updated </w:t>
      </w:r>
      <w:r w:rsidRPr="008E2A9C">
        <w:rPr>
          <w:b/>
          <w:lang w:val="en-CA"/>
        </w:rPr>
        <w:t xml:space="preserve">information on the findings of these monitoring activities is contained in the report </w:t>
      </w:r>
      <w:r w:rsidR="001D5CF4">
        <w:rPr>
          <w:b/>
          <w:lang w:val="en-CA"/>
        </w:rPr>
        <w:t>annexed to</w:t>
      </w:r>
      <w:r w:rsidRPr="00C3476B">
        <w:rPr>
          <w:b/>
          <w:lang w:val="en-CA"/>
        </w:rPr>
        <w:t xml:space="preserve"> the present document</w:t>
      </w:r>
      <w:r w:rsidR="001D5CF4">
        <w:rPr>
          <w:b/>
          <w:lang w:val="en-CA"/>
        </w:rPr>
        <w:t>,</w:t>
      </w:r>
      <w:r w:rsidRPr="008E2A9C">
        <w:rPr>
          <w:b/>
          <w:lang w:val="en-CA"/>
        </w:rPr>
        <w:t xml:space="preserve"> submi</w:t>
      </w:r>
      <w:r w:rsidR="001D5CF4">
        <w:rPr>
          <w:b/>
          <w:lang w:val="en-CA"/>
        </w:rPr>
        <w:t>tted by the Government of China</w:t>
      </w:r>
      <w:r w:rsidRPr="008E2A9C">
        <w:rPr>
          <w:b/>
          <w:lang w:val="en-CA"/>
        </w:rPr>
        <w:t xml:space="preserve"> in line with decision 83/41(e).</w:t>
      </w:r>
    </w:p>
    <w:p w:rsidR="00130205" w:rsidRPr="00A038E1" w:rsidRDefault="00130205" w:rsidP="00130205">
      <w:pPr>
        <w:pStyle w:val="Heading1"/>
        <w:rPr>
          <w:lang w:val="en-CA"/>
        </w:rPr>
      </w:pPr>
      <w:r w:rsidRPr="00A038E1">
        <w:rPr>
          <w:lang w:val="en-CA"/>
        </w:rPr>
        <w:t>The Secretariat notes that the use of HCFC-141b by an enterprise that committed to phase out may be subject to an enforcement action according to local regulations. However, in the case of CFC-11, it would have to be determined whether the origin is stockpile, recycled gas from previous uses (e.g., chillers) or production after the total phase-out deadline, which would potentially incur a penalty for non</w:t>
      </w:r>
      <w:r w:rsidRPr="00A038E1">
        <w:rPr>
          <w:lang w:val="en-CA"/>
        </w:rPr>
        <w:noBreakHyphen/>
        <w:t>compliance with the Agreement for CFC production and perhaps the Agreement for CFC consumption. This would require further analysis.</w:t>
      </w:r>
    </w:p>
    <w:p w:rsidR="00130205" w:rsidRPr="00A038E1" w:rsidRDefault="00130205" w:rsidP="00C05C8A">
      <w:pPr>
        <w:keepNext/>
        <w:rPr>
          <w:i/>
          <w:lang w:val="en-CA"/>
        </w:rPr>
      </w:pPr>
      <w:r w:rsidRPr="00A038E1">
        <w:rPr>
          <w:i/>
          <w:lang w:val="en-CA"/>
        </w:rPr>
        <w:lastRenderedPageBreak/>
        <w:t>Solvent sector</w:t>
      </w:r>
    </w:p>
    <w:p w:rsidR="00130205" w:rsidRPr="00A038E1" w:rsidRDefault="00130205" w:rsidP="00C05C8A">
      <w:pPr>
        <w:keepNext/>
        <w:rPr>
          <w:i/>
          <w:lang w:val="en-CA"/>
        </w:rPr>
      </w:pPr>
    </w:p>
    <w:p w:rsidR="00130205" w:rsidRPr="001C27EA" w:rsidRDefault="00130205" w:rsidP="00C05C8A">
      <w:pPr>
        <w:pStyle w:val="Heading1"/>
        <w:keepNext/>
        <w:rPr>
          <w:lang w:val="en-CA"/>
        </w:rPr>
      </w:pPr>
      <w:r w:rsidRPr="00A038E1">
        <w:rPr>
          <w:lang w:val="en-CA"/>
        </w:rPr>
        <w:t xml:space="preserve">For the solvent sector plan, the </w:t>
      </w:r>
      <w:r w:rsidRPr="001C27EA">
        <w:rPr>
          <w:lang w:val="en-CA"/>
        </w:rPr>
        <w:t>Government indicated that to further strengthen sustainable, long</w:t>
      </w:r>
      <w:r w:rsidRPr="001C27EA">
        <w:rPr>
          <w:lang w:val="en-CA"/>
        </w:rPr>
        <w:noBreakHyphen/>
        <w:t>term monitoring of the phase</w:t>
      </w:r>
      <w:r w:rsidRPr="001C27EA">
        <w:rPr>
          <w:lang w:val="en-CA"/>
        </w:rPr>
        <w:noBreakHyphen/>
        <w:t>out in the solvent sector, FECO supported local EEBs to monitor ODS activities and control illegal ODS production and use in their province. In addition, some local EEBs had established long</w:t>
      </w:r>
      <w:r w:rsidRPr="001C27EA">
        <w:rPr>
          <w:lang w:val="en-CA"/>
        </w:rPr>
        <w:noBreakHyphen/>
        <w:t>term mechanisms by issuing ODS management policies and effectiveness assessment requirements for ODS management officers. Also, by supporting the development of implementation techniques for the solvent sector, several experts had been trained to provide long-term and effective support for the sustainable, long term monitoring of the phase-out. The Secretariat noted that those activities were helpful but that it was still unclear how these actions, in particular the latter, would help ensure the sustainable, long</w:t>
      </w:r>
      <w:r w:rsidRPr="001C27EA">
        <w:rPr>
          <w:lang w:val="en-CA"/>
        </w:rPr>
        <w:noBreakHyphen/>
        <w:t>term monitoring of the sector.</w:t>
      </w:r>
    </w:p>
    <w:p w:rsidR="00130205" w:rsidRPr="00A038E1" w:rsidRDefault="00130205" w:rsidP="00130205">
      <w:pPr>
        <w:rPr>
          <w:i/>
          <w:lang w:val="en-CA"/>
        </w:rPr>
      </w:pPr>
      <w:r w:rsidRPr="00A038E1">
        <w:rPr>
          <w:i/>
          <w:lang w:val="en-CA"/>
        </w:rPr>
        <w:t>Servicing sector</w:t>
      </w:r>
    </w:p>
    <w:p w:rsidR="00130205" w:rsidRPr="00A038E1" w:rsidRDefault="00130205" w:rsidP="00130205">
      <w:pPr>
        <w:rPr>
          <w:lang w:val="en-CA"/>
        </w:rPr>
      </w:pPr>
    </w:p>
    <w:p w:rsidR="00130205" w:rsidRPr="00A038E1" w:rsidRDefault="00130205" w:rsidP="00130205">
      <w:pPr>
        <w:pStyle w:val="Heading1"/>
        <w:rPr>
          <w:lang w:val="en-CA"/>
        </w:rPr>
      </w:pPr>
      <w:r w:rsidRPr="00A038E1">
        <w:t xml:space="preserve">The Government indicated that the technical assistance projects on research into servicing leakage and the data survey are closely connected to HPMP implementation. The research on leakage of refrigerant during R-290 RAC servicing and operation is part of research into alternatives. The data survey in the supermarket sub-sector is connected with promoting good servicing practices in that sub-sector. </w:t>
      </w:r>
      <w:r w:rsidR="003D2ACB" w:rsidRPr="00A038E1">
        <w:t>The</w:t>
      </w:r>
      <w:r w:rsidRPr="00A038E1">
        <w:rPr>
          <w:lang w:val="en-CA"/>
        </w:rPr>
        <w:t xml:space="preserve"> Secretariat noted that those activities were helpful but not related to ensuring the sustainable, long</w:t>
      </w:r>
      <w:r w:rsidRPr="00A038E1">
        <w:rPr>
          <w:lang w:val="en-CA"/>
        </w:rPr>
        <w:noBreakHyphen/>
        <w:t xml:space="preserve">term monitoring of the sector. </w:t>
      </w:r>
    </w:p>
    <w:p w:rsidR="00130205" w:rsidRPr="00A038E1" w:rsidRDefault="00130205" w:rsidP="00130205">
      <w:pPr>
        <w:rPr>
          <w:i/>
          <w:lang w:val="en-CA"/>
        </w:rPr>
      </w:pPr>
      <w:r w:rsidRPr="00A038E1">
        <w:rPr>
          <w:i/>
          <w:lang w:val="en-CA"/>
        </w:rPr>
        <w:t>Halon sector</w:t>
      </w:r>
    </w:p>
    <w:p w:rsidR="00130205" w:rsidRPr="00A038E1" w:rsidRDefault="00130205" w:rsidP="00130205">
      <w:pPr>
        <w:rPr>
          <w:lang w:val="en-CA"/>
        </w:rPr>
      </w:pPr>
    </w:p>
    <w:p w:rsidR="00130205" w:rsidRPr="00A038E1" w:rsidRDefault="00130205" w:rsidP="00130205">
      <w:pPr>
        <w:pStyle w:val="Heading1"/>
        <w:rPr>
          <w:lang w:val="en-CA"/>
        </w:rPr>
      </w:pPr>
      <w:r w:rsidRPr="00A038E1">
        <w:rPr>
          <w:lang w:val="en-CA"/>
        </w:rPr>
        <w:t>The situation for the halon sector is somewhat different from other sectors as there is a continued demand for halon-1211 and halon-1301 for uses where alternatives are not available. Those applications are supposed to be met by recovered and recycled halons until alternatives are available. The halon recycling program was an essential element in the halon sector plan. The China halon sector plan also includes halon banking as a key component. The implementation of the halon banking component has been delayed as reported.</w:t>
      </w:r>
    </w:p>
    <w:p w:rsidR="00130205" w:rsidRPr="00A038E1" w:rsidRDefault="00130205" w:rsidP="00130205">
      <w:pPr>
        <w:pStyle w:val="Heading1"/>
        <w:rPr>
          <w:lang w:val="en-CA"/>
        </w:rPr>
      </w:pPr>
      <w:r w:rsidRPr="00A038E1">
        <w:rPr>
          <w:lang w:val="en-CA"/>
        </w:rPr>
        <w:t>The Government considers that the risk of illegal production of halon-1211 is very low given the large stock of halon-1211 produced before the total phase-out and the minimal annual demand of 20 to 30 </w:t>
      </w:r>
      <w:proofErr w:type="spellStart"/>
      <w:r w:rsidRPr="00A038E1">
        <w:rPr>
          <w:lang w:val="en-CA"/>
        </w:rPr>
        <w:t>mt</w:t>
      </w:r>
      <w:proofErr w:type="spellEnd"/>
      <w:r w:rsidRPr="00A038E1">
        <w:rPr>
          <w:lang w:val="en-CA"/>
        </w:rPr>
        <w:t>/year. The remaining stock of halon-1211 is at one former halon-1211 producer. The Government of China proposes to either move all or part of it so it can be stored under safe and controlled conditions, or to destroy/convert some of it. The Government of China believes that this is important to avoid the emission of over 2,200 </w:t>
      </w:r>
      <w:proofErr w:type="spellStart"/>
      <w:r w:rsidRPr="00A038E1">
        <w:rPr>
          <w:lang w:val="en-CA"/>
        </w:rPr>
        <w:t>mt</w:t>
      </w:r>
      <w:proofErr w:type="spellEnd"/>
      <w:r w:rsidRPr="00A038E1">
        <w:rPr>
          <w:lang w:val="en-CA"/>
        </w:rPr>
        <w:t xml:space="preserve"> of halon</w:t>
      </w:r>
      <w:r w:rsidRPr="00A038E1">
        <w:rPr>
          <w:lang w:val="en-CA"/>
        </w:rPr>
        <w:noBreakHyphen/>
        <w:t>1211.</w:t>
      </w:r>
    </w:p>
    <w:p w:rsidR="00130205" w:rsidRPr="00A038E1" w:rsidRDefault="00130205" w:rsidP="00130205">
      <w:pPr>
        <w:pStyle w:val="Heading1"/>
        <w:rPr>
          <w:lang w:val="en-CA"/>
        </w:rPr>
      </w:pPr>
      <w:r w:rsidRPr="00A038E1">
        <w:rPr>
          <w:lang w:val="en-CA"/>
        </w:rPr>
        <w:t>In contrast, halon</w:t>
      </w:r>
      <w:r w:rsidRPr="00A038E1">
        <w:rPr>
          <w:lang w:val="en-CA"/>
        </w:rPr>
        <w:noBreakHyphen/>
        <w:t>1301 is still produced solely for feedstock use; such newly produced halon</w:t>
      </w:r>
      <w:r w:rsidRPr="00A038E1">
        <w:rPr>
          <w:lang w:val="en-CA"/>
        </w:rPr>
        <w:noBreakHyphen/>
        <w:t xml:space="preserve">1301 is not added to stocks but is instead used exclusively as a feedstock. The Government assumes that the demand for controlled uses of halon-1301 is covered by existing stocks, and that halon-1301 is recovered from dismantled fire-protection installations and reclaimed for applications where no alternatives exist yet. There is a continued demand for halon-1301 for existing fire extinguishing systems where no other alternatives can be used due to safety issues, and for civil aviation, where there are still no alternatives available for certain aircraft fire suppression systems. Civil aviation is expanding globally, especially in China, with an expected annual growth of over ten per cent over the next five to ten years. </w:t>
      </w:r>
    </w:p>
    <w:p w:rsidR="00130205" w:rsidRPr="00A038E1" w:rsidRDefault="00130205" w:rsidP="00130205">
      <w:pPr>
        <w:pStyle w:val="Heading1"/>
        <w:rPr>
          <w:lang w:val="en-CA"/>
        </w:rPr>
      </w:pPr>
      <w:r w:rsidRPr="00A038E1">
        <w:rPr>
          <w:lang w:val="en-CA"/>
        </w:rPr>
        <w:t>There are two issues related to halon-1301. First, halon-1301 is still being produced</w:t>
      </w:r>
      <w:r w:rsidRPr="00A038E1">
        <w:rPr>
          <w:vertAlign w:val="superscript"/>
          <w:lang w:val="en-CA"/>
        </w:rPr>
        <w:footnoteReference w:id="12"/>
      </w:r>
      <w:r w:rsidRPr="00A038E1">
        <w:rPr>
          <w:lang w:val="en-CA"/>
        </w:rPr>
        <w:t xml:space="preserve"> for feedstock use by one producer and sold to eight producers of </w:t>
      </w:r>
      <w:proofErr w:type="spellStart"/>
      <w:r w:rsidRPr="00A038E1">
        <w:rPr>
          <w:lang w:val="en-CA"/>
        </w:rPr>
        <w:t>fipronil</w:t>
      </w:r>
      <w:proofErr w:type="spellEnd"/>
      <w:r w:rsidRPr="00A038E1">
        <w:rPr>
          <w:lang w:val="en-CA"/>
        </w:rPr>
        <w:t xml:space="preserve"> (a pesticide). Hence, it is essential to ensure that all newly produced halon is sold to those eight enterprises and that they are using it as feedstock for </w:t>
      </w:r>
      <w:proofErr w:type="spellStart"/>
      <w:r w:rsidRPr="00A038E1">
        <w:rPr>
          <w:lang w:val="en-CA"/>
        </w:rPr>
        <w:t>fipronil</w:t>
      </w:r>
      <w:proofErr w:type="spellEnd"/>
      <w:r w:rsidRPr="00A038E1">
        <w:rPr>
          <w:lang w:val="en-CA"/>
        </w:rPr>
        <w:t xml:space="preserve"> and not selling it for other uses. The second challenge is to ensure sufficient supply of halon-1301 to the remaining users with no approved alternatives, especially civil aviation. The Government considers that in </w:t>
      </w:r>
      <w:r w:rsidRPr="00A038E1">
        <w:rPr>
          <w:lang w:val="en-CA"/>
        </w:rPr>
        <w:lastRenderedPageBreak/>
        <w:t>order to avoid the need for production for essential use, it is clear that as of today, the demand can only be met by halon-1301 recovered from the market. Hence, continuation of the halon-1301 recycling programme is essential to ensure supply of halon</w:t>
      </w:r>
      <w:r w:rsidRPr="00A038E1">
        <w:rPr>
          <w:lang w:val="en-CA"/>
        </w:rPr>
        <w:noBreakHyphen/>
        <w:t>1013 and avoid the risk of illegal production.</w:t>
      </w:r>
    </w:p>
    <w:p w:rsidR="00130205" w:rsidRPr="00A038E1" w:rsidRDefault="00130205" w:rsidP="00130205">
      <w:pPr>
        <w:pStyle w:val="Heading1"/>
        <w:rPr>
          <w:lang w:val="en-CA"/>
        </w:rPr>
      </w:pPr>
      <w:r w:rsidRPr="00A038E1">
        <w:rPr>
          <w:lang w:val="en-CA"/>
        </w:rPr>
        <w:t>The Secretariat agrees that the halon recycling programme is a valuable element in ensuring continued supply of halon-1301. However, the Secretariat was not clear how the Government of China intended to ensure the long-term, sustainable monitoring of the halon phase-out after completion of the project.</w:t>
      </w:r>
    </w:p>
    <w:p w:rsidR="00130205" w:rsidRPr="00A038E1" w:rsidRDefault="00130205" w:rsidP="00130205">
      <w:pPr>
        <w:keepNext/>
        <w:keepLines/>
        <w:rPr>
          <w:u w:val="single"/>
          <w:lang w:val="en-CA"/>
        </w:rPr>
      </w:pPr>
      <w:r w:rsidRPr="00A038E1">
        <w:rPr>
          <w:u w:val="single"/>
          <w:lang w:val="en-CA"/>
        </w:rPr>
        <w:t>Financial issues in specific subsectors</w:t>
      </w:r>
    </w:p>
    <w:p w:rsidR="00130205" w:rsidRPr="00A038E1" w:rsidRDefault="00130205" w:rsidP="00130205">
      <w:pPr>
        <w:keepNext/>
        <w:keepLines/>
        <w:rPr>
          <w:i/>
          <w:lang w:val="en-CA"/>
        </w:rPr>
      </w:pPr>
    </w:p>
    <w:p w:rsidR="00130205" w:rsidRPr="00A038E1" w:rsidRDefault="00130205" w:rsidP="00130205">
      <w:pPr>
        <w:pStyle w:val="Heading1"/>
        <w:rPr>
          <w:lang w:val="en-CA"/>
        </w:rPr>
      </w:pPr>
      <w:r w:rsidRPr="00A038E1">
        <w:rPr>
          <w:lang w:val="en-CA"/>
        </w:rPr>
        <w:t>With regard to the CFC production sector plan, the Secretariat noted that a contract for US $112,153 was signed for the production of a video on ODS basic knowledge, progress in the implementation of the Montreal Protocol and necessary implementation skills for enforcement officers and ODS dealers. In explaining how this activity is related to the CFC production sector and how it will enhance the sustainable monitoring of the phase-out, the Government explained that the series of video textbooks will be used by the customs department during the management of ODS import and export training aimed at improving the supervision ability of customs staff, and improving the performance knowledge of on</w:t>
      </w:r>
      <w:r w:rsidRPr="00A038E1">
        <w:rPr>
          <w:lang w:val="en-CA"/>
        </w:rPr>
        <w:noBreakHyphen/>
        <w:t>campus customs officers. It will also train enterprises engaged in ODS import and export to comply with the requirements of ODS management, in order to enhance the training sector's ODS compliance awareness, management skills and management level.</w:t>
      </w:r>
    </w:p>
    <w:p w:rsidR="00130205" w:rsidRPr="00A038E1" w:rsidRDefault="00130205" w:rsidP="00130205">
      <w:pPr>
        <w:pStyle w:val="Heading1"/>
        <w:rPr>
          <w:lang w:val="en-CA"/>
        </w:rPr>
      </w:pPr>
      <w:r w:rsidRPr="00A038E1">
        <w:rPr>
          <w:lang w:val="en-CA"/>
        </w:rPr>
        <w:t>In relation to PA II, in August 2018 contracts for US $4.6 million were signed with nine enterprises for the construction of three incinerators, the upgrading of two existing incinerators, the construction of two residue reduction devices, and for operation cost subsidies in two cases. Given that the enterprises will receive the first installment of 80 per cent of the contract value by the end of 2018, the Secretariat requested clarification regarding the milestone that the enterprises need to achieve to receive the funding and asked whether this was a retroactive project. The Government explained that these are investment projects to be completed by 2019 (not retroactive) and that the milestone for the first payment is completion of the upgrade or establishment of the disposal facilities. The enterprises involved must bear most of the cost of establishing or upgrading the facilities, with FECO only providing a small portion of the funds to encourage the internal disposal of the CTC residues. This project is aimed at encouraging CTC producers to dispose of their CTC residue internally instead of sending it to other disposal centers or even selling it to be re</w:t>
      </w:r>
      <w:r w:rsidRPr="00A038E1">
        <w:rPr>
          <w:lang w:val="en-CA"/>
        </w:rPr>
        <w:noBreakHyphen/>
        <w:t xml:space="preserve">used. The Secretariat notes that such sale would be considered consumption. </w:t>
      </w:r>
    </w:p>
    <w:p w:rsidR="00130205" w:rsidRPr="00A038E1" w:rsidRDefault="00130205" w:rsidP="00130205">
      <w:pPr>
        <w:rPr>
          <w:u w:val="single"/>
          <w:lang w:val="en-CA"/>
        </w:rPr>
      </w:pPr>
      <w:r w:rsidRPr="00A038E1">
        <w:rPr>
          <w:u w:val="single"/>
          <w:lang w:val="en-CA"/>
        </w:rPr>
        <w:t>Research and technical assistance reports</w:t>
      </w:r>
    </w:p>
    <w:p w:rsidR="00130205" w:rsidRPr="00A038E1" w:rsidRDefault="00130205" w:rsidP="00130205">
      <w:pPr>
        <w:rPr>
          <w:lang w:val="en-CA"/>
        </w:rPr>
      </w:pPr>
    </w:p>
    <w:p w:rsidR="00130205" w:rsidRPr="00A038E1" w:rsidRDefault="00130205" w:rsidP="00130205">
      <w:pPr>
        <w:pStyle w:val="Heading1"/>
        <w:rPr>
          <w:lang w:val="en-CA"/>
        </w:rPr>
      </w:pPr>
      <w:r w:rsidRPr="00A038E1">
        <w:rPr>
          <w:lang w:val="en-CA"/>
        </w:rPr>
        <w:t>On the expected impact of the technical assistance provided with these balances on the implementation of the HPMP sector plans, the HPPMP, and the phase</w:t>
      </w:r>
      <w:r w:rsidRPr="00A038E1">
        <w:rPr>
          <w:lang w:val="en-CA"/>
        </w:rPr>
        <w:noBreakHyphen/>
        <w:t xml:space="preserve">out of HCFCs, the Government affirmed that technical assistance is necessary in the CFC PU foam and CFC production sectors to ensure that manufacturers using alternatives and producers of alternatives to CFC continue to have the best technical options available to them as the market evolves. In particular, the goal is to prevent those enterprises that have chosen ODS alternatives from defaulting to HCFCs if they have experienced challenges with other alternatives. </w:t>
      </w:r>
    </w:p>
    <w:p w:rsidR="00130205" w:rsidRPr="00A038E1" w:rsidRDefault="00130205" w:rsidP="00130205">
      <w:pPr>
        <w:pStyle w:val="Heading1"/>
        <w:rPr>
          <w:lang w:val="en-CA"/>
        </w:rPr>
      </w:pPr>
      <w:r w:rsidRPr="00A038E1">
        <w:rPr>
          <w:lang w:val="en-CA"/>
        </w:rPr>
        <w:t xml:space="preserve">In the past four years, the solvent sector plan supported research and several studies, including </w:t>
      </w:r>
      <w:r w:rsidR="0066468D">
        <w:rPr>
          <w:lang w:val="en-CA"/>
        </w:rPr>
        <w:t>R&amp;D</w:t>
      </w:r>
      <w:r w:rsidRPr="00A038E1">
        <w:rPr>
          <w:lang w:val="en-CA"/>
        </w:rPr>
        <w:t xml:space="preserve"> for alternatives with zero-ODP and low</w:t>
      </w:r>
      <w:r w:rsidR="00782BED">
        <w:rPr>
          <w:lang w:val="en-CA"/>
        </w:rPr>
        <w:noBreakHyphen/>
      </w:r>
      <w:r w:rsidRPr="00A038E1">
        <w:rPr>
          <w:lang w:val="en-CA"/>
        </w:rPr>
        <w:t>GWP. Two new alternatives (HC solvent, solvent-free silicon oil) had been chosen by solvent enterprises to replace HCFC</w:t>
      </w:r>
      <w:r w:rsidRPr="00A038E1">
        <w:rPr>
          <w:lang w:val="en-CA"/>
        </w:rPr>
        <w:noBreakHyphen/>
        <w:t>141b during phase-out implementation, and the other three alternatives are at the stage of preparing related qualified certification for more applications. The goal of this research and these studies is to provide sustainable technical solutions to industry, and to try to prevent them from using HCFCs when they encounter any technical challenges.</w:t>
      </w:r>
    </w:p>
    <w:p w:rsidR="00130205" w:rsidRPr="00A038E1" w:rsidRDefault="00130205" w:rsidP="00130205">
      <w:pPr>
        <w:pStyle w:val="Heading1"/>
        <w:rPr>
          <w:lang w:val="en-CA"/>
        </w:rPr>
      </w:pPr>
      <w:r w:rsidRPr="00A038E1">
        <w:rPr>
          <w:lang w:val="en-CA"/>
        </w:rPr>
        <w:t xml:space="preserve">The progress report of the PU foam sector included interesting abstracts of the studies completed, mostly on the performance of alternatives. Taking into consideration that the studies have taken place with </w:t>
      </w:r>
      <w:r w:rsidRPr="00A038E1">
        <w:rPr>
          <w:lang w:val="en-CA"/>
        </w:rPr>
        <w:lastRenderedPageBreak/>
        <w:t>Multilateral Fund assistance, the Secretariat requested the complete reports of the research activities in all sectors in order to consider how they could be disseminated. FECO noted the Secretariat’s request for submission of the relevant reports, and indicated that it would communicate with the institutions to confirm whether there is confidential information that cannot be disclosed. Several of these reports have already been shared with the Fund Secretariat, while others are being finalized.</w:t>
      </w:r>
    </w:p>
    <w:p w:rsidR="00130205" w:rsidRPr="00A038E1" w:rsidRDefault="001D2C9C" w:rsidP="00130205">
      <w:pPr>
        <w:keepNext/>
        <w:keepLines/>
        <w:spacing w:after="240"/>
        <w:rPr>
          <w:b/>
          <w:bCs/>
          <w:lang w:val="en-CA"/>
        </w:rPr>
      </w:pPr>
      <w:r>
        <w:rPr>
          <w:b/>
          <w:bCs/>
          <w:lang w:val="en-CA"/>
        </w:rPr>
        <w:t>R</w:t>
      </w:r>
      <w:r w:rsidR="00130205" w:rsidRPr="00A038E1">
        <w:rPr>
          <w:b/>
          <w:bCs/>
          <w:lang w:val="en-CA"/>
        </w:rPr>
        <w:t>ecommendation</w:t>
      </w:r>
    </w:p>
    <w:p w:rsidR="00130205" w:rsidRPr="00A038E1" w:rsidRDefault="00130205" w:rsidP="00130205">
      <w:pPr>
        <w:pStyle w:val="Heading1"/>
        <w:rPr>
          <w:lang w:val="en-CA"/>
        </w:rPr>
      </w:pPr>
      <w:r w:rsidRPr="00A038E1">
        <w:rPr>
          <w:lang w:val="en-CA"/>
        </w:rPr>
        <w:t>The Executive Committee may wish:</w:t>
      </w:r>
    </w:p>
    <w:p w:rsidR="00130205" w:rsidRPr="00A038E1" w:rsidRDefault="00130205" w:rsidP="00130205">
      <w:pPr>
        <w:keepNext/>
        <w:keepLines/>
        <w:widowControl w:val="0"/>
        <w:numPr>
          <w:ilvl w:val="1"/>
          <w:numId w:val="1"/>
        </w:numPr>
        <w:spacing w:after="240"/>
        <w:outlineLvl w:val="1"/>
        <w:rPr>
          <w:lang w:val="en-CA"/>
        </w:rPr>
      </w:pPr>
      <w:r w:rsidRPr="00A038E1">
        <w:rPr>
          <w:lang w:val="en-CA"/>
        </w:rPr>
        <w:t>To note:</w:t>
      </w:r>
    </w:p>
    <w:p w:rsidR="00130205" w:rsidRPr="00A038E1" w:rsidRDefault="00130205" w:rsidP="00130205">
      <w:pPr>
        <w:widowControl w:val="0"/>
        <w:numPr>
          <w:ilvl w:val="2"/>
          <w:numId w:val="1"/>
        </w:numPr>
        <w:tabs>
          <w:tab w:val="left" w:pos="6521"/>
        </w:tabs>
        <w:spacing w:after="240"/>
        <w:outlineLvl w:val="2"/>
        <w:rPr>
          <w:lang w:val="en-CA"/>
        </w:rPr>
      </w:pPr>
      <w:r w:rsidRPr="00A038E1">
        <w:rPr>
          <w:lang w:val="en-CA"/>
        </w:rPr>
        <w:t>The financial audit reports for the CFC production, halon, polyurethane (PU) foam, process agent II, solvent and servicing sectors in China, contained in document UNEP/</w:t>
      </w:r>
      <w:proofErr w:type="spellStart"/>
      <w:r w:rsidRPr="00A038E1">
        <w:rPr>
          <w:lang w:val="en-CA"/>
        </w:rPr>
        <w:t>OzL.Pro</w:t>
      </w:r>
      <w:proofErr w:type="spellEnd"/>
      <w:r w:rsidRPr="00A038E1">
        <w:rPr>
          <w:lang w:val="en-CA"/>
        </w:rPr>
        <w:t>/</w:t>
      </w:r>
      <w:proofErr w:type="spellStart"/>
      <w:r w:rsidRPr="00A038E1">
        <w:rPr>
          <w:lang w:val="en-CA"/>
        </w:rPr>
        <w:t>ExCom</w:t>
      </w:r>
      <w:proofErr w:type="spellEnd"/>
      <w:r w:rsidRPr="00A038E1">
        <w:rPr>
          <w:lang w:val="en-CA"/>
        </w:rPr>
        <w:t xml:space="preserve">/84/22/Add.1; </w:t>
      </w:r>
    </w:p>
    <w:p w:rsidR="00130205" w:rsidRPr="00A038E1" w:rsidRDefault="00130205" w:rsidP="00130205">
      <w:pPr>
        <w:widowControl w:val="0"/>
        <w:numPr>
          <w:ilvl w:val="2"/>
          <w:numId w:val="1"/>
        </w:numPr>
        <w:spacing w:after="240"/>
        <w:outlineLvl w:val="2"/>
        <w:rPr>
          <w:lang w:val="en-CA"/>
        </w:rPr>
      </w:pPr>
      <w:r w:rsidRPr="00A038E1">
        <w:rPr>
          <w:lang w:val="en-CA"/>
        </w:rPr>
        <w:t xml:space="preserve">That the funding balances associated with each of the sector plans had not been fully disbursed by </w:t>
      </w:r>
      <w:r w:rsidRPr="00512235">
        <w:rPr>
          <w:b/>
          <w:lang w:val="en-CA"/>
        </w:rPr>
        <w:t>June 2019</w:t>
      </w:r>
      <w:r w:rsidRPr="00A038E1">
        <w:rPr>
          <w:lang w:val="en-CA"/>
        </w:rPr>
        <w:t xml:space="preserve">; </w:t>
      </w:r>
    </w:p>
    <w:p w:rsidR="00130205" w:rsidRPr="00A038E1" w:rsidRDefault="00130205" w:rsidP="00130205">
      <w:pPr>
        <w:widowControl w:val="0"/>
        <w:numPr>
          <w:ilvl w:val="2"/>
          <w:numId w:val="1"/>
        </w:numPr>
        <w:spacing w:after="240"/>
        <w:outlineLvl w:val="2"/>
        <w:rPr>
          <w:lang w:val="en-CA"/>
        </w:rPr>
      </w:pPr>
      <w:r w:rsidRPr="00A038E1">
        <w:rPr>
          <w:lang w:val="en-CA"/>
        </w:rPr>
        <w:t xml:space="preserve">That the Government of China has confirmed that the CFC production, PU foam, solvent and servicing sector plans will be completed and the associated balances will be disbursed </w:t>
      </w:r>
      <w:r>
        <w:rPr>
          <w:lang w:val="en-CA"/>
        </w:rPr>
        <w:t xml:space="preserve">by </w:t>
      </w:r>
      <w:r w:rsidRPr="00512235">
        <w:rPr>
          <w:b/>
          <w:lang w:val="en-CA"/>
        </w:rPr>
        <w:t>December 2019</w:t>
      </w:r>
      <w:r w:rsidRPr="00A038E1">
        <w:rPr>
          <w:lang w:val="en-CA"/>
        </w:rPr>
        <w:t>;</w:t>
      </w:r>
    </w:p>
    <w:p w:rsidR="00130205" w:rsidRPr="00A038E1" w:rsidRDefault="00130205" w:rsidP="00130205">
      <w:pPr>
        <w:pStyle w:val="Heading2"/>
        <w:numPr>
          <w:ilvl w:val="1"/>
          <w:numId w:val="1"/>
        </w:numPr>
        <w:rPr>
          <w:lang w:val="en-CA"/>
        </w:rPr>
      </w:pPr>
      <w:r w:rsidRPr="00A038E1">
        <w:rPr>
          <w:lang w:val="en-CA"/>
        </w:rPr>
        <w:t>To agree to extend the process agent II and the halon sector plan</w:t>
      </w:r>
      <w:r>
        <w:rPr>
          <w:lang w:val="en-CA"/>
        </w:rPr>
        <w:t>s</w:t>
      </w:r>
      <w:r w:rsidRPr="00A038E1">
        <w:rPr>
          <w:lang w:val="en-CA"/>
        </w:rPr>
        <w:t xml:space="preserve"> to 2020 and 2022, respectively;</w:t>
      </w:r>
    </w:p>
    <w:p w:rsidR="00130205" w:rsidRPr="00A038E1" w:rsidRDefault="00130205" w:rsidP="00130205">
      <w:pPr>
        <w:widowControl w:val="0"/>
        <w:numPr>
          <w:ilvl w:val="1"/>
          <w:numId w:val="1"/>
        </w:numPr>
        <w:spacing w:after="240"/>
        <w:outlineLvl w:val="1"/>
        <w:rPr>
          <w:lang w:val="en-CA"/>
        </w:rPr>
      </w:pPr>
      <w:r w:rsidRPr="00A038E1">
        <w:rPr>
          <w:lang w:val="en-CA"/>
        </w:rPr>
        <w:t>To request the Government of China, through the relevant implementing agency:</w:t>
      </w:r>
    </w:p>
    <w:p w:rsidR="00130205" w:rsidRPr="001C27EA" w:rsidRDefault="00130205" w:rsidP="00130205">
      <w:pPr>
        <w:pStyle w:val="Heading3"/>
        <w:numPr>
          <w:ilvl w:val="2"/>
          <w:numId w:val="1"/>
        </w:numPr>
        <w:rPr>
          <w:b/>
          <w:lang w:val="en-CA"/>
        </w:rPr>
      </w:pPr>
      <w:r w:rsidRPr="001C27EA">
        <w:rPr>
          <w:b/>
          <w:lang w:val="en-CA"/>
        </w:rPr>
        <w:t xml:space="preserve">To submit to the </w:t>
      </w:r>
      <w:r>
        <w:rPr>
          <w:b/>
          <w:lang w:val="en-CA"/>
        </w:rPr>
        <w:t>85</w:t>
      </w:r>
      <w:r w:rsidRPr="0013360C">
        <w:rPr>
          <w:b/>
          <w:vertAlign w:val="superscript"/>
          <w:lang w:val="en-CA"/>
        </w:rPr>
        <w:t>th</w:t>
      </w:r>
      <w:r>
        <w:rPr>
          <w:b/>
          <w:lang w:val="en-CA"/>
        </w:rPr>
        <w:t xml:space="preserve"> meeting</w:t>
      </w:r>
      <w:r w:rsidRPr="001C27EA">
        <w:rPr>
          <w:b/>
          <w:lang w:val="en-CA"/>
        </w:rPr>
        <w:t xml:space="preserve"> the financial audit report as of December 2019</w:t>
      </w:r>
      <w:r w:rsidRPr="001C27EA">
        <w:t xml:space="preserve"> </w:t>
      </w:r>
      <w:r>
        <w:rPr>
          <w:b/>
          <w:lang w:val="en-CA"/>
        </w:rPr>
        <w:t>for the CFC production, halon</w:t>
      </w:r>
      <w:r w:rsidRPr="001C27EA">
        <w:rPr>
          <w:b/>
          <w:lang w:val="en-CA"/>
        </w:rPr>
        <w:t>, process agent II, PU foam, solvent and CFC refrigeration servicing sectors, and the project completion reports for the CFC production, PU foam, solvent an</w:t>
      </w:r>
      <w:r>
        <w:rPr>
          <w:b/>
          <w:lang w:val="en-CA"/>
        </w:rPr>
        <w:t>d servicing sector plans</w:t>
      </w:r>
      <w:r w:rsidRPr="001C27EA">
        <w:rPr>
          <w:b/>
          <w:lang w:val="en-CA"/>
        </w:rPr>
        <w:t xml:space="preserve">; </w:t>
      </w:r>
    </w:p>
    <w:p w:rsidR="00130205" w:rsidRPr="008E2A9C" w:rsidRDefault="00130205" w:rsidP="00130205">
      <w:pPr>
        <w:pStyle w:val="Heading3"/>
        <w:numPr>
          <w:ilvl w:val="2"/>
          <w:numId w:val="1"/>
        </w:numPr>
        <w:rPr>
          <w:b/>
          <w:lang w:val="en-CA"/>
        </w:rPr>
      </w:pPr>
      <w:r w:rsidRPr="001C27EA">
        <w:rPr>
          <w:b/>
          <w:lang w:val="en-CA"/>
        </w:rPr>
        <w:t xml:space="preserve">To return to the Multilateral Fund at the </w:t>
      </w:r>
      <w:r>
        <w:rPr>
          <w:b/>
          <w:lang w:val="en-CA"/>
        </w:rPr>
        <w:t>85</w:t>
      </w:r>
      <w:r w:rsidRPr="0013360C">
        <w:rPr>
          <w:b/>
          <w:vertAlign w:val="superscript"/>
          <w:lang w:val="en-CA"/>
        </w:rPr>
        <w:t>th</w:t>
      </w:r>
      <w:r>
        <w:rPr>
          <w:b/>
          <w:lang w:val="en-CA"/>
        </w:rPr>
        <w:t xml:space="preserve"> meeting</w:t>
      </w:r>
      <w:r w:rsidRPr="001C27EA">
        <w:rPr>
          <w:b/>
          <w:lang w:val="en-CA"/>
        </w:rPr>
        <w:t xml:space="preserve"> funding balances </w:t>
      </w:r>
      <w:r w:rsidRPr="008E2A9C">
        <w:rPr>
          <w:b/>
          <w:lang w:val="en-CA"/>
        </w:rPr>
        <w:t>associated with CFC production, PU foam, solvent and servicing sector plans;</w:t>
      </w:r>
    </w:p>
    <w:p w:rsidR="00130205" w:rsidRPr="008E2A9C" w:rsidRDefault="00130205" w:rsidP="00130205">
      <w:pPr>
        <w:pStyle w:val="Heading3"/>
        <w:numPr>
          <w:ilvl w:val="2"/>
          <w:numId w:val="1"/>
        </w:numPr>
        <w:rPr>
          <w:b/>
          <w:lang w:val="en-CA"/>
        </w:rPr>
      </w:pPr>
      <w:r w:rsidRPr="008E2A9C">
        <w:rPr>
          <w:b/>
          <w:lang w:val="en-CA"/>
        </w:rPr>
        <w:t>To report on the results of the monitoring efforts of local Ecology and Environment Bureaus, including cases where CFC-11 was detected, in future financial audit reports, and once all the remaining balances under the projects included in the financial audit have been disbursed and those projects have been completed, to continue such reporting under the annual progress reports of stage II of the PU foam sector plan of the HCFC phase</w:t>
      </w:r>
      <w:r w:rsidRPr="008E2A9C">
        <w:rPr>
          <w:b/>
          <w:lang w:val="en-CA"/>
        </w:rPr>
        <w:noBreakHyphen/>
        <w:t>out management plan; and</w:t>
      </w:r>
    </w:p>
    <w:p w:rsidR="00130205" w:rsidRPr="00512235" w:rsidRDefault="00130205" w:rsidP="00130205">
      <w:pPr>
        <w:widowControl w:val="0"/>
        <w:numPr>
          <w:ilvl w:val="2"/>
          <w:numId w:val="1"/>
        </w:numPr>
        <w:spacing w:after="240"/>
        <w:outlineLvl w:val="2"/>
        <w:rPr>
          <w:lang w:val="en-CA"/>
        </w:rPr>
      </w:pPr>
      <w:r w:rsidRPr="00512235">
        <w:rPr>
          <w:lang w:val="en-CA"/>
        </w:rPr>
        <w:t xml:space="preserve">To submit the </w:t>
      </w:r>
      <w:r w:rsidRPr="00512235">
        <w:rPr>
          <w:b/>
          <w:lang w:val="en-CA"/>
        </w:rPr>
        <w:t>remaining</w:t>
      </w:r>
      <w:r w:rsidRPr="00512235">
        <w:rPr>
          <w:lang w:val="en-CA"/>
        </w:rPr>
        <w:t xml:space="preserve"> completed research and technical assistance reports undertaken in all sectors, for possible dissemination to other Article 5 countries; and </w:t>
      </w:r>
    </w:p>
    <w:p w:rsidR="00130205" w:rsidRDefault="00130205" w:rsidP="00130205">
      <w:pPr>
        <w:pStyle w:val="Heading2"/>
        <w:numPr>
          <w:ilvl w:val="1"/>
          <w:numId w:val="1"/>
        </w:numPr>
        <w:rPr>
          <w:b/>
          <w:lang w:val="en-CA"/>
        </w:rPr>
      </w:pPr>
      <w:r w:rsidRPr="00512235">
        <w:rPr>
          <w:b/>
          <w:lang w:val="en-US"/>
        </w:rPr>
        <w:t>To request the Government of China, through the World Bank, to provide additional information on the proposed activities to be undertaken under the process agent II sector plan, their budget, and a progress report on their implementation, to the 85</w:t>
      </w:r>
      <w:r w:rsidRPr="00512235">
        <w:rPr>
          <w:b/>
          <w:vertAlign w:val="superscript"/>
          <w:lang w:val="en-US"/>
        </w:rPr>
        <w:t>th</w:t>
      </w:r>
      <w:r w:rsidRPr="00512235">
        <w:rPr>
          <w:b/>
          <w:lang w:val="en-US"/>
        </w:rPr>
        <w:t> meeting</w:t>
      </w:r>
      <w:r w:rsidRPr="00512235">
        <w:rPr>
          <w:b/>
          <w:lang w:val="en-CA"/>
        </w:rPr>
        <w:t>.</w:t>
      </w:r>
    </w:p>
    <w:p w:rsidR="008C5362" w:rsidRDefault="008C5362" w:rsidP="008C5362">
      <w:pPr>
        <w:ind w:left="1440" w:hanging="1440"/>
        <w:rPr>
          <w:rFonts w:eastAsiaTheme="minorEastAsia"/>
          <w:b/>
          <w:lang w:val="en-CA"/>
        </w:rPr>
      </w:pPr>
      <w:r w:rsidRPr="00621739">
        <w:rPr>
          <w:rFonts w:eastAsiaTheme="minorEastAsia"/>
          <w:b/>
          <w:lang w:val="en-CA"/>
        </w:rPr>
        <w:lastRenderedPageBreak/>
        <w:t>PART III:</w:t>
      </w:r>
      <w:r w:rsidRPr="00621739">
        <w:rPr>
          <w:rFonts w:eastAsiaTheme="minorEastAsia"/>
          <w:b/>
          <w:lang w:val="en-CA"/>
        </w:rPr>
        <w:tab/>
        <w:t>SECTOR PLAN FOR THE PHASE-OUT OF METHYL BROMIDE PRODUCTION (UNIDO)</w:t>
      </w:r>
    </w:p>
    <w:p w:rsidR="001D2C9C" w:rsidRDefault="001D2C9C" w:rsidP="008C5362">
      <w:pPr>
        <w:ind w:left="1440" w:hanging="1440"/>
        <w:rPr>
          <w:rFonts w:eastAsiaTheme="minorEastAsia"/>
          <w:b/>
          <w:lang w:val="en-CA"/>
        </w:rPr>
      </w:pPr>
    </w:p>
    <w:p w:rsidR="001D2C9C" w:rsidRPr="00493ABF" w:rsidRDefault="001D2C9C" w:rsidP="001D2C9C">
      <w:pPr>
        <w:widowControl w:val="0"/>
        <w:jc w:val="left"/>
        <w:rPr>
          <w:b/>
          <w:lang w:val="en-CA"/>
        </w:rPr>
      </w:pPr>
      <w:r w:rsidRPr="00493ABF">
        <w:rPr>
          <w:b/>
          <w:lang w:val="en-CA"/>
        </w:rPr>
        <w:t>Background</w:t>
      </w:r>
    </w:p>
    <w:p w:rsidR="008C5362" w:rsidRPr="000015D5" w:rsidRDefault="008C5362" w:rsidP="001D2C9C">
      <w:pPr>
        <w:rPr>
          <w:rFonts w:eastAsiaTheme="minorEastAsia"/>
          <w:b/>
          <w:lang w:val="en-CA"/>
        </w:rPr>
      </w:pPr>
    </w:p>
    <w:p w:rsidR="008C5362" w:rsidRPr="000015D5" w:rsidRDefault="008C5362" w:rsidP="008C5362">
      <w:pPr>
        <w:numPr>
          <w:ilvl w:val="0"/>
          <w:numId w:val="1"/>
        </w:numPr>
        <w:spacing w:after="240"/>
        <w:outlineLvl w:val="0"/>
        <w:rPr>
          <w:rFonts w:eastAsiaTheme="minorEastAsia"/>
          <w:lang w:val="en-CA"/>
        </w:rPr>
      </w:pPr>
      <w:r w:rsidRPr="000015D5">
        <w:rPr>
          <w:lang w:val="en-CA"/>
        </w:rPr>
        <w:t>At the 83</w:t>
      </w:r>
      <w:r w:rsidRPr="000015D5">
        <w:rPr>
          <w:vertAlign w:val="superscript"/>
          <w:lang w:val="en-CA"/>
        </w:rPr>
        <w:t>rd</w:t>
      </w:r>
      <w:r w:rsidRPr="000015D5">
        <w:rPr>
          <w:lang w:val="en-CA"/>
        </w:rPr>
        <w:t xml:space="preserve"> meeting, the Executive Committee t</w:t>
      </w:r>
      <w:r w:rsidRPr="000015D5">
        <w:rPr>
          <w:rFonts w:eastAsiaTheme="minorEastAsia"/>
          <w:lang w:val="en-CA"/>
        </w:rPr>
        <w:t xml:space="preserve">ook note of the progress report on the contract for the development of the </w:t>
      </w:r>
      <w:r>
        <w:rPr>
          <w:rFonts w:eastAsiaTheme="minorEastAsia"/>
          <w:lang w:val="en-CA"/>
        </w:rPr>
        <w:t>MIS</w:t>
      </w:r>
      <w:r w:rsidRPr="000015D5">
        <w:rPr>
          <w:rFonts w:eastAsiaTheme="minorEastAsia"/>
          <w:lang w:val="en-CA"/>
        </w:rPr>
        <w:t xml:space="preserve"> and its incorporation in the monitoring and supervision programme to be implemented by the Customs Authority and the update to the work plan in order to ensure the long-term, sustained monitoring of</w:t>
      </w:r>
      <w:r>
        <w:rPr>
          <w:rFonts w:eastAsiaTheme="minorEastAsia"/>
          <w:lang w:val="en-CA"/>
        </w:rPr>
        <w:t xml:space="preserve"> </w:t>
      </w:r>
      <w:r w:rsidRPr="000015D5">
        <w:rPr>
          <w:rFonts w:eastAsiaTheme="minorEastAsia"/>
          <w:lang w:val="en-CA"/>
        </w:rPr>
        <w:t>MB after completion of the sector plan for the phase</w:t>
      </w:r>
      <w:r w:rsidRPr="000015D5">
        <w:rPr>
          <w:rFonts w:eastAsiaTheme="minorEastAsia"/>
          <w:lang w:val="en-CA"/>
        </w:rPr>
        <w:noBreakHyphen/>
        <w:t xml:space="preserve">out of </w:t>
      </w:r>
      <w:r w:rsidRPr="000015D5">
        <w:rPr>
          <w:lang w:val="en-CA"/>
        </w:rPr>
        <w:t>MB</w:t>
      </w:r>
      <w:r w:rsidRPr="000015D5">
        <w:rPr>
          <w:rFonts w:eastAsiaTheme="minorEastAsia"/>
          <w:lang w:val="en-CA"/>
        </w:rPr>
        <w:t xml:space="preserve"> production, both submitted by UNIDO; and requested</w:t>
      </w:r>
      <w:r w:rsidRPr="000015D5">
        <w:rPr>
          <w:lang w:val="en-CA"/>
        </w:rPr>
        <w:t xml:space="preserve"> the Government of China, through UNIDO, to provide, at the 84</w:t>
      </w:r>
      <w:r w:rsidRPr="000015D5">
        <w:rPr>
          <w:vertAlign w:val="superscript"/>
          <w:lang w:val="en-CA"/>
        </w:rPr>
        <w:t>th </w:t>
      </w:r>
      <w:r w:rsidRPr="000015D5">
        <w:rPr>
          <w:lang w:val="en-CA"/>
        </w:rPr>
        <w:t xml:space="preserve">meeting, an update on the contract for the monitoring and supervision programme to be implemented by the Customs Authority and </w:t>
      </w:r>
      <w:r w:rsidRPr="000015D5">
        <w:rPr>
          <w:rFonts w:eastAsiaTheme="minorEastAsia"/>
          <w:lang w:val="en-CA"/>
        </w:rPr>
        <w:t xml:space="preserve">an update regarding the </w:t>
      </w:r>
      <w:r w:rsidRPr="000015D5">
        <w:rPr>
          <w:lang w:val="en-CA"/>
        </w:rPr>
        <w:t>MB</w:t>
      </w:r>
      <w:r w:rsidRPr="000015D5">
        <w:rPr>
          <w:rFonts w:eastAsiaTheme="minorEastAsia"/>
          <w:lang w:val="en-CA"/>
        </w:rPr>
        <w:t xml:space="preserve"> labelling and traceability system in the annual report on the status of implementation of the sector plan for the phase-out of </w:t>
      </w:r>
      <w:r w:rsidRPr="000015D5">
        <w:rPr>
          <w:lang w:val="en-CA"/>
        </w:rPr>
        <w:t>MB</w:t>
      </w:r>
      <w:r w:rsidRPr="000015D5">
        <w:rPr>
          <w:rFonts w:eastAsiaTheme="minorEastAsia"/>
          <w:lang w:val="en-CA"/>
        </w:rPr>
        <w:t xml:space="preserve"> production (</w:t>
      </w:r>
      <w:r w:rsidRPr="000015D5">
        <w:rPr>
          <w:lang w:val="en-CA"/>
        </w:rPr>
        <w:t>decision 83/44)</w:t>
      </w:r>
      <w:r w:rsidRPr="000015D5">
        <w:rPr>
          <w:rFonts w:eastAsiaTheme="minorEastAsia"/>
          <w:lang w:val="en-CA"/>
        </w:rPr>
        <w:t>. On behalf of the Government of China, UNIDO submitted to the 84</w:t>
      </w:r>
      <w:r w:rsidRPr="000015D5">
        <w:rPr>
          <w:rFonts w:eastAsiaTheme="minorEastAsia"/>
          <w:vertAlign w:val="superscript"/>
          <w:lang w:val="en-CA"/>
        </w:rPr>
        <w:t>th</w:t>
      </w:r>
      <w:r w:rsidRPr="000015D5">
        <w:rPr>
          <w:rFonts w:eastAsiaTheme="minorEastAsia"/>
          <w:lang w:val="en-CA"/>
        </w:rPr>
        <w:t> meeting the requested progress report and updates.</w:t>
      </w:r>
    </w:p>
    <w:p w:rsidR="008C5362" w:rsidRDefault="008C5362" w:rsidP="008C5362">
      <w:pPr>
        <w:pStyle w:val="Heading1"/>
        <w:rPr>
          <w:rFonts w:eastAsiaTheme="minorEastAsia"/>
          <w:lang w:val="en-CA"/>
        </w:rPr>
      </w:pPr>
      <w:r w:rsidRPr="000015D5">
        <w:rPr>
          <w:rFonts w:eastAsiaTheme="minorEastAsia"/>
          <w:lang w:val="en-CA"/>
        </w:rPr>
        <w:t>The Agreement with the Executive Committee specified a maximum annual allowable production of MB for controlled uses for 2015 and beyond of zero save for QPS, feedstock and critical uses to be approved by the Parties</w:t>
      </w:r>
      <w:r>
        <w:rPr>
          <w:rFonts w:eastAsiaTheme="minorEastAsia"/>
          <w:lang w:val="en-CA"/>
        </w:rPr>
        <w:t>. Moreover, at the 83</w:t>
      </w:r>
      <w:r w:rsidRPr="00E71B0D">
        <w:rPr>
          <w:rFonts w:eastAsiaTheme="minorEastAsia"/>
          <w:vertAlign w:val="superscript"/>
          <w:lang w:val="en-CA"/>
        </w:rPr>
        <w:t>rd</w:t>
      </w:r>
      <w:r>
        <w:rPr>
          <w:rFonts w:eastAsiaTheme="minorEastAsia"/>
          <w:lang w:val="en-CA"/>
        </w:rPr>
        <w:t xml:space="preserve"> meeting, the Executive Committee requested the </w:t>
      </w:r>
      <w:r w:rsidRPr="00E71B0D">
        <w:rPr>
          <w:rFonts w:eastAsiaTheme="minorEastAsia"/>
        </w:rPr>
        <w:t>Government of China and UNIDO</w:t>
      </w:r>
      <w:r>
        <w:rPr>
          <w:rFonts w:eastAsiaTheme="minorEastAsia"/>
        </w:rPr>
        <w:t xml:space="preserve"> to </w:t>
      </w:r>
      <w:r w:rsidRPr="00E71B0D">
        <w:rPr>
          <w:rFonts w:eastAsiaTheme="minorEastAsia"/>
        </w:rPr>
        <w:t xml:space="preserve">include in the verification of the 2018 </w:t>
      </w:r>
      <w:r>
        <w:rPr>
          <w:rFonts w:eastAsiaTheme="minorEastAsia"/>
        </w:rPr>
        <w:t>MB</w:t>
      </w:r>
      <w:r w:rsidRPr="00E71B0D">
        <w:rPr>
          <w:rFonts w:eastAsiaTheme="minorEastAsia"/>
        </w:rPr>
        <w:t xml:space="preserve"> production requested by decision 82/19(e) the amounts used for </w:t>
      </w:r>
      <w:r>
        <w:rPr>
          <w:rFonts w:eastAsiaTheme="minorEastAsia"/>
        </w:rPr>
        <w:t>MB</w:t>
      </w:r>
      <w:r w:rsidRPr="00E71B0D">
        <w:rPr>
          <w:rFonts w:eastAsiaTheme="minorEastAsia"/>
        </w:rPr>
        <w:t xml:space="preserve"> consumption</w:t>
      </w:r>
      <w:r w:rsidRPr="000015D5">
        <w:rPr>
          <w:rFonts w:eastAsiaTheme="minorEastAsia"/>
          <w:lang w:val="en-CA"/>
        </w:rPr>
        <w:t>. The Parties authorized 87.24 metric tonnes (</w:t>
      </w:r>
      <w:proofErr w:type="spellStart"/>
      <w:r w:rsidRPr="000015D5">
        <w:rPr>
          <w:rFonts w:eastAsiaTheme="minorEastAsia"/>
          <w:lang w:val="en-CA"/>
        </w:rPr>
        <w:t>mt</w:t>
      </w:r>
      <w:proofErr w:type="spellEnd"/>
      <w:r w:rsidRPr="000015D5">
        <w:rPr>
          <w:rFonts w:eastAsiaTheme="minorEastAsia"/>
          <w:lang w:val="en-CA"/>
        </w:rPr>
        <w:t xml:space="preserve">) for </w:t>
      </w:r>
      <w:r>
        <w:rPr>
          <w:rFonts w:eastAsiaTheme="minorEastAsia"/>
          <w:lang w:val="en-CA"/>
        </w:rPr>
        <w:t>critical</w:t>
      </w:r>
      <w:r>
        <w:rPr>
          <w:rFonts w:eastAsiaTheme="minorEastAsia"/>
          <w:lang w:val="en-CA"/>
        </w:rPr>
        <w:noBreakHyphen/>
      </w:r>
      <w:r w:rsidRPr="000015D5">
        <w:rPr>
          <w:rFonts w:eastAsiaTheme="minorEastAsia"/>
          <w:lang w:val="en-CA"/>
        </w:rPr>
        <w:t xml:space="preserve">use exemptions (CUEs) for China for 2018. </w:t>
      </w:r>
    </w:p>
    <w:p w:rsidR="008C5362" w:rsidRPr="000015D5" w:rsidRDefault="008C5362" w:rsidP="008C5362">
      <w:pPr>
        <w:pStyle w:val="Heading1"/>
        <w:rPr>
          <w:rFonts w:eastAsiaTheme="minorEastAsia"/>
          <w:lang w:val="en-CA"/>
        </w:rPr>
      </w:pPr>
      <w:r w:rsidRPr="000015D5">
        <w:rPr>
          <w:rFonts w:eastAsiaTheme="minorEastAsia"/>
          <w:lang w:val="en-CA"/>
        </w:rPr>
        <w:t>The Government of China did not submit a critical-use nomination for production for 2019. The 2018 verification report confirmed that China’s production was consistent with the Agreement. The Government reported under Article 7 of the Montreal Protocol MB production that is consistent with the verification report.</w:t>
      </w:r>
    </w:p>
    <w:p w:rsidR="008C5362" w:rsidRPr="000015D5" w:rsidRDefault="00C3476B" w:rsidP="008C5362">
      <w:pPr>
        <w:rPr>
          <w:b/>
          <w:lang w:val="en-CA"/>
        </w:rPr>
      </w:pPr>
      <w:r w:rsidRPr="00C3476B">
        <w:rPr>
          <w:b/>
          <w:lang w:val="en-CA"/>
        </w:rPr>
        <w:t>Table 3:</w:t>
      </w:r>
      <w:r w:rsidR="008C5362" w:rsidRPr="000015D5">
        <w:rPr>
          <w:b/>
          <w:lang w:val="en-CA"/>
        </w:rPr>
        <w:t xml:space="preserve"> 2018 Article 7, verified MB production, and authorized CUEs for China (</w:t>
      </w:r>
      <w:proofErr w:type="spellStart"/>
      <w:r w:rsidR="008C5362" w:rsidRPr="000015D5">
        <w:rPr>
          <w:b/>
          <w:lang w:val="en-CA"/>
        </w:rPr>
        <w:t>mt</w:t>
      </w:r>
      <w:proofErr w:type="spellEnd"/>
      <w:r w:rsidR="008C5362" w:rsidRPr="000015D5">
        <w:rPr>
          <w:b/>
          <w:lang w:val="en-CA"/>
        </w:rPr>
        <w:t>)</w:t>
      </w:r>
    </w:p>
    <w:tbl>
      <w:tblPr>
        <w:tblW w:w="5000" w:type="pct"/>
        <w:tblLook w:val="04A0" w:firstRow="1" w:lastRow="0" w:firstColumn="1" w:lastColumn="0" w:noHBand="0" w:noVBand="1"/>
      </w:tblPr>
      <w:tblGrid>
        <w:gridCol w:w="7059"/>
        <w:gridCol w:w="2291"/>
      </w:tblGrid>
      <w:tr w:rsidR="008C5362" w:rsidRPr="000015D5" w:rsidTr="00874A6C">
        <w:trPr>
          <w:trHeight w:val="62"/>
        </w:trPr>
        <w:tc>
          <w:tcPr>
            <w:tcW w:w="3775" w:type="pct"/>
            <w:tcBorders>
              <w:top w:val="single" w:sz="4" w:space="0" w:color="auto"/>
              <w:left w:val="single" w:sz="4" w:space="0" w:color="auto"/>
              <w:bottom w:val="single" w:sz="4" w:space="0" w:color="auto"/>
              <w:right w:val="single" w:sz="4" w:space="0" w:color="auto"/>
            </w:tcBorders>
            <w:shd w:val="clear" w:color="auto" w:fill="auto"/>
            <w:noWrap/>
            <w:hideMark/>
          </w:tcPr>
          <w:p w:rsidR="008C5362" w:rsidRPr="000015D5" w:rsidRDefault="008C5362" w:rsidP="00874A6C">
            <w:pPr>
              <w:jc w:val="left"/>
              <w:rPr>
                <w:b/>
                <w:sz w:val="20"/>
                <w:szCs w:val="20"/>
                <w:lang w:val="en-CA"/>
              </w:rPr>
            </w:pPr>
            <w:r w:rsidRPr="000015D5">
              <w:rPr>
                <w:b/>
                <w:sz w:val="20"/>
                <w:szCs w:val="20"/>
                <w:lang w:val="en-CA"/>
              </w:rPr>
              <w:t>MB production</w:t>
            </w:r>
          </w:p>
        </w:tc>
        <w:tc>
          <w:tcPr>
            <w:tcW w:w="1225" w:type="pct"/>
            <w:tcBorders>
              <w:top w:val="single" w:sz="4" w:space="0" w:color="auto"/>
              <w:left w:val="nil"/>
              <w:bottom w:val="single" w:sz="4" w:space="0" w:color="auto"/>
              <w:right w:val="single" w:sz="4" w:space="0" w:color="auto"/>
            </w:tcBorders>
            <w:shd w:val="clear" w:color="auto" w:fill="auto"/>
            <w:noWrap/>
            <w:hideMark/>
          </w:tcPr>
          <w:p w:rsidR="008C5362" w:rsidRPr="000015D5" w:rsidRDefault="008C5362" w:rsidP="00874A6C">
            <w:pPr>
              <w:jc w:val="center"/>
              <w:rPr>
                <w:b/>
                <w:sz w:val="20"/>
                <w:szCs w:val="20"/>
                <w:lang w:val="en-CA"/>
              </w:rPr>
            </w:pPr>
            <w:r w:rsidRPr="000015D5">
              <w:rPr>
                <w:b/>
                <w:sz w:val="20"/>
                <w:szCs w:val="20"/>
                <w:lang w:val="en-CA"/>
              </w:rPr>
              <w:t>2018</w:t>
            </w:r>
          </w:p>
        </w:tc>
      </w:tr>
      <w:tr w:rsidR="008C5362" w:rsidRPr="000015D5" w:rsidTr="00874A6C">
        <w:tc>
          <w:tcPr>
            <w:tcW w:w="3775" w:type="pct"/>
            <w:tcBorders>
              <w:top w:val="nil"/>
              <w:left w:val="single" w:sz="4" w:space="0" w:color="auto"/>
              <w:bottom w:val="single" w:sz="4" w:space="0" w:color="auto"/>
              <w:right w:val="single" w:sz="4" w:space="0" w:color="auto"/>
            </w:tcBorders>
            <w:shd w:val="clear" w:color="auto" w:fill="auto"/>
            <w:noWrap/>
            <w:hideMark/>
          </w:tcPr>
          <w:p w:rsidR="008C5362" w:rsidRPr="000015D5" w:rsidRDefault="008C5362" w:rsidP="00874A6C">
            <w:pPr>
              <w:rPr>
                <w:sz w:val="20"/>
                <w:szCs w:val="20"/>
                <w:lang w:val="en-CA"/>
              </w:rPr>
            </w:pPr>
            <w:r w:rsidRPr="000015D5">
              <w:rPr>
                <w:sz w:val="20"/>
                <w:szCs w:val="20"/>
                <w:lang w:val="en-CA"/>
              </w:rPr>
              <w:t>Article 7 production for controlled uses</w:t>
            </w:r>
          </w:p>
        </w:tc>
        <w:tc>
          <w:tcPr>
            <w:tcW w:w="1225" w:type="pct"/>
            <w:tcBorders>
              <w:top w:val="nil"/>
              <w:left w:val="nil"/>
              <w:bottom w:val="single" w:sz="4" w:space="0" w:color="auto"/>
              <w:right w:val="single" w:sz="4" w:space="0" w:color="auto"/>
            </w:tcBorders>
            <w:shd w:val="clear" w:color="auto" w:fill="auto"/>
            <w:noWrap/>
            <w:hideMark/>
          </w:tcPr>
          <w:p w:rsidR="008C5362" w:rsidRPr="000015D5" w:rsidRDefault="008C5362" w:rsidP="00874A6C">
            <w:pPr>
              <w:jc w:val="right"/>
              <w:rPr>
                <w:sz w:val="20"/>
                <w:szCs w:val="20"/>
                <w:lang w:val="en-CA"/>
              </w:rPr>
            </w:pPr>
            <w:r w:rsidRPr="000015D5">
              <w:rPr>
                <w:sz w:val="20"/>
                <w:szCs w:val="20"/>
                <w:lang w:val="en-CA"/>
              </w:rPr>
              <w:t>87.18</w:t>
            </w:r>
          </w:p>
        </w:tc>
      </w:tr>
      <w:tr w:rsidR="008C5362" w:rsidRPr="000015D5" w:rsidTr="00874A6C">
        <w:tc>
          <w:tcPr>
            <w:tcW w:w="3775" w:type="pct"/>
            <w:tcBorders>
              <w:top w:val="nil"/>
              <w:left w:val="single" w:sz="4" w:space="0" w:color="auto"/>
              <w:bottom w:val="single" w:sz="4" w:space="0" w:color="auto"/>
              <w:right w:val="single" w:sz="4" w:space="0" w:color="auto"/>
            </w:tcBorders>
            <w:shd w:val="clear" w:color="auto" w:fill="auto"/>
            <w:noWrap/>
            <w:hideMark/>
          </w:tcPr>
          <w:p w:rsidR="008C5362" w:rsidRPr="000015D5" w:rsidRDefault="008C5362" w:rsidP="00874A6C">
            <w:pPr>
              <w:rPr>
                <w:sz w:val="20"/>
                <w:szCs w:val="20"/>
                <w:lang w:val="en-CA"/>
              </w:rPr>
            </w:pPr>
            <w:r w:rsidRPr="000015D5">
              <w:rPr>
                <w:sz w:val="20"/>
                <w:szCs w:val="20"/>
                <w:lang w:val="en-CA"/>
              </w:rPr>
              <w:t>Verified production for controlled uses</w:t>
            </w:r>
          </w:p>
        </w:tc>
        <w:tc>
          <w:tcPr>
            <w:tcW w:w="1225" w:type="pct"/>
            <w:tcBorders>
              <w:top w:val="nil"/>
              <w:left w:val="nil"/>
              <w:bottom w:val="single" w:sz="4" w:space="0" w:color="auto"/>
              <w:right w:val="single" w:sz="4" w:space="0" w:color="auto"/>
            </w:tcBorders>
            <w:shd w:val="clear" w:color="auto" w:fill="auto"/>
            <w:noWrap/>
            <w:hideMark/>
          </w:tcPr>
          <w:p w:rsidR="008C5362" w:rsidRPr="000015D5" w:rsidRDefault="008C5362" w:rsidP="00874A6C">
            <w:pPr>
              <w:jc w:val="right"/>
              <w:rPr>
                <w:sz w:val="20"/>
                <w:szCs w:val="20"/>
                <w:lang w:val="en-CA"/>
              </w:rPr>
            </w:pPr>
            <w:r w:rsidRPr="000015D5">
              <w:rPr>
                <w:sz w:val="20"/>
                <w:szCs w:val="20"/>
                <w:lang w:val="en-CA"/>
              </w:rPr>
              <w:t>87.179</w:t>
            </w:r>
          </w:p>
        </w:tc>
      </w:tr>
      <w:tr w:rsidR="008C5362" w:rsidRPr="000015D5" w:rsidTr="00874A6C">
        <w:tc>
          <w:tcPr>
            <w:tcW w:w="3775" w:type="pct"/>
            <w:tcBorders>
              <w:top w:val="nil"/>
              <w:left w:val="single" w:sz="4" w:space="0" w:color="auto"/>
              <w:bottom w:val="single" w:sz="4" w:space="0" w:color="auto"/>
              <w:right w:val="single" w:sz="4" w:space="0" w:color="auto"/>
            </w:tcBorders>
            <w:shd w:val="clear" w:color="auto" w:fill="auto"/>
            <w:noWrap/>
            <w:hideMark/>
          </w:tcPr>
          <w:p w:rsidR="008C5362" w:rsidRPr="000015D5" w:rsidRDefault="008C5362" w:rsidP="00874A6C">
            <w:pPr>
              <w:rPr>
                <w:sz w:val="20"/>
                <w:szCs w:val="20"/>
                <w:lang w:val="en-CA"/>
              </w:rPr>
            </w:pPr>
            <w:r w:rsidRPr="000015D5">
              <w:rPr>
                <w:sz w:val="20"/>
                <w:szCs w:val="20"/>
                <w:lang w:val="en-CA"/>
              </w:rPr>
              <w:t>CUEs authorized by the Parties</w:t>
            </w:r>
          </w:p>
        </w:tc>
        <w:tc>
          <w:tcPr>
            <w:tcW w:w="1225" w:type="pct"/>
            <w:tcBorders>
              <w:top w:val="nil"/>
              <w:left w:val="nil"/>
              <w:bottom w:val="single" w:sz="4" w:space="0" w:color="auto"/>
              <w:right w:val="single" w:sz="4" w:space="0" w:color="auto"/>
            </w:tcBorders>
            <w:shd w:val="clear" w:color="auto" w:fill="auto"/>
            <w:noWrap/>
            <w:hideMark/>
          </w:tcPr>
          <w:p w:rsidR="008C5362" w:rsidRPr="000015D5" w:rsidRDefault="008C5362" w:rsidP="00874A6C">
            <w:pPr>
              <w:jc w:val="right"/>
              <w:rPr>
                <w:sz w:val="20"/>
                <w:szCs w:val="20"/>
                <w:lang w:val="en-CA"/>
              </w:rPr>
            </w:pPr>
            <w:r w:rsidRPr="000015D5">
              <w:rPr>
                <w:sz w:val="20"/>
                <w:szCs w:val="20"/>
                <w:lang w:val="en-CA"/>
              </w:rPr>
              <w:t>87.24</w:t>
            </w:r>
          </w:p>
        </w:tc>
      </w:tr>
    </w:tbl>
    <w:p w:rsidR="008C5362" w:rsidRPr="000015D5" w:rsidRDefault="008C5362" w:rsidP="008C5362">
      <w:pPr>
        <w:rPr>
          <w:rFonts w:eastAsiaTheme="minorEastAsia"/>
          <w:lang w:val="en-CA"/>
        </w:rPr>
      </w:pPr>
    </w:p>
    <w:p w:rsidR="008C5362" w:rsidRPr="000015D5" w:rsidRDefault="008C5362" w:rsidP="008C5362">
      <w:pPr>
        <w:spacing w:after="240"/>
        <w:outlineLvl w:val="0"/>
        <w:rPr>
          <w:rFonts w:eastAsiaTheme="minorEastAsia"/>
          <w:u w:val="single"/>
          <w:lang w:val="en-CA"/>
        </w:rPr>
      </w:pPr>
      <w:r w:rsidRPr="000015D5">
        <w:rPr>
          <w:rFonts w:eastAsiaTheme="minorEastAsia"/>
          <w:u w:val="single"/>
          <w:lang w:val="en-CA"/>
        </w:rPr>
        <w:t>Verification of 2018 MB production</w:t>
      </w:r>
    </w:p>
    <w:p w:rsidR="008C5362" w:rsidRPr="000015D5" w:rsidRDefault="008C5362" w:rsidP="008C5362">
      <w:pPr>
        <w:pStyle w:val="Heading1"/>
        <w:rPr>
          <w:rFonts w:eastAsiaTheme="minorEastAsia"/>
          <w:lang w:val="en-CA"/>
        </w:rPr>
      </w:pPr>
      <w:r w:rsidRPr="000015D5">
        <w:rPr>
          <w:rFonts w:eastAsiaTheme="minorEastAsia"/>
          <w:lang w:val="en-CA"/>
        </w:rPr>
        <w:t xml:space="preserve">The production data verification for three MB producers was conducted in March 2019. The related 2018 production data were collected and verified, including: plant’s identification, plant’s history, plant’s operation details, sales figures, and inventory at the </w:t>
      </w:r>
      <w:r w:rsidR="00782BED">
        <w:rPr>
          <w:rFonts w:eastAsiaTheme="minorEastAsia"/>
          <w:lang w:val="en-CA"/>
        </w:rPr>
        <w:t xml:space="preserve">beginning and end of the year. </w:t>
      </w:r>
      <w:r w:rsidRPr="000015D5">
        <w:rPr>
          <w:rFonts w:eastAsiaTheme="minorEastAsia"/>
          <w:lang w:val="en-CA"/>
        </w:rPr>
        <w:t>The verification team concluded that none of the three enterprises has produced MB for controlled uses exceeding the quotas</w:t>
      </w:r>
      <w:r>
        <w:rPr>
          <w:rFonts w:eastAsiaTheme="minorEastAsia"/>
          <w:lang w:val="en-CA"/>
        </w:rPr>
        <w:t>,</w:t>
      </w:r>
      <w:r w:rsidRPr="000015D5">
        <w:rPr>
          <w:rFonts w:eastAsiaTheme="minorEastAsia"/>
          <w:lang w:val="en-CA"/>
        </w:rPr>
        <w:t xml:space="preserve"> and production for controlled uses is within the limit of industry plans.</w:t>
      </w:r>
    </w:p>
    <w:p w:rsidR="008C5362" w:rsidRPr="000015D5" w:rsidRDefault="008C5362" w:rsidP="008C5362">
      <w:pPr>
        <w:rPr>
          <w:rFonts w:eastAsiaTheme="minorEastAsia"/>
          <w:u w:val="single"/>
          <w:lang w:val="en-CA"/>
        </w:rPr>
      </w:pPr>
      <w:r w:rsidRPr="000015D5">
        <w:rPr>
          <w:rFonts w:eastAsiaTheme="minorEastAsia"/>
          <w:u w:val="single"/>
          <w:lang w:val="en-CA"/>
        </w:rPr>
        <w:t xml:space="preserve">Progress report on the contract with the Customs Authority </w:t>
      </w:r>
    </w:p>
    <w:p w:rsidR="008C5362" w:rsidRPr="000015D5" w:rsidRDefault="008C5362" w:rsidP="008C5362">
      <w:pPr>
        <w:rPr>
          <w:rFonts w:eastAsiaTheme="minorEastAsia"/>
          <w:u w:val="single"/>
          <w:lang w:val="en-CA"/>
        </w:rPr>
      </w:pPr>
    </w:p>
    <w:p w:rsidR="008C5362" w:rsidRPr="000015D5" w:rsidRDefault="008C5362" w:rsidP="008C5362">
      <w:pPr>
        <w:pStyle w:val="Heading1"/>
        <w:rPr>
          <w:rFonts w:eastAsiaTheme="minorEastAsia"/>
          <w:lang w:val="en-CA"/>
        </w:rPr>
      </w:pPr>
      <w:r w:rsidRPr="000015D5">
        <w:rPr>
          <w:rFonts w:eastAsiaTheme="minorEastAsia"/>
          <w:lang w:val="en-CA"/>
        </w:rPr>
        <w:t xml:space="preserve">As the General Administration of Quality Supervision, Inspection and Quarantine has been incorporated into the Customs Authority, the </w:t>
      </w:r>
      <w:r w:rsidR="0066468D">
        <w:rPr>
          <w:rFonts w:eastAsiaTheme="minorEastAsia"/>
          <w:lang w:val="en-CA"/>
        </w:rPr>
        <w:t>FECO/MEE</w:t>
      </w:r>
      <w:r w:rsidRPr="000015D5">
        <w:rPr>
          <w:rFonts w:eastAsiaTheme="minorEastAsia"/>
          <w:lang w:val="en-CA"/>
        </w:rPr>
        <w:t xml:space="preserve"> and the Customs Authority are negotiating a new memorandum to define activities to be carried out during the period 2019 to 2021.</w:t>
      </w:r>
      <w:r w:rsidRPr="000015D5">
        <w:rPr>
          <w:rFonts w:eastAsiaTheme="minorEastAsia"/>
          <w:b/>
          <w:lang w:val="en-CA"/>
        </w:rPr>
        <w:t xml:space="preserve"> </w:t>
      </w:r>
      <w:r w:rsidRPr="000015D5">
        <w:rPr>
          <w:rFonts w:eastAsiaTheme="minorEastAsia"/>
          <w:lang w:val="en-CA"/>
        </w:rPr>
        <w:t>Initial discussions on the work plan and memorandum have been undertaken, and it was agreed to sign a memorandum by the 84</w:t>
      </w:r>
      <w:r w:rsidRPr="000015D5">
        <w:rPr>
          <w:rFonts w:eastAsiaTheme="minorEastAsia"/>
          <w:vertAlign w:val="superscript"/>
          <w:lang w:val="en-CA"/>
        </w:rPr>
        <w:t>th</w:t>
      </w:r>
      <w:r>
        <w:rPr>
          <w:rFonts w:eastAsiaTheme="minorEastAsia"/>
          <w:vertAlign w:val="superscript"/>
          <w:lang w:val="en-CA"/>
        </w:rPr>
        <w:t> </w:t>
      </w:r>
      <w:r w:rsidRPr="000015D5">
        <w:rPr>
          <w:rFonts w:eastAsiaTheme="minorEastAsia"/>
          <w:lang w:val="en-CA"/>
        </w:rPr>
        <w:t>meeting.</w:t>
      </w:r>
      <w:r w:rsidRPr="000015D5">
        <w:rPr>
          <w:rFonts w:eastAsiaTheme="minorEastAsia"/>
          <w:b/>
          <w:lang w:val="en-CA"/>
        </w:rPr>
        <w:t xml:space="preserve"> </w:t>
      </w:r>
      <w:r w:rsidRPr="000015D5">
        <w:rPr>
          <w:rFonts w:eastAsiaTheme="minorEastAsia"/>
          <w:lang w:val="en-CA"/>
        </w:rPr>
        <w:t xml:space="preserve">Once that memorandum has been finalized, FECO will sign a contract to carry out the activities. </w:t>
      </w:r>
    </w:p>
    <w:p w:rsidR="008C5362" w:rsidRPr="000015D5" w:rsidRDefault="008C5362" w:rsidP="00782BED">
      <w:pPr>
        <w:keepNext/>
        <w:rPr>
          <w:rFonts w:eastAsiaTheme="minorEastAsia"/>
          <w:u w:val="single"/>
          <w:lang w:val="en-CA"/>
        </w:rPr>
      </w:pPr>
      <w:r w:rsidRPr="000015D5">
        <w:rPr>
          <w:rFonts w:eastAsiaTheme="minorEastAsia"/>
          <w:u w:val="single"/>
          <w:lang w:val="en-CA"/>
        </w:rPr>
        <w:lastRenderedPageBreak/>
        <w:t>Implementation plan for 2019–2021</w:t>
      </w:r>
    </w:p>
    <w:p w:rsidR="008C5362" w:rsidRPr="000015D5" w:rsidRDefault="008C5362" w:rsidP="00782BED">
      <w:pPr>
        <w:keepNext/>
        <w:rPr>
          <w:rFonts w:eastAsiaTheme="minorEastAsia"/>
          <w:lang w:val="en-CA"/>
        </w:rPr>
      </w:pPr>
    </w:p>
    <w:p w:rsidR="008C5362" w:rsidRPr="000015D5" w:rsidRDefault="008C5362" w:rsidP="00782BED">
      <w:pPr>
        <w:keepNext/>
        <w:numPr>
          <w:ilvl w:val="0"/>
          <w:numId w:val="1"/>
        </w:numPr>
        <w:spacing w:after="240"/>
        <w:outlineLvl w:val="0"/>
        <w:rPr>
          <w:rFonts w:eastAsiaTheme="minorEastAsia"/>
          <w:lang w:val="en-CA"/>
        </w:rPr>
      </w:pPr>
      <w:r>
        <w:rPr>
          <w:rFonts w:eastAsiaTheme="minorEastAsia"/>
          <w:lang w:val="en-CA"/>
        </w:rPr>
        <w:t>At the 82</w:t>
      </w:r>
      <w:r w:rsidRPr="00B0761F">
        <w:rPr>
          <w:rFonts w:eastAsiaTheme="minorEastAsia"/>
          <w:vertAlign w:val="superscript"/>
          <w:lang w:val="en-CA"/>
        </w:rPr>
        <w:t>nd</w:t>
      </w:r>
      <w:r>
        <w:rPr>
          <w:rFonts w:eastAsiaTheme="minorEastAsia"/>
          <w:lang w:val="en-CA"/>
        </w:rPr>
        <w:t xml:space="preserve"> meeting, t</w:t>
      </w:r>
      <w:r w:rsidRPr="000015D5">
        <w:rPr>
          <w:rFonts w:eastAsiaTheme="minorEastAsia"/>
          <w:lang w:val="en-CA"/>
        </w:rPr>
        <w:t xml:space="preserve">he </w:t>
      </w:r>
      <w:r>
        <w:rPr>
          <w:rFonts w:eastAsiaTheme="minorEastAsia"/>
          <w:lang w:val="en-CA"/>
        </w:rPr>
        <w:t xml:space="preserve">Executive Committee noted the 2019-2021 </w:t>
      </w:r>
      <w:r w:rsidRPr="000015D5">
        <w:rPr>
          <w:rFonts w:eastAsiaTheme="minorEastAsia"/>
          <w:lang w:val="en-CA"/>
        </w:rPr>
        <w:t>work plan</w:t>
      </w:r>
      <w:r>
        <w:rPr>
          <w:rFonts w:eastAsiaTheme="minorEastAsia"/>
          <w:lang w:val="en-CA"/>
        </w:rPr>
        <w:t>, which</w:t>
      </w:r>
      <w:r w:rsidRPr="000015D5">
        <w:rPr>
          <w:rFonts w:eastAsiaTheme="minorEastAsia"/>
          <w:lang w:val="en-CA"/>
        </w:rPr>
        <w:t xml:space="preserve"> consists of near-term activities focused on monitoring and supervision of MB production in 2019 to 2021, and activities intended to ensure the long-term compliance through the establishment and implementation of MB monitoring and supervision programmes and tools. </w:t>
      </w:r>
    </w:p>
    <w:p w:rsidR="008C5362" w:rsidRPr="00B0761F" w:rsidRDefault="008C5362" w:rsidP="008C5362">
      <w:pPr>
        <w:numPr>
          <w:ilvl w:val="0"/>
          <w:numId w:val="1"/>
        </w:numPr>
        <w:spacing w:after="240"/>
        <w:outlineLvl w:val="0"/>
        <w:rPr>
          <w:rFonts w:eastAsiaTheme="minorEastAsia"/>
          <w:lang w:val="en-CA"/>
        </w:rPr>
      </w:pPr>
      <w:r w:rsidRPr="00B0761F">
        <w:rPr>
          <w:rFonts w:eastAsiaTheme="minorEastAsia"/>
          <w:lang w:val="en-CA"/>
        </w:rPr>
        <w:t>Since the progress report submitted to the 83</w:t>
      </w:r>
      <w:r w:rsidRPr="00B0761F">
        <w:rPr>
          <w:rFonts w:eastAsiaTheme="minorEastAsia"/>
          <w:vertAlign w:val="superscript"/>
          <w:lang w:val="en-CA"/>
        </w:rPr>
        <w:t>rd</w:t>
      </w:r>
      <w:r w:rsidRPr="00B0761F">
        <w:rPr>
          <w:rFonts w:eastAsiaTheme="minorEastAsia"/>
          <w:lang w:val="en-CA"/>
        </w:rPr>
        <w:t xml:space="preserve"> meeting,</w:t>
      </w:r>
      <w:r>
        <w:rPr>
          <w:rStyle w:val="FootnoteReference"/>
          <w:rFonts w:eastAsiaTheme="minorEastAsia"/>
          <w:lang w:val="en-CA"/>
        </w:rPr>
        <w:footnoteReference w:id="13"/>
      </w:r>
      <w:r w:rsidRPr="00B0761F">
        <w:rPr>
          <w:rFonts w:eastAsiaTheme="minorEastAsia"/>
          <w:lang w:val="en-CA"/>
        </w:rPr>
        <w:t xml:space="preserve"> FECO is preparing terms of reference to establish the MB labelling and traceability system</w:t>
      </w:r>
      <w:r>
        <w:rPr>
          <w:rFonts w:eastAsiaTheme="minorEastAsia"/>
          <w:lang w:val="en-CA"/>
        </w:rPr>
        <w:t xml:space="preserve"> that will be completed </w:t>
      </w:r>
      <w:r w:rsidRPr="00B0761F">
        <w:rPr>
          <w:rFonts w:eastAsiaTheme="minorEastAsia"/>
          <w:lang w:val="en-CA"/>
        </w:rPr>
        <w:t>by the end of 2019</w:t>
      </w:r>
      <w:r>
        <w:rPr>
          <w:rFonts w:eastAsiaTheme="minorEastAsia"/>
          <w:lang w:val="en-CA"/>
        </w:rPr>
        <w:t xml:space="preserve">. </w:t>
      </w:r>
      <w:r w:rsidRPr="00B0761F">
        <w:rPr>
          <w:rFonts w:eastAsiaTheme="minorEastAsia"/>
          <w:lang w:val="en-CA"/>
        </w:rPr>
        <w:t xml:space="preserve">FECO will set up an MB labelling and traceability system that dynamically captures MB production and consumption information into a data </w:t>
      </w:r>
      <w:r>
        <w:rPr>
          <w:rFonts w:eastAsiaTheme="minorEastAsia"/>
          <w:lang w:val="en-CA"/>
        </w:rPr>
        <w:t>MIS</w:t>
      </w:r>
      <w:r w:rsidRPr="00B0761F">
        <w:rPr>
          <w:rFonts w:eastAsiaTheme="minorEastAsia"/>
          <w:lang w:val="en-CA"/>
        </w:rPr>
        <w:t xml:space="preserve">. As MB is only shipped in cylinders, and not </w:t>
      </w:r>
      <w:proofErr w:type="spellStart"/>
      <w:r w:rsidRPr="00B0761F">
        <w:rPr>
          <w:rFonts w:eastAsiaTheme="minorEastAsia"/>
          <w:lang w:val="en-CA"/>
        </w:rPr>
        <w:t>iso</w:t>
      </w:r>
      <w:proofErr w:type="spellEnd"/>
      <w:r w:rsidRPr="00B0761F">
        <w:rPr>
          <w:rFonts w:eastAsiaTheme="minorEastAsia"/>
          <w:lang w:val="en-CA"/>
        </w:rPr>
        <w:t xml:space="preserve">-tanks, each cylinder containing MB would be labelled and, after verification of how that MB was used (e.g., at a QPS fumigation facility or a feedstock user), the type of use would be recorded (e.g., QPS or feedstock). The system will be designed according to the characteristics of each MB producer, and take into account the suggestions of stakeholders. </w:t>
      </w:r>
      <w:r>
        <w:rPr>
          <w:rFonts w:eastAsiaTheme="minorEastAsia"/>
          <w:lang w:val="en-CA"/>
        </w:rPr>
        <w:t>In addition, FECO is preparing the terms of reference for the data survey of MB feedstock uses for 2017</w:t>
      </w:r>
      <w:r w:rsidR="001B383C">
        <w:rPr>
          <w:rFonts w:eastAsiaTheme="minorEastAsia"/>
          <w:lang w:val="en-CA"/>
        </w:rPr>
        <w:noBreakHyphen/>
      </w:r>
      <w:r>
        <w:rPr>
          <w:rFonts w:eastAsiaTheme="minorEastAsia"/>
          <w:lang w:val="en-CA"/>
        </w:rPr>
        <w:t xml:space="preserve">2018. </w:t>
      </w:r>
    </w:p>
    <w:p w:rsidR="008C5362" w:rsidRPr="000015D5" w:rsidRDefault="008C5362" w:rsidP="008C5362">
      <w:pPr>
        <w:widowControl w:val="0"/>
        <w:spacing w:after="240"/>
        <w:outlineLvl w:val="0"/>
        <w:rPr>
          <w:rFonts w:eastAsiaTheme="minorEastAsia"/>
          <w:b/>
          <w:noProof/>
          <w:lang w:val="en-CA"/>
        </w:rPr>
      </w:pPr>
      <w:r w:rsidRPr="000015D5">
        <w:rPr>
          <w:rFonts w:eastAsiaTheme="minorEastAsia"/>
          <w:b/>
          <w:noProof/>
          <w:lang w:val="en-CA"/>
        </w:rPr>
        <w:t>Secretariat’s comments</w:t>
      </w:r>
    </w:p>
    <w:p w:rsidR="008C5362" w:rsidRPr="000015D5" w:rsidRDefault="008C5362" w:rsidP="008C5362">
      <w:pPr>
        <w:rPr>
          <w:rFonts w:eastAsiaTheme="minorEastAsia"/>
          <w:u w:val="single"/>
          <w:lang w:val="en-CA"/>
        </w:rPr>
      </w:pPr>
      <w:r w:rsidRPr="000015D5">
        <w:rPr>
          <w:rFonts w:eastAsiaTheme="minorEastAsia"/>
          <w:u w:val="single"/>
          <w:lang w:val="en-CA"/>
        </w:rPr>
        <w:t xml:space="preserve">Progress report on the contract with the Customs Authority </w:t>
      </w:r>
    </w:p>
    <w:p w:rsidR="008C5362" w:rsidRPr="000015D5" w:rsidRDefault="008C5362" w:rsidP="008C5362">
      <w:pPr>
        <w:rPr>
          <w:rFonts w:eastAsiaTheme="minorEastAsia"/>
          <w:u w:val="single"/>
          <w:lang w:val="en-CA"/>
        </w:rPr>
      </w:pPr>
    </w:p>
    <w:p w:rsidR="008C5362" w:rsidRPr="000015D5" w:rsidRDefault="008C5362" w:rsidP="008C5362">
      <w:pPr>
        <w:numPr>
          <w:ilvl w:val="0"/>
          <w:numId w:val="1"/>
        </w:numPr>
        <w:spacing w:after="240"/>
        <w:outlineLvl w:val="0"/>
        <w:rPr>
          <w:rFonts w:eastAsiaTheme="minorEastAsia"/>
          <w:lang w:val="en-CA"/>
        </w:rPr>
      </w:pPr>
      <w:r>
        <w:rPr>
          <w:rFonts w:eastAsiaTheme="minorEastAsia"/>
          <w:lang w:val="en-CA"/>
        </w:rPr>
        <w:t>Noting that t</w:t>
      </w:r>
      <w:r w:rsidRPr="000015D5">
        <w:rPr>
          <w:rFonts w:eastAsiaTheme="minorEastAsia"/>
          <w:lang w:val="en-CA"/>
        </w:rPr>
        <w:t>he contract with the Customs Authority for the development of the MIS and its incorporation in the monitoring and supervision programme has not yet been signed</w:t>
      </w:r>
      <w:r>
        <w:rPr>
          <w:rFonts w:eastAsiaTheme="minorEastAsia"/>
          <w:lang w:val="en-CA"/>
        </w:rPr>
        <w:t xml:space="preserve">, </w:t>
      </w:r>
      <w:r w:rsidRPr="000015D5">
        <w:rPr>
          <w:rFonts w:eastAsiaTheme="minorEastAsia"/>
          <w:lang w:val="en-CA"/>
        </w:rPr>
        <w:t>the Secretariat suggested that the Government of China</w:t>
      </w:r>
      <w:r>
        <w:rPr>
          <w:rFonts w:eastAsiaTheme="minorEastAsia"/>
          <w:lang w:val="en-CA"/>
        </w:rPr>
        <w:t xml:space="preserve">, </w:t>
      </w:r>
      <w:r w:rsidRPr="000015D5">
        <w:rPr>
          <w:rFonts w:eastAsiaTheme="minorEastAsia"/>
          <w:lang w:val="en-CA"/>
        </w:rPr>
        <w:t>through UNIDO, provide a verbal update on the status of the contract during the 84</w:t>
      </w:r>
      <w:r w:rsidRPr="000015D5">
        <w:rPr>
          <w:rFonts w:eastAsiaTheme="minorEastAsia"/>
          <w:vertAlign w:val="superscript"/>
          <w:lang w:val="en-CA"/>
        </w:rPr>
        <w:t>th </w:t>
      </w:r>
      <w:r w:rsidRPr="000015D5">
        <w:rPr>
          <w:rFonts w:eastAsiaTheme="minorEastAsia"/>
          <w:lang w:val="en-CA"/>
        </w:rPr>
        <w:t>meeting, on the understanding that the allocated funds (US $350,000, plus agency support costs of US $</w:t>
      </w:r>
      <w:r>
        <w:rPr>
          <w:rFonts w:eastAsiaTheme="minorEastAsia"/>
          <w:lang w:val="en-CA"/>
        </w:rPr>
        <w:t>26,2</w:t>
      </w:r>
      <w:r w:rsidRPr="000015D5">
        <w:rPr>
          <w:rFonts w:eastAsiaTheme="minorEastAsia"/>
          <w:lang w:val="en-CA"/>
        </w:rPr>
        <w:t xml:space="preserve">50 for UNIDO) would be returned to the Fund if the contract were not signed by then. </w:t>
      </w:r>
    </w:p>
    <w:p w:rsidR="008C5362" w:rsidRPr="000015D5" w:rsidRDefault="008C5362" w:rsidP="008C5362">
      <w:pPr>
        <w:numPr>
          <w:ilvl w:val="0"/>
          <w:numId w:val="1"/>
        </w:numPr>
        <w:spacing w:after="240"/>
        <w:outlineLvl w:val="0"/>
        <w:rPr>
          <w:rFonts w:eastAsiaTheme="minorEastAsia"/>
          <w:lang w:val="en-CA"/>
        </w:rPr>
      </w:pPr>
      <w:r w:rsidRPr="000015D5">
        <w:rPr>
          <w:rFonts w:eastAsiaTheme="minorEastAsia"/>
          <w:lang w:val="en-CA"/>
        </w:rPr>
        <w:t>UNIDO clarified that the memorandum has been drafted</w:t>
      </w:r>
      <w:r>
        <w:rPr>
          <w:rFonts w:eastAsiaTheme="minorEastAsia"/>
          <w:lang w:val="en-CA"/>
        </w:rPr>
        <w:t>, and</w:t>
      </w:r>
      <w:r w:rsidRPr="000015D5">
        <w:rPr>
          <w:rFonts w:eastAsiaTheme="minorEastAsia"/>
          <w:lang w:val="en-CA"/>
        </w:rPr>
        <w:t xml:space="preserve"> that consultations were still ongoing so that the memorandum could be signed before the 84</w:t>
      </w:r>
      <w:r w:rsidRPr="000015D5">
        <w:rPr>
          <w:rFonts w:eastAsiaTheme="minorEastAsia"/>
          <w:vertAlign w:val="superscript"/>
          <w:lang w:val="en-CA"/>
        </w:rPr>
        <w:t>th</w:t>
      </w:r>
      <w:r w:rsidRPr="000015D5">
        <w:rPr>
          <w:rFonts w:eastAsiaTheme="minorEastAsia"/>
          <w:lang w:val="en-CA"/>
        </w:rPr>
        <w:t xml:space="preserve"> meeting. However, given that the Executive Committee had agreed to extend the date of completion of the MB production sector plan to 31</w:t>
      </w:r>
      <w:r>
        <w:rPr>
          <w:rFonts w:eastAsiaTheme="minorEastAsia"/>
          <w:lang w:val="en-CA"/>
        </w:rPr>
        <w:t> </w:t>
      </w:r>
      <w:r w:rsidRPr="000015D5">
        <w:rPr>
          <w:rFonts w:eastAsiaTheme="minorEastAsia"/>
          <w:lang w:val="en-CA"/>
        </w:rPr>
        <w:t>December</w:t>
      </w:r>
      <w:r>
        <w:rPr>
          <w:rFonts w:eastAsiaTheme="minorEastAsia"/>
          <w:lang w:val="en-CA"/>
        </w:rPr>
        <w:t> </w:t>
      </w:r>
      <w:r w:rsidRPr="000015D5">
        <w:rPr>
          <w:rFonts w:eastAsiaTheme="minorEastAsia"/>
          <w:lang w:val="en-CA"/>
        </w:rPr>
        <w:t>2021, and had noted the proposed 2019–2021 work plan to ensure the long-term, sustained monitoring of MB production in China (decision 82/1</w:t>
      </w:r>
      <w:r>
        <w:rPr>
          <w:rFonts w:eastAsiaTheme="minorEastAsia"/>
          <w:lang w:val="en-CA"/>
        </w:rPr>
        <w:t>9</w:t>
      </w:r>
      <w:r w:rsidRPr="000015D5">
        <w:rPr>
          <w:rFonts w:eastAsiaTheme="minorEastAsia"/>
          <w:lang w:val="en-CA"/>
        </w:rPr>
        <w:t>(b) and (d)), the Government considered that the funds should not be returned at the 84</w:t>
      </w:r>
      <w:r w:rsidRPr="000015D5">
        <w:rPr>
          <w:rFonts w:eastAsiaTheme="minorEastAsia"/>
          <w:vertAlign w:val="superscript"/>
          <w:lang w:val="en-CA"/>
        </w:rPr>
        <w:t>th</w:t>
      </w:r>
      <w:r w:rsidRPr="000015D5">
        <w:rPr>
          <w:rFonts w:eastAsiaTheme="minorEastAsia"/>
          <w:lang w:val="en-CA"/>
        </w:rPr>
        <w:t xml:space="preserve"> meeting.</w:t>
      </w:r>
    </w:p>
    <w:p w:rsidR="008C5362" w:rsidRPr="000015D5" w:rsidRDefault="008C5362" w:rsidP="008C5362">
      <w:pPr>
        <w:rPr>
          <w:rFonts w:eastAsiaTheme="minorEastAsia"/>
          <w:u w:val="single"/>
          <w:lang w:val="en-CA"/>
        </w:rPr>
      </w:pPr>
      <w:r w:rsidRPr="000015D5">
        <w:rPr>
          <w:rFonts w:eastAsiaTheme="minorEastAsia"/>
          <w:u w:val="single"/>
          <w:lang w:val="en-CA"/>
        </w:rPr>
        <w:t>MB labelling and traceability system</w:t>
      </w:r>
    </w:p>
    <w:p w:rsidR="008C5362" w:rsidRPr="000015D5" w:rsidRDefault="008C5362" w:rsidP="008C5362">
      <w:pPr>
        <w:rPr>
          <w:rFonts w:eastAsiaTheme="minorEastAsia"/>
          <w:u w:val="single"/>
          <w:lang w:val="en-CA"/>
        </w:rPr>
      </w:pPr>
    </w:p>
    <w:p w:rsidR="008C5362" w:rsidRPr="000015D5" w:rsidRDefault="008C5362" w:rsidP="008C5362">
      <w:pPr>
        <w:numPr>
          <w:ilvl w:val="0"/>
          <w:numId w:val="1"/>
        </w:numPr>
        <w:spacing w:after="240"/>
        <w:outlineLvl w:val="0"/>
        <w:rPr>
          <w:rFonts w:eastAsiaTheme="minorEastAsia"/>
          <w:lang w:val="en-CA"/>
        </w:rPr>
      </w:pPr>
      <w:r w:rsidRPr="000015D5">
        <w:rPr>
          <w:rFonts w:eastAsiaTheme="minorEastAsia"/>
          <w:lang w:val="en-CA"/>
        </w:rPr>
        <w:t xml:space="preserve">The Secretariat </w:t>
      </w:r>
      <w:r>
        <w:rPr>
          <w:rFonts w:eastAsiaTheme="minorEastAsia"/>
          <w:lang w:val="en-CA"/>
        </w:rPr>
        <w:t>noted that</w:t>
      </w:r>
      <w:r w:rsidRPr="000015D5">
        <w:rPr>
          <w:rFonts w:eastAsiaTheme="minorEastAsia"/>
          <w:lang w:val="en-CA"/>
        </w:rPr>
        <w:t xml:space="preserve"> the establishment of a MB labelling and traceability system, was still in a conceptual phase</w:t>
      </w:r>
      <w:r>
        <w:rPr>
          <w:rFonts w:eastAsiaTheme="minorEastAsia"/>
          <w:lang w:val="en-CA"/>
        </w:rPr>
        <w:t>,</w:t>
      </w:r>
      <w:r w:rsidRPr="000015D5">
        <w:rPr>
          <w:rFonts w:eastAsiaTheme="minorEastAsia"/>
          <w:lang w:val="en-CA"/>
        </w:rPr>
        <w:t xml:space="preserve"> </w:t>
      </w:r>
      <w:r>
        <w:rPr>
          <w:rFonts w:eastAsiaTheme="minorEastAsia"/>
          <w:lang w:val="en-CA"/>
        </w:rPr>
        <w:t xml:space="preserve">and suggested </w:t>
      </w:r>
      <w:r w:rsidRPr="000015D5">
        <w:rPr>
          <w:rFonts w:eastAsiaTheme="minorEastAsia"/>
          <w:lang w:val="en-CA"/>
        </w:rPr>
        <w:t>that the Government provide a detailed update in the annual</w:t>
      </w:r>
      <w:r>
        <w:rPr>
          <w:rFonts w:eastAsiaTheme="minorEastAsia"/>
          <w:lang w:val="en-CA"/>
        </w:rPr>
        <w:t xml:space="preserve"> progress</w:t>
      </w:r>
      <w:r w:rsidRPr="000015D5">
        <w:rPr>
          <w:rFonts w:eastAsiaTheme="minorEastAsia"/>
          <w:lang w:val="en-CA"/>
        </w:rPr>
        <w:t xml:space="preserve"> report of the sector plan for the phase-out of MB production to be submitted to the 86</w:t>
      </w:r>
      <w:r w:rsidRPr="000015D5">
        <w:rPr>
          <w:rFonts w:eastAsiaTheme="minorEastAsia"/>
          <w:vertAlign w:val="superscript"/>
          <w:lang w:val="en-CA"/>
        </w:rPr>
        <w:t>th </w:t>
      </w:r>
      <w:r w:rsidRPr="000015D5">
        <w:rPr>
          <w:rFonts w:eastAsiaTheme="minorEastAsia"/>
          <w:lang w:val="en-CA"/>
        </w:rPr>
        <w:t xml:space="preserve">meeting. </w:t>
      </w:r>
    </w:p>
    <w:p w:rsidR="008C5362" w:rsidRPr="000015D5" w:rsidRDefault="008C5362" w:rsidP="008C5362">
      <w:pPr>
        <w:spacing w:after="240"/>
        <w:outlineLvl w:val="0"/>
        <w:rPr>
          <w:rFonts w:eastAsiaTheme="minorEastAsia"/>
          <w:u w:val="single"/>
          <w:lang w:val="en-CA"/>
        </w:rPr>
      </w:pPr>
      <w:r w:rsidRPr="000015D5">
        <w:rPr>
          <w:rFonts w:eastAsiaTheme="minorEastAsia"/>
          <w:u w:val="single"/>
          <w:lang w:val="en-CA"/>
        </w:rPr>
        <w:t>Sustainability of the MB phase-out</w:t>
      </w:r>
    </w:p>
    <w:p w:rsidR="008C5362" w:rsidRPr="000015D5" w:rsidRDefault="008C5362" w:rsidP="008C5362">
      <w:pPr>
        <w:pStyle w:val="Heading1"/>
        <w:rPr>
          <w:rFonts w:eastAsiaTheme="minorEastAsia"/>
          <w:lang w:val="en-CA"/>
        </w:rPr>
      </w:pPr>
      <w:r w:rsidRPr="000015D5">
        <w:rPr>
          <w:rFonts w:eastAsiaTheme="minorEastAsia"/>
          <w:lang w:val="en-CA"/>
        </w:rPr>
        <w:t>The Secretariat noted that</w:t>
      </w:r>
      <w:r>
        <w:rPr>
          <w:rFonts w:eastAsiaTheme="minorEastAsia"/>
          <w:lang w:val="en-CA"/>
        </w:rPr>
        <w:t xml:space="preserve"> </w:t>
      </w:r>
      <w:r w:rsidRPr="000015D5">
        <w:rPr>
          <w:rFonts w:eastAsiaTheme="minorEastAsia"/>
          <w:lang w:val="en-CA"/>
        </w:rPr>
        <w:t>MB consumption for feedstock uses</w:t>
      </w:r>
      <w:r>
        <w:rPr>
          <w:rFonts w:eastAsiaTheme="minorEastAsia"/>
          <w:lang w:val="en-CA"/>
        </w:rPr>
        <w:t xml:space="preserve"> was concentrated in</w:t>
      </w:r>
      <w:r w:rsidRPr="000015D5">
        <w:rPr>
          <w:rFonts w:eastAsiaTheme="minorEastAsia"/>
          <w:lang w:val="en-CA"/>
        </w:rPr>
        <w:t xml:space="preserve"> three provinces (Jiangsu, Shandong, Shanghai, and Zhejiang), and asked whether consideration been given to ensure that any atmospheric monitoring stations that may be established in those provinces, as described in the review of China’s current </w:t>
      </w:r>
      <w:r w:rsidR="00EC3EF2" w:rsidRPr="00BC59E3">
        <w:rPr>
          <w:lang w:val="en-CA"/>
        </w:rPr>
        <w:t>MRVE</w:t>
      </w:r>
      <w:r w:rsidRPr="000015D5">
        <w:rPr>
          <w:rFonts w:eastAsiaTheme="minorEastAsia"/>
          <w:lang w:val="en-CA"/>
        </w:rPr>
        <w:t>,</w:t>
      </w:r>
      <w:r w:rsidRPr="000015D5">
        <w:rPr>
          <w:rStyle w:val="FootnoteReference"/>
          <w:rFonts w:eastAsiaTheme="minorEastAsia"/>
          <w:lang w:val="en-CA"/>
        </w:rPr>
        <w:footnoteReference w:id="14"/>
      </w:r>
      <w:r w:rsidRPr="000015D5">
        <w:rPr>
          <w:rFonts w:eastAsiaTheme="minorEastAsia"/>
          <w:lang w:val="en-CA"/>
        </w:rPr>
        <w:t xml:space="preserve"> include instruments that can measure atmospheric abundances of MB. UNIDO clarified that the ODS atmospheric monitoring network that MEE plans to establish by 2021 was under design, and MEE had not yet de</w:t>
      </w:r>
      <w:r>
        <w:rPr>
          <w:rFonts w:eastAsiaTheme="minorEastAsia"/>
          <w:lang w:val="en-CA"/>
        </w:rPr>
        <w:t>cide</w:t>
      </w:r>
      <w:r w:rsidRPr="000015D5">
        <w:rPr>
          <w:rFonts w:eastAsiaTheme="minorEastAsia"/>
          <w:lang w:val="en-CA"/>
        </w:rPr>
        <w:t>d if MB would be listed under the substances to be included in the system.</w:t>
      </w:r>
    </w:p>
    <w:p w:rsidR="008C5362" w:rsidRPr="000015D5" w:rsidRDefault="008C5362" w:rsidP="008C5362">
      <w:pPr>
        <w:numPr>
          <w:ilvl w:val="0"/>
          <w:numId w:val="1"/>
        </w:numPr>
        <w:spacing w:after="240"/>
        <w:outlineLvl w:val="0"/>
        <w:rPr>
          <w:rFonts w:eastAsiaTheme="minorEastAsia"/>
          <w:lang w:val="en-CA"/>
        </w:rPr>
      </w:pPr>
      <w:r>
        <w:rPr>
          <w:rFonts w:eastAsiaTheme="minorEastAsia"/>
          <w:lang w:val="en-CA"/>
        </w:rPr>
        <w:lastRenderedPageBreak/>
        <w:t>Given</w:t>
      </w:r>
      <w:r w:rsidRPr="000015D5">
        <w:rPr>
          <w:rFonts w:eastAsiaTheme="minorEastAsia"/>
          <w:lang w:val="en-CA"/>
        </w:rPr>
        <w:t xml:space="preserve"> that no information was available in the 2014 or subsequent verification and progress reports, the Secretariat inquired whether additional information was available on the case of illegal production of </w:t>
      </w:r>
      <w:r>
        <w:rPr>
          <w:rFonts w:eastAsiaTheme="minorEastAsia"/>
          <w:lang w:val="en-CA"/>
        </w:rPr>
        <w:t>MB</w:t>
      </w:r>
      <w:r w:rsidRPr="000015D5">
        <w:rPr>
          <w:rFonts w:eastAsiaTheme="minorEastAsia"/>
          <w:lang w:val="en-CA"/>
        </w:rPr>
        <w:t xml:space="preserve"> in 2014 that was reported by the Government at the 83</w:t>
      </w:r>
      <w:r w:rsidRPr="000015D5">
        <w:rPr>
          <w:rFonts w:eastAsiaTheme="minorEastAsia"/>
          <w:vertAlign w:val="superscript"/>
          <w:lang w:val="en-CA"/>
        </w:rPr>
        <w:t>rd</w:t>
      </w:r>
      <w:r w:rsidRPr="000015D5">
        <w:rPr>
          <w:rFonts w:eastAsiaTheme="minorEastAsia"/>
          <w:lang w:val="en-CA"/>
        </w:rPr>
        <w:t xml:space="preserve"> meeting.</w:t>
      </w:r>
      <w:r w:rsidRPr="000015D5">
        <w:rPr>
          <w:rStyle w:val="FootnoteReference"/>
          <w:rFonts w:eastAsiaTheme="minorEastAsia"/>
          <w:lang w:val="en-CA"/>
        </w:rPr>
        <w:footnoteReference w:id="15"/>
      </w:r>
      <w:r w:rsidRPr="000015D5">
        <w:rPr>
          <w:rFonts w:eastAsiaTheme="minorEastAsia"/>
          <w:lang w:val="en-CA"/>
        </w:rPr>
        <w:t xml:space="preserve">  </w:t>
      </w:r>
      <w:r>
        <w:rPr>
          <w:rFonts w:eastAsiaTheme="minorEastAsia"/>
          <w:lang w:val="en-CA"/>
        </w:rPr>
        <w:t xml:space="preserve">UNIDO indicated that the </w:t>
      </w:r>
      <w:r w:rsidRPr="000015D5">
        <w:rPr>
          <w:rFonts w:eastAsiaTheme="minorEastAsia"/>
          <w:lang w:val="en-CA"/>
        </w:rPr>
        <w:t>MEE was not in a position to disclose further details since the legal proceedings were still ongoing.</w:t>
      </w:r>
      <w:r>
        <w:rPr>
          <w:rFonts w:eastAsiaTheme="minorEastAsia"/>
          <w:lang w:val="en-CA"/>
        </w:rPr>
        <w:t xml:space="preserve"> The Secretariat invited MEE, t</w:t>
      </w:r>
      <w:r w:rsidRPr="000015D5">
        <w:rPr>
          <w:rFonts w:eastAsiaTheme="minorEastAsia"/>
          <w:lang w:val="en-CA"/>
        </w:rPr>
        <w:t xml:space="preserve">hrough UNIDO, </w:t>
      </w:r>
      <w:r>
        <w:rPr>
          <w:rFonts w:eastAsiaTheme="minorEastAsia"/>
          <w:lang w:val="en-CA"/>
        </w:rPr>
        <w:t>to</w:t>
      </w:r>
      <w:r w:rsidRPr="000015D5">
        <w:rPr>
          <w:rFonts w:eastAsiaTheme="minorEastAsia"/>
          <w:lang w:val="en-CA"/>
        </w:rPr>
        <w:t xml:space="preserve"> report to the Executive Committee as soon as information was publicly available.</w:t>
      </w:r>
    </w:p>
    <w:p w:rsidR="008C5362" w:rsidRPr="000015D5" w:rsidRDefault="008C5362" w:rsidP="008C5362">
      <w:pPr>
        <w:rPr>
          <w:rFonts w:eastAsiaTheme="minorEastAsia"/>
          <w:b/>
          <w:lang w:val="en-CA"/>
        </w:rPr>
      </w:pPr>
      <w:r>
        <w:rPr>
          <w:rFonts w:eastAsiaTheme="minorEastAsia"/>
          <w:b/>
          <w:lang w:val="en-CA"/>
        </w:rPr>
        <w:t>R</w:t>
      </w:r>
      <w:r w:rsidRPr="000015D5">
        <w:rPr>
          <w:rFonts w:eastAsiaTheme="minorEastAsia"/>
          <w:b/>
          <w:lang w:val="en-CA"/>
        </w:rPr>
        <w:t>ecommendation</w:t>
      </w:r>
    </w:p>
    <w:p w:rsidR="008C5362" w:rsidRPr="000015D5" w:rsidRDefault="008C5362" w:rsidP="008C5362">
      <w:pPr>
        <w:rPr>
          <w:rFonts w:eastAsiaTheme="minorEastAsia"/>
          <w:lang w:val="en-CA"/>
        </w:rPr>
      </w:pPr>
    </w:p>
    <w:p w:rsidR="008C5362" w:rsidRPr="000015D5" w:rsidRDefault="008C5362" w:rsidP="008C5362">
      <w:pPr>
        <w:keepNext/>
        <w:keepLines/>
        <w:numPr>
          <w:ilvl w:val="0"/>
          <w:numId w:val="1"/>
        </w:numPr>
        <w:spacing w:after="240"/>
        <w:outlineLvl w:val="0"/>
        <w:rPr>
          <w:rFonts w:eastAsiaTheme="minorEastAsia"/>
          <w:lang w:val="en-CA"/>
        </w:rPr>
      </w:pPr>
      <w:r w:rsidRPr="000015D5">
        <w:rPr>
          <w:rFonts w:eastAsiaTheme="minorEastAsia"/>
          <w:lang w:val="en-CA"/>
        </w:rPr>
        <w:t>The Executive Committee may wish to consider:</w:t>
      </w:r>
    </w:p>
    <w:p w:rsidR="008C5362" w:rsidRPr="000015D5" w:rsidRDefault="008C5362" w:rsidP="008C5362">
      <w:pPr>
        <w:keepNext/>
        <w:numPr>
          <w:ilvl w:val="1"/>
          <w:numId w:val="28"/>
        </w:numPr>
        <w:spacing w:after="240"/>
        <w:outlineLvl w:val="1"/>
        <w:rPr>
          <w:rFonts w:eastAsiaTheme="minorEastAsia"/>
          <w:lang w:val="en-CA"/>
        </w:rPr>
      </w:pPr>
      <w:r w:rsidRPr="000015D5">
        <w:rPr>
          <w:rFonts w:eastAsiaTheme="minorEastAsia"/>
          <w:lang w:val="en-CA"/>
        </w:rPr>
        <w:t xml:space="preserve">Noting the report on the status of implementation of the sector plan for the phase-out of methyl bromide (MB) production in China, </w:t>
      </w:r>
      <w:r w:rsidRPr="000015D5">
        <w:rPr>
          <w:lang w:val="en-CA"/>
        </w:rPr>
        <w:t>the update on the contract for the monitoring and supervision programme to be implemented by the Customs Authority, and the</w:t>
      </w:r>
      <w:r w:rsidRPr="000015D5">
        <w:rPr>
          <w:rFonts w:eastAsiaTheme="minorEastAsia"/>
          <w:lang w:val="en-CA"/>
        </w:rPr>
        <w:t xml:space="preserve"> update regarding the </w:t>
      </w:r>
      <w:r w:rsidRPr="000015D5">
        <w:rPr>
          <w:lang w:val="en-CA"/>
        </w:rPr>
        <w:t>MB</w:t>
      </w:r>
      <w:r w:rsidRPr="000015D5">
        <w:rPr>
          <w:rFonts w:eastAsiaTheme="minorEastAsia"/>
          <w:lang w:val="en-CA"/>
        </w:rPr>
        <w:t xml:space="preserve"> labelling and traceability system submitted by UNIDO, contained in do</w:t>
      </w:r>
      <w:r>
        <w:rPr>
          <w:rFonts w:eastAsiaTheme="minorEastAsia"/>
          <w:lang w:val="en-CA"/>
        </w:rPr>
        <w:t>cument UNEP/</w:t>
      </w:r>
      <w:proofErr w:type="spellStart"/>
      <w:r>
        <w:rPr>
          <w:rFonts w:eastAsiaTheme="minorEastAsia"/>
          <w:lang w:val="en-CA"/>
        </w:rPr>
        <w:t>OzL.Pro</w:t>
      </w:r>
      <w:proofErr w:type="spellEnd"/>
      <w:r>
        <w:rPr>
          <w:rFonts w:eastAsiaTheme="minorEastAsia"/>
          <w:lang w:val="en-CA"/>
        </w:rPr>
        <w:t>/</w:t>
      </w:r>
      <w:proofErr w:type="spellStart"/>
      <w:r>
        <w:rPr>
          <w:rFonts w:eastAsiaTheme="minorEastAsia"/>
          <w:lang w:val="en-CA"/>
        </w:rPr>
        <w:t>ExCom</w:t>
      </w:r>
      <w:proofErr w:type="spellEnd"/>
      <w:r>
        <w:rPr>
          <w:rFonts w:eastAsiaTheme="minorEastAsia"/>
          <w:lang w:val="en-CA"/>
        </w:rPr>
        <w:t>/84/22/</w:t>
      </w:r>
      <w:r w:rsidRPr="000015D5">
        <w:rPr>
          <w:rFonts w:eastAsiaTheme="minorEastAsia"/>
          <w:lang w:val="en-CA"/>
        </w:rPr>
        <w:t>Add.1;</w:t>
      </w:r>
    </w:p>
    <w:p w:rsidR="008C5362" w:rsidRPr="000015D5" w:rsidRDefault="008C5362" w:rsidP="008C5362">
      <w:pPr>
        <w:keepNext/>
        <w:numPr>
          <w:ilvl w:val="1"/>
          <w:numId w:val="28"/>
        </w:numPr>
        <w:spacing w:after="240"/>
        <w:outlineLvl w:val="1"/>
        <w:rPr>
          <w:rFonts w:eastAsiaTheme="minorEastAsia"/>
          <w:lang w:val="en-CA"/>
        </w:rPr>
      </w:pPr>
      <w:r w:rsidRPr="000015D5">
        <w:rPr>
          <w:rFonts w:eastAsiaTheme="minorEastAsia"/>
          <w:lang w:val="en-CA"/>
        </w:rPr>
        <w:t>[Based on the update provided during the 84</w:t>
      </w:r>
      <w:r w:rsidRPr="000015D5">
        <w:rPr>
          <w:rFonts w:eastAsiaTheme="minorEastAsia"/>
          <w:vertAlign w:val="superscript"/>
          <w:lang w:val="en-CA"/>
        </w:rPr>
        <w:t>th</w:t>
      </w:r>
      <w:r w:rsidRPr="000015D5">
        <w:rPr>
          <w:rFonts w:eastAsiaTheme="minorEastAsia"/>
          <w:lang w:val="en-CA"/>
        </w:rPr>
        <w:t xml:space="preserve"> meeting on the signature of the memorandum between the Customs Authority and the Ministry of Ecology and Environment</w:t>
      </w:r>
      <w:r>
        <w:rPr>
          <w:rFonts w:eastAsiaTheme="minorEastAsia"/>
          <w:lang w:val="en-CA"/>
        </w:rPr>
        <w:t xml:space="preserve"> of China</w:t>
      </w:r>
      <w:r w:rsidRPr="000015D5">
        <w:rPr>
          <w:rFonts w:eastAsiaTheme="minorEastAsia"/>
          <w:lang w:val="en-CA"/>
        </w:rPr>
        <w:t xml:space="preserve">, whether or not to cancel the associated activities and note the return of US $350,000, plus agency support costs of US $26,250 for UNIDO, to the Multilateral Fund;] </w:t>
      </w:r>
    </w:p>
    <w:p w:rsidR="008C5362" w:rsidRPr="000015D5" w:rsidRDefault="008C5362" w:rsidP="008C5362">
      <w:pPr>
        <w:widowControl w:val="0"/>
        <w:numPr>
          <w:ilvl w:val="1"/>
          <w:numId w:val="28"/>
        </w:numPr>
        <w:spacing w:after="240"/>
        <w:outlineLvl w:val="1"/>
        <w:rPr>
          <w:rFonts w:eastAsiaTheme="minorEastAsia"/>
          <w:lang w:val="en-CA"/>
        </w:rPr>
      </w:pPr>
      <w:r>
        <w:rPr>
          <w:rFonts w:eastAsiaTheme="minorEastAsia"/>
          <w:lang w:val="en-CA"/>
        </w:rPr>
        <w:t>Re</w:t>
      </w:r>
      <w:r w:rsidRPr="000015D5">
        <w:rPr>
          <w:rFonts w:eastAsiaTheme="minorEastAsia"/>
          <w:lang w:val="en-CA"/>
        </w:rPr>
        <w:t>quest</w:t>
      </w:r>
      <w:r>
        <w:rPr>
          <w:rFonts w:eastAsiaTheme="minorEastAsia"/>
          <w:lang w:val="en-CA"/>
        </w:rPr>
        <w:t>ing</w:t>
      </w:r>
      <w:r w:rsidRPr="000015D5">
        <w:rPr>
          <w:rFonts w:eastAsiaTheme="minorEastAsia"/>
          <w:lang w:val="en-CA"/>
        </w:rPr>
        <w:t xml:space="preserve"> the Government of China, through UNIDO, to include an update on the MB labelling and traceability system in the annual report on the status of implementation of the sector plan for the phase-out of MB production in China to be submitted to the 86</w:t>
      </w:r>
      <w:r w:rsidRPr="000015D5">
        <w:rPr>
          <w:rFonts w:eastAsiaTheme="minorEastAsia"/>
          <w:vertAlign w:val="superscript"/>
          <w:lang w:val="en-CA"/>
        </w:rPr>
        <w:t>th </w:t>
      </w:r>
      <w:r w:rsidRPr="000015D5">
        <w:rPr>
          <w:rFonts w:eastAsiaTheme="minorEastAsia"/>
          <w:lang w:val="en-CA"/>
        </w:rPr>
        <w:t>meeting; and</w:t>
      </w:r>
    </w:p>
    <w:p w:rsidR="008C5362" w:rsidRPr="000015D5" w:rsidRDefault="008C5362" w:rsidP="008C5362">
      <w:pPr>
        <w:widowControl w:val="0"/>
        <w:numPr>
          <w:ilvl w:val="1"/>
          <w:numId w:val="28"/>
        </w:numPr>
        <w:spacing w:after="240"/>
        <w:outlineLvl w:val="1"/>
        <w:rPr>
          <w:rFonts w:eastAsiaTheme="minorEastAsia"/>
          <w:lang w:val="en-CA"/>
        </w:rPr>
      </w:pPr>
      <w:r>
        <w:rPr>
          <w:rFonts w:eastAsiaTheme="minorEastAsia"/>
          <w:lang w:val="en-CA"/>
        </w:rPr>
        <w:t>Inviting</w:t>
      </w:r>
      <w:r w:rsidRPr="000015D5">
        <w:rPr>
          <w:rFonts w:eastAsiaTheme="minorEastAsia"/>
          <w:lang w:val="en-CA"/>
        </w:rPr>
        <w:t xml:space="preserve"> the Government of China, through UNIDO, to provide information on the 2014 case of illegal production of MB referred to in UNEP/</w:t>
      </w:r>
      <w:proofErr w:type="spellStart"/>
      <w:r w:rsidRPr="000015D5">
        <w:rPr>
          <w:rFonts w:eastAsiaTheme="minorEastAsia"/>
          <w:lang w:val="en-CA"/>
        </w:rPr>
        <w:t>OzL.Pro</w:t>
      </w:r>
      <w:proofErr w:type="spellEnd"/>
      <w:r w:rsidRPr="000015D5">
        <w:rPr>
          <w:rFonts w:eastAsiaTheme="minorEastAsia"/>
          <w:lang w:val="en-CA"/>
        </w:rPr>
        <w:t>/</w:t>
      </w:r>
      <w:proofErr w:type="spellStart"/>
      <w:r w:rsidRPr="000015D5">
        <w:rPr>
          <w:rFonts w:eastAsiaTheme="minorEastAsia"/>
          <w:lang w:val="en-CA"/>
        </w:rPr>
        <w:t>ExCom</w:t>
      </w:r>
      <w:proofErr w:type="spellEnd"/>
      <w:r w:rsidRPr="000015D5">
        <w:rPr>
          <w:rFonts w:eastAsiaTheme="minorEastAsia"/>
          <w:lang w:val="en-CA"/>
        </w:rPr>
        <w:t>/84/22</w:t>
      </w:r>
      <w:r>
        <w:rPr>
          <w:rFonts w:eastAsiaTheme="minorEastAsia"/>
          <w:lang w:val="en-CA"/>
        </w:rPr>
        <w:t>/</w:t>
      </w:r>
      <w:r w:rsidRPr="000015D5">
        <w:rPr>
          <w:rFonts w:eastAsiaTheme="minorEastAsia"/>
          <w:lang w:val="en-CA"/>
        </w:rPr>
        <w:t>Add.1 once that information was publicly available.</w:t>
      </w:r>
    </w:p>
    <w:p w:rsidR="008C5362" w:rsidRPr="000015D5" w:rsidRDefault="008C5362" w:rsidP="008C5362">
      <w:pPr>
        <w:rPr>
          <w:lang w:val="en-CA"/>
        </w:rPr>
      </w:pPr>
    </w:p>
    <w:p w:rsidR="00981006" w:rsidRDefault="00981006"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130205">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C8688D">
      <w:headerReference w:type="even" r:id="rId11"/>
      <w:headerReference w:type="default" r:id="rId12"/>
      <w:footerReference w:type="even" r:id="rId13"/>
      <w:footerReference w:type="default" r:id="rId14"/>
      <w:footerReference w:type="first" r:id="rId15"/>
      <w:pgSz w:w="12240" w:h="15840" w:code="1"/>
      <w:pgMar w:top="720" w:right="1440" w:bottom="709" w:left="1440" w:header="720" w:footer="47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EF2" w:rsidRDefault="00EC3EF2" w:rsidP="004A504B">
      <w:r>
        <w:separator/>
      </w:r>
    </w:p>
  </w:endnote>
  <w:endnote w:type="continuationSeparator" w:id="0">
    <w:p w:rsidR="00EC3EF2" w:rsidRDefault="00EC3E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2" w:rsidRDefault="00EC3EF2">
    <w:pPr>
      <w:jc w:val="center"/>
      <w:rPr>
        <w:noProof/>
      </w:rPr>
    </w:pPr>
    <w:r>
      <w:fldChar w:fldCharType="begin"/>
    </w:r>
    <w:r>
      <w:instrText xml:space="preserve"> PAGE </w:instrText>
    </w:r>
    <w:r>
      <w:fldChar w:fldCharType="separate"/>
    </w:r>
    <w:r w:rsidR="00C947B7">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2" w:rsidRPr="0033525D" w:rsidRDefault="00EC3EF2">
    <w:pPr>
      <w:jc w:val="center"/>
    </w:pPr>
    <w:r>
      <w:fldChar w:fldCharType="begin"/>
    </w:r>
    <w:r>
      <w:instrText xml:space="preserve"> PAGE </w:instrText>
    </w:r>
    <w:r>
      <w:fldChar w:fldCharType="separate"/>
    </w:r>
    <w:r w:rsidR="00C947B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2" w:rsidRDefault="00EC3E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EF2" w:rsidRDefault="00EC3EF2" w:rsidP="004A504B">
      <w:r>
        <w:separator/>
      </w:r>
    </w:p>
  </w:footnote>
  <w:footnote w:type="continuationSeparator" w:id="0">
    <w:p w:rsidR="00EC3EF2" w:rsidRDefault="00EC3EF2" w:rsidP="004A504B">
      <w:r>
        <w:continuationSeparator/>
      </w:r>
    </w:p>
  </w:footnote>
  <w:footnote w:id="1">
    <w:p w:rsidR="00EC3EF2" w:rsidRDefault="00EC3EF2" w:rsidP="00130205">
      <w:pPr>
        <w:pStyle w:val="FootnoteText"/>
        <w:widowControl w:val="0"/>
      </w:pPr>
      <w:r>
        <w:rPr>
          <w:rStyle w:val="FootnoteReference"/>
        </w:rPr>
        <w:footnoteRef/>
      </w:r>
      <w:r>
        <w:t xml:space="preserve"> The Committee invited the Government, through the relevant implementing agency, in future financial audit reports, to provide data on all funds that were being held by the Government for disbursement to beneficiaries, and the interest accrued from those balances, on the process agent II, solvent and the refrigeration servicing sector plans; and information on progress related to the work plans for the sector plans and its proposal on how to use potential balances.</w:t>
      </w:r>
    </w:p>
  </w:footnote>
  <w:footnote w:id="2">
    <w:p w:rsidR="00EC3EF2" w:rsidRDefault="00EC3EF2" w:rsidP="00130205">
      <w:pPr>
        <w:pStyle w:val="FootnoteText"/>
        <w:widowControl w:val="0"/>
      </w:pPr>
      <w:r>
        <w:rPr>
          <w:rStyle w:val="FootnoteReference"/>
        </w:rPr>
        <w:footnoteRef/>
      </w:r>
      <w:r>
        <w:t xml:space="preserve"> </w:t>
      </w:r>
      <w:r w:rsidRPr="00B84511">
        <w:t>The Committee invited the Government</w:t>
      </w:r>
      <w:r>
        <w:t>,</w:t>
      </w:r>
      <w:r w:rsidRPr="00B84511">
        <w:t xml:space="preserve"> through the relevant implementing agency,</w:t>
      </w:r>
      <w:r>
        <w:t xml:space="preserve"> </w:t>
      </w:r>
      <w:r w:rsidRPr="00B84511">
        <w:t>to submit to the 73</w:t>
      </w:r>
      <w:r w:rsidRPr="00B84511">
        <w:rPr>
          <w:vertAlign w:val="superscript"/>
        </w:rPr>
        <w:t>rd</w:t>
      </w:r>
      <w:r>
        <w:rPr>
          <w:vertAlign w:val="superscript"/>
        </w:rPr>
        <w:t> </w:t>
      </w:r>
      <w:r w:rsidRPr="00B84511">
        <w:t>meeting the financial audit reports for the process agent II, solvent and CFC refrigeration servicing sectors, together with the plans for the remaining funds for the halon, CFC production, foam, process agent II, solvent, and CFC refrigeration servicing sectors, describing how they would be used for activities related to ODS phase</w:t>
      </w:r>
      <w:r>
        <w:noBreakHyphen/>
      </w:r>
      <w:r w:rsidRPr="00B84511">
        <w:t>out and allow for the completion of those sector plans by the end of 2018.</w:t>
      </w:r>
    </w:p>
  </w:footnote>
  <w:footnote w:id="3">
    <w:p w:rsidR="00EC3EF2" w:rsidRDefault="00EC3EF2" w:rsidP="00130205">
      <w:pPr>
        <w:pStyle w:val="FootnoteText"/>
        <w:widowControl w:val="0"/>
      </w:pPr>
      <w:r>
        <w:rPr>
          <w:rStyle w:val="FootnoteReference"/>
        </w:rPr>
        <w:footnoteRef/>
      </w:r>
      <w:r>
        <w:t xml:space="preserve"> The Government and the relevant bilateral and implementing agencies were requested to submit annual progress reports, audit reports, and interest accrued during the implementation of the CFC production, halon, PU foam, process agent II, refrigeration servicing and solvent sector plans, until the completion of all activities no later than 31 December 2018, and to submit project completion reports for the sector plans no later than the first meeting in 2019.</w:t>
      </w:r>
    </w:p>
  </w:footnote>
  <w:footnote w:id="4">
    <w:p w:rsidR="00EC3EF2" w:rsidRDefault="00EC3EF2" w:rsidP="00130205">
      <w:pPr>
        <w:pStyle w:val="FootnoteText"/>
        <w:widowControl w:val="0"/>
      </w:pPr>
      <w:r>
        <w:rPr>
          <w:rStyle w:val="FootnoteReference"/>
        </w:rPr>
        <w:footnoteRef/>
      </w:r>
      <w:r>
        <w:t xml:space="preserve"> The Government was invited to include the results of the activities on the screening and evaluation of CFC</w:t>
      </w:r>
      <w:r>
        <w:noBreakHyphen/>
        <w:t>free substitutes and the development of new substitutes in a report to be submitted when those activities had been completed; to collect information where available on halon recovery as part of its collection of information on CFC recovery during visits to ship dismantling centres; and to undertake a study on its country’s production of CTC and its use for feedstock applications and to make the results of the study available to the Committee by the end of 2018.</w:t>
      </w:r>
    </w:p>
  </w:footnote>
  <w:footnote w:id="5">
    <w:p w:rsidR="00EC3EF2" w:rsidRDefault="00EC3EF2" w:rsidP="00130205">
      <w:pPr>
        <w:pStyle w:val="FootnoteText"/>
        <w:widowControl w:val="0"/>
      </w:pPr>
      <w:r>
        <w:rPr>
          <w:rStyle w:val="FootnoteReference"/>
        </w:rPr>
        <w:footnoteRef/>
      </w:r>
      <w:r>
        <w:t xml:space="preserve"> </w:t>
      </w:r>
      <w:r w:rsidRPr="00E8599D">
        <w:t>T</w:t>
      </w:r>
      <w:r>
        <w:t>he</w:t>
      </w:r>
      <w:r w:rsidRPr="00E8599D">
        <w:t xml:space="preserve"> Government </w:t>
      </w:r>
      <w:r>
        <w:t xml:space="preserve">was requested </w:t>
      </w:r>
      <w:r w:rsidRPr="00E8599D">
        <w:t>to provide to the 79</w:t>
      </w:r>
      <w:r w:rsidRPr="00E8599D">
        <w:rPr>
          <w:vertAlign w:val="superscript"/>
        </w:rPr>
        <w:t>th</w:t>
      </w:r>
      <w:r>
        <w:t xml:space="preserve"> </w:t>
      </w:r>
      <w:r w:rsidRPr="00E8599D">
        <w:t xml:space="preserve">meeting final study reports on all </w:t>
      </w:r>
      <w:r w:rsidR="0066468D">
        <w:t>R&amp;D</w:t>
      </w:r>
      <w:r w:rsidRPr="00E8599D">
        <w:t xml:space="preserve"> projects undertaken with funds from the</w:t>
      </w:r>
      <w:r>
        <w:t xml:space="preserve"> Multilateral</w:t>
      </w:r>
      <w:r w:rsidRPr="00E8599D">
        <w:t xml:space="preserve"> Fund under the CFC production sector.</w:t>
      </w:r>
    </w:p>
  </w:footnote>
  <w:footnote w:id="6">
    <w:p w:rsidR="00EC3EF2" w:rsidRDefault="00EC3EF2" w:rsidP="00130205">
      <w:pPr>
        <w:pStyle w:val="FootnoteText"/>
        <w:widowControl w:val="0"/>
      </w:pPr>
      <w:r>
        <w:rPr>
          <w:rStyle w:val="FootnoteReference"/>
        </w:rPr>
        <w:footnoteRef/>
      </w:r>
      <w:r>
        <w:t xml:space="preserve"> </w:t>
      </w:r>
      <w:r w:rsidRPr="008952CF">
        <w:t>T</w:t>
      </w:r>
      <w:r>
        <w:t>he</w:t>
      </w:r>
      <w:r w:rsidRPr="008952CF">
        <w:t xml:space="preserve"> </w:t>
      </w:r>
      <w:r>
        <w:t xml:space="preserve">Committee </w:t>
      </w:r>
      <w:r w:rsidRPr="008952CF">
        <w:t>note</w:t>
      </w:r>
      <w:r>
        <w:t>d</w:t>
      </w:r>
      <w:r w:rsidRPr="008952CF">
        <w:t xml:space="preserve"> with appreciation that the Government has confirmed that the funding balances associated with each of the sector plans will be fully disbursed by the end of 2018; that relevant research and technical assistance reports will be submitted to the last meeting of 2018, and that the project completion reports will be submitted to the first meeting in 2019.</w:t>
      </w:r>
    </w:p>
  </w:footnote>
  <w:footnote w:id="7">
    <w:p w:rsidR="00EC3EF2" w:rsidRPr="008C72AE" w:rsidRDefault="00EC3EF2" w:rsidP="00130205">
      <w:pPr>
        <w:pStyle w:val="FootnoteText"/>
        <w:rPr>
          <w:lang w:val="en-CA"/>
        </w:rPr>
      </w:pPr>
      <w:r>
        <w:rPr>
          <w:rStyle w:val="FootnoteReference"/>
        </w:rPr>
        <w:footnoteRef/>
      </w:r>
      <w:r>
        <w:t xml:space="preserve"> </w:t>
      </w:r>
      <w:r>
        <w:rPr>
          <w:lang w:val="en-CA"/>
        </w:rPr>
        <w:t>Part I of document UNEP/</w:t>
      </w:r>
      <w:proofErr w:type="spellStart"/>
      <w:r>
        <w:rPr>
          <w:lang w:val="en-CA"/>
        </w:rPr>
        <w:t>OzL.Pro</w:t>
      </w:r>
      <w:proofErr w:type="spellEnd"/>
      <w:r>
        <w:rPr>
          <w:lang w:val="en-CA"/>
        </w:rPr>
        <w:t>/</w:t>
      </w:r>
      <w:proofErr w:type="spellStart"/>
      <w:r>
        <w:rPr>
          <w:lang w:val="en-CA"/>
        </w:rPr>
        <w:t>ExCom</w:t>
      </w:r>
      <w:proofErr w:type="spellEnd"/>
      <w:r>
        <w:rPr>
          <w:lang w:val="en-CA"/>
        </w:rPr>
        <w:t>/83/11/Add.1.</w:t>
      </w:r>
    </w:p>
  </w:footnote>
  <w:footnote w:id="8">
    <w:p w:rsidR="00EC3EF2" w:rsidRPr="00BF6D1A" w:rsidRDefault="00EC3EF2" w:rsidP="00130205">
      <w:pPr>
        <w:pStyle w:val="FootnoteText"/>
      </w:pPr>
      <w:r>
        <w:rPr>
          <w:rStyle w:val="FootnoteReference"/>
        </w:rPr>
        <w:footnoteRef/>
      </w:r>
      <w:r>
        <w:t xml:space="preserve"> </w:t>
      </w:r>
      <w:r w:rsidRPr="00466583">
        <w:t>Updated figures based on the audit report submitted by the Government of China as of 30 June 2019, which included data on the process agent II.</w:t>
      </w:r>
      <w:r>
        <w:t xml:space="preserve"> </w:t>
      </w:r>
    </w:p>
  </w:footnote>
  <w:footnote w:id="9">
    <w:p w:rsidR="00EC3EF2" w:rsidRDefault="00EC3EF2" w:rsidP="00130205">
      <w:pPr>
        <w:pStyle w:val="FootnoteText"/>
      </w:pPr>
      <w:r>
        <w:rPr>
          <w:rStyle w:val="FootnoteReference"/>
        </w:rPr>
        <w:footnoteRef/>
      </w:r>
      <w:r>
        <w:t xml:space="preserve"> </w:t>
      </w:r>
      <w:r w:rsidRPr="00487B08">
        <w:t xml:space="preserve">Beijing Yuji, </w:t>
      </w:r>
      <w:proofErr w:type="spellStart"/>
      <w:r w:rsidRPr="00487B08">
        <w:t>Dongyang</w:t>
      </w:r>
      <w:proofErr w:type="spellEnd"/>
      <w:r w:rsidRPr="00487B08">
        <w:t xml:space="preserve"> </w:t>
      </w:r>
      <w:proofErr w:type="spellStart"/>
      <w:r w:rsidRPr="00487B08">
        <w:t>Weihua</w:t>
      </w:r>
      <w:proofErr w:type="spellEnd"/>
      <w:r w:rsidRPr="00487B08">
        <w:t xml:space="preserve">, Shanghai </w:t>
      </w:r>
      <w:proofErr w:type="spellStart"/>
      <w:r w:rsidRPr="00487B08">
        <w:t>Xilikang</w:t>
      </w:r>
      <w:proofErr w:type="spellEnd"/>
      <w:r>
        <w:t>,</w:t>
      </w:r>
      <w:r w:rsidRPr="00487B08">
        <w:t xml:space="preserve"> </w:t>
      </w:r>
      <w:proofErr w:type="spellStart"/>
      <w:r w:rsidRPr="00487B08">
        <w:t>Quzhou</w:t>
      </w:r>
      <w:proofErr w:type="spellEnd"/>
      <w:r w:rsidRPr="00487B08">
        <w:t xml:space="preserve"> </w:t>
      </w:r>
      <w:proofErr w:type="spellStart"/>
      <w:r w:rsidRPr="00487B08">
        <w:t>Sancheng</w:t>
      </w:r>
      <w:proofErr w:type="spellEnd"/>
      <w:r>
        <w:t xml:space="preserve"> and </w:t>
      </w:r>
      <w:proofErr w:type="spellStart"/>
      <w:r>
        <w:rPr>
          <w:lang w:eastAsia="zh-CN"/>
        </w:rPr>
        <w:t>Huaxia</w:t>
      </w:r>
      <w:proofErr w:type="spellEnd"/>
      <w:r>
        <w:rPr>
          <w:lang w:eastAsia="zh-CN"/>
        </w:rPr>
        <w:t xml:space="preserve"> </w:t>
      </w:r>
      <w:proofErr w:type="spellStart"/>
      <w:r>
        <w:rPr>
          <w:lang w:eastAsia="zh-CN"/>
        </w:rPr>
        <w:t>Shenzhou</w:t>
      </w:r>
      <w:proofErr w:type="spellEnd"/>
      <w:r>
        <w:rPr>
          <w:lang w:eastAsia="zh-CN"/>
        </w:rPr>
        <w:t>.</w:t>
      </w:r>
    </w:p>
  </w:footnote>
  <w:footnote w:id="10">
    <w:p w:rsidR="00EC3EF2" w:rsidRPr="007864D1" w:rsidRDefault="00EC3EF2" w:rsidP="00130205">
      <w:pPr>
        <w:pStyle w:val="FootnoteText"/>
        <w:rPr>
          <w:lang w:val="en-CA"/>
        </w:rPr>
      </w:pPr>
      <w:r w:rsidRPr="007864D1">
        <w:rPr>
          <w:rStyle w:val="FootnoteReference"/>
        </w:rPr>
        <w:footnoteRef/>
      </w:r>
      <w:r w:rsidRPr="007864D1">
        <w:t xml:space="preserve"> </w:t>
      </w:r>
      <w:r w:rsidRPr="007864D1">
        <w:rPr>
          <w:lang w:val="en-CA"/>
        </w:rPr>
        <w:t>A table with the value of the contracts signed with each EEB was made available to the Secretariat.</w:t>
      </w:r>
    </w:p>
  </w:footnote>
  <w:footnote w:id="11">
    <w:p w:rsidR="00EC3EF2" w:rsidRPr="00B26921" w:rsidRDefault="00EC3EF2" w:rsidP="00130205">
      <w:pPr>
        <w:pStyle w:val="FootnoteText"/>
        <w:rPr>
          <w:b/>
        </w:rPr>
      </w:pPr>
      <w:r>
        <w:rPr>
          <w:rStyle w:val="FootnoteReference"/>
        </w:rPr>
        <w:footnoteRef/>
      </w:r>
      <w:r>
        <w:t xml:space="preserve"> </w:t>
      </w:r>
      <w:r w:rsidRPr="00B26921">
        <w:rPr>
          <w:b/>
        </w:rPr>
        <w:t>Model EW-4400 portable photoionization gas chromatograph, manufactured by East and West Analytical Instruments at a cost of US $20,000 apiece.</w:t>
      </w:r>
    </w:p>
  </w:footnote>
  <w:footnote w:id="12">
    <w:p w:rsidR="00EC3EF2" w:rsidRDefault="00EC3EF2" w:rsidP="00130205">
      <w:pPr>
        <w:pStyle w:val="FootnoteText"/>
      </w:pPr>
      <w:r>
        <w:rPr>
          <w:rStyle w:val="FootnoteReference"/>
        </w:rPr>
        <w:footnoteRef/>
      </w:r>
      <w:r>
        <w:t xml:space="preserve"> </w:t>
      </w:r>
      <w:r>
        <w:rPr>
          <w:lang w:val="en-CA"/>
        </w:rPr>
        <w:t xml:space="preserve">As noted in </w:t>
      </w:r>
      <w:r w:rsidRPr="002633CE">
        <w:rPr>
          <w:lang w:val="en-CA"/>
        </w:rPr>
        <w:t>UNEP/</w:t>
      </w:r>
      <w:proofErr w:type="spellStart"/>
      <w:r w:rsidRPr="002633CE">
        <w:rPr>
          <w:lang w:val="en-CA"/>
        </w:rPr>
        <w:t>OzL.Pro</w:t>
      </w:r>
      <w:proofErr w:type="spellEnd"/>
      <w:r w:rsidRPr="002633CE">
        <w:rPr>
          <w:lang w:val="en-CA"/>
        </w:rPr>
        <w:t>/</w:t>
      </w:r>
      <w:proofErr w:type="spellStart"/>
      <w:r w:rsidRPr="002633CE">
        <w:rPr>
          <w:lang w:val="en-CA"/>
        </w:rPr>
        <w:t>ExCom</w:t>
      </w:r>
      <w:proofErr w:type="spellEnd"/>
      <w:r w:rsidRPr="002633CE">
        <w:rPr>
          <w:lang w:val="en-CA"/>
        </w:rPr>
        <w:t>/82</w:t>
      </w:r>
      <w:r>
        <w:rPr>
          <w:lang w:val="en-CA"/>
        </w:rPr>
        <w:t>/SGP/03, HFC-23 is used as a feedstock during the production of halon</w:t>
      </w:r>
      <w:r>
        <w:rPr>
          <w:lang w:val="en-CA"/>
        </w:rPr>
        <w:noBreakHyphen/>
        <w:t>1301.</w:t>
      </w:r>
    </w:p>
  </w:footnote>
  <w:footnote w:id="13">
    <w:p w:rsidR="00EC3EF2" w:rsidRPr="004B22A3" w:rsidRDefault="00EC3EF2" w:rsidP="008C5362">
      <w:pPr>
        <w:pStyle w:val="FootnoteText"/>
      </w:pPr>
      <w:r>
        <w:rPr>
          <w:rStyle w:val="FootnoteReference"/>
        </w:rPr>
        <w:footnoteRef/>
      </w:r>
      <w:r>
        <w:t xml:space="preserve"> </w:t>
      </w:r>
      <w:r w:rsidRPr="004B22A3">
        <w:t>UNEP/</w:t>
      </w:r>
      <w:proofErr w:type="spellStart"/>
      <w:r w:rsidRPr="004B22A3">
        <w:t>OzL.Pro</w:t>
      </w:r>
      <w:proofErr w:type="spellEnd"/>
      <w:r w:rsidRPr="004B22A3">
        <w:t>/</w:t>
      </w:r>
      <w:proofErr w:type="spellStart"/>
      <w:r w:rsidRPr="004B22A3">
        <w:t>ExCom</w:t>
      </w:r>
      <w:proofErr w:type="spellEnd"/>
      <w:r w:rsidRPr="004B22A3">
        <w:t>/83/11/Add.1</w:t>
      </w:r>
      <w:r>
        <w:t xml:space="preserve"> (Part V).</w:t>
      </w:r>
    </w:p>
  </w:footnote>
  <w:footnote w:id="14">
    <w:p w:rsidR="00EC3EF2" w:rsidRPr="005F69E4" w:rsidRDefault="00EC3EF2" w:rsidP="008C5362">
      <w:pPr>
        <w:pStyle w:val="FootnoteText"/>
        <w:rPr>
          <w:lang w:val="en-CA"/>
        </w:rPr>
      </w:pPr>
      <w:r>
        <w:rPr>
          <w:rStyle w:val="FootnoteReference"/>
        </w:rPr>
        <w:footnoteRef/>
      </w:r>
      <w:r>
        <w:t xml:space="preserve"> </w:t>
      </w:r>
      <w:r w:rsidRPr="005F69E4">
        <w:rPr>
          <w:lang w:val="en-US"/>
        </w:rPr>
        <w:t>UNEP/</w:t>
      </w:r>
      <w:proofErr w:type="spellStart"/>
      <w:r w:rsidRPr="005F69E4">
        <w:rPr>
          <w:lang w:val="en-US"/>
        </w:rPr>
        <w:t>OzL.Pro</w:t>
      </w:r>
      <w:proofErr w:type="spellEnd"/>
      <w:r w:rsidRPr="005F69E4">
        <w:rPr>
          <w:lang w:val="en-US"/>
        </w:rPr>
        <w:t>/</w:t>
      </w:r>
      <w:proofErr w:type="spellStart"/>
      <w:r w:rsidRPr="005F69E4">
        <w:rPr>
          <w:lang w:val="en-US"/>
        </w:rPr>
        <w:t>ExCom</w:t>
      </w:r>
      <w:proofErr w:type="spellEnd"/>
      <w:r w:rsidRPr="005F69E4">
        <w:rPr>
          <w:lang w:val="en-US"/>
        </w:rPr>
        <w:t>/83/11/Add.1</w:t>
      </w:r>
      <w:r>
        <w:rPr>
          <w:lang w:val="en-US"/>
        </w:rPr>
        <w:t xml:space="preserve"> and </w:t>
      </w:r>
      <w:r w:rsidRPr="005F69E4">
        <w:rPr>
          <w:lang w:val="en-US"/>
        </w:rPr>
        <w:t>UNEP/</w:t>
      </w:r>
      <w:proofErr w:type="spellStart"/>
      <w:r w:rsidRPr="005F69E4">
        <w:rPr>
          <w:lang w:val="en-US"/>
        </w:rPr>
        <w:t>OzL.Pro</w:t>
      </w:r>
      <w:proofErr w:type="spellEnd"/>
      <w:r w:rsidRPr="005F69E4">
        <w:rPr>
          <w:lang w:val="en-US"/>
        </w:rPr>
        <w:t>/</w:t>
      </w:r>
      <w:proofErr w:type="spellStart"/>
      <w:r w:rsidRPr="005F69E4">
        <w:rPr>
          <w:lang w:val="en-US"/>
        </w:rPr>
        <w:t>ExCom</w:t>
      </w:r>
      <w:proofErr w:type="spellEnd"/>
      <w:r w:rsidRPr="005F69E4">
        <w:rPr>
          <w:lang w:val="en-US"/>
        </w:rPr>
        <w:t>/8</w:t>
      </w:r>
      <w:r>
        <w:rPr>
          <w:lang w:val="en-US"/>
        </w:rPr>
        <w:t>4/22</w:t>
      </w:r>
      <w:r w:rsidRPr="005F69E4">
        <w:rPr>
          <w:lang w:val="en-US"/>
        </w:rPr>
        <w:t>/Add.1</w:t>
      </w:r>
      <w:r>
        <w:rPr>
          <w:lang w:val="en-US"/>
        </w:rPr>
        <w:t>.</w:t>
      </w:r>
    </w:p>
  </w:footnote>
  <w:footnote w:id="15">
    <w:p w:rsidR="00EC3EF2" w:rsidRPr="00B6629E" w:rsidRDefault="00EC3EF2" w:rsidP="008C5362">
      <w:pPr>
        <w:pStyle w:val="FootnoteText"/>
        <w:rPr>
          <w:lang w:val="en-CA"/>
        </w:rPr>
      </w:pPr>
      <w:r>
        <w:rPr>
          <w:rStyle w:val="FootnoteReference"/>
        </w:rPr>
        <w:footnoteRef/>
      </w:r>
      <w:r>
        <w:t xml:space="preserve"> P</w:t>
      </w:r>
      <w:proofErr w:type="spellStart"/>
      <w:r w:rsidRPr="00B6629E">
        <w:rPr>
          <w:lang w:val="en-US"/>
        </w:rPr>
        <w:t>aragraph</w:t>
      </w:r>
      <w:proofErr w:type="spellEnd"/>
      <w:r w:rsidRPr="00B6629E">
        <w:rPr>
          <w:lang w:val="en-US"/>
        </w:rPr>
        <w:t xml:space="preserve"> 52(c) of UNEP/</w:t>
      </w:r>
      <w:proofErr w:type="spellStart"/>
      <w:r w:rsidRPr="00B6629E">
        <w:rPr>
          <w:lang w:val="en-US"/>
        </w:rPr>
        <w:t>OzL.Pro</w:t>
      </w:r>
      <w:proofErr w:type="spellEnd"/>
      <w:r w:rsidRPr="00B6629E">
        <w:rPr>
          <w:lang w:val="en-US"/>
        </w:rPr>
        <w:t>/</w:t>
      </w:r>
      <w:proofErr w:type="spellStart"/>
      <w:r w:rsidRPr="00B6629E">
        <w:rPr>
          <w:lang w:val="en-US"/>
        </w:rPr>
        <w:t>ExCom</w:t>
      </w:r>
      <w:proofErr w:type="spellEnd"/>
      <w:r w:rsidRPr="00B6629E">
        <w:rPr>
          <w:lang w:val="en-US"/>
        </w:rPr>
        <w:t>/83/11/Add.1</w:t>
      </w:r>
      <w:r>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2" w:rsidRPr="0033525D" w:rsidRDefault="00EC3EF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/84/22/Add.1</w:t>
    </w:r>
    <w:r>
      <w:fldChar w:fldCharType="end"/>
    </w:r>
  </w:p>
  <w:p w:rsidR="00EC3EF2" w:rsidRPr="0033525D" w:rsidRDefault="00EC3EF2"/>
  <w:p w:rsidR="00EC3EF2" w:rsidRPr="0033525D" w:rsidRDefault="00EC3E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2" w:rsidRPr="0033525D" w:rsidRDefault="00EC3EF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/84/22/Add.1</w:t>
    </w:r>
    <w:r>
      <w:fldChar w:fldCharType="end"/>
    </w:r>
  </w:p>
  <w:p w:rsidR="00EC3EF2" w:rsidRPr="0033525D" w:rsidRDefault="00EC3EF2"/>
  <w:p w:rsidR="00EC3EF2" w:rsidRPr="0033525D" w:rsidRDefault="00EC3E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CC7B0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4"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7"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4"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29"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5"/>
  </w:num>
  <w:num w:numId="18">
    <w:abstractNumId w:val="26"/>
  </w:num>
  <w:num w:numId="19">
    <w:abstractNumId w:val="34"/>
  </w:num>
  <w:num w:numId="20">
    <w:abstractNumId w:val="18"/>
  </w:num>
  <w:num w:numId="21">
    <w:abstractNumId w:val="30"/>
  </w:num>
  <w:num w:numId="22">
    <w:abstractNumId w:val="10"/>
  </w:num>
  <w:num w:numId="23">
    <w:abstractNumId w:val="10"/>
  </w:num>
  <w:num w:numId="24">
    <w:abstractNumId w:val="10"/>
  </w:num>
  <w:num w:numId="25">
    <w:abstractNumId w:val="10"/>
  </w:num>
  <w:num w:numId="26">
    <w:abstractNumId w:val="22"/>
  </w:num>
  <w:num w:numId="27">
    <w:abstractNumId w:val="19"/>
  </w:num>
  <w:num w:numId="28">
    <w:abstractNumId w:val="27"/>
  </w:num>
  <w:num w:numId="29">
    <w:abstractNumId w:val="14"/>
  </w:num>
  <w:num w:numId="30">
    <w:abstractNumId w:val="17"/>
  </w:num>
  <w:num w:numId="31">
    <w:abstractNumId w:val="13"/>
  </w:num>
  <w:num w:numId="32">
    <w:abstractNumId w:val="28"/>
  </w:num>
  <w:num w:numId="33">
    <w:abstractNumId w:val="16"/>
  </w:num>
  <w:num w:numId="34">
    <w:abstractNumId w:val="23"/>
  </w:num>
  <w:num w:numId="35">
    <w:abstractNumId w:val="31"/>
  </w:num>
  <w:num w:numId="36">
    <w:abstractNumId w:val="29"/>
  </w:num>
  <w:num w:numId="37">
    <w:abstractNumId w:val="33"/>
  </w:num>
  <w:num w:numId="38">
    <w:abstractNumId w:val="12"/>
  </w:num>
  <w:num w:numId="39">
    <w:abstractNumId w:val="32"/>
  </w:num>
  <w:num w:numId="40">
    <w:abstractNumId w:val="20"/>
  </w:num>
  <w:num w:numId="41">
    <w:abstractNumId w:val="11"/>
  </w:num>
  <w:num w:numId="42">
    <w:abstractNumId w:val="21"/>
  </w:num>
  <w:num w:numId="43">
    <w:abstractNumId w:val="24"/>
  </w:num>
  <w:num w:numId="44">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B0F7C"/>
    <w:rsid w:val="00000FED"/>
    <w:rsid w:val="0000434E"/>
    <w:rsid w:val="00017C3F"/>
    <w:rsid w:val="000211A9"/>
    <w:rsid w:val="00031260"/>
    <w:rsid w:val="0003681A"/>
    <w:rsid w:val="00052C5C"/>
    <w:rsid w:val="00061EC2"/>
    <w:rsid w:val="00080ED0"/>
    <w:rsid w:val="00085B8F"/>
    <w:rsid w:val="00090481"/>
    <w:rsid w:val="00092009"/>
    <w:rsid w:val="00094471"/>
    <w:rsid w:val="000A6C26"/>
    <w:rsid w:val="000D52A4"/>
    <w:rsid w:val="000E07BC"/>
    <w:rsid w:val="000E59CB"/>
    <w:rsid w:val="000F1CD4"/>
    <w:rsid w:val="000F30BC"/>
    <w:rsid w:val="000F4103"/>
    <w:rsid w:val="000F70A7"/>
    <w:rsid w:val="00113CCA"/>
    <w:rsid w:val="00122F25"/>
    <w:rsid w:val="00130205"/>
    <w:rsid w:val="0013107A"/>
    <w:rsid w:val="00135980"/>
    <w:rsid w:val="00164719"/>
    <w:rsid w:val="00166FC4"/>
    <w:rsid w:val="001677AC"/>
    <w:rsid w:val="001804EA"/>
    <w:rsid w:val="00190A61"/>
    <w:rsid w:val="001A3342"/>
    <w:rsid w:val="001A3E3D"/>
    <w:rsid w:val="001A7049"/>
    <w:rsid w:val="001B1D88"/>
    <w:rsid w:val="001B1E40"/>
    <w:rsid w:val="001B383C"/>
    <w:rsid w:val="001B6487"/>
    <w:rsid w:val="001C3C80"/>
    <w:rsid w:val="001C764E"/>
    <w:rsid w:val="001D2C9C"/>
    <w:rsid w:val="001D5CF4"/>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24035"/>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95F73"/>
    <w:rsid w:val="003A3189"/>
    <w:rsid w:val="003A3CA7"/>
    <w:rsid w:val="003B33BD"/>
    <w:rsid w:val="003B569D"/>
    <w:rsid w:val="003B5BC6"/>
    <w:rsid w:val="003C0C29"/>
    <w:rsid w:val="003C3C0E"/>
    <w:rsid w:val="003C7161"/>
    <w:rsid w:val="003D2ACB"/>
    <w:rsid w:val="003D4FAC"/>
    <w:rsid w:val="003E7906"/>
    <w:rsid w:val="003F3C50"/>
    <w:rsid w:val="003F5FBE"/>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9513E"/>
    <w:rsid w:val="005A2438"/>
    <w:rsid w:val="005A4390"/>
    <w:rsid w:val="005B48FF"/>
    <w:rsid w:val="00604C15"/>
    <w:rsid w:val="00614BE0"/>
    <w:rsid w:val="006158D5"/>
    <w:rsid w:val="00621739"/>
    <w:rsid w:val="00625D83"/>
    <w:rsid w:val="006623E7"/>
    <w:rsid w:val="00662B80"/>
    <w:rsid w:val="0066468D"/>
    <w:rsid w:val="00670F6C"/>
    <w:rsid w:val="00675795"/>
    <w:rsid w:val="006852C7"/>
    <w:rsid w:val="006852CE"/>
    <w:rsid w:val="006C1727"/>
    <w:rsid w:val="006C32FD"/>
    <w:rsid w:val="006C39CE"/>
    <w:rsid w:val="006D0FCC"/>
    <w:rsid w:val="006D1D2D"/>
    <w:rsid w:val="006D54FC"/>
    <w:rsid w:val="006E1FC3"/>
    <w:rsid w:val="0070616B"/>
    <w:rsid w:val="00706FDA"/>
    <w:rsid w:val="00711F9A"/>
    <w:rsid w:val="00713810"/>
    <w:rsid w:val="00722CF2"/>
    <w:rsid w:val="007303A5"/>
    <w:rsid w:val="00730B3E"/>
    <w:rsid w:val="0073420B"/>
    <w:rsid w:val="00741F73"/>
    <w:rsid w:val="0074760E"/>
    <w:rsid w:val="00754ABA"/>
    <w:rsid w:val="00782BED"/>
    <w:rsid w:val="007A1546"/>
    <w:rsid w:val="007A228C"/>
    <w:rsid w:val="007A368E"/>
    <w:rsid w:val="007A5868"/>
    <w:rsid w:val="007B04CE"/>
    <w:rsid w:val="007B2DC6"/>
    <w:rsid w:val="007B6871"/>
    <w:rsid w:val="007B7A2F"/>
    <w:rsid w:val="007C227C"/>
    <w:rsid w:val="007C3D33"/>
    <w:rsid w:val="007D294A"/>
    <w:rsid w:val="007D47D2"/>
    <w:rsid w:val="007D6EC0"/>
    <w:rsid w:val="007D7E1D"/>
    <w:rsid w:val="00831179"/>
    <w:rsid w:val="00831979"/>
    <w:rsid w:val="00851352"/>
    <w:rsid w:val="00863230"/>
    <w:rsid w:val="008717D8"/>
    <w:rsid w:val="0087215C"/>
    <w:rsid w:val="00874A6C"/>
    <w:rsid w:val="00880E35"/>
    <w:rsid w:val="008875FE"/>
    <w:rsid w:val="00887F8E"/>
    <w:rsid w:val="00894F66"/>
    <w:rsid w:val="00896234"/>
    <w:rsid w:val="00897E43"/>
    <w:rsid w:val="008B0F7C"/>
    <w:rsid w:val="008C5362"/>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81006"/>
    <w:rsid w:val="009960E5"/>
    <w:rsid w:val="009A7ADC"/>
    <w:rsid w:val="009B77A9"/>
    <w:rsid w:val="009C19B7"/>
    <w:rsid w:val="009D7C51"/>
    <w:rsid w:val="009E196C"/>
    <w:rsid w:val="009F36BF"/>
    <w:rsid w:val="009F48EF"/>
    <w:rsid w:val="00A111B6"/>
    <w:rsid w:val="00A2547B"/>
    <w:rsid w:val="00A26D27"/>
    <w:rsid w:val="00A376EE"/>
    <w:rsid w:val="00A42A99"/>
    <w:rsid w:val="00A5151A"/>
    <w:rsid w:val="00A56465"/>
    <w:rsid w:val="00A57E0A"/>
    <w:rsid w:val="00A809E6"/>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5C8A"/>
    <w:rsid w:val="00C104A8"/>
    <w:rsid w:val="00C15867"/>
    <w:rsid w:val="00C2296D"/>
    <w:rsid w:val="00C23155"/>
    <w:rsid w:val="00C3476B"/>
    <w:rsid w:val="00C40C41"/>
    <w:rsid w:val="00C45885"/>
    <w:rsid w:val="00C50F22"/>
    <w:rsid w:val="00C55303"/>
    <w:rsid w:val="00C57971"/>
    <w:rsid w:val="00C65BD7"/>
    <w:rsid w:val="00C76BA4"/>
    <w:rsid w:val="00C83A48"/>
    <w:rsid w:val="00C85865"/>
    <w:rsid w:val="00C85E85"/>
    <w:rsid w:val="00C8688D"/>
    <w:rsid w:val="00C947B7"/>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7BE"/>
    <w:rsid w:val="00CF5D04"/>
    <w:rsid w:val="00D04DE4"/>
    <w:rsid w:val="00D0546C"/>
    <w:rsid w:val="00D063F1"/>
    <w:rsid w:val="00D13CD0"/>
    <w:rsid w:val="00D14F22"/>
    <w:rsid w:val="00D22563"/>
    <w:rsid w:val="00D33CB4"/>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4259"/>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C1C3A"/>
    <w:rsid w:val="00EC3EF2"/>
    <w:rsid w:val="00ED27E8"/>
    <w:rsid w:val="00ED7137"/>
    <w:rsid w:val="00EE66BA"/>
    <w:rsid w:val="00F07A58"/>
    <w:rsid w:val="00F21088"/>
    <w:rsid w:val="00F268BE"/>
    <w:rsid w:val="00F26E2B"/>
    <w:rsid w:val="00F327E7"/>
    <w:rsid w:val="00F35746"/>
    <w:rsid w:val="00F36AC5"/>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2EC08BE"/>
  <w15:docId w15:val="{CCDA6279-192D-4DD7-A770-66DD9F86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981006"/>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981006"/>
    <w:rPr>
      <w:lang w:val="en-GB"/>
    </w:rPr>
  </w:style>
  <w:style w:type="character" w:styleId="FootnoteReference">
    <w:name w:val="footnote reference"/>
    <w:aliases w:val="Footnote Text1,Footnote text"/>
    <w:basedOn w:val="DefaultParagraphFont"/>
    <w:uiPriority w:val="99"/>
    <w:unhideWhenUsed/>
    <w:rsid w:val="00981006"/>
    <w:rPr>
      <w:rFonts w:cs="Times New Roman"/>
      <w:vertAlign w:val="superscript"/>
    </w:rPr>
  </w:style>
  <w:style w:type="paragraph" w:styleId="ListParagraph">
    <w:name w:val="List Paragraph"/>
    <w:basedOn w:val="Normal"/>
    <w:link w:val="ListParagraphChar"/>
    <w:uiPriority w:val="34"/>
    <w:qFormat/>
    <w:rsid w:val="00981006"/>
    <w:pPr>
      <w:ind w:left="720"/>
      <w:contextualSpacing/>
    </w:pPr>
  </w:style>
  <w:style w:type="character" w:customStyle="1" w:styleId="ListParagraphChar">
    <w:name w:val="List Paragraph Char"/>
    <w:link w:val="ListParagraph"/>
    <w:uiPriority w:val="34"/>
    <w:locked/>
    <w:rsid w:val="00981006"/>
    <w:rPr>
      <w:sz w:val="22"/>
      <w:szCs w:val="22"/>
      <w:lang w:val="en-GB"/>
    </w:rPr>
  </w:style>
  <w:style w:type="paragraph" w:styleId="EndnoteText">
    <w:name w:val="endnote text"/>
    <w:basedOn w:val="Normal"/>
    <w:link w:val="EndnoteTextChar"/>
    <w:uiPriority w:val="99"/>
    <w:semiHidden/>
    <w:unhideWhenUsed/>
    <w:rsid w:val="00130205"/>
    <w:rPr>
      <w:sz w:val="20"/>
      <w:szCs w:val="20"/>
    </w:rPr>
  </w:style>
  <w:style w:type="character" w:customStyle="1" w:styleId="EndnoteTextChar">
    <w:name w:val="Endnote Text Char"/>
    <w:basedOn w:val="DefaultParagraphFont"/>
    <w:link w:val="EndnoteText"/>
    <w:uiPriority w:val="99"/>
    <w:semiHidden/>
    <w:rsid w:val="00130205"/>
    <w:rPr>
      <w:lang w:val="en-GB"/>
    </w:rPr>
  </w:style>
  <w:style w:type="character" w:styleId="EndnoteReference">
    <w:name w:val="endnote reference"/>
    <w:basedOn w:val="DefaultParagraphFont"/>
    <w:uiPriority w:val="99"/>
    <w:semiHidden/>
    <w:unhideWhenUsed/>
    <w:rsid w:val="0013020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30205"/>
    <w:rPr>
      <w:sz w:val="22"/>
      <w:szCs w:val="22"/>
      <w:lang w:val="en-GB"/>
    </w:rPr>
  </w:style>
  <w:style w:type="character" w:styleId="Hyperlink">
    <w:name w:val="Hyperlink"/>
    <w:basedOn w:val="DefaultParagraphFont"/>
    <w:uiPriority w:val="99"/>
    <w:unhideWhenUsed/>
    <w:rsid w:val="00130205"/>
    <w:rPr>
      <w:color w:val="0000FF" w:themeColor="hyperlink"/>
      <w:u w:val="single"/>
    </w:rPr>
  </w:style>
  <w:style w:type="character" w:customStyle="1" w:styleId="HeaderChar">
    <w:name w:val="Header Char"/>
    <w:basedOn w:val="DefaultParagraphFont"/>
    <w:link w:val="Header"/>
    <w:uiPriority w:val="99"/>
    <w:rsid w:val="00130205"/>
    <w:rPr>
      <w:sz w:val="22"/>
      <w:szCs w:val="22"/>
      <w:lang w:val="en-GB"/>
    </w:rPr>
  </w:style>
  <w:style w:type="character" w:customStyle="1" w:styleId="FooterChar">
    <w:name w:val="Footer Char"/>
    <w:basedOn w:val="DefaultParagraphFont"/>
    <w:link w:val="Footer"/>
    <w:uiPriority w:val="99"/>
    <w:rsid w:val="00130205"/>
    <w:rPr>
      <w:sz w:val="22"/>
      <w:szCs w:val="22"/>
      <w:lang w:val="en-GB"/>
    </w:rPr>
  </w:style>
  <w:style w:type="table" w:customStyle="1" w:styleId="4-31">
    <w:name w:val="网格表 4 - 着色 3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130205"/>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130205"/>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130205"/>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130205"/>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130205"/>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0205"/>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130205"/>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javascript:;"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javascrip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UNEP/OzL.Pro/ExCom/84/22/Add.1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5B767F25-72D3-4264-A641-C6DDF428578F}"/>
</file>

<file path=customXml/itemProps2.xml><?xml version="1.0" encoding="utf-8"?>
<ds:datastoreItem xmlns:ds="http://schemas.openxmlformats.org/officeDocument/2006/customXml" ds:itemID="{D4CBE962-B2CB-4D38-8BCB-1941E609411A}"/>
</file>

<file path=customXml/itemProps3.xml><?xml version="1.0" encoding="utf-8"?>
<ds:datastoreItem xmlns:ds="http://schemas.openxmlformats.org/officeDocument/2006/customXml" ds:itemID="{EE30500B-2151-4F12-B282-E3C38D7CDEC4}"/>
</file>

<file path=customXml/itemProps4.xml><?xml version="1.0" encoding="utf-8"?>
<ds:datastoreItem xmlns:ds="http://schemas.openxmlformats.org/officeDocument/2006/customXml" ds:itemID="{026469FA-024C-4F89-B4F1-ECB6FBB9357E}"/>
</file>

<file path=docProps/app.xml><?xml version="1.0" encoding="utf-8"?>
<Properties xmlns="http://schemas.openxmlformats.org/officeDocument/2006/extended-properties" xmlns:vt="http://schemas.openxmlformats.org/officeDocument/2006/docPropsVTypes">
  <Template>Eec84G</Template>
  <TotalTime>185</TotalTime>
  <Pages>23</Pages>
  <Words>12055</Words>
  <Characters>68716</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 Addendum 1</dc:title>
  <dc:creator>Despina Psillou</dc:creator>
  <cp:lastModifiedBy>Saša CVIJETIĆ</cp:lastModifiedBy>
  <cp:revision>32</cp:revision>
  <cp:lastPrinted>2019-11-28T22:28:00Z</cp:lastPrinted>
  <dcterms:created xsi:type="dcterms:W3CDTF">2019-11-26T15:40:00Z</dcterms:created>
  <dcterms:modified xsi:type="dcterms:W3CDTF">2019-11-29T01:12:00Z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UNEP/OzL.Pro/ExCom/84/22/Add.1</vt:lpwstr>
  </property>
  <property fmtid="{D5CDD505-2E9C-101B-9397-08002B2CF9AE}" pid="3" name="Revision date">
    <vt:lpwstr>11/28/2019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