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9524F4" w:rsidTr="00614002">
        <w:trPr>
          <w:trHeight w:val="720"/>
        </w:trPr>
        <w:tc>
          <w:tcPr>
            <w:tcW w:w="4410" w:type="dxa"/>
            <w:gridSpan w:val="2"/>
            <w:tcBorders>
              <w:bottom w:val="single" w:sz="18" w:space="0" w:color="auto"/>
            </w:tcBorders>
          </w:tcPr>
          <w:p w:rsidR="009524F4" w:rsidRDefault="009524F4" w:rsidP="00614002">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9524F4" w:rsidRDefault="009524F4" w:rsidP="00614002">
            <w:pPr>
              <w:pStyle w:val="Heading3"/>
              <w:numPr>
                <w:ilvl w:val="0"/>
                <w:numId w:val="0"/>
              </w:numPr>
              <w:bidi/>
              <w:ind w:left="270" w:right="1384"/>
              <w:rPr>
                <w:b/>
                <w:bCs/>
                <w:sz w:val="48"/>
                <w:szCs w:val="48"/>
              </w:rPr>
            </w:pPr>
            <w:r>
              <w:rPr>
                <w:b/>
                <w:bCs/>
                <w:sz w:val="48"/>
                <w:szCs w:val="48"/>
                <w:rtl/>
              </w:rPr>
              <w:t>الأمم المتحدة</w:t>
            </w:r>
          </w:p>
        </w:tc>
      </w:tr>
      <w:tr w:rsidR="009524F4" w:rsidTr="006140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9524F4" w:rsidRDefault="009524F4" w:rsidP="00614002">
            <w:pPr>
              <w:spacing w:before="120"/>
              <w:jc w:val="left"/>
              <w:rPr>
                <w:lang w:val="en-US"/>
              </w:rPr>
            </w:pPr>
            <w:r>
              <w:rPr>
                <w:noProof/>
                <w:lang w:val="en-CA" w:eastAsia="en-CA"/>
              </w:rPr>
              <w:drawing>
                <wp:anchor distT="0" distB="0" distL="114300" distR="114300" simplePos="0" relativeHeight="25167052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950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9524F4" w:rsidRDefault="009524F4" w:rsidP="00614002">
            <w:pPr>
              <w:spacing w:before="120"/>
              <w:jc w:val="left"/>
              <w:rPr>
                <w:lang w:val="en-US"/>
              </w:rPr>
            </w:pPr>
            <w:r>
              <w:rPr>
                <w:lang w:val="en-US"/>
              </w:rPr>
              <w:t>GENERAL</w:t>
            </w:r>
          </w:p>
          <w:p w:rsidR="009524F4" w:rsidRPr="003F73BA" w:rsidRDefault="009524F4" w:rsidP="009524F4"/>
          <w:p w:rsidR="009524F4" w:rsidRPr="003F73BA" w:rsidRDefault="00FF00B4" w:rsidP="009524F4">
            <w:r>
              <w:fldChar w:fldCharType="begin"/>
            </w:r>
            <w:r>
              <w:instrText xml:space="preserve"> DOCPROPERTY "Document number"  \* MERGEFORMAT </w:instrText>
            </w:r>
            <w:r>
              <w:fldChar w:fldCharType="separate"/>
            </w:r>
            <w:r w:rsidR="00AA1F2D">
              <w:t>UNEP/</w:t>
            </w:r>
            <w:proofErr w:type="spellStart"/>
            <w:r w:rsidR="00AA1F2D">
              <w:t>OzL.Pro</w:t>
            </w:r>
            <w:proofErr w:type="spellEnd"/>
            <w:r w:rsidR="00AA1F2D">
              <w:t>/</w:t>
            </w:r>
            <w:proofErr w:type="spellStart"/>
            <w:r w:rsidR="00AA1F2D">
              <w:t>ExCom</w:t>
            </w:r>
            <w:proofErr w:type="spellEnd"/>
            <w:r w:rsidR="00AA1F2D">
              <w:t>/82/64</w:t>
            </w:r>
            <w:r>
              <w:fldChar w:fldCharType="end"/>
            </w:r>
          </w:p>
          <w:p w:rsidR="009524F4" w:rsidRPr="003F73BA" w:rsidRDefault="00FB362C" w:rsidP="009524F4">
            <w:r>
              <w:fldChar w:fldCharType="begin"/>
            </w:r>
            <w:r>
              <w:instrText xml:space="preserve"> DOCPROPERTY "Revision date" \@ "d MMMM YYYY"  \* MERGEFORMAT </w:instrText>
            </w:r>
            <w:r>
              <w:fldChar w:fldCharType="separate"/>
            </w:r>
            <w:r w:rsidR="009524F4">
              <w:t>2 Nove</w:t>
            </w:r>
            <w:bookmarkStart w:id="0" w:name="_GoBack"/>
            <w:bookmarkEnd w:id="0"/>
            <w:r w:rsidR="009524F4">
              <w:t>mber 2018</w:t>
            </w:r>
            <w:r>
              <w:fldChar w:fldCharType="end"/>
            </w:r>
          </w:p>
          <w:p w:rsidR="009524F4" w:rsidRPr="00000FED" w:rsidRDefault="009524F4" w:rsidP="009524F4">
            <w:pPr>
              <w:rPr>
                <w:caps/>
              </w:rPr>
            </w:pPr>
          </w:p>
          <w:p w:rsidR="009524F4" w:rsidRDefault="009524F4" w:rsidP="00614002">
            <w:pPr>
              <w:spacing w:before="120"/>
              <w:jc w:val="left"/>
              <w:rPr>
                <w:lang w:val="en-US"/>
              </w:rPr>
            </w:pPr>
            <w:r>
              <w:rPr>
                <w:lang w:val="en-US"/>
              </w:rPr>
              <w:t>ARABIC</w:t>
            </w:r>
          </w:p>
          <w:p w:rsidR="009524F4" w:rsidRDefault="009524F4" w:rsidP="00614002">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9524F4" w:rsidRDefault="009524F4" w:rsidP="0061400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9524F4" w:rsidRDefault="009524F4" w:rsidP="0061400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9524F4" w:rsidRDefault="009524F4" w:rsidP="00614002">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9524F4" w:rsidRDefault="009524F4" w:rsidP="00614002">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9524F4" w:rsidRDefault="009524F4" w:rsidP="00614002">
            <w:pPr>
              <w:rPr>
                <w:caps/>
                <w:lang w:val="en-US"/>
              </w:rPr>
            </w:pPr>
          </w:p>
          <w:p w:rsidR="009524F4" w:rsidRDefault="009524F4" w:rsidP="00614002">
            <w:pPr>
              <w:rPr>
                <w:lang w:val="en-US"/>
              </w:rPr>
            </w:pPr>
          </w:p>
        </w:tc>
      </w:tr>
    </w:tbl>
    <w:p w:rsidR="009524F4" w:rsidRDefault="009524F4" w:rsidP="009524F4">
      <w:pPr>
        <w:pStyle w:val="Caption"/>
        <w:spacing w:line="200" w:lineRule="exact"/>
        <w:ind w:left="187" w:right="187" w:hanging="187"/>
        <w:jc w:val="both"/>
        <w:rPr>
          <w:rFonts w:cs="Akhbar MT"/>
          <w:b/>
          <w:bCs/>
          <w:sz w:val="28"/>
          <w:szCs w:val="28"/>
          <w:rtl/>
        </w:rPr>
      </w:pPr>
    </w:p>
    <w:p w:rsidR="009524F4" w:rsidRDefault="009524F4" w:rsidP="009524F4">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9524F4" w:rsidRDefault="009524F4" w:rsidP="009524F4">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9524F4" w:rsidRDefault="009524F4" w:rsidP="009524F4">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الثاني والثمانين</w:t>
      </w:r>
    </w:p>
    <w:p w:rsidR="009524F4" w:rsidRDefault="009524F4" w:rsidP="009524F4">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3 إلى 7 ديسمبر/كانون أول </w:t>
      </w:r>
      <w:r w:rsidRPr="005C625E">
        <w:rPr>
          <w:rFonts w:hint="cs"/>
          <w:sz w:val="28"/>
          <w:szCs w:val="28"/>
          <w:rtl/>
        </w:rPr>
        <w:t>2018</w:t>
      </w:r>
    </w:p>
    <w:p w:rsidR="009524F4" w:rsidRPr="00717018" w:rsidRDefault="009524F4" w:rsidP="009524F4">
      <w:pPr>
        <w:bidi/>
        <w:jc w:val="left"/>
      </w:pPr>
    </w:p>
    <w:p w:rsidR="004E7F9C" w:rsidRPr="00B53E75" w:rsidRDefault="004E7F9C" w:rsidP="00BA1D63">
      <w:pPr>
        <w:pStyle w:val="Title1"/>
        <w:bidi/>
        <w:jc w:val="both"/>
        <w:rPr>
          <w:b w:val="0"/>
        </w:rPr>
      </w:pPr>
    </w:p>
    <w:p w:rsidR="000441B0" w:rsidRPr="000441B0" w:rsidRDefault="009524F4" w:rsidP="009524F4">
      <w:pPr>
        <w:pStyle w:val="Heading1"/>
        <w:numPr>
          <w:ilvl w:val="0"/>
          <w:numId w:val="0"/>
        </w:numPr>
        <w:bidi/>
        <w:spacing w:after="0"/>
        <w:jc w:val="center"/>
        <w:rPr>
          <w:bCs/>
          <w:sz w:val="30"/>
          <w:szCs w:val="30"/>
          <w:rtl/>
        </w:rPr>
      </w:pPr>
      <w:r w:rsidRPr="000441B0">
        <w:rPr>
          <w:rFonts w:hint="cs"/>
          <w:bCs/>
          <w:sz w:val="30"/>
          <w:szCs w:val="30"/>
          <w:rtl/>
        </w:rPr>
        <w:t xml:space="preserve">جميع الجوانب المتعلقة بقطاع خدمة التبريد </w:t>
      </w:r>
    </w:p>
    <w:p w:rsidR="009524F4" w:rsidRPr="000441B0" w:rsidRDefault="009524F4" w:rsidP="000441B0">
      <w:pPr>
        <w:pStyle w:val="Heading1"/>
        <w:numPr>
          <w:ilvl w:val="0"/>
          <w:numId w:val="0"/>
        </w:numPr>
        <w:bidi/>
        <w:spacing w:after="0"/>
        <w:jc w:val="center"/>
        <w:rPr>
          <w:bCs/>
          <w:sz w:val="30"/>
          <w:szCs w:val="30"/>
        </w:rPr>
      </w:pPr>
      <w:r w:rsidRPr="000441B0">
        <w:rPr>
          <w:rFonts w:hint="cs"/>
          <w:bCs/>
          <w:sz w:val="30"/>
          <w:szCs w:val="30"/>
          <w:rtl/>
        </w:rPr>
        <w:t>التي تدعم ال</w:t>
      </w:r>
      <w:r w:rsidR="000441B0" w:rsidRPr="000441B0">
        <w:rPr>
          <w:rFonts w:hint="cs"/>
          <w:bCs/>
          <w:sz w:val="30"/>
          <w:szCs w:val="30"/>
          <w:rtl/>
        </w:rPr>
        <w:t>ت</w:t>
      </w:r>
      <w:r w:rsidRPr="000441B0">
        <w:rPr>
          <w:rFonts w:hint="cs"/>
          <w:bCs/>
          <w:sz w:val="30"/>
          <w:szCs w:val="30"/>
          <w:rtl/>
        </w:rPr>
        <w:t>خف</w:t>
      </w:r>
      <w:r w:rsidR="000441B0" w:rsidRPr="000441B0">
        <w:rPr>
          <w:rFonts w:hint="cs"/>
          <w:bCs/>
          <w:sz w:val="30"/>
          <w:szCs w:val="30"/>
          <w:rtl/>
        </w:rPr>
        <w:t>ي</w:t>
      </w:r>
      <w:r w:rsidRPr="000441B0">
        <w:rPr>
          <w:rFonts w:hint="cs"/>
          <w:bCs/>
          <w:sz w:val="30"/>
          <w:szCs w:val="30"/>
          <w:rtl/>
        </w:rPr>
        <w:t>ض التدريجي للمواد الهيدروفلوروكربونية (المقرر 80/76(ج))</w:t>
      </w:r>
    </w:p>
    <w:p w:rsidR="005B64DC" w:rsidRPr="00E35D84" w:rsidRDefault="005B64DC" w:rsidP="009524F4">
      <w:pPr>
        <w:bidi/>
        <w:rPr>
          <w:sz w:val="32"/>
          <w:szCs w:val="32"/>
        </w:rPr>
      </w:pPr>
    </w:p>
    <w:p w:rsidR="005B64DC" w:rsidRPr="00E35D84" w:rsidRDefault="009524F4" w:rsidP="009524F4">
      <w:pPr>
        <w:bidi/>
        <w:rPr>
          <w:bCs/>
          <w:sz w:val="26"/>
          <w:szCs w:val="26"/>
        </w:rPr>
      </w:pPr>
      <w:r w:rsidRPr="00E35D84">
        <w:rPr>
          <w:rFonts w:hint="cs"/>
          <w:bCs/>
          <w:sz w:val="26"/>
          <w:szCs w:val="26"/>
          <w:rtl/>
        </w:rPr>
        <w:t>مقدمة</w:t>
      </w:r>
    </w:p>
    <w:p w:rsidR="005B64DC" w:rsidRPr="00E35D84" w:rsidRDefault="005B64DC" w:rsidP="009524F4">
      <w:pPr>
        <w:bidi/>
        <w:rPr>
          <w:b/>
          <w:sz w:val="26"/>
          <w:szCs w:val="26"/>
        </w:rPr>
      </w:pPr>
    </w:p>
    <w:p w:rsidR="009524F4" w:rsidRPr="00E35D84" w:rsidRDefault="009524F4" w:rsidP="00BA1D63">
      <w:pPr>
        <w:pStyle w:val="Heading1"/>
        <w:numPr>
          <w:ilvl w:val="0"/>
          <w:numId w:val="14"/>
        </w:numPr>
        <w:bidi/>
        <w:rPr>
          <w:sz w:val="26"/>
          <w:szCs w:val="26"/>
          <w:lang w:val="en-CA"/>
        </w:rPr>
      </w:pPr>
      <w:r w:rsidRPr="00E35D84">
        <w:rPr>
          <w:rFonts w:hint="cs"/>
          <w:sz w:val="26"/>
          <w:szCs w:val="26"/>
          <w:rtl/>
          <w:lang w:val="en-CA"/>
        </w:rPr>
        <w:t>وافق الاجتماع الثامن والعشرين للأطراف (أكتوبر/ تشرين أول 2016) على تعديل بروتوكول مونتريال واعتمد المقرر</w:t>
      </w:r>
      <w:r w:rsidR="00BA1D63">
        <w:rPr>
          <w:sz w:val="26"/>
          <w:szCs w:val="26"/>
          <w:lang w:val="en-CA"/>
        </w:rPr>
        <w:t>2/XXVIII</w:t>
      </w:r>
      <w:r w:rsidRPr="00E35D84">
        <w:rPr>
          <w:rFonts w:hint="cs"/>
          <w:sz w:val="26"/>
          <w:szCs w:val="26"/>
          <w:rtl/>
          <w:lang w:val="en-CA"/>
        </w:rPr>
        <w:t xml:space="preserve"> </w:t>
      </w:r>
      <w:r w:rsidRPr="00E35D84">
        <w:rPr>
          <w:rStyle w:val="FootnoteReference"/>
          <w:sz w:val="26"/>
          <w:szCs w:val="26"/>
        </w:rPr>
        <w:t xml:space="preserve"> </w:t>
      </w:r>
      <w:r w:rsidRPr="00E35D84">
        <w:rPr>
          <w:rStyle w:val="FootnoteReference"/>
          <w:sz w:val="26"/>
          <w:szCs w:val="26"/>
        </w:rPr>
        <w:footnoteReference w:id="1"/>
      </w:r>
      <w:r w:rsidRPr="00E35D84">
        <w:rPr>
          <w:rFonts w:hint="cs"/>
          <w:sz w:val="26"/>
          <w:szCs w:val="26"/>
          <w:rtl/>
          <w:lang w:val="en-CA"/>
        </w:rPr>
        <w:t xml:space="preserve"> وطلب من اللجنة التنفيذية مايلي </w:t>
      </w:r>
      <w:r w:rsidRPr="00E35D84">
        <w:rPr>
          <w:rFonts w:hint="cs"/>
          <w:i/>
          <w:iCs/>
          <w:sz w:val="26"/>
          <w:szCs w:val="26"/>
          <w:rtl/>
          <w:lang w:val="en-CA"/>
        </w:rPr>
        <w:t>ضمن جملة أمور</w:t>
      </w:r>
      <w:r w:rsidRPr="00E35D84">
        <w:rPr>
          <w:rFonts w:hint="cs"/>
          <w:sz w:val="26"/>
          <w:szCs w:val="26"/>
          <w:rtl/>
          <w:lang w:val="en-CA"/>
        </w:rPr>
        <w:t>:</w:t>
      </w:r>
    </w:p>
    <w:p w:rsidR="009524F4" w:rsidRPr="00E35D84" w:rsidRDefault="009524F4" w:rsidP="00FB362C">
      <w:pPr>
        <w:widowControl w:val="0"/>
        <w:numPr>
          <w:ilvl w:val="1"/>
          <w:numId w:val="1"/>
        </w:numPr>
        <w:bidi/>
        <w:spacing w:after="240"/>
        <w:outlineLvl w:val="1"/>
        <w:rPr>
          <w:sz w:val="26"/>
          <w:szCs w:val="26"/>
        </w:rPr>
      </w:pPr>
      <w:r w:rsidRPr="00E35D84">
        <w:rPr>
          <w:rFonts w:hint="cs"/>
          <w:sz w:val="26"/>
          <w:szCs w:val="26"/>
          <w:rtl/>
        </w:rPr>
        <w:t xml:space="preserve">أن </w:t>
      </w:r>
      <w:r w:rsidR="00FB362C" w:rsidRPr="00E35D84">
        <w:rPr>
          <w:rFonts w:hint="cs"/>
          <w:sz w:val="26"/>
          <w:szCs w:val="26"/>
          <w:rtl/>
        </w:rPr>
        <w:t>تحدد</w:t>
      </w:r>
      <w:r w:rsidRPr="00E35D84">
        <w:rPr>
          <w:rFonts w:hint="cs"/>
          <w:sz w:val="26"/>
          <w:szCs w:val="26"/>
          <w:rtl/>
        </w:rPr>
        <w:t xml:space="preserve"> لدى وضع المبادئ التوجيهية الجديدة عن المنهجيات، وحسابات التكاليف لقطاع خدمة التبريد، الفئات التالية من التكاليف المؤهلة وإدراجها في حسابات التكاليف وأنشطة التوعية، ووضع السياسات وتنفيذها، وبرامج</w:t>
      </w:r>
      <w:r w:rsidR="00D75170" w:rsidRPr="00E35D84">
        <w:rPr>
          <w:rFonts w:hint="cs"/>
          <w:sz w:val="26"/>
          <w:szCs w:val="26"/>
          <w:rtl/>
        </w:rPr>
        <w:t xml:space="preserve"> اعتماد الشهادات، وتدريب الفنيين على المناولة الآمنة، والممارسات الجيدة، والسلامة فيما يتعلق بالبدائل بما في ذلك معدات التدريب، وتدريب موظفي الجمارك، ومنع الاتجار غير القانوني بالمواد الهيدروفلوروكربون، وأدوات الخدمة، ومعدات اختبار غازات التبريد لقطاع التبريد وتكييف الهواء، وإعادة تدوير المواد الهيدروفلوروكربونية واسترجاعها (الفقرة 15 (ج))؛</w:t>
      </w:r>
    </w:p>
    <w:p w:rsidR="00AC4CF2" w:rsidRDefault="00614002" w:rsidP="00AC4CF2">
      <w:pPr>
        <w:widowControl w:val="0"/>
        <w:numPr>
          <w:ilvl w:val="1"/>
          <w:numId w:val="1"/>
        </w:numPr>
        <w:bidi/>
        <w:spacing w:after="240"/>
        <w:outlineLvl w:val="1"/>
        <w:rPr>
          <w:sz w:val="26"/>
          <w:szCs w:val="26"/>
        </w:rPr>
      </w:pPr>
      <w:r w:rsidRPr="00E35D84">
        <w:rPr>
          <w:rFonts w:hint="cs"/>
          <w:sz w:val="26"/>
          <w:szCs w:val="26"/>
          <w:rtl/>
        </w:rPr>
        <w:t>أن تزيد فيما يتعلق بقطاع الخدمة التمويل المتاح بمقتضى المقرر 74/50</w:t>
      </w:r>
      <w:r w:rsidR="003E3402" w:rsidRPr="00E35D84">
        <w:rPr>
          <w:rFonts w:hint="cs"/>
          <w:sz w:val="26"/>
          <w:szCs w:val="26"/>
          <w:rtl/>
        </w:rPr>
        <w:t xml:space="preserve"> عن المبالغ المدرجة في ذلك المقرر للأطراف التي لديها مجموع استهلاك من خط أساس الهيدروكلوروفلوروكربون يتجاوز </w:t>
      </w:r>
      <w:r w:rsidR="003E3402" w:rsidRPr="00E35D84">
        <w:rPr>
          <w:sz w:val="26"/>
          <w:szCs w:val="26"/>
        </w:rPr>
        <w:t>360</w:t>
      </w:r>
      <w:r w:rsidR="003E3402" w:rsidRPr="00E35D84">
        <w:rPr>
          <w:rFonts w:hint="cs"/>
          <w:sz w:val="26"/>
          <w:szCs w:val="26"/>
          <w:rtl/>
        </w:rPr>
        <w:t xml:space="preserve"> طنا متريا عند الحاجة إليه لتقديم بدائل المواد الهيدروكلوروفلوروكربونية التي تنخفض فيها القدرة على الاحترار العالمي، والبدائل التي تخلو من القدرات على الاحترار العالمي للمواد الهيدروفلوروكربون والمحافظة على كفاءة استخدام الطاقة أيضا في قطاع الخدمة والمستخدمين النهائيين (الفقرة 16)؛</w:t>
      </w:r>
    </w:p>
    <w:p w:rsidR="003E3402" w:rsidRPr="00E35D84" w:rsidRDefault="00AC4CF2" w:rsidP="00AC4CF2">
      <w:pPr>
        <w:widowControl w:val="0"/>
        <w:numPr>
          <w:ilvl w:val="1"/>
          <w:numId w:val="1"/>
        </w:numPr>
        <w:bidi/>
        <w:spacing w:after="240"/>
        <w:outlineLvl w:val="1"/>
        <w:rPr>
          <w:sz w:val="26"/>
          <w:szCs w:val="26"/>
        </w:rPr>
      </w:pPr>
      <w:r w:rsidRPr="00E35D84">
        <w:rPr>
          <w:rFonts w:hint="cs"/>
          <w:sz w:val="26"/>
          <w:szCs w:val="26"/>
          <w:rtl/>
        </w:rPr>
        <w:lastRenderedPageBreak/>
        <w:t xml:space="preserve"> </w:t>
      </w:r>
      <w:r w:rsidR="003E3402" w:rsidRPr="00E35D84">
        <w:rPr>
          <w:rFonts w:hint="cs"/>
          <w:sz w:val="26"/>
          <w:szCs w:val="26"/>
          <w:rtl/>
        </w:rPr>
        <w:t>ترتيب أولويات المساعدات التقنية وبناء القدرات لمعالجة قضايا السلامة المرتبطة بالبدائل المنخفضة القدرة على الاحترار العالمي أو البدائل الخالية من قدرات الاحترار العالمي (الفقرة 23).</w:t>
      </w:r>
    </w:p>
    <w:p w:rsidR="003E3402" w:rsidRPr="00E35D84" w:rsidRDefault="003E3402" w:rsidP="009524F4">
      <w:pPr>
        <w:pStyle w:val="Heading1"/>
        <w:bidi/>
        <w:rPr>
          <w:sz w:val="26"/>
          <w:szCs w:val="26"/>
        </w:rPr>
      </w:pPr>
      <w:r w:rsidRPr="00E35D84">
        <w:rPr>
          <w:rFonts w:hint="cs"/>
          <w:sz w:val="26"/>
          <w:szCs w:val="26"/>
          <w:rtl/>
        </w:rPr>
        <w:t xml:space="preserve">وخلال الاجتماع الثمانين (نوفمبر/ تشرين الثاني 2017) قررت اللجنة التنفيذية، </w:t>
      </w:r>
      <w:r w:rsidRPr="00E35D84">
        <w:rPr>
          <w:rFonts w:hint="cs"/>
          <w:i/>
          <w:iCs/>
          <w:sz w:val="26"/>
          <w:szCs w:val="26"/>
          <w:rtl/>
        </w:rPr>
        <w:t>ضمن جملة أمور</w:t>
      </w:r>
      <w:r w:rsidRPr="00E35D84">
        <w:rPr>
          <w:rFonts w:hint="cs"/>
          <w:sz w:val="26"/>
          <w:szCs w:val="26"/>
          <w:rtl/>
        </w:rPr>
        <w:t>، في سياق المناقشات بشأن وضع مبادئ توجيهية لتكاليف خفض الهيدروفلوروكربون في إطار البند 10(ج)، إدراج فئات التكاليف لقطاع خدمة التبريد في مشروع النموذج المتعلق بالمبادئ التوجيهية لتكاليف خفض الهيدروفلوروكربون (المقرر 80/76(أ)(4)) وطلبت من الأمانة إعداد وثيقة أولية عن الجوانب المتعلقة بقطاع خدمة التبريد التي تدعم خفض الهيدروفلوروكربون مع مراعاة مايلي:</w:t>
      </w:r>
    </w:p>
    <w:p w:rsidR="003E3402" w:rsidRPr="00E35D84" w:rsidRDefault="003E3402" w:rsidP="00501956">
      <w:pPr>
        <w:widowControl w:val="0"/>
        <w:numPr>
          <w:ilvl w:val="1"/>
          <w:numId w:val="16"/>
        </w:numPr>
        <w:bidi/>
        <w:spacing w:after="240"/>
        <w:outlineLvl w:val="1"/>
        <w:rPr>
          <w:sz w:val="26"/>
          <w:szCs w:val="26"/>
        </w:rPr>
      </w:pPr>
      <w:r w:rsidRPr="00E35D84">
        <w:rPr>
          <w:rFonts w:hint="cs"/>
          <w:sz w:val="26"/>
          <w:szCs w:val="26"/>
          <w:rtl/>
        </w:rPr>
        <w:t>وثائق السياسات السابقة والدراسات الحالية، واستعراضات الرصد والتقييم، والعمل الذي تضطلع به الوكالات الثنائية والمنفذة في وضع وتنفيذ برامج التدريب والمساعدات التقنية ولاسيما الشراكة التي أقامها برنامج المساعدة على الامتثال مع معاهد التدريب واعتماد الشهادات المعترف بها على النطاق العالمي</w:t>
      </w:r>
    </w:p>
    <w:p w:rsidR="003E3402" w:rsidRPr="00E35D84" w:rsidRDefault="003E3402" w:rsidP="00FB362C">
      <w:pPr>
        <w:widowControl w:val="0"/>
        <w:numPr>
          <w:ilvl w:val="1"/>
          <w:numId w:val="16"/>
        </w:numPr>
        <w:bidi/>
        <w:spacing w:after="240"/>
        <w:outlineLvl w:val="1"/>
        <w:rPr>
          <w:sz w:val="26"/>
          <w:szCs w:val="26"/>
        </w:rPr>
      </w:pPr>
      <w:r w:rsidRPr="00E35D84">
        <w:rPr>
          <w:rFonts w:hint="cs"/>
          <w:sz w:val="26"/>
          <w:szCs w:val="26"/>
          <w:rtl/>
        </w:rPr>
        <w:t xml:space="preserve">تحليل القدرات المتوافرة في بلدان المادة 5 </w:t>
      </w:r>
      <w:r w:rsidR="00FB362C" w:rsidRPr="00E35D84">
        <w:rPr>
          <w:rFonts w:hint="cs"/>
          <w:sz w:val="26"/>
          <w:szCs w:val="26"/>
          <w:rtl/>
        </w:rPr>
        <w:t>يالتمويل</w:t>
      </w:r>
      <w:r w:rsidRPr="00E35D84">
        <w:rPr>
          <w:rFonts w:hint="cs"/>
          <w:sz w:val="26"/>
          <w:szCs w:val="26"/>
          <w:rtl/>
        </w:rPr>
        <w:t xml:space="preserve"> الذي ووفق عليه لقطاع خدمة التبريد وكيفية استخدام هذا التمويل لخفض الهيدروفلوروكربون فيما يتعلق بمايلي:</w:t>
      </w:r>
    </w:p>
    <w:p w:rsidR="003E3402" w:rsidRPr="00E35D84" w:rsidRDefault="003E3402" w:rsidP="00501956">
      <w:pPr>
        <w:widowControl w:val="0"/>
        <w:numPr>
          <w:ilvl w:val="2"/>
          <w:numId w:val="16"/>
        </w:numPr>
        <w:bidi/>
        <w:spacing w:after="240"/>
        <w:outlineLvl w:val="2"/>
        <w:rPr>
          <w:sz w:val="26"/>
          <w:szCs w:val="26"/>
        </w:rPr>
      </w:pPr>
      <w:r w:rsidRPr="00E35D84">
        <w:rPr>
          <w:rFonts w:hint="cs"/>
          <w:sz w:val="26"/>
          <w:szCs w:val="26"/>
          <w:rtl/>
        </w:rPr>
        <w:t>نتائج أنشطة الاسترجاع وإعادة التدوير والإصلاح الممولة، وتوفير أدوات التدريب وقدرتها على خفض انبعاثات غازات التبريد؛</w:t>
      </w:r>
    </w:p>
    <w:p w:rsidR="003E3402" w:rsidRPr="00E35D84" w:rsidRDefault="003E3402" w:rsidP="00501956">
      <w:pPr>
        <w:widowControl w:val="0"/>
        <w:numPr>
          <w:ilvl w:val="2"/>
          <w:numId w:val="16"/>
        </w:numPr>
        <w:bidi/>
        <w:spacing w:after="240"/>
        <w:outlineLvl w:val="2"/>
        <w:rPr>
          <w:sz w:val="26"/>
          <w:szCs w:val="26"/>
        </w:rPr>
      </w:pPr>
      <w:bookmarkStart w:id="1" w:name="_Hlk528844627"/>
      <w:r w:rsidRPr="00E35D84">
        <w:rPr>
          <w:rFonts w:hint="cs"/>
          <w:sz w:val="26"/>
          <w:szCs w:val="26"/>
          <w:rtl/>
        </w:rPr>
        <w:t xml:space="preserve">مدى إشراك القطاع الخاص و/أو القطاع العام (مثل موردي المعدات، والعناصر وغازات التبريد) </w:t>
      </w:r>
      <w:r w:rsidRPr="00E35D84">
        <w:rPr>
          <w:sz w:val="26"/>
          <w:szCs w:val="26"/>
          <w:rtl/>
        </w:rPr>
        <w:t>في إدخال البدائل في قطاع الخدمات</w:t>
      </w:r>
      <w:r w:rsidR="00AC3F9F" w:rsidRPr="00E35D84">
        <w:rPr>
          <w:rFonts w:hint="cs"/>
          <w:sz w:val="26"/>
          <w:szCs w:val="26"/>
          <w:rtl/>
        </w:rPr>
        <w:t>؛</w:t>
      </w:r>
    </w:p>
    <w:bookmarkEnd w:id="1"/>
    <w:p w:rsidR="00AC3F9F" w:rsidRPr="00E35D84" w:rsidRDefault="00AC3F9F" w:rsidP="00501956">
      <w:pPr>
        <w:widowControl w:val="0"/>
        <w:numPr>
          <w:ilvl w:val="2"/>
          <w:numId w:val="16"/>
        </w:numPr>
        <w:bidi/>
        <w:spacing w:after="240"/>
        <w:outlineLvl w:val="2"/>
        <w:rPr>
          <w:sz w:val="26"/>
          <w:szCs w:val="26"/>
        </w:rPr>
      </w:pPr>
      <w:r w:rsidRPr="00E35D84">
        <w:rPr>
          <w:rFonts w:hint="cs"/>
          <w:sz w:val="26"/>
          <w:szCs w:val="26"/>
          <w:rtl/>
        </w:rPr>
        <w:t>معايير الصحة والسلامة والبروتوكولات والمعدات (بما في ذلك أجهزة الوقاية) والمتوافرة عن البدائل؛</w:t>
      </w:r>
    </w:p>
    <w:p w:rsidR="00AC3F9F" w:rsidRPr="00E35D84" w:rsidRDefault="00AC3F9F" w:rsidP="00501956">
      <w:pPr>
        <w:widowControl w:val="0"/>
        <w:numPr>
          <w:ilvl w:val="2"/>
          <w:numId w:val="16"/>
        </w:numPr>
        <w:bidi/>
        <w:spacing w:after="240"/>
        <w:outlineLvl w:val="2"/>
        <w:rPr>
          <w:sz w:val="26"/>
          <w:szCs w:val="26"/>
        </w:rPr>
      </w:pPr>
      <w:r w:rsidRPr="00E35D84">
        <w:rPr>
          <w:rFonts w:hint="cs"/>
          <w:sz w:val="26"/>
          <w:szCs w:val="26"/>
          <w:rtl/>
        </w:rPr>
        <w:t>برامج التدريب واعتماد الشهادات؛</w:t>
      </w:r>
    </w:p>
    <w:p w:rsidR="00AC3F9F" w:rsidRPr="00E35D84" w:rsidRDefault="00AC3F9F" w:rsidP="00501956">
      <w:pPr>
        <w:widowControl w:val="0"/>
        <w:numPr>
          <w:ilvl w:val="2"/>
          <w:numId w:val="16"/>
        </w:numPr>
        <w:bidi/>
        <w:spacing w:after="240"/>
        <w:outlineLvl w:val="2"/>
        <w:rPr>
          <w:sz w:val="26"/>
          <w:szCs w:val="26"/>
        </w:rPr>
      </w:pPr>
      <w:r w:rsidRPr="00E35D84">
        <w:rPr>
          <w:rFonts w:hint="cs"/>
          <w:sz w:val="26"/>
          <w:szCs w:val="26"/>
          <w:rtl/>
        </w:rPr>
        <w:t>طرق معالجة كفاءة استخدام الطاقة وفي حالة ذلك في قطاع الخدمة، المستخدمين النهائيين.</w:t>
      </w:r>
    </w:p>
    <w:p w:rsidR="00AC3F9F" w:rsidRPr="00E35D84" w:rsidRDefault="00AC3F9F" w:rsidP="00501956">
      <w:pPr>
        <w:widowControl w:val="0"/>
        <w:numPr>
          <w:ilvl w:val="1"/>
          <w:numId w:val="16"/>
        </w:numPr>
        <w:bidi/>
        <w:spacing w:after="240"/>
        <w:outlineLvl w:val="1"/>
        <w:rPr>
          <w:sz w:val="26"/>
          <w:szCs w:val="26"/>
        </w:rPr>
      </w:pPr>
      <w:r w:rsidRPr="00E35D84">
        <w:rPr>
          <w:rFonts w:hint="cs"/>
          <w:sz w:val="26"/>
          <w:szCs w:val="26"/>
          <w:rtl/>
        </w:rPr>
        <w:t>المعلومات الدنيا الضرورية لوضع برامج التدريب واعتماد الشهادات المعتمدة على القدرة ونماذج ذلك لتدريب الفنيين وموظفي الجمارك للتحول الى البدائل (المقرر 80/76(ج)).</w:t>
      </w:r>
    </w:p>
    <w:p w:rsidR="00AC3F9F" w:rsidRPr="00E35D84" w:rsidRDefault="00AC3F9F" w:rsidP="00FB362C">
      <w:pPr>
        <w:pStyle w:val="Heading1"/>
        <w:bidi/>
        <w:rPr>
          <w:sz w:val="26"/>
          <w:szCs w:val="26"/>
        </w:rPr>
      </w:pPr>
      <w:r w:rsidRPr="00E35D84">
        <w:rPr>
          <w:rFonts w:hint="cs"/>
          <w:sz w:val="26"/>
          <w:szCs w:val="26"/>
          <w:rtl/>
        </w:rPr>
        <w:t xml:space="preserve">وقررت اللجنة التنفيذية خلال الاجتماع الحادي والثمانين في سياق المناقشات المتعلقة بوضع المبادئ التوجيهية للتكاليف الخاصة بخفض الهيدروفلوروكربون في إطار البند 10(أ)، أن تنظر خلال الاجتماع الثاني والثمانين مسألة وضع أولويات </w:t>
      </w:r>
      <w:r w:rsidR="00FB362C" w:rsidRPr="00E35D84">
        <w:rPr>
          <w:rFonts w:hint="cs"/>
          <w:sz w:val="26"/>
          <w:szCs w:val="26"/>
          <w:rtl/>
        </w:rPr>
        <w:t>ل</w:t>
      </w:r>
      <w:r w:rsidRPr="00E35D84">
        <w:rPr>
          <w:rFonts w:hint="cs"/>
          <w:sz w:val="26"/>
          <w:szCs w:val="26"/>
          <w:rtl/>
        </w:rPr>
        <w:t>لمساعدات التقنية وبناء القدرات لمعالجة المسائل المتعلقة بالسلامة المرتبطة بالبدائل المنخفضة القدرة على الاحترار العالمي وتلك الخالية من القدرة على الاحترار العالمي في جميع القطاعات في ضوء الورقة التي تعدها الأمانة استجابة للمقرر 80/76 بشأن الجوانب المتعلقة بقطاع خدمة التبريد التي تدعم خفض الهيدروفلوروكربون (المقرر 81/67(ج)).</w:t>
      </w:r>
    </w:p>
    <w:p w:rsidR="00AC3F9F" w:rsidRPr="00E35D84" w:rsidRDefault="00AC3F9F" w:rsidP="009524F4">
      <w:pPr>
        <w:pStyle w:val="Heading1"/>
        <w:bidi/>
        <w:rPr>
          <w:sz w:val="26"/>
          <w:szCs w:val="26"/>
        </w:rPr>
      </w:pPr>
      <w:r w:rsidRPr="00E35D84">
        <w:rPr>
          <w:rFonts w:hint="cs"/>
          <w:sz w:val="26"/>
          <w:szCs w:val="26"/>
          <w:rtl/>
        </w:rPr>
        <w:t>وأعدت الأمانة هذه الوثيقة الأولية استجابة للمقررين 80/76(ج) و81/67(ج).</w:t>
      </w:r>
    </w:p>
    <w:p w:rsidR="005B64DC" w:rsidRPr="00E35D84" w:rsidRDefault="00AC3F9F" w:rsidP="009524F4">
      <w:pPr>
        <w:pStyle w:val="Heading1"/>
        <w:numPr>
          <w:ilvl w:val="0"/>
          <w:numId w:val="0"/>
        </w:numPr>
        <w:bidi/>
        <w:rPr>
          <w:bCs/>
          <w:sz w:val="26"/>
          <w:szCs w:val="26"/>
        </w:rPr>
      </w:pPr>
      <w:r w:rsidRPr="00E35D84">
        <w:rPr>
          <w:rFonts w:hint="cs"/>
          <w:bCs/>
          <w:sz w:val="26"/>
          <w:szCs w:val="26"/>
          <w:rtl/>
        </w:rPr>
        <w:t>مصادر المعلومات المستخدمة</w:t>
      </w:r>
    </w:p>
    <w:p w:rsidR="00AC3F9F" w:rsidRPr="00E35D84" w:rsidRDefault="00AC3F9F" w:rsidP="009524F4">
      <w:pPr>
        <w:pStyle w:val="Heading1"/>
        <w:bidi/>
        <w:rPr>
          <w:sz w:val="26"/>
          <w:szCs w:val="26"/>
        </w:rPr>
      </w:pPr>
      <w:r w:rsidRPr="00E35D84">
        <w:rPr>
          <w:rFonts w:hint="cs"/>
          <w:sz w:val="26"/>
          <w:szCs w:val="26"/>
          <w:rtl/>
        </w:rPr>
        <w:t xml:space="preserve">لدى إعداد هذه الوثيقة، أخذت الأمانة في الاعتبار جميع مقررات اللجنة التنفيذية والأطراف في بروتوكول مونتريال فيما يتعلق بقطاع خدمة التبريد، والخبرات المكتسبة في الصندوق المتعدد الأطراف من استعراض الأنشطة </w:t>
      </w:r>
      <w:r w:rsidRPr="00E35D84">
        <w:rPr>
          <w:rFonts w:hint="cs"/>
          <w:sz w:val="26"/>
          <w:szCs w:val="26"/>
          <w:rtl/>
        </w:rPr>
        <w:lastRenderedPageBreak/>
        <w:t>المنفصلة</w:t>
      </w:r>
      <w:r w:rsidRPr="00E35D84">
        <w:rPr>
          <w:rStyle w:val="FootnoteReference"/>
          <w:sz w:val="26"/>
          <w:szCs w:val="26"/>
        </w:rPr>
        <w:footnoteReference w:id="2"/>
      </w:r>
      <w:r w:rsidRPr="00E35D84">
        <w:rPr>
          <w:rFonts w:hint="cs"/>
          <w:sz w:val="26"/>
          <w:szCs w:val="26"/>
          <w:rtl/>
        </w:rPr>
        <w:t xml:space="preserve"> وخطط الإزالة</w:t>
      </w:r>
      <w:r w:rsidRPr="00E35D84">
        <w:rPr>
          <w:rStyle w:val="FootnoteReference"/>
          <w:sz w:val="26"/>
          <w:szCs w:val="26"/>
        </w:rPr>
        <w:footnoteReference w:id="3"/>
      </w:r>
      <w:r w:rsidRPr="00E35D84">
        <w:rPr>
          <w:rFonts w:hint="cs"/>
          <w:sz w:val="26"/>
          <w:szCs w:val="26"/>
          <w:rtl/>
        </w:rPr>
        <w:t xml:space="preserve"> التي تتناول قطاع خدمة التبريد، ودراسات الحالة، وعمليات التقييم التي استكملها كبير موظفي الرصد والتقييم وتقارير استكمال المشروعات.</w:t>
      </w:r>
    </w:p>
    <w:p w:rsidR="005B64DC" w:rsidRPr="00E35D84" w:rsidRDefault="00AC3F9F" w:rsidP="009524F4">
      <w:pPr>
        <w:pStyle w:val="Heading1"/>
        <w:bidi/>
        <w:rPr>
          <w:sz w:val="26"/>
          <w:szCs w:val="26"/>
        </w:rPr>
      </w:pPr>
      <w:r w:rsidRPr="00E35D84">
        <w:rPr>
          <w:rFonts w:hint="cs"/>
          <w:sz w:val="26"/>
          <w:szCs w:val="26"/>
          <w:rtl/>
        </w:rPr>
        <w:t>كما نظرت الأمانة فيمايلي:</w:t>
      </w:r>
    </w:p>
    <w:p w:rsidR="00AC3F9F" w:rsidRPr="00E35D84" w:rsidRDefault="00AC3F9F" w:rsidP="00AC3F9F">
      <w:pPr>
        <w:pStyle w:val="Heading2"/>
        <w:bidi/>
        <w:rPr>
          <w:sz w:val="26"/>
          <w:szCs w:val="26"/>
        </w:rPr>
      </w:pPr>
      <w:r w:rsidRPr="00E35D84">
        <w:rPr>
          <w:rFonts w:hint="cs"/>
          <w:sz w:val="26"/>
          <w:szCs w:val="26"/>
          <w:rtl/>
        </w:rPr>
        <w:t>المناقشات مع أصحاب المصلحة في قطاع خدمة التبريد في بلدان المادة 5 والبلدان غير العاملة بالمادة 5، وهي المناقشات التي دارت أُثناء البعثات التي أوفدت للعديد من البلدان واجتماعات الأمانة فيما بين فبراير/ شباط وأبريل/ نيسان 2018؛</w:t>
      </w:r>
    </w:p>
    <w:p w:rsidR="00AC3F9F" w:rsidRPr="00E35D84" w:rsidRDefault="00AC3F9F" w:rsidP="009524F4">
      <w:pPr>
        <w:pStyle w:val="Heading2"/>
        <w:bidi/>
        <w:rPr>
          <w:sz w:val="26"/>
          <w:szCs w:val="26"/>
        </w:rPr>
      </w:pPr>
      <w:r w:rsidRPr="00E35D84">
        <w:rPr>
          <w:rFonts w:hint="cs"/>
          <w:sz w:val="26"/>
          <w:szCs w:val="26"/>
          <w:rtl/>
        </w:rPr>
        <w:t>المناقشات مع الخبراء من الوكالات الثنائية والمنفذة بشأن جميع جوانب قطاع خدمة التبريد خلال الاجتماعين المتعلقين بالتنسيق ا</w:t>
      </w:r>
      <w:r w:rsidR="00B2107C" w:rsidRPr="00E35D84">
        <w:rPr>
          <w:rFonts w:hint="cs"/>
          <w:sz w:val="26"/>
          <w:szCs w:val="26"/>
          <w:rtl/>
          <w:lang w:bidi="ar-EG"/>
        </w:rPr>
        <w:t>ل</w:t>
      </w:r>
      <w:r w:rsidRPr="00E35D84">
        <w:rPr>
          <w:rFonts w:hint="cs"/>
          <w:sz w:val="26"/>
          <w:szCs w:val="26"/>
          <w:rtl/>
        </w:rPr>
        <w:t>مشترك بين الوكال</w:t>
      </w:r>
      <w:r w:rsidR="00B03868" w:rsidRPr="00E35D84">
        <w:rPr>
          <w:rFonts w:hint="cs"/>
          <w:sz w:val="26"/>
          <w:szCs w:val="26"/>
          <w:rtl/>
          <w:lang w:bidi="ar-EG"/>
        </w:rPr>
        <w:t>ا</w:t>
      </w:r>
      <w:r w:rsidRPr="00E35D84">
        <w:rPr>
          <w:rFonts w:hint="cs"/>
          <w:sz w:val="26"/>
          <w:szCs w:val="26"/>
          <w:rtl/>
        </w:rPr>
        <w:t>ت في 2018</w:t>
      </w:r>
      <w:r w:rsidRPr="00E35D84">
        <w:rPr>
          <w:rStyle w:val="FootnoteReference"/>
          <w:sz w:val="26"/>
          <w:szCs w:val="26"/>
        </w:rPr>
        <w:footnoteReference w:id="4"/>
      </w:r>
      <w:r w:rsidRPr="00E35D84">
        <w:rPr>
          <w:rFonts w:hint="cs"/>
          <w:sz w:val="26"/>
          <w:szCs w:val="26"/>
          <w:rtl/>
        </w:rPr>
        <w:t xml:space="preserve"> وخلال الاجتماع الذي استغرق يومين الذي ركز فقط على قطاع خدمة التبريد والذي عقد في مونتريال يومي 29 و30 مايو/ أيار 2018؛</w:t>
      </w:r>
    </w:p>
    <w:p w:rsidR="00AC3F9F" w:rsidRPr="00E35D84" w:rsidRDefault="00AC3F9F" w:rsidP="009524F4">
      <w:pPr>
        <w:pStyle w:val="Heading2"/>
        <w:bidi/>
        <w:rPr>
          <w:sz w:val="26"/>
          <w:szCs w:val="26"/>
        </w:rPr>
      </w:pPr>
      <w:r w:rsidRPr="00E35D84">
        <w:rPr>
          <w:rFonts w:hint="cs"/>
          <w:sz w:val="26"/>
          <w:szCs w:val="26"/>
          <w:rtl/>
        </w:rPr>
        <w:t>العروض التي قدمت والمناقشات التي دارت أثناء اجتماع حلقة العمل الدولية المعنية بأصحاب المصلحة، والدعم والخدمات ذات الصلة بالتنسيق التي قدمت لقطاع خدمة التبريد الذي عقد في باريس يومي 16 و17 يوليه/ تموز 2018؛</w:t>
      </w:r>
      <w:r w:rsidRPr="00E35D84">
        <w:rPr>
          <w:rStyle w:val="FootnoteReference"/>
          <w:sz w:val="26"/>
          <w:szCs w:val="26"/>
        </w:rPr>
        <w:footnoteReference w:id="5"/>
      </w:r>
    </w:p>
    <w:p w:rsidR="00AC3F9F" w:rsidRPr="00E35D84" w:rsidRDefault="00AC3F9F" w:rsidP="009524F4">
      <w:pPr>
        <w:pStyle w:val="Heading2"/>
        <w:bidi/>
        <w:rPr>
          <w:sz w:val="26"/>
          <w:szCs w:val="26"/>
        </w:rPr>
      </w:pPr>
      <w:r w:rsidRPr="00E35D84">
        <w:rPr>
          <w:rFonts w:hint="cs"/>
          <w:sz w:val="26"/>
          <w:szCs w:val="26"/>
          <w:rtl/>
        </w:rPr>
        <w:t>المطبوعات المعنية التي أصدرها برنامج المساعدة على الامتثال لدى اليونيب، وفريق التقييم الاقتصادي والمتعلق بالتكنولوجيا وغير ذلك من المنظمات الدولية.</w:t>
      </w:r>
      <w:r w:rsidRPr="00E35D84">
        <w:rPr>
          <w:rStyle w:val="FootnoteReference"/>
          <w:sz w:val="26"/>
          <w:szCs w:val="26"/>
        </w:rPr>
        <w:t xml:space="preserve"> </w:t>
      </w:r>
      <w:r w:rsidRPr="00E35D84">
        <w:rPr>
          <w:rStyle w:val="FootnoteReference"/>
          <w:sz w:val="26"/>
          <w:szCs w:val="26"/>
        </w:rPr>
        <w:footnoteReference w:id="6"/>
      </w:r>
    </w:p>
    <w:p w:rsidR="00AC3F9F" w:rsidRPr="00E35D84" w:rsidRDefault="00AC3F9F" w:rsidP="00501956">
      <w:pPr>
        <w:pStyle w:val="Heading1"/>
        <w:numPr>
          <w:ilvl w:val="0"/>
          <w:numId w:val="12"/>
        </w:numPr>
        <w:bidi/>
        <w:rPr>
          <w:sz w:val="26"/>
          <w:szCs w:val="26"/>
        </w:rPr>
      </w:pPr>
      <w:r w:rsidRPr="00E35D84">
        <w:rPr>
          <w:rFonts w:hint="cs"/>
          <w:sz w:val="26"/>
          <w:szCs w:val="26"/>
          <w:rtl/>
        </w:rPr>
        <w:t>وقبيل وضع الصيغة النهائية لهذه الوثيقة، بعثت الأمانة للوكالات الثنائية والمنفذة للحصول على تعليقاتها، كما بعثت الأمانة التقرير الى خبير مستقل للحصول على تعليقاته على القضايا</w:t>
      </w:r>
      <w:r w:rsidR="0052003B" w:rsidRPr="00E35D84">
        <w:rPr>
          <w:rFonts w:hint="cs"/>
          <w:sz w:val="26"/>
          <w:szCs w:val="26"/>
          <w:rtl/>
        </w:rPr>
        <w:t xml:space="preserve"> التقنية الواردة في الوثيقة. واستعرضت الأمانة المدخلات التي تلقيت، ووضعت التعديلات المطلوبة.</w:t>
      </w:r>
    </w:p>
    <w:p w:rsidR="0052003B" w:rsidRPr="00E35D84" w:rsidRDefault="0052003B" w:rsidP="00501956">
      <w:pPr>
        <w:pStyle w:val="Heading1"/>
        <w:numPr>
          <w:ilvl w:val="0"/>
          <w:numId w:val="12"/>
        </w:numPr>
        <w:bidi/>
        <w:rPr>
          <w:sz w:val="26"/>
          <w:szCs w:val="26"/>
        </w:rPr>
      </w:pPr>
      <w:r w:rsidRPr="00E35D84">
        <w:rPr>
          <w:rFonts w:hint="cs"/>
          <w:sz w:val="26"/>
          <w:szCs w:val="26"/>
          <w:rtl/>
        </w:rPr>
        <w:t>وتعرب الأمانة عن عظيم تقديرها عن النظرات المتعمقة والمعلومات والتعليقات التي تلقتها من الوكالات الثنائية والمنفذة.</w:t>
      </w:r>
    </w:p>
    <w:p w:rsidR="005B64DC" w:rsidRPr="00E35D84" w:rsidRDefault="0052003B" w:rsidP="009524F4">
      <w:pPr>
        <w:pStyle w:val="StyleHeader4Para4Left0Firstline0"/>
        <w:numPr>
          <w:ilvl w:val="0"/>
          <w:numId w:val="0"/>
        </w:numPr>
        <w:bidi/>
        <w:rPr>
          <w:bCs/>
          <w:sz w:val="26"/>
          <w:szCs w:val="26"/>
        </w:rPr>
      </w:pPr>
      <w:r w:rsidRPr="00E35D84">
        <w:rPr>
          <w:rFonts w:hint="cs"/>
          <w:bCs/>
          <w:sz w:val="26"/>
          <w:szCs w:val="26"/>
          <w:rtl/>
        </w:rPr>
        <w:t>هيكل الوثيقة</w:t>
      </w:r>
    </w:p>
    <w:p w:rsidR="006658F6" w:rsidRPr="00E35D84" w:rsidRDefault="006658F6" w:rsidP="00501956">
      <w:pPr>
        <w:pStyle w:val="Heading1"/>
        <w:numPr>
          <w:ilvl w:val="0"/>
          <w:numId w:val="12"/>
        </w:numPr>
        <w:bidi/>
        <w:rPr>
          <w:sz w:val="26"/>
          <w:szCs w:val="26"/>
        </w:rPr>
      </w:pPr>
      <w:r w:rsidRPr="00E35D84">
        <w:rPr>
          <w:rFonts w:hint="cs"/>
          <w:sz w:val="26"/>
          <w:szCs w:val="26"/>
          <w:rtl/>
        </w:rPr>
        <w:t>نظرا لكمية كبيرة من المعلومات عن قطاع خدمة التبريد التي تم استعراضها في ضوء الارشادات التي قدمت في المقرر 80/76(ج) ولتيسير استعراض الوثيقة من جانب أعضاء اللجنة التنفيذية، شكلت الوثيقة في خمسة أقسام بما في ذلك التوصية. وبغية مساعدة اللجنة التنفيذية في مداولاتها، يتضمن كل قسم المعلومات ذات الصلة التي تركز على الموضوعات بأكثر مما تركز على الجوانب التقنية. غير أنه تتوافر المعلومات المفصلة، ويمكن إتاحتها عند الطلب. ويرد فيمايلي وصف موجز للأقسام الخمسة للوثيقة.</w:t>
      </w:r>
    </w:p>
    <w:p w:rsidR="006658F6" w:rsidRPr="00E35D84" w:rsidRDefault="006658F6" w:rsidP="000441B0">
      <w:pPr>
        <w:pStyle w:val="Heading1"/>
        <w:keepNext/>
        <w:keepLines/>
        <w:numPr>
          <w:ilvl w:val="0"/>
          <w:numId w:val="0"/>
        </w:numPr>
        <w:bidi/>
        <w:spacing w:after="0"/>
        <w:ind w:left="1440" w:hanging="720"/>
        <w:rPr>
          <w:sz w:val="26"/>
          <w:szCs w:val="26"/>
        </w:rPr>
      </w:pPr>
      <w:r w:rsidRPr="00E35D84">
        <w:rPr>
          <w:rFonts w:hint="cs"/>
          <w:sz w:val="26"/>
          <w:szCs w:val="26"/>
          <w:rtl/>
        </w:rPr>
        <w:lastRenderedPageBreak/>
        <w:t>أولا:</w:t>
      </w:r>
      <w:r w:rsidRPr="00E35D84">
        <w:rPr>
          <w:rFonts w:hint="cs"/>
          <w:sz w:val="26"/>
          <w:szCs w:val="26"/>
          <w:rtl/>
        </w:rPr>
        <w:tab/>
      </w:r>
      <w:r w:rsidRPr="00E35D84">
        <w:rPr>
          <w:rFonts w:hint="cs"/>
          <w:sz w:val="26"/>
          <w:szCs w:val="26"/>
          <w:u w:val="single"/>
          <w:rtl/>
        </w:rPr>
        <w:t>عرض عام لقطاع خدمة التبريد:</w:t>
      </w:r>
    </w:p>
    <w:p w:rsidR="006658F6" w:rsidRPr="00E35D84" w:rsidRDefault="006658F6" w:rsidP="000441B0">
      <w:pPr>
        <w:pStyle w:val="Heading1"/>
        <w:keepNext/>
        <w:keepLines/>
        <w:numPr>
          <w:ilvl w:val="0"/>
          <w:numId w:val="0"/>
        </w:numPr>
        <w:bidi/>
        <w:spacing w:after="0"/>
        <w:ind w:left="1440"/>
        <w:rPr>
          <w:sz w:val="26"/>
          <w:szCs w:val="26"/>
          <w:rtl/>
        </w:rPr>
      </w:pPr>
      <w:r w:rsidRPr="00E35D84">
        <w:rPr>
          <w:rFonts w:hint="cs"/>
          <w:sz w:val="26"/>
          <w:szCs w:val="26"/>
          <w:rtl/>
        </w:rPr>
        <w:t>يصف هذا القسم تطور</w:t>
      </w:r>
      <w:r w:rsidR="002B5DAC" w:rsidRPr="00E35D84">
        <w:rPr>
          <w:rFonts w:hint="cs"/>
          <w:sz w:val="26"/>
          <w:szCs w:val="26"/>
          <w:rtl/>
        </w:rPr>
        <w:t xml:space="preserve"> المساعدات التقنية والمالية التي قدمت لقطاع خدمة التبريد منذ إنشاء الصندوق المتعدد الأطراف، ويقدم تحليلا للخصائص الحالية لقطاعي التبريد وتكييف الهواء ويحدد التحديات المحتملة لخفض المواد الهيدروفلوروكربونية في القطاع.</w:t>
      </w:r>
    </w:p>
    <w:p w:rsidR="005B64DC" w:rsidRPr="00E35D84" w:rsidRDefault="005B64DC" w:rsidP="009524F4">
      <w:pPr>
        <w:bidi/>
        <w:rPr>
          <w:sz w:val="26"/>
          <w:szCs w:val="26"/>
        </w:rPr>
      </w:pPr>
    </w:p>
    <w:p w:rsidR="002B5DAC" w:rsidRPr="00E35D84" w:rsidRDefault="002B5DAC" w:rsidP="005E25CA">
      <w:pPr>
        <w:pStyle w:val="Heading1"/>
        <w:numPr>
          <w:ilvl w:val="0"/>
          <w:numId w:val="0"/>
        </w:numPr>
        <w:bidi/>
        <w:spacing w:after="0"/>
        <w:ind w:left="1440" w:hanging="720"/>
        <w:rPr>
          <w:sz w:val="26"/>
          <w:szCs w:val="26"/>
        </w:rPr>
      </w:pPr>
      <w:r w:rsidRPr="00E35D84">
        <w:rPr>
          <w:rFonts w:hint="cs"/>
          <w:sz w:val="26"/>
          <w:szCs w:val="26"/>
          <w:rtl/>
        </w:rPr>
        <w:t>ثانيا:</w:t>
      </w:r>
      <w:r w:rsidRPr="00E35D84">
        <w:rPr>
          <w:rFonts w:hint="cs"/>
          <w:sz w:val="26"/>
          <w:szCs w:val="26"/>
          <w:rtl/>
        </w:rPr>
        <w:tab/>
      </w:r>
      <w:r w:rsidRPr="00E35D84">
        <w:rPr>
          <w:rFonts w:hint="cs"/>
          <w:sz w:val="26"/>
          <w:szCs w:val="26"/>
          <w:u w:val="single"/>
          <w:rtl/>
        </w:rPr>
        <w:t>تحليل القدرات المتوافرة الت أقيمت بالتمويل الموافق عليه لقطاع خدمة التبريد</w:t>
      </w:r>
      <w:r w:rsidR="005E25CA" w:rsidRPr="00E35D84">
        <w:rPr>
          <w:rFonts w:hint="cs"/>
          <w:sz w:val="26"/>
          <w:szCs w:val="26"/>
          <w:u w:val="single"/>
          <w:rtl/>
        </w:rPr>
        <w:t>:</w:t>
      </w:r>
    </w:p>
    <w:p w:rsidR="002B5DAC" w:rsidRPr="00E35D84" w:rsidRDefault="002B5DAC" w:rsidP="009524F4">
      <w:pPr>
        <w:pStyle w:val="Heading1"/>
        <w:keepNext/>
        <w:numPr>
          <w:ilvl w:val="0"/>
          <w:numId w:val="0"/>
        </w:numPr>
        <w:bidi/>
        <w:spacing w:after="0"/>
        <w:ind w:left="1440"/>
        <w:rPr>
          <w:sz w:val="26"/>
          <w:szCs w:val="26"/>
          <w:rtl/>
        </w:rPr>
      </w:pPr>
      <w:r w:rsidRPr="00E35D84">
        <w:rPr>
          <w:rFonts w:hint="cs"/>
          <w:sz w:val="26"/>
          <w:szCs w:val="26"/>
          <w:rtl/>
        </w:rPr>
        <w:t>يصف هذا القسم القدرات التي أقيمت وعززت في بلدان المادة 5 فيما يتعلق بمايلي: السياسات والأطر التنظيمية بما في ذلك المعايير وتدريب فنيي التبريد وإصدار شهادات الاعتماد لهم، والمساعدات التقنية بما في ذلك توفير أدوات الخدمة للفنيين، ووضع مخطط لأنشطة الاسترجاع وإعادة التدوير والإصلاح، وإعادة تهيئة نظم التبريد، والمحافظة على كفاءة استخدام الطاقة.</w:t>
      </w:r>
      <w:r w:rsidR="001840B1" w:rsidRPr="00E35D84">
        <w:rPr>
          <w:rFonts w:hint="cs"/>
          <w:sz w:val="26"/>
          <w:szCs w:val="26"/>
          <w:rtl/>
        </w:rPr>
        <w:t xml:space="preserve"> ويتضمن التحليل الخاص بكل مجال من هذه المجالات إشراك القطاعين العام والخاص، والطريقة التي يمكن بها استخدام القدرات التي أقيمت في خفض الهيدروفلوروكربون.</w:t>
      </w:r>
    </w:p>
    <w:p w:rsidR="001840B1" w:rsidRPr="00E35D84" w:rsidRDefault="001840B1" w:rsidP="001840B1">
      <w:pPr>
        <w:pStyle w:val="Heading1"/>
        <w:numPr>
          <w:ilvl w:val="0"/>
          <w:numId w:val="0"/>
        </w:numPr>
        <w:bidi/>
        <w:spacing w:after="0"/>
        <w:ind w:left="720"/>
        <w:rPr>
          <w:sz w:val="26"/>
          <w:szCs w:val="26"/>
          <w:rtl/>
        </w:rPr>
      </w:pPr>
    </w:p>
    <w:p w:rsidR="001840B1" w:rsidRPr="00E35D84" w:rsidRDefault="001840B1" w:rsidP="005E25CA">
      <w:pPr>
        <w:pStyle w:val="Heading1"/>
        <w:numPr>
          <w:ilvl w:val="0"/>
          <w:numId w:val="0"/>
        </w:numPr>
        <w:bidi/>
        <w:spacing w:after="0"/>
        <w:ind w:left="1440" w:hanging="720"/>
        <w:rPr>
          <w:sz w:val="26"/>
          <w:szCs w:val="26"/>
        </w:rPr>
      </w:pPr>
      <w:r w:rsidRPr="00E35D84">
        <w:rPr>
          <w:rFonts w:hint="cs"/>
          <w:sz w:val="26"/>
          <w:szCs w:val="26"/>
          <w:rtl/>
        </w:rPr>
        <w:t>ثالثا:</w:t>
      </w:r>
      <w:r w:rsidRPr="00E35D84">
        <w:rPr>
          <w:rFonts w:hint="cs"/>
          <w:sz w:val="26"/>
          <w:szCs w:val="26"/>
          <w:rtl/>
        </w:rPr>
        <w:tab/>
      </w:r>
      <w:r w:rsidRPr="00E35D84">
        <w:rPr>
          <w:rFonts w:hint="cs"/>
          <w:sz w:val="26"/>
          <w:szCs w:val="26"/>
          <w:u w:val="single"/>
          <w:rtl/>
        </w:rPr>
        <w:t>تحليل المعلومات الدنيا اللازمة لوضع برامج ونماذج التدريب وإصدار الشهادات المعتمدة على القدرات لفنيي الخدمة وموظفي الجمارك للتحول الى البدائل:</w:t>
      </w:r>
    </w:p>
    <w:p w:rsidR="005B64DC" w:rsidRPr="00E35D84" w:rsidRDefault="005E25CA" w:rsidP="005E25CA">
      <w:pPr>
        <w:pStyle w:val="Heading1"/>
        <w:keepNext/>
        <w:numPr>
          <w:ilvl w:val="0"/>
          <w:numId w:val="0"/>
        </w:numPr>
        <w:bidi/>
        <w:spacing w:after="0"/>
        <w:ind w:left="1440"/>
        <w:rPr>
          <w:sz w:val="26"/>
          <w:szCs w:val="26"/>
        </w:rPr>
      </w:pPr>
      <w:r w:rsidRPr="00E35D84">
        <w:rPr>
          <w:rFonts w:hint="cs"/>
          <w:sz w:val="26"/>
          <w:szCs w:val="26"/>
          <w:rtl/>
        </w:rPr>
        <w:t>يناقش هذا الجزء الكيفية التي يمكن بها تطبيق نماذج التدريب العادية على الظروف السائدة في بلدان المادة 5، ويحلل الكيفية التي يمكن بها للنواتج العالمية التي طورها اليونيب بمشاركة المنظمات الدولية في دعم الأنشطة في قطاع خدمة التبريد الممولة من الصندوق المتعدد الأطراف.</w:t>
      </w:r>
    </w:p>
    <w:p w:rsidR="005B64DC" w:rsidRPr="00E35D84" w:rsidRDefault="005B64DC" w:rsidP="009524F4">
      <w:pPr>
        <w:bidi/>
        <w:ind w:firstLine="720"/>
        <w:rPr>
          <w:sz w:val="26"/>
          <w:szCs w:val="26"/>
        </w:rPr>
      </w:pPr>
    </w:p>
    <w:p w:rsidR="005E25CA" w:rsidRPr="00E35D84" w:rsidRDefault="005E25CA" w:rsidP="005E25CA">
      <w:pPr>
        <w:pStyle w:val="Heading1"/>
        <w:numPr>
          <w:ilvl w:val="0"/>
          <w:numId w:val="0"/>
        </w:numPr>
        <w:bidi/>
        <w:spacing w:after="0"/>
        <w:ind w:left="1440" w:hanging="720"/>
        <w:rPr>
          <w:sz w:val="26"/>
          <w:szCs w:val="26"/>
          <w:u w:val="single"/>
        </w:rPr>
      </w:pPr>
      <w:r w:rsidRPr="00E35D84">
        <w:rPr>
          <w:rFonts w:hint="cs"/>
          <w:sz w:val="26"/>
          <w:szCs w:val="26"/>
          <w:rtl/>
        </w:rPr>
        <w:t>رابعا:</w:t>
      </w:r>
      <w:r w:rsidRPr="00E35D84">
        <w:rPr>
          <w:rFonts w:hint="cs"/>
          <w:sz w:val="26"/>
          <w:szCs w:val="26"/>
          <w:rtl/>
        </w:rPr>
        <w:tab/>
      </w:r>
      <w:r w:rsidRPr="00E35D84">
        <w:rPr>
          <w:rFonts w:hint="cs"/>
          <w:sz w:val="26"/>
          <w:szCs w:val="26"/>
          <w:u w:val="single"/>
          <w:rtl/>
        </w:rPr>
        <w:t>اعتبارات لتمويل خفض الهيدروفلوروكربون في قطاع خدمة التبريد:</w:t>
      </w:r>
    </w:p>
    <w:p w:rsidR="005E25CA" w:rsidRPr="00E35D84" w:rsidRDefault="005E25CA" w:rsidP="00BA1D63">
      <w:pPr>
        <w:pStyle w:val="ListParagraph"/>
        <w:bidi/>
        <w:ind w:left="1440"/>
        <w:rPr>
          <w:sz w:val="26"/>
          <w:szCs w:val="26"/>
          <w:rtl/>
        </w:rPr>
      </w:pPr>
      <w:r w:rsidRPr="00E35D84">
        <w:rPr>
          <w:rFonts w:hint="cs"/>
          <w:sz w:val="26"/>
          <w:szCs w:val="26"/>
          <w:rtl/>
        </w:rPr>
        <w:t xml:space="preserve">يناقش هذا القسم التنفيذ المشترك للمقررين </w:t>
      </w:r>
      <w:r w:rsidR="00BA1D63">
        <w:rPr>
          <w:sz w:val="26"/>
          <w:szCs w:val="26"/>
        </w:rPr>
        <w:t>6/XIX</w:t>
      </w:r>
      <w:r w:rsidRPr="00E35D84">
        <w:rPr>
          <w:rFonts w:hint="cs"/>
          <w:sz w:val="26"/>
          <w:szCs w:val="26"/>
          <w:rtl/>
        </w:rPr>
        <w:t xml:space="preserve"> و</w:t>
      </w:r>
      <w:r w:rsidR="00BA1D63">
        <w:rPr>
          <w:sz w:val="26"/>
          <w:szCs w:val="26"/>
        </w:rPr>
        <w:t xml:space="preserve"> 2/XXVIII</w:t>
      </w:r>
      <w:r w:rsidRPr="00E35D84">
        <w:rPr>
          <w:rFonts w:hint="cs"/>
          <w:sz w:val="26"/>
          <w:szCs w:val="26"/>
          <w:rtl/>
        </w:rPr>
        <w:t>بشأن قطاع خدمة التبريد مع مراعاة التداخل بين الجدول الزمني لإزالة المواد الهيدروكلوروفلوروكربونية وخفض الهيدروفلوروكربون، ويوجز الكيفية التي جرى بها تمويل قطاع خدمة التبريد، ويقدم الاعتبارات المحتملة لتحديد المساعدة لخفض الهيدروفلوروكربون.</w:t>
      </w:r>
    </w:p>
    <w:p w:rsidR="004D4302" w:rsidRPr="00E35D84" w:rsidRDefault="004D4302" w:rsidP="009524F4">
      <w:pPr>
        <w:bidi/>
        <w:ind w:firstLine="720"/>
        <w:rPr>
          <w:sz w:val="26"/>
          <w:szCs w:val="26"/>
        </w:rPr>
      </w:pPr>
    </w:p>
    <w:p w:rsidR="005E25CA" w:rsidRPr="00E35D84" w:rsidRDefault="005E25CA" w:rsidP="005E25CA">
      <w:pPr>
        <w:pStyle w:val="Heading1"/>
        <w:numPr>
          <w:ilvl w:val="0"/>
          <w:numId w:val="0"/>
        </w:numPr>
        <w:bidi/>
        <w:spacing w:after="0"/>
        <w:ind w:left="1440" w:hanging="720"/>
        <w:rPr>
          <w:sz w:val="26"/>
          <w:szCs w:val="26"/>
          <w:u w:val="single"/>
          <w:rtl/>
        </w:rPr>
      </w:pPr>
      <w:r w:rsidRPr="00E35D84">
        <w:rPr>
          <w:rFonts w:hint="cs"/>
          <w:sz w:val="26"/>
          <w:szCs w:val="26"/>
          <w:rtl/>
        </w:rPr>
        <w:t>خامسا:</w:t>
      </w:r>
      <w:r w:rsidRPr="00E35D84">
        <w:rPr>
          <w:rFonts w:hint="cs"/>
          <w:sz w:val="26"/>
          <w:szCs w:val="26"/>
          <w:rtl/>
        </w:rPr>
        <w:tab/>
      </w:r>
      <w:r w:rsidRPr="00E35D84">
        <w:rPr>
          <w:rFonts w:hint="cs"/>
          <w:sz w:val="26"/>
          <w:szCs w:val="26"/>
          <w:u w:val="single"/>
          <w:rtl/>
        </w:rPr>
        <w:t>التوصية:</w:t>
      </w:r>
    </w:p>
    <w:p w:rsidR="005B64DC" w:rsidRPr="00E35D84" w:rsidRDefault="005B64DC" w:rsidP="009524F4">
      <w:pPr>
        <w:bidi/>
        <w:rPr>
          <w:sz w:val="26"/>
          <w:szCs w:val="26"/>
        </w:rPr>
      </w:pPr>
    </w:p>
    <w:p w:rsidR="005E25CA" w:rsidRPr="00E35D84" w:rsidRDefault="005E25CA" w:rsidP="00501956">
      <w:pPr>
        <w:pStyle w:val="Heading1"/>
        <w:numPr>
          <w:ilvl w:val="0"/>
          <w:numId w:val="12"/>
        </w:numPr>
        <w:bidi/>
        <w:rPr>
          <w:sz w:val="26"/>
          <w:szCs w:val="26"/>
        </w:rPr>
      </w:pPr>
      <w:r w:rsidRPr="00E35D84">
        <w:rPr>
          <w:rFonts w:hint="cs"/>
          <w:sz w:val="26"/>
          <w:szCs w:val="26"/>
          <w:rtl/>
        </w:rPr>
        <w:t>تتضمن الوثيقة المرفقات التالية:</w:t>
      </w:r>
    </w:p>
    <w:p w:rsidR="005E25CA" w:rsidRPr="00E35D84" w:rsidRDefault="005E25CA" w:rsidP="00501956">
      <w:pPr>
        <w:pStyle w:val="ListParagraph"/>
        <w:numPr>
          <w:ilvl w:val="0"/>
          <w:numId w:val="17"/>
        </w:numPr>
        <w:bidi/>
        <w:ind w:left="1440" w:hanging="630"/>
        <w:rPr>
          <w:sz w:val="26"/>
          <w:szCs w:val="26"/>
          <w:rtl/>
        </w:rPr>
      </w:pPr>
      <w:r w:rsidRPr="00E35D84">
        <w:rPr>
          <w:rFonts w:hint="cs"/>
          <w:sz w:val="26"/>
          <w:szCs w:val="26"/>
          <w:rtl/>
        </w:rPr>
        <w:t>المقررات ذات الصلة المتعلقة بقطاع خدمة التبريد التي اعتمدتها اللجنة التنفيذية والأطراف في بروتوكول مونتريال.</w:t>
      </w:r>
    </w:p>
    <w:p w:rsidR="009842AA" w:rsidRPr="00E35D84" w:rsidRDefault="009842AA" w:rsidP="009524F4">
      <w:pPr>
        <w:bidi/>
        <w:ind w:left="1440" w:hanging="720"/>
        <w:rPr>
          <w:sz w:val="26"/>
          <w:szCs w:val="26"/>
        </w:rPr>
      </w:pPr>
    </w:p>
    <w:p w:rsidR="005E25CA" w:rsidRPr="00E35D84" w:rsidRDefault="005E25CA" w:rsidP="00501956">
      <w:pPr>
        <w:pStyle w:val="ListParagraph"/>
        <w:numPr>
          <w:ilvl w:val="0"/>
          <w:numId w:val="17"/>
        </w:numPr>
        <w:bidi/>
        <w:ind w:left="1440" w:hanging="630"/>
        <w:rPr>
          <w:sz w:val="26"/>
          <w:szCs w:val="26"/>
          <w:rtl/>
        </w:rPr>
      </w:pPr>
      <w:r w:rsidRPr="00E35D84">
        <w:rPr>
          <w:rFonts w:hint="cs"/>
          <w:sz w:val="26"/>
          <w:szCs w:val="26"/>
          <w:rtl/>
        </w:rPr>
        <w:t>قائمة بعمليات التقييم المتعلقة بقطاع خدمة التبريد التي أجراها الصندوق المتعدد الأطراف.</w:t>
      </w:r>
    </w:p>
    <w:p w:rsidR="00D762D0" w:rsidRPr="00E35D84" w:rsidRDefault="00D762D0" w:rsidP="009524F4">
      <w:pPr>
        <w:bidi/>
        <w:rPr>
          <w:sz w:val="26"/>
          <w:szCs w:val="26"/>
        </w:rPr>
      </w:pPr>
    </w:p>
    <w:p w:rsidR="005E25CA" w:rsidRPr="00E35D84" w:rsidRDefault="005E25CA" w:rsidP="00501956">
      <w:pPr>
        <w:pStyle w:val="ListParagraph"/>
        <w:numPr>
          <w:ilvl w:val="0"/>
          <w:numId w:val="17"/>
        </w:numPr>
        <w:bidi/>
        <w:ind w:left="1440" w:hanging="630"/>
        <w:rPr>
          <w:sz w:val="26"/>
          <w:szCs w:val="26"/>
          <w:rtl/>
        </w:rPr>
      </w:pPr>
      <w:r w:rsidRPr="00E35D84">
        <w:rPr>
          <w:rFonts w:hint="cs"/>
          <w:sz w:val="26"/>
          <w:szCs w:val="26"/>
          <w:rtl/>
        </w:rPr>
        <w:t>المنتجات العالمية التي وضعها اليونيب والمنظمات ا</w:t>
      </w:r>
      <w:r w:rsidR="002163C8" w:rsidRPr="00E35D84">
        <w:rPr>
          <w:rFonts w:hint="cs"/>
          <w:sz w:val="26"/>
          <w:szCs w:val="26"/>
          <w:rtl/>
        </w:rPr>
        <w:t>لأخرى لمساعدة قطاع خدمة التبريد في بلدان المادة 5.</w:t>
      </w:r>
    </w:p>
    <w:p w:rsidR="00D762D0" w:rsidRPr="00E35D84" w:rsidRDefault="00D762D0" w:rsidP="009524F4">
      <w:pPr>
        <w:bidi/>
        <w:rPr>
          <w:sz w:val="26"/>
          <w:szCs w:val="26"/>
        </w:rPr>
      </w:pPr>
    </w:p>
    <w:p w:rsidR="002163C8" w:rsidRPr="00E35D84" w:rsidRDefault="002163C8" w:rsidP="009524F4">
      <w:pPr>
        <w:pStyle w:val="Heading1"/>
        <w:numPr>
          <w:ilvl w:val="0"/>
          <w:numId w:val="0"/>
        </w:numPr>
        <w:bidi/>
        <w:rPr>
          <w:bCs/>
          <w:sz w:val="26"/>
          <w:szCs w:val="26"/>
          <w:rtl/>
        </w:rPr>
      </w:pPr>
      <w:r w:rsidRPr="00E35D84">
        <w:rPr>
          <w:rFonts w:hint="cs"/>
          <w:bCs/>
          <w:sz w:val="26"/>
          <w:szCs w:val="26"/>
          <w:rtl/>
        </w:rPr>
        <w:t>أولا</w:t>
      </w:r>
      <w:r w:rsidRPr="00E35D84">
        <w:rPr>
          <w:rFonts w:hint="cs"/>
          <w:bCs/>
          <w:sz w:val="26"/>
          <w:szCs w:val="26"/>
          <w:rtl/>
        </w:rPr>
        <w:tab/>
        <w:t>عرض عام لقطاع خدمة التبريد</w:t>
      </w:r>
    </w:p>
    <w:p w:rsidR="002163C8" w:rsidRPr="00E35D84" w:rsidRDefault="002163C8" w:rsidP="00501956">
      <w:pPr>
        <w:pStyle w:val="Heading1"/>
        <w:numPr>
          <w:ilvl w:val="0"/>
          <w:numId w:val="12"/>
        </w:numPr>
        <w:bidi/>
        <w:rPr>
          <w:sz w:val="26"/>
          <w:szCs w:val="26"/>
        </w:rPr>
      </w:pPr>
      <w:r w:rsidRPr="00E35D84">
        <w:rPr>
          <w:rFonts w:hint="cs"/>
          <w:sz w:val="26"/>
          <w:szCs w:val="26"/>
          <w:rtl/>
        </w:rPr>
        <w:t>نظرت اللجنة التنفيذية منذ إنشاء الصندوق المتعدد  الأطراف في إزالة المواد الخاضعة للرقابة</w:t>
      </w:r>
      <w:r w:rsidRPr="00E35D84">
        <w:rPr>
          <w:rStyle w:val="FootnoteReference"/>
          <w:sz w:val="26"/>
          <w:szCs w:val="26"/>
        </w:rPr>
        <w:footnoteReference w:id="7"/>
      </w:r>
      <w:r w:rsidRPr="00E35D84">
        <w:rPr>
          <w:rFonts w:hint="cs"/>
          <w:sz w:val="26"/>
          <w:szCs w:val="26"/>
          <w:rtl/>
        </w:rPr>
        <w:t xml:space="preserve"> التي تستخدم في قطاع خدمة التبريد</w:t>
      </w:r>
      <w:r w:rsidRPr="00E35D84">
        <w:rPr>
          <w:rStyle w:val="FootnoteReference"/>
          <w:sz w:val="26"/>
          <w:szCs w:val="26"/>
        </w:rPr>
        <w:footnoteReference w:id="8"/>
      </w:r>
      <w:r w:rsidRPr="00E35D84">
        <w:rPr>
          <w:rFonts w:hint="cs"/>
          <w:sz w:val="26"/>
          <w:szCs w:val="26"/>
          <w:rtl/>
        </w:rPr>
        <w:t xml:space="preserve"> كأولوية من أولوياتها. وبدأ الصندوق المتعدد الأطراف بتمويل الأنشطة لمعالجة استهلاك المواد </w:t>
      </w:r>
      <w:r w:rsidRPr="00E35D84">
        <w:rPr>
          <w:rFonts w:hint="cs"/>
          <w:sz w:val="26"/>
          <w:szCs w:val="26"/>
          <w:rtl/>
        </w:rPr>
        <w:lastRenderedPageBreak/>
        <w:t>الخاضعة للرقابة في قطاع خدمة التبريد في وقت مبكر يرجع الى الاجتماع الرابع (يونيه/ حزيران 1991) ونظرا للانبعاثات المستمرة من غازات التبريد في الغلاف الجوي، سيصبح قطاع خدمة التبريد يتعلق بصورة متزايدة ببلدان المادة 5 الى أن يتم تحقيق أهداف الامتثال للخفض بموجب تعديل كيغالي.</w:t>
      </w:r>
    </w:p>
    <w:p w:rsidR="008C7990" w:rsidRPr="00E35D84" w:rsidRDefault="008C7990" w:rsidP="009524F4">
      <w:pPr>
        <w:keepNext/>
        <w:bidi/>
        <w:rPr>
          <w:bCs/>
          <w:sz w:val="26"/>
          <w:szCs w:val="26"/>
          <w:rtl/>
        </w:rPr>
      </w:pPr>
      <w:r w:rsidRPr="00E35D84">
        <w:rPr>
          <w:rFonts w:hint="cs"/>
          <w:bCs/>
          <w:sz w:val="26"/>
          <w:szCs w:val="26"/>
          <w:rtl/>
        </w:rPr>
        <w:t>تقييم الأنشطة ذات الصلة بقطاع خدمة التبريد</w:t>
      </w:r>
    </w:p>
    <w:p w:rsidR="009323FC" w:rsidRPr="00E35D84" w:rsidRDefault="009323FC" w:rsidP="009524F4">
      <w:pPr>
        <w:keepNext/>
        <w:bidi/>
        <w:rPr>
          <w:sz w:val="26"/>
          <w:szCs w:val="26"/>
        </w:rPr>
      </w:pPr>
    </w:p>
    <w:p w:rsidR="008C7990" w:rsidRPr="00E35D84" w:rsidRDefault="008C7990" w:rsidP="00501956">
      <w:pPr>
        <w:pStyle w:val="Heading1"/>
        <w:keepNext/>
        <w:numPr>
          <w:ilvl w:val="0"/>
          <w:numId w:val="12"/>
        </w:numPr>
        <w:bidi/>
        <w:rPr>
          <w:sz w:val="26"/>
          <w:szCs w:val="26"/>
        </w:rPr>
      </w:pPr>
      <w:r w:rsidRPr="00E35D84">
        <w:rPr>
          <w:rFonts w:hint="cs"/>
          <w:sz w:val="26"/>
          <w:szCs w:val="26"/>
          <w:rtl/>
        </w:rPr>
        <w:t>ركزت الأنشطة الأولية في قطاع خدمة التبريد على إزالة الكلوروفلوروكربون-12 المستخدم في خدمة الثلاجات المنزلية ومعدات التبريد التجاري المنفصلة ووحدات تكييف الهواء المتنقلة بدرجة أقل على إزالة الكلوروفلوروكربون-11 والكلوروفلوروكربون-15 المستخدمين في تبريد المباني وغير ذلك من الاستخدامات.</w:t>
      </w:r>
    </w:p>
    <w:p w:rsidR="00B606BC" w:rsidRPr="00E35D84" w:rsidRDefault="008C7990" w:rsidP="009524F4">
      <w:pPr>
        <w:pStyle w:val="Heading1"/>
        <w:keepNext/>
        <w:numPr>
          <w:ilvl w:val="0"/>
          <w:numId w:val="0"/>
        </w:numPr>
        <w:bidi/>
        <w:rPr>
          <w:sz w:val="26"/>
          <w:szCs w:val="26"/>
        </w:rPr>
      </w:pPr>
      <w:bookmarkStart w:id="2" w:name="_Hlk528868125"/>
      <w:r w:rsidRPr="00E35D84">
        <w:rPr>
          <w:rFonts w:hint="cs"/>
          <w:sz w:val="26"/>
          <w:szCs w:val="26"/>
          <w:u w:val="single"/>
          <w:rtl/>
        </w:rPr>
        <w:t>الأنشطة المنفصلة</w:t>
      </w:r>
    </w:p>
    <w:bookmarkEnd w:id="2"/>
    <w:p w:rsidR="008C7990" w:rsidRPr="00E35D84" w:rsidRDefault="008C7990" w:rsidP="00501956">
      <w:pPr>
        <w:pStyle w:val="Heading1"/>
        <w:keepNext/>
        <w:numPr>
          <w:ilvl w:val="0"/>
          <w:numId w:val="12"/>
        </w:numPr>
        <w:bidi/>
        <w:rPr>
          <w:sz w:val="26"/>
          <w:szCs w:val="26"/>
        </w:rPr>
      </w:pPr>
      <w:r w:rsidRPr="00E35D84">
        <w:rPr>
          <w:rFonts w:hint="cs"/>
          <w:sz w:val="26"/>
          <w:szCs w:val="26"/>
          <w:rtl/>
        </w:rPr>
        <w:t>نفذت الأنشطة الأولية في قطاع خدمة التبريد في أول الأمر في شكل مشروعات منفصلة تتألف من تدريب فنيي التبريد على ممارسات الخدمة الجيدة وتوفير الأدوات الأساسية والمعدات للفنيين وإقامة مخططات لاسترجاع غازات التبريد وإعادة تدويرها. وكانت المساعدات تقدم، عادة لتعزيز نظم التراخيص للواردات والصادرات الخاصة بالمواد الخاضعة للرقابة بموجب المادة 4 باء من بروتوكول مونتريال</w:t>
      </w:r>
      <w:r w:rsidR="00117E66" w:rsidRPr="00E35D84">
        <w:rPr>
          <w:rStyle w:val="FootnoteReference"/>
          <w:sz w:val="26"/>
          <w:szCs w:val="26"/>
        </w:rPr>
        <w:footnoteReference w:id="9"/>
      </w:r>
      <w:r w:rsidRPr="00E35D84">
        <w:rPr>
          <w:rFonts w:hint="cs"/>
          <w:sz w:val="26"/>
          <w:szCs w:val="26"/>
          <w:rtl/>
        </w:rPr>
        <w:t xml:space="preserve"> لوضع قواعد محددة لدعم برنامج الإزالة وتدريب موظفي الجمارك وموظفي إنفاذ القوانين على التشريعات والقواعد التي تستهدف إزالة المواد الخاضغة للرقابة بما في ذلك توفير المعدات لتحديد غازات التبريد.</w:t>
      </w:r>
    </w:p>
    <w:p w:rsidR="00117E66" w:rsidRPr="00E35D84" w:rsidRDefault="00117E66" w:rsidP="00117E66">
      <w:pPr>
        <w:bidi/>
        <w:rPr>
          <w:sz w:val="26"/>
          <w:szCs w:val="26"/>
          <w:u w:val="single"/>
        </w:rPr>
      </w:pPr>
      <w:r w:rsidRPr="00E35D84">
        <w:rPr>
          <w:rFonts w:hint="cs"/>
          <w:sz w:val="26"/>
          <w:szCs w:val="26"/>
          <w:u w:val="single"/>
          <w:rtl/>
        </w:rPr>
        <w:t>خطط إزالة المواد الكلوروفلوروكربونية</w:t>
      </w:r>
    </w:p>
    <w:p w:rsidR="00117E66" w:rsidRPr="00E35D84" w:rsidRDefault="00117E66" w:rsidP="00117E66">
      <w:pPr>
        <w:bidi/>
        <w:rPr>
          <w:sz w:val="26"/>
          <w:szCs w:val="26"/>
        </w:rPr>
      </w:pPr>
    </w:p>
    <w:p w:rsidR="00B606BC" w:rsidRPr="00E35D84" w:rsidRDefault="00117E66" w:rsidP="00501956">
      <w:pPr>
        <w:pStyle w:val="Heading1"/>
        <w:keepNext/>
        <w:numPr>
          <w:ilvl w:val="0"/>
          <w:numId w:val="12"/>
        </w:numPr>
        <w:bidi/>
        <w:rPr>
          <w:sz w:val="26"/>
          <w:szCs w:val="26"/>
          <w:rtl/>
        </w:rPr>
      </w:pPr>
      <w:r w:rsidRPr="00E35D84">
        <w:rPr>
          <w:rFonts w:hint="cs"/>
          <w:sz w:val="26"/>
          <w:szCs w:val="26"/>
          <w:rtl/>
        </w:rPr>
        <w:t>ومع التقدم المحرز</w:t>
      </w:r>
      <w:r w:rsidR="00585032" w:rsidRPr="00E35D84">
        <w:rPr>
          <w:rFonts w:hint="cs"/>
          <w:sz w:val="26"/>
          <w:szCs w:val="26"/>
          <w:rtl/>
        </w:rPr>
        <w:t>فى</w:t>
      </w:r>
      <w:r w:rsidRPr="00E35D84">
        <w:rPr>
          <w:rFonts w:hint="cs"/>
          <w:sz w:val="26"/>
          <w:szCs w:val="26"/>
          <w:rtl/>
        </w:rPr>
        <w:t xml:space="preserve"> برنامج الإزالة، استعيض عن الأنشطة المنفصلة المتعلقة بالأطر التنظيمية والتدريب والمساعدات التقنية بخطة تمويل شاملة تطبق على البلدان التي ينخفض فيها حجم الاستهلاك: خطة إدارة غازات التبريد. وتمثل الهدف الشامل من هذه الخطة في ضع وتخطيط استراتيجية تؤدي الى إدارة استخدام وإزالة المواد الكلوروفلوروكربونية النقية المستخدمة في خدمة أجهزة التبريد وتكييف الهواء،</w:t>
      </w:r>
      <w:r w:rsidRPr="00E35D84">
        <w:rPr>
          <w:sz w:val="26"/>
          <w:szCs w:val="26"/>
          <w:vertAlign w:val="superscript"/>
        </w:rPr>
        <w:footnoteReference w:id="10"/>
      </w:r>
      <w:r w:rsidRPr="00E35D84">
        <w:rPr>
          <w:rFonts w:hint="cs"/>
          <w:sz w:val="26"/>
          <w:szCs w:val="26"/>
          <w:rtl/>
        </w:rPr>
        <w:t xml:space="preserve"> مع مراعاة الظروف السائدة في البلدان المعنية. ووفق على أول مجموعة من خمسة خطط إدارة غازات التبريد خلال الاجتماع الثالث والعشرين (نوفمبر/ تشرين الثاني 1997).</w:t>
      </w:r>
      <w:r w:rsidRPr="00E35D84">
        <w:rPr>
          <w:sz w:val="26"/>
          <w:szCs w:val="26"/>
        </w:rPr>
        <w:t xml:space="preserve"> </w:t>
      </w:r>
      <w:r w:rsidRPr="00E35D84">
        <w:rPr>
          <w:sz w:val="26"/>
          <w:szCs w:val="26"/>
          <w:vertAlign w:val="superscript"/>
        </w:rPr>
        <w:footnoteReference w:id="11"/>
      </w:r>
    </w:p>
    <w:p w:rsidR="0085140E" w:rsidRPr="00E35D84" w:rsidRDefault="0085140E" w:rsidP="00BA1D63">
      <w:pPr>
        <w:pStyle w:val="Heading1"/>
        <w:keepNext/>
        <w:numPr>
          <w:ilvl w:val="0"/>
          <w:numId w:val="12"/>
        </w:numPr>
        <w:bidi/>
        <w:spacing w:after="160"/>
        <w:rPr>
          <w:sz w:val="26"/>
          <w:szCs w:val="26"/>
          <w:rtl/>
        </w:rPr>
      </w:pPr>
      <w:r w:rsidRPr="00E35D84">
        <w:rPr>
          <w:rFonts w:hint="cs"/>
          <w:sz w:val="26"/>
          <w:szCs w:val="26"/>
          <w:rtl/>
        </w:rPr>
        <w:t xml:space="preserve">وخلال الاجتماع الثالث والثلاثين (مارس/ آذار 2001)، </w:t>
      </w:r>
      <w:r w:rsidR="00821B42" w:rsidRPr="00E35D84">
        <w:rPr>
          <w:rFonts w:hint="cs"/>
          <w:sz w:val="26"/>
          <w:szCs w:val="26"/>
          <w:rtl/>
        </w:rPr>
        <w:t>أدركت اللجنة التنفيذية الحاجة الى نهج قطري يتيح المرونة في تحديد النهج الذي يمكن البلد من تحقيق الالتزامات خلال فترة الامتثال لبروتوكول مونتريال، واعتماد إطار للأهداف والأولويات والمشكلات وطرق التخطيط الاستراتيجي للصندوق خلال فترة الامتثال. ويتعين على بلدان المادة 5، خلال هذه الفترة وضع وتحديد أهداف وسياسات وإجراءات وطنية لتحقيق الخطة الاستراتيجية للامتثال التي يمكن أن تتضمن مشروعات فردية، وخطط قطاعية أو كليهما. وينبغي أن يعتمد التمويل على الالتزام بتحقيق الخفض التجميعي الدائم في الاستهلاك والإنتاج حسب مقتضى الحال. ولدى اعتماد هذا الإطار لاحظت اللجنة أن عميات التحديث لخطة إدارة غازات التبريد</w:t>
      </w:r>
      <w:r w:rsidR="00821B42" w:rsidRPr="00E35D84">
        <w:rPr>
          <w:rStyle w:val="FootnoteReference"/>
          <w:sz w:val="26"/>
          <w:szCs w:val="26"/>
        </w:rPr>
        <w:footnoteReference w:id="12"/>
      </w:r>
      <w:r w:rsidR="00821B42" w:rsidRPr="00E35D84">
        <w:rPr>
          <w:rFonts w:hint="cs"/>
          <w:sz w:val="26"/>
          <w:szCs w:val="26"/>
          <w:rtl/>
        </w:rPr>
        <w:t xml:space="preserve"> سوف تزود لبلدان المادة 5 بآلية لاستراتيجيات الإزالة الوطنية، وقررت أن تشجع بلدان المادة 5 على الاستفادة من هذه الفرصة (المقرر 33/54) وبحلول عام 2007، عندما كان يتعين على البلدان الالتزام بالخفض </w:t>
      </w:r>
      <w:r w:rsidR="00821B42" w:rsidRPr="00E35D84">
        <w:rPr>
          <w:rFonts w:hint="cs"/>
          <w:sz w:val="26"/>
          <w:szCs w:val="26"/>
          <w:rtl/>
        </w:rPr>
        <w:lastRenderedPageBreak/>
        <w:t>بنسبة 85 في المائة في استهلاك المواد الكلوروفلوروكربون، كان 104 بلدان من بلدان المادة 5 قد وافقت على خطة إدارة غازات التبريد</w:t>
      </w:r>
      <w:r w:rsidR="00CA4AB7" w:rsidRPr="00E35D84">
        <w:rPr>
          <w:rFonts w:hint="cs"/>
          <w:sz w:val="26"/>
          <w:szCs w:val="26"/>
          <w:rtl/>
        </w:rPr>
        <w:t xml:space="preserve"> و/أو تحديث هذه الخطة التي أعدت بعد على أساس النهج القطري خلال الاجتماع الثالث والثلاثين. كذلك فإنه بغية تحقيق </w:t>
      </w:r>
      <w:r w:rsidR="009E1920" w:rsidRPr="00E35D84">
        <w:rPr>
          <w:rFonts w:hint="cs"/>
          <w:sz w:val="26"/>
          <w:szCs w:val="26"/>
          <w:rtl/>
        </w:rPr>
        <w:t xml:space="preserve">الإزالة </w:t>
      </w:r>
      <w:r w:rsidR="00555C9E" w:rsidRPr="00E35D84">
        <w:rPr>
          <w:rFonts w:hint="cs"/>
          <w:sz w:val="26"/>
          <w:szCs w:val="26"/>
          <w:rtl/>
        </w:rPr>
        <w:t xml:space="preserve"> الكاملة للمواد الكلوروفلوروكربونية، وضعت خطط إدارة الإزالة النهائية للبلدان التي ينخفض فيها حجم الاستهلاك، وخطط إزالة وطنية تعتمد على الأداء للبلدان التي لا ينخفض فيها حجم الاستهلاك على أساس النهج القطري.</w:t>
      </w:r>
    </w:p>
    <w:p w:rsidR="00213975" w:rsidRPr="00BA1D63" w:rsidRDefault="00555C9E" w:rsidP="00BA1D63">
      <w:pPr>
        <w:keepNext/>
        <w:keepLines/>
        <w:bidi/>
        <w:spacing w:after="160"/>
        <w:rPr>
          <w:sz w:val="26"/>
          <w:szCs w:val="26"/>
          <w:u w:val="single"/>
        </w:rPr>
      </w:pPr>
      <w:r w:rsidRPr="00E35D84">
        <w:rPr>
          <w:rFonts w:hint="cs"/>
          <w:sz w:val="26"/>
          <w:szCs w:val="26"/>
          <w:u w:val="single"/>
          <w:rtl/>
        </w:rPr>
        <w:t>خطط إزالة المواد الهيدروكلوروفلوروكربونية</w:t>
      </w:r>
    </w:p>
    <w:p w:rsidR="00555C9E" w:rsidRPr="00E35D84" w:rsidRDefault="00555C9E" w:rsidP="00BA1D63">
      <w:pPr>
        <w:pStyle w:val="Heading1"/>
        <w:numPr>
          <w:ilvl w:val="0"/>
          <w:numId w:val="12"/>
        </w:numPr>
        <w:tabs>
          <w:tab w:val="num" w:pos="720"/>
        </w:tabs>
        <w:bidi/>
        <w:spacing w:after="160"/>
        <w:rPr>
          <w:sz w:val="26"/>
          <w:szCs w:val="26"/>
        </w:rPr>
      </w:pPr>
      <w:r w:rsidRPr="00E35D84">
        <w:rPr>
          <w:rFonts w:hint="cs"/>
          <w:sz w:val="26"/>
          <w:szCs w:val="26"/>
          <w:rtl/>
        </w:rPr>
        <w:t>نتيجة للإسراع بإزالة المواد الهيدروكلوروفلوروكربونية على النحو الذي ووفق عليه في المقرر 19/6 الصادر عن الأطراف، نظرت اللجنة التنفيذية خلال اجتماعها</w:t>
      </w:r>
      <w:r w:rsidR="008D3DD8" w:rsidRPr="00E35D84">
        <w:rPr>
          <w:rFonts w:hint="cs"/>
          <w:sz w:val="26"/>
          <w:szCs w:val="26"/>
          <w:rtl/>
        </w:rPr>
        <w:t xml:space="preserve"> الثالث والخمسين (نوفمبر/ تشرين الثاني 2007) وثيقة عن خيارات تقييم وتحديد التكاليف الإضافية المؤهلة لأنشطة إزالة استهلاك وإنتاج المواد الهيدروكلوروفلوروكربونية.</w:t>
      </w:r>
      <w:r w:rsidR="008D3DD8" w:rsidRPr="00E35D84">
        <w:rPr>
          <w:rStyle w:val="FootnoteReference"/>
          <w:sz w:val="26"/>
          <w:szCs w:val="26"/>
        </w:rPr>
        <w:t xml:space="preserve"> </w:t>
      </w:r>
      <w:r w:rsidR="008D3DD8" w:rsidRPr="00E35D84">
        <w:rPr>
          <w:rStyle w:val="FootnoteReference"/>
          <w:sz w:val="26"/>
          <w:szCs w:val="26"/>
        </w:rPr>
        <w:footnoteReference w:id="13"/>
      </w:r>
      <w:r w:rsidR="008D3DD8" w:rsidRPr="00E35D84">
        <w:rPr>
          <w:rFonts w:hint="cs"/>
          <w:sz w:val="26"/>
          <w:szCs w:val="26"/>
          <w:rtl/>
        </w:rPr>
        <w:t xml:space="preserve"> وكانت الوثيقة تشكل الأساس لوضع مبادىء توجيهية لإعداد خطط إدارة إزالة المواد الهيدروكلوروفلوروكربونية. واقترح نهج متعدد المراحل يتيح للبلدان وضع خطة جامعة لتحقيق كافة عمليات الإزالة في حين وافقت على مقترحات لتحقيق أول تدبيرين للرقابة على الهيدروكلوروفلوروكربون في 2013 و2015 مع إتاحة في نفس الوقت المقترحات الخاصة بمرحلة أو مراحل ناصفة إذا اقتضى الأمر لإدارة عملياتها لإزالة الهيدروكلوروفلوروكربون. واعترفت اللجنة التنفيذية بأهمية التمويل المعتمد على الأداء. وقد أدى ذلك الى مقارنة الالتزام بالتمويل الموافق عليه من حيث المبدأ لكل بلد بالهدف الأقصى للاستهلاك القابل للتمويل لكل بلد مع خطوات خفض خطية.</w:t>
      </w:r>
    </w:p>
    <w:p w:rsidR="008D3DD8" w:rsidRPr="00E35D84" w:rsidRDefault="008D3DD8" w:rsidP="00BA1D63">
      <w:pPr>
        <w:pStyle w:val="Heading1"/>
        <w:numPr>
          <w:ilvl w:val="0"/>
          <w:numId w:val="12"/>
        </w:numPr>
        <w:tabs>
          <w:tab w:val="num" w:pos="720"/>
        </w:tabs>
        <w:bidi/>
        <w:spacing w:after="160"/>
        <w:rPr>
          <w:sz w:val="26"/>
          <w:szCs w:val="26"/>
        </w:rPr>
      </w:pPr>
      <w:r w:rsidRPr="00E35D84">
        <w:rPr>
          <w:rFonts w:hint="cs"/>
          <w:sz w:val="26"/>
          <w:szCs w:val="26"/>
          <w:rtl/>
        </w:rPr>
        <w:t>واستنادا الى هذه المبادىء التوجيهية، وافقت اللجنة التنفيذية خلال اجتماعها الحادي والستين (أبريل/ نيسان 2010) على أول خط</w:t>
      </w:r>
      <w:r w:rsidR="00FC2900" w:rsidRPr="00E35D84">
        <w:rPr>
          <w:rFonts w:hint="cs"/>
          <w:sz w:val="26"/>
          <w:szCs w:val="26"/>
          <w:rtl/>
        </w:rPr>
        <w:t>طين</w:t>
      </w:r>
      <w:r w:rsidRPr="00E35D84">
        <w:rPr>
          <w:rFonts w:hint="cs"/>
          <w:sz w:val="26"/>
          <w:szCs w:val="26"/>
          <w:rtl/>
        </w:rPr>
        <w:t xml:space="preserve"> لإدارة إزالة المواد الهيدروكلوروفلوروكربونية لبلدان المادة 5.</w:t>
      </w:r>
      <w:r w:rsidRPr="00E35D84">
        <w:rPr>
          <w:rStyle w:val="FootnoteReference"/>
          <w:sz w:val="26"/>
          <w:szCs w:val="26"/>
        </w:rPr>
        <w:t xml:space="preserve"> </w:t>
      </w:r>
      <w:r w:rsidRPr="00E35D84">
        <w:rPr>
          <w:rStyle w:val="FootnoteReference"/>
          <w:sz w:val="26"/>
          <w:szCs w:val="26"/>
        </w:rPr>
        <w:footnoteReference w:id="14"/>
      </w:r>
      <w:r w:rsidRPr="00E35D84">
        <w:rPr>
          <w:rFonts w:hint="cs"/>
          <w:sz w:val="26"/>
          <w:szCs w:val="26"/>
          <w:rtl/>
        </w:rPr>
        <w:t xml:space="preserve"> ومنذ ذلك الوقت، ووفق على المرحلة الأولى (والثانية في كثير من البلدان) من خطط إدارة إزالة المواد الهيدروكلوروفلوروكربونية بالنسبة لجميع بلدان المادة 5 باستثناء الجمهورية العربية السورية.</w:t>
      </w:r>
      <w:r w:rsidRPr="00E35D84">
        <w:rPr>
          <w:rStyle w:val="FootnoteReference"/>
          <w:sz w:val="26"/>
          <w:szCs w:val="26"/>
          <w:lang w:val="en-CA"/>
        </w:rPr>
        <w:t xml:space="preserve"> </w:t>
      </w:r>
      <w:r w:rsidRPr="00E35D84">
        <w:rPr>
          <w:rStyle w:val="FootnoteReference"/>
          <w:sz w:val="26"/>
          <w:szCs w:val="26"/>
          <w:lang w:val="en-CA"/>
        </w:rPr>
        <w:footnoteReference w:id="15"/>
      </w:r>
    </w:p>
    <w:p w:rsidR="008D3DD8" w:rsidRPr="00E35D84" w:rsidRDefault="008D3DD8" w:rsidP="00BA1D63">
      <w:pPr>
        <w:pStyle w:val="Heading1"/>
        <w:numPr>
          <w:ilvl w:val="0"/>
          <w:numId w:val="12"/>
        </w:numPr>
        <w:tabs>
          <w:tab w:val="num" w:pos="720"/>
        </w:tabs>
        <w:bidi/>
        <w:spacing w:after="160"/>
        <w:rPr>
          <w:sz w:val="26"/>
          <w:szCs w:val="26"/>
        </w:rPr>
      </w:pPr>
      <w:r w:rsidRPr="00E35D84">
        <w:rPr>
          <w:rFonts w:hint="cs"/>
          <w:sz w:val="26"/>
          <w:szCs w:val="26"/>
          <w:rtl/>
        </w:rPr>
        <w:t>وتبين المعلومات الواردة من خطط إدارة إزالة المواد الهيدروكلوروفلوروكربونية</w:t>
      </w:r>
      <w:r w:rsidR="0018546C" w:rsidRPr="00E35D84">
        <w:rPr>
          <w:rFonts w:hint="cs"/>
          <w:sz w:val="26"/>
          <w:szCs w:val="26"/>
          <w:rtl/>
        </w:rPr>
        <w:t xml:space="preserve"> الموافق عليها أن استخدام المواد الهيدروكلوروفلوروكربونية في 95 في المائة من بلدان المادة 5 البالغة 145 لا يتم إلاّ لخدمة أجهزة التبريد وتكييف الهواء. أما بالنسبة للبلدان الخمسين المتبقية حيث تستخدم هذه المواد أيضا في قطاع التصنيع، فإن إزالة المواد الهيدروكلوروفلوروكربونية المستخدمة في قطاع خدمة التبريد أصبح ضروريا لتحقيق التزامات الامتثال حيث </w:t>
      </w:r>
      <w:r w:rsidR="006B0D86" w:rsidRPr="00E35D84">
        <w:rPr>
          <w:rFonts w:hint="cs"/>
          <w:sz w:val="26"/>
          <w:szCs w:val="26"/>
          <w:rtl/>
        </w:rPr>
        <w:t>بدئ</w:t>
      </w:r>
      <w:r w:rsidR="0018546C" w:rsidRPr="00E35D84">
        <w:rPr>
          <w:rFonts w:hint="cs"/>
          <w:sz w:val="26"/>
          <w:szCs w:val="26"/>
          <w:rtl/>
        </w:rPr>
        <w:t xml:space="preserve"> في إزالة هذه المواد من قطاعات التصنيع.</w:t>
      </w:r>
    </w:p>
    <w:p w:rsidR="009B008B" w:rsidRPr="00E35D84" w:rsidRDefault="009B008B" w:rsidP="00BA1D63">
      <w:pPr>
        <w:pStyle w:val="Heading1"/>
        <w:widowControl w:val="0"/>
        <w:numPr>
          <w:ilvl w:val="0"/>
          <w:numId w:val="12"/>
        </w:numPr>
        <w:tabs>
          <w:tab w:val="num" w:pos="720"/>
        </w:tabs>
        <w:bidi/>
        <w:spacing w:after="160"/>
        <w:rPr>
          <w:sz w:val="26"/>
          <w:szCs w:val="26"/>
          <w:lang w:bidi="ar-EG"/>
        </w:rPr>
      </w:pPr>
      <w:r w:rsidRPr="00E35D84">
        <w:rPr>
          <w:rFonts w:hint="cs"/>
          <w:sz w:val="26"/>
          <w:szCs w:val="26"/>
          <w:rtl/>
          <w:lang w:bidi="ar-EG"/>
        </w:rPr>
        <w:t>وخلال المناقشات التي جرت للتقليل من أدنى حد من الآثار المناخية في عملية إزالة المواد الهيدروكلوروفلوروكربونية في قطاع خدمة التبريد،</w:t>
      </w:r>
      <w:r w:rsidRPr="00E35D84">
        <w:rPr>
          <w:rStyle w:val="FootnoteReference"/>
          <w:sz w:val="26"/>
          <w:szCs w:val="26"/>
        </w:rPr>
        <w:footnoteReference w:id="16"/>
      </w:r>
      <w:r w:rsidRPr="00E35D84">
        <w:rPr>
          <w:rFonts w:hint="cs"/>
          <w:sz w:val="26"/>
          <w:szCs w:val="26"/>
          <w:rtl/>
          <w:lang w:bidi="ar-EG"/>
        </w:rPr>
        <w:t xml:space="preserve"> اعترف بضرورة التوسع في التدريب المقدم للفنيين إلى ما يتجاوز ممارسات التبريد الجيدة، والتركيز على احتواء المواد الخاضعة للرقابة بصورة سليمة من خلال الصيانة الوقائية، وتعزيز نوعية التركيب والمحافظة. على كفاءة استخدام الطاقة في المعدات وتحسينها عن طريق أوضاع الرقابة الملائمة والتنظيف السليم لمبادلات الحرارة وتيسير تدفئة الهواء المتعلق بهذه العملية. ونظرا لقابلية الاشتعال في الكثير من غازات التبريد التي تنخفض فيها القدرة على الاحترار العالمي، ومخاطر الحوادث المحتملة المرتبطة باستخدامها، يتعين أن تتضمن برامج التدريب نهج صارمة إزاء المناولة السليمة للغازات القابلة للاشتعال، ولفهم تعزيز قدرات معاهد التدريب لكي تستطيع أن تواصل تقديم التدريب المطلوب لتحقيق الامتثال لبروتوكول مونتريال على أساس مستدام وينبغي كذلك  توفير التدمير المحدث والتخصيص الإضافي للمدربين والمعنيين المستهدفين (مثل استخدام </w:t>
      </w:r>
      <w:r w:rsidR="00095FF7" w:rsidRPr="00E35D84">
        <w:rPr>
          <w:rFonts w:hint="cs"/>
          <w:sz w:val="26"/>
          <w:szCs w:val="26"/>
          <w:rtl/>
          <w:lang w:bidi="ar-EG"/>
        </w:rPr>
        <w:t xml:space="preserve">المعدات المعتمدة على ثاني أكسيد الكربون في متاجر السوبر ماركت، والمكاسب التي تتحقق من كفاءة استخدام الطاقة من تغيير تبريد المباني أو استبدال وحدات النافذة والمتصلة في المباني من خلال النظم المركزية وخيارات تكييف الهواء التي تحقق كفاءة الطاقة، وتركيبها في المباني الجديدة من بين خيارات أخرى) وجرى تعديل العديد من خطط </w:t>
      </w:r>
      <w:r w:rsidR="00095FF7" w:rsidRPr="00E35D84">
        <w:rPr>
          <w:rFonts w:hint="cs"/>
          <w:sz w:val="26"/>
          <w:szCs w:val="26"/>
          <w:rtl/>
          <w:lang w:bidi="ar-EG"/>
        </w:rPr>
        <w:lastRenderedPageBreak/>
        <w:t>إدارة إزالة المواد الهيدروكلوروفلوروكربونية التي يجري تنفيذها استنادا إلى هذه المناقشات والعديد من المقترحات التي طرحت</w:t>
      </w:r>
      <w:r w:rsidR="001F3DEF" w:rsidRPr="00E35D84">
        <w:rPr>
          <w:rFonts w:hint="cs"/>
          <w:sz w:val="26"/>
          <w:szCs w:val="26"/>
          <w:rtl/>
          <w:lang w:bidi="ar-EG"/>
        </w:rPr>
        <w:t xml:space="preserve"> المقدمة</w:t>
      </w:r>
      <w:r w:rsidR="00095FF7" w:rsidRPr="00E35D84">
        <w:rPr>
          <w:rFonts w:hint="cs"/>
          <w:sz w:val="26"/>
          <w:szCs w:val="26"/>
          <w:rtl/>
          <w:lang w:bidi="ar-EG"/>
        </w:rPr>
        <w:t>.</w:t>
      </w:r>
    </w:p>
    <w:p w:rsidR="001F3DEF" w:rsidRPr="00E35D84" w:rsidRDefault="001F3DEF" w:rsidP="009524F4">
      <w:pPr>
        <w:pStyle w:val="Heading1"/>
        <w:widowControl w:val="0"/>
        <w:numPr>
          <w:ilvl w:val="0"/>
          <w:numId w:val="0"/>
        </w:numPr>
        <w:tabs>
          <w:tab w:val="num" w:pos="720"/>
        </w:tabs>
        <w:bidi/>
        <w:rPr>
          <w:bCs/>
          <w:sz w:val="26"/>
          <w:szCs w:val="26"/>
          <w:rtl/>
        </w:rPr>
      </w:pPr>
      <w:r w:rsidRPr="00E35D84">
        <w:rPr>
          <w:rFonts w:hint="cs"/>
          <w:bCs/>
          <w:sz w:val="26"/>
          <w:szCs w:val="26"/>
          <w:rtl/>
        </w:rPr>
        <w:t>قطاع خدمة التبريد بعد تعديل كيغالي</w:t>
      </w:r>
    </w:p>
    <w:p w:rsidR="001F3DEF" w:rsidRPr="00E35D84" w:rsidRDefault="001F3DEF" w:rsidP="00501956">
      <w:pPr>
        <w:pStyle w:val="Heading1"/>
        <w:widowControl w:val="0"/>
        <w:numPr>
          <w:ilvl w:val="0"/>
          <w:numId w:val="12"/>
        </w:numPr>
        <w:tabs>
          <w:tab w:val="num" w:pos="720"/>
        </w:tabs>
        <w:bidi/>
        <w:rPr>
          <w:sz w:val="26"/>
          <w:szCs w:val="26"/>
        </w:rPr>
      </w:pPr>
      <w:r w:rsidRPr="00E35D84">
        <w:rPr>
          <w:rFonts w:hint="cs"/>
          <w:sz w:val="26"/>
          <w:szCs w:val="26"/>
          <w:rtl/>
        </w:rPr>
        <w:t>حققت قطاعات التبريد وتكييف الهواء نموا كبيرا على الصعيد العالمي منذ إنشاء الصندوق المتعدد الأطراف.</w:t>
      </w:r>
      <w:r w:rsidRPr="00E35D84">
        <w:rPr>
          <w:rStyle w:val="FootnoteReference"/>
          <w:sz w:val="26"/>
          <w:szCs w:val="26"/>
        </w:rPr>
        <w:t xml:space="preserve"> </w:t>
      </w:r>
      <w:r w:rsidRPr="00E35D84">
        <w:rPr>
          <w:rStyle w:val="FootnoteReference"/>
          <w:sz w:val="26"/>
          <w:szCs w:val="26"/>
        </w:rPr>
        <w:footnoteReference w:id="17"/>
      </w:r>
      <w:r w:rsidRPr="00E35D84">
        <w:rPr>
          <w:rFonts w:hint="cs"/>
          <w:sz w:val="26"/>
          <w:szCs w:val="26"/>
          <w:rtl/>
        </w:rPr>
        <w:t xml:space="preserve"> وزادت أعداد أجهزة التبريد وتكييف الهواء</w:t>
      </w:r>
      <w:r w:rsidRPr="00E35D84">
        <w:rPr>
          <w:rStyle w:val="FootnoteReference"/>
          <w:sz w:val="26"/>
          <w:szCs w:val="26"/>
        </w:rPr>
        <w:footnoteReference w:id="18"/>
      </w:r>
      <w:r w:rsidRPr="00E35D84">
        <w:rPr>
          <w:rFonts w:hint="cs"/>
          <w:sz w:val="26"/>
          <w:szCs w:val="26"/>
          <w:rtl/>
        </w:rPr>
        <w:t xml:space="preserve"> فضلا عن الاستخدام المتعلق بها لطائفة واسعة من غازات التبريد خلال العشرين عاما الأخيرة، وستواصل الزيادة نتيجة لعدة عوامل من بينها الزيادة المطردة في سكان العالم المقترنة باتجاه عالمي صوب التوسع العمراني،</w:t>
      </w:r>
      <w:r w:rsidR="001965C6" w:rsidRPr="00E35D84">
        <w:rPr>
          <w:rFonts w:eastAsia="MS PGothic"/>
          <w:sz w:val="26"/>
          <w:szCs w:val="26"/>
          <w:vertAlign w:val="superscript"/>
          <w:lang w:val="en-CA"/>
        </w:rPr>
        <w:footnoteReference w:id="19"/>
      </w:r>
      <w:r w:rsidRPr="00E35D84">
        <w:rPr>
          <w:rFonts w:hint="cs"/>
          <w:sz w:val="26"/>
          <w:szCs w:val="26"/>
          <w:rtl/>
        </w:rPr>
        <w:t xml:space="preserve"> وزيادة القدرة الشرائية للسكان، والتوافر المتزايد في الأجهزة بأسعار في متناول اليد والتوسع في سلسلة تبريد الأغذية.</w:t>
      </w:r>
    </w:p>
    <w:p w:rsidR="001965C6" w:rsidRPr="00E35D84" w:rsidRDefault="001965C6" w:rsidP="00501956">
      <w:pPr>
        <w:pStyle w:val="Heading1"/>
        <w:numPr>
          <w:ilvl w:val="0"/>
          <w:numId w:val="12"/>
        </w:numPr>
        <w:tabs>
          <w:tab w:val="num" w:pos="720"/>
        </w:tabs>
        <w:bidi/>
        <w:rPr>
          <w:sz w:val="26"/>
          <w:szCs w:val="26"/>
        </w:rPr>
      </w:pPr>
      <w:r w:rsidRPr="00E35D84">
        <w:rPr>
          <w:rFonts w:hint="cs"/>
          <w:sz w:val="26"/>
          <w:szCs w:val="26"/>
          <w:rtl/>
        </w:rPr>
        <w:t xml:space="preserve">وبحلول عام 2024 عندما </w:t>
      </w:r>
      <w:r w:rsidR="00FC2900" w:rsidRPr="00E35D84">
        <w:rPr>
          <w:rFonts w:hint="cs"/>
          <w:sz w:val="26"/>
          <w:szCs w:val="26"/>
          <w:rtl/>
        </w:rPr>
        <w:t>س</w:t>
      </w:r>
      <w:r w:rsidRPr="00E35D84">
        <w:rPr>
          <w:rFonts w:hint="cs"/>
          <w:sz w:val="26"/>
          <w:szCs w:val="26"/>
          <w:rtl/>
        </w:rPr>
        <w:t>يدخل الالتزام بالامتثال بالاستهلاك بموجب تعديل كيغالي للمجموعة الأولى من بلدان المادة 5، سيكون معظم استهلاك الهيدروكلوروفلوروكربون، والهيدروفلوروكربون في بلدان المادة 5 في قطاع خدمة التبريد.</w:t>
      </w:r>
    </w:p>
    <w:p w:rsidR="00045E26" w:rsidRPr="00E35D84" w:rsidRDefault="00DF5FD4" w:rsidP="009524F4">
      <w:pPr>
        <w:pStyle w:val="Heading1"/>
        <w:numPr>
          <w:ilvl w:val="0"/>
          <w:numId w:val="0"/>
        </w:numPr>
        <w:tabs>
          <w:tab w:val="num" w:pos="720"/>
        </w:tabs>
        <w:bidi/>
        <w:rPr>
          <w:sz w:val="26"/>
          <w:szCs w:val="26"/>
        </w:rPr>
      </w:pPr>
      <w:r w:rsidRPr="00E35D84">
        <w:rPr>
          <w:rFonts w:hint="cs"/>
          <w:sz w:val="26"/>
          <w:szCs w:val="26"/>
          <w:u w:val="single"/>
          <w:rtl/>
        </w:rPr>
        <w:t>استهلاك غازات التبريد المعتمدة على الهيدروفلوروكربون</w:t>
      </w:r>
    </w:p>
    <w:p w:rsidR="00DF5FD4" w:rsidRPr="00E35D84" w:rsidRDefault="005B5914" w:rsidP="00BA1D63">
      <w:pPr>
        <w:pStyle w:val="Heading1"/>
        <w:numPr>
          <w:ilvl w:val="0"/>
          <w:numId w:val="12"/>
        </w:numPr>
        <w:tabs>
          <w:tab w:val="num" w:pos="720"/>
        </w:tabs>
        <w:bidi/>
        <w:rPr>
          <w:sz w:val="26"/>
          <w:szCs w:val="26"/>
        </w:rPr>
      </w:pPr>
      <w:r w:rsidRPr="00E35D84">
        <w:rPr>
          <w:rFonts w:hint="cs"/>
          <w:sz w:val="26"/>
          <w:szCs w:val="26"/>
          <w:rtl/>
        </w:rPr>
        <w:t>لم تكن تتوافر وقت اعتماد تعديل كيغالي، سوف معلومات محدودة عن كمية مواد المرفق واو التي ينتجها ويستهلكها كل بلد من بلدان المادة 5 واستخداماتها المحددة. وترد معلومات مجمعة عن المواد الهيدروفلو</w:t>
      </w:r>
      <w:r w:rsidR="0062616D" w:rsidRPr="00E35D84">
        <w:rPr>
          <w:rFonts w:hint="cs"/>
          <w:sz w:val="26"/>
          <w:szCs w:val="26"/>
          <w:rtl/>
        </w:rPr>
        <w:t xml:space="preserve">روكربون في التقارير التي أعدها فريق المهام التابع لفريق التكنولوجيا والتقييم الاقتصادي بمقتضى المقررين </w:t>
      </w:r>
      <w:r w:rsidR="00BA1D63">
        <w:rPr>
          <w:sz w:val="26"/>
          <w:szCs w:val="26"/>
        </w:rPr>
        <w:t>5/XXV</w:t>
      </w:r>
      <w:r w:rsidR="0062616D" w:rsidRPr="00E35D84">
        <w:rPr>
          <w:rFonts w:hint="cs"/>
          <w:sz w:val="26"/>
          <w:szCs w:val="26"/>
          <w:rtl/>
        </w:rPr>
        <w:t xml:space="preserve"> و</w:t>
      </w:r>
      <w:r w:rsidR="00BA1D63">
        <w:rPr>
          <w:sz w:val="26"/>
          <w:szCs w:val="26"/>
        </w:rPr>
        <w:t xml:space="preserve">9/XXVI </w:t>
      </w:r>
      <w:r w:rsidR="0062616D" w:rsidRPr="00E35D84">
        <w:rPr>
          <w:rFonts w:hint="cs"/>
          <w:sz w:val="26"/>
          <w:szCs w:val="26"/>
          <w:rtl/>
        </w:rPr>
        <w:t>الصادرين عن الأطراف وفي مقال في دورية علمية صدرت في علوم العلاف الجوي.</w:t>
      </w:r>
      <w:r w:rsidR="0062616D" w:rsidRPr="00E35D84">
        <w:rPr>
          <w:rStyle w:val="FootnoteReference"/>
          <w:sz w:val="26"/>
          <w:szCs w:val="26"/>
        </w:rPr>
        <w:t xml:space="preserve"> </w:t>
      </w:r>
      <w:r w:rsidR="0062616D" w:rsidRPr="00E35D84">
        <w:rPr>
          <w:rStyle w:val="FootnoteReference"/>
          <w:sz w:val="26"/>
          <w:szCs w:val="26"/>
        </w:rPr>
        <w:footnoteReference w:id="20"/>
      </w:r>
    </w:p>
    <w:p w:rsidR="00AF4202" w:rsidRPr="00E35D84" w:rsidRDefault="00AF4202" w:rsidP="00BA1D63">
      <w:pPr>
        <w:pStyle w:val="Heading1"/>
        <w:numPr>
          <w:ilvl w:val="0"/>
          <w:numId w:val="12"/>
        </w:numPr>
        <w:tabs>
          <w:tab w:val="num" w:pos="720"/>
        </w:tabs>
        <w:bidi/>
        <w:rPr>
          <w:sz w:val="26"/>
          <w:szCs w:val="26"/>
        </w:rPr>
      </w:pPr>
      <w:r w:rsidRPr="00E35D84">
        <w:rPr>
          <w:rFonts w:hint="cs"/>
          <w:sz w:val="26"/>
          <w:szCs w:val="26"/>
          <w:rtl/>
        </w:rPr>
        <w:t>وتوافرت معلومات أخرى عن استهلاك الهيدروفلوروكربون مسوحات بدائل المواد المستنفدة للأوزون التي أجريت في 119 بلدا من بلدان المادة 5</w:t>
      </w:r>
      <w:r w:rsidRPr="00E35D84">
        <w:rPr>
          <w:rStyle w:val="FootnoteReference"/>
          <w:sz w:val="26"/>
          <w:szCs w:val="26"/>
        </w:rPr>
        <w:footnoteReference w:id="21"/>
      </w:r>
      <w:r w:rsidRPr="00E35D84">
        <w:rPr>
          <w:rFonts w:hint="cs"/>
          <w:sz w:val="26"/>
          <w:szCs w:val="26"/>
          <w:rtl/>
        </w:rPr>
        <w:t xml:space="preserve"> استجابة للفقرة 4 من المقرر </w:t>
      </w:r>
      <w:r w:rsidR="00BA1D63">
        <w:rPr>
          <w:sz w:val="26"/>
          <w:szCs w:val="26"/>
        </w:rPr>
        <w:t>9/XXVI</w:t>
      </w:r>
      <w:r w:rsidRPr="00E35D84">
        <w:rPr>
          <w:rFonts w:hint="cs"/>
          <w:sz w:val="26"/>
          <w:szCs w:val="26"/>
          <w:rtl/>
        </w:rPr>
        <w:t>،</w:t>
      </w:r>
      <w:r w:rsidRPr="00E35D84">
        <w:rPr>
          <w:rStyle w:val="FootnoteReference"/>
          <w:sz w:val="26"/>
          <w:szCs w:val="26"/>
        </w:rPr>
        <w:footnoteReference w:id="22"/>
      </w:r>
      <w:r w:rsidRPr="00E35D84">
        <w:rPr>
          <w:rFonts w:hint="cs"/>
          <w:sz w:val="26"/>
          <w:szCs w:val="26"/>
          <w:rtl/>
        </w:rPr>
        <w:t xml:space="preserve"> والتي قدمت للاجتماع الثمانين (نوفمبر/ تشرين الثاني 2017).</w:t>
      </w:r>
      <w:r w:rsidRPr="00E35D84">
        <w:rPr>
          <w:rStyle w:val="FootnoteReference"/>
          <w:sz w:val="26"/>
          <w:szCs w:val="26"/>
        </w:rPr>
        <w:t xml:space="preserve"> </w:t>
      </w:r>
      <w:r w:rsidRPr="00E35D84">
        <w:rPr>
          <w:rStyle w:val="FootnoteReference"/>
          <w:sz w:val="26"/>
          <w:szCs w:val="26"/>
        </w:rPr>
        <w:footnoteReference w:id="23"/>
      </w:r>
      <w:r w:rsidRPr="00E35D84">
        <w:rPr>
          <w:rFonts w:hint="cs"/>
          <w:sz w:val="26"/>
          <w:szCs w:val="26"/>
          <w:rtl/>
        </w:rPr>
        <w:t xml:space="preserve"> وقدمت المسوحات بيانات مفصلة عن مستوى استهلاك المواد الهيدروفلوروكربونية وعن البدائل الأخرى للمواد الهيدروكلوروفلوروكربونية وتوزيعها القطاعي. وأتاحت هذه المعلومات المفصلة تحديد المواد الهيدروفلوروكربونية الرئيسية المستخدمة وتوزيعها القطاعي بين البلدان التي ينخفض فيها حجم الاستهلاك وتلك التي لا ينخفض فيها حجم الاستهلاك، وهو تحليل لم يكن ممكنا بالبيانات المجمعة المقدمة من فريق المهام التابع لفريق التكنولوجيا والتقييم الاقتصادي.</w:t>
      </w:r>
      <w:r w:rsidRPr="00E35D84">
        <w:rPr>
          <w:rStyle w:val="FootnoteReference"/>
          <w:sz w:val="26"/>
          <w:szCs w:val="26"/>
        </w:rPr>
        <w:t xml:space="preserve"> </w:t>
      </w:r>
      <w:r w:rsidRPr="00E35D84">
        <w:rPr>
          <w:rStyle w:val="FootnoteReference"/>
          <w:sz w:val="26"/>
          <w:szCs w:val="26"/>
        </w:rPr>
        <w:footnoteReference w:id="24"/>
      </w:r>
    </w:p>
    <w:p w:rsidR="00AF4202" w:rsidRPr="00E35D84" w:rsidRDefault="00AF4202" w:rsidP="00501956">
      <w:pPr>
        <w:pStyle w:val="Heading1"/>
        <w:numPr>
          <w:ilvl w:val="0"/>
          <w:numId w:val="12"/>
        </w:numPr>
        <w:tabs>
          <w:tab w:val="num" w:pos="720"/>
        </w:tabs>
        <w:bidi/>
        <w:rPr>
          <w:sz w:val="26"/>
          <w:szCs w:val="26"/>
        </w:rPr>
      </w:pPr>
      <w:r w:rsidRPr="00E35D84">
        <w:rPr>
          <w:rFonts w:hint="cs"/>
          <w:sz w:val="26"/>
          <w:szCs w:val="26"/>
          <w:rtl/>
        </w:rPr>
        <w:lastRenderedPageBreak/>
        <w:t xml:space="preserve">واستنادا الى التقارير التي أعدها فريق المهام التابع لفريق التكنولوجيا والتقييم الاقتصادي تشير التقديرات الى أن استهلاك الهيدروفلوروكربون في جميع بلدان المادة 5 سوف يزيد من </w:t>
      </w:r>
      <w:r w:rsidRPr="00E35D84">
        <w:rPr>
          <w:sz w:val="26"/>
          <w:szCs w:val="26"/>
          <w:lang w:val="en-CA"/>
        </w:rPr>
        <w:t>284,326</w:t>
      </w:r>
      <w:r w:rsidRPr="00E35D84">
        <w:rPr>
          <w:rFonts w:hint="cs"/>
          <w:sz w:val="26"/>
          <w:szCs w:val="26"/>
          <w:rtl/>
        </w:rPr>
        <w:t xml:space="preserve"> طنا متريا في 2015 الى </w:t>
      </w:r>
      <w:r w:rsidRPr="00E35D84">
        <w:rPr>
          <w:sz w:val="26"/>
          <w:szCs w:val="26"/>
          <w:lang w:val="en-CA"/>
        </w:rPr>
        <w:t>1,021,220</w:t>
      </w:r>
      <w:r w:rsidRPr="00E35D84">
        <w:rPr>
          <w:rFonts w:hint="cs"/>
          <w:sz w:val="26"/>
          <w:szCs w:val="26"/>
          <w:rtl/>
        </w:rPr>
        <w:t xml:space="preserve"> طنا متريا في 2030 في إطار سيناريو الأوضاع المعتادة (والذي لا يأخذ في الاعتبار تعديل كيغالي)،</w:t>
      </w:r>
      <w:r w:rsidRPr="00E35D84">
        <w:rPr>
          <w:rStyle w:val="FootnoteReference"/>
          <w:sz w:val="26"/>
          <w:szCs w:val="26"/>
          <w:lang w:val="en-CA"/>
        </w:rPr>
        <w:t xml:space="preserve"> </w:t>
      </w:r>
      <w:r w:rsidRPr="00E35D84">
        <w:rPr>
          <w:rStyle w:val="FootnoteReference"/>
          <w:sz w:val="26"/>
          <w:szCs w:val="26"/>
          <w:lang w:val="en-CA"/>
        </w:rPr>
        <w:footnoteReference w:id="25"/>
      </w:r>
      <w:r w:rsidRPr="00E35D84">
        <w:rPr>
          <w:rFonts w:hint="cs"/>
          <w:sz w:val="26"/>
          <w:szCs w:val="26"/>
          <w:rtl/>
        </w:rPr>
        <w:t xml:space="preserve"> على النحو المبين في الجدول 1</w:t>
      </w:r>
      <w:r w:rsidR="00B71CB1" w:rsidRPr="00E35D84">
        <w:rPr>
          <w:rFonts w:hint="cs"/>
          <w:sz w:val="26"/>
          <w:szCs w:val="26"/>
          <w:rtl/>
        </w:rPr>
        <w:t>. ويتركز أكثر من 95 في المائة من الاستهلاك الاجتماع للهيدروفلوروكربون في قطاع التبريد وتكييف الهواء. ويتوقع أن يزيد الاستهلاك المبلغ للهيدروفلوروكربون في قطاع</w:t>
      </w:r>
      <w:r w:rsidR="00433BA2" w:rsidRPr="00E35D84">
        <w:rPr>
          <w:rFonts w:hint="cs"/>
          <w:sz w:val="26"/>
          <w:szCs w:val="26"/>
          <w:rtl/>
        </w:rPr>
        <w:t xml:space="preserve"> خدمة التبريد أن يزيد من </w:t>
      </w:r>
      <w:r w:rsidR="00433BA2" w:rsidRPr="00E35D84">
        <w:rPr>
          <w:sz w:val="26"/>
          <w:szCs w:val="26"/>
          <w:lang w:val="en-CA"/>
        </w:rPr>
        <w:t>176,493</w:t>
      </w:r>
      <w:r w:rsidR="00433BA2" w:rsidRPr="00E35D84">
        <w:rPr>
          <w:rFonts w:hint="cs"/>
          <w:sz w:val="26"/>
          <w:szCs w:val="26"/>
          <w:rtl/>
        </w:rPr>
        <w:t xml:space="preserve"> طنا متريا في 2020 الى </w:t>
      </w:r>
      <w:r w:rsidR="00433BA2" w:rsidRPr="00E35D84">
        <w:rPr>
          <w:sz w:val="26"/>
          <w:szCs w:val="26"/>
          <w:lang w:val="en-CA"/>
        </w:rPr>
        <w:t>468,550</w:t>
      </w:r>
      <w:r w:rsidR="00433BA2" w:rsidRPr="00E35D84">
        <w:rPr>
          <w:rFonts w:hint="cs"/>
          <w:sz w:val="26"/>
          <w:szCs w:val="26"/>
          <w:rtl/>
        </w:rPr>
        <w:t xml:space="preserve"> طنا متريا في 2030 وهو مايمثل 46 في المائة من مجموع الاستهلاك في جميع بلدان المادة 5. ويتوقع أن تكون أكبر زيادة في الاستهلاك في خلائط الهيدروفلوروكربون.</w:t>
      </w:r>
    </w:p>
    <w:p w:rsidR="00433BA2" w:rsidRPr="00433BA2" w:rsidRDefault="00433BA2" w:rsidP="009524F4">
      <w:pPr>
        <w:keepNext/>
        <w:keepLines/>
        <w:bidi/>
        <w:contextualSpacing/>
        <w:rPr>
          <w:bCs/>
          <w:rtl/>
          <w:lang w:val="en-CA"/>
        </w:rPr>
      </w:pPr>
      <w:r>
        <w:rPr>
          <w:rFonts w:hint="cs"/>
          <w:bCs/>
          <w:rtl/>
          <w:lang w:val="en-CA"/>
        </w:rPr>
        <w:t xml:space="preserve">الجدول1: توزيع استهلاك الهيدروفلوروكربون في بلدان المادة 5 بمقتضى سيناريو الأوضاع المعتادة </w:t>
      </w:r>
    </w:p>
    <w:tbl>
      <w:tblPr>
        <w:bidiVisual/>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1300"/>
        <w:gridCol w:w="1301"/>
        <w:gridCol w:w="1300"/>
        <w:gridCol w:w="1301"/>
        <w:gridCol w:w="1301"/>
      </w:tblGrid>
      <w:tr w:rsidR="001D074D" w:rsidRPr="00E54F1D" w:rsidTr="00433BA2">
        <w:trPr>
          <w:tblHeader/>
          <w:jc w:val="center"/>
        </w:trPr>
        <w:tc>
          <w:tcPr>
            <w:tcW w:w="2767" w:type="dxa"/>
            <w:vMerge w:val="restart"/>
            <w:shd w:val="clear" w:color="auto" w:fill="auto"/>
            <w:noWrap/>
            <w:vAlign w:val="center"/>
            <w:hideMark/>
          </w:tcPr>
          <w:p w:rsidR="001D074D" w:rsidRPr="00433BA2" w:rsidRDefault="00433BA2" w:rsidP="009524F4">
            <w:pPr>
              <w:bidi/>
              <w:jc w:val="left"/>
              <w:rPr>
                <w:bCs/>
                <w:color w:val="000000"/>
                <w:sz w:val="21"/>
                <w:szCs w:val="21"/>
                <w:lang w:val="en-CA" w:eastAsia="en-CA"/>
              </w:rPr>
            </w:pPr>
            <w:r w:rsidRPr="00433BA2">
              <w:rPr>
                <w:rFonts w:hint="cs"/>
                <w:bCs/>
                <w:sz w:val="21"/>
                <w:szCs w:val="21"/>
                <w:rtl/>
                <w:lang w:val="en-CA"/>
              </w:rPr>
              <w:t>القطاع</w:t>
            </w:r>
          </w:p>
        </w:tc>
        <w:tc>
          <w:tcPr>
            <w:tcW w:w="6503" w:type="dxa"/>
            <w:gridSpan w:val="5"/>
            <w:shd w:val="clear" w:color="auto" w:fill="auto"/>
            <w:noWrap/>
            <w:vAlign w:val="center"/>
            <w:hideMark/>
          </w:tcPr>
          <w:p w:rsidR="001D074D" w:rsidRPr="00E54F1D" w:rsidRDefault="00433BA2" w:rsidP="009524F4">
            <w:pPr>
              <w:bidi/>
              <w:jc w:val="center"/>
              <w:rPr>
                <w:b/>
                <w:bCs/>
                <w:color w:val="000000"/>
                <w:sz w:val="21"/>
                <w:szCs w:val="21"/>
                <w:lang w:val="en-CA" w:eastAsia="en-CA"/>
              </w:rPr>
            </w:pPr>
            <w:r>
              <w:rPr>
                <w:rFonts w:hint="cs"/>
                <w:b/>
                <w:bCs/>
                <w:color w:val="000000"/>
                <w:sz w:val="21"/>
                <w:szCs w:val="21"/>
                <w:rtl/>
                <w:lang w:val="en-CA" w:eastAsia="en-CA"/>
              </w:rPr>
              <w:t>استهلاك الهيدروفلوروكربون</w:t>
            </w:r>
          </w:p>
        </w:tc>
      </w:tr>
      <w:tr w:rsidR="001D074D" w:rsidRPr="00E54F1D" w:rsidTr="00433BA2">
        <w:trPr>
          <w:tblHeader/>
          <w:jc w:val="center"/>
        </w:trPr>
        <w:tc>
          <w:tcPr>
            <w:tcW w:w="2767" w:type="dxa"/>
            <w:vMerge/>
            <w:vAlign w:val="center"/>
            <w:hideMark/>
          </w:tcPr>
          <w:p w:rsidR="001D074D" w:rsidRPr="00E54F1D" w:rsidRDefault="001D074D" w:rsidP="009524F4">
            <w:pPr>
              <w:bidi/>
              <w:jc w:val="left"/>
              <w:rPr>
                <w:b/>
                <w:bCs/>
                <w:color w:val="000000"/>
                <w:sz w:val="21"/>
                <w:szCs w:val="21"/>
                <w:lang w:val="en-CA" w:eastAsia="en-CA"/>
              </w:rPr>
            </w:pPr>
          </w:p>
        </w:tc>
        <w:tc>
          <w:tcPr>
            <w:tcW w:w="1300" w:type="dxa"/>
            <w:shd w:val="clear" w:color="auto" w:fill="auto"/>
            <w:noWrap/>
            <w:vAlign w:val="center"/>
            <w:hideMark/>
          </w:tcPr>
          <w:p w:rsidR="001D074D" w:rsidRPr="00E54F1D" w:rsidRDefault="001D074D" w:rsidP="009524F4">
            <w:pPr>
              <w:bidi/>
              <w:jc w:val="center"/>
              <w:rPr>
                <w:b/>
                <w:bCs/>
                <w:color w:val="000000"/>
                <w:sz w:val="21"/>
                <w:szCs w:val="21"/>
                <w:lang w:val="en-CA" w:eastAsia="en-CA"/>
              </w:rPr>
            </w:pPr>
            <w:r w:rsidRPr="00E54F1D">
              <w:rPr>
                <w:b/>
                <w:bCs/>
                <w:color w:val="000000"/>
                <w:sz w:val="21"/>
                <w:szCs w:val="21"/>
                <w:lang w:val="en-CA" w:eastAsia="en-CA"/>
              </w:rPr>
              <w:t>2010</w:t>
            </w:r>
          </w:p>
        </w:tc>
        <w:tc>
          <w:tcPr>
            <w:tcW w:w="1301" w:type="dxa"/>
            <w:shd w:val="clear" w:color="auto" w:fill="auto"/>
            <w:noWrap/>
            <w:vAlign w:val="center"/>
            <w:hideMark/>
          </w:tcPr>
          <w:p w:rsidR="001D074D" w:rsidRPr="00E54F1D" w:rsidRDefault="001D074D" w:rsidP="009524F4">
            <w:pPr>
              <w:bidi/>
              <w:jc w:val="center"/>
              <w:rPr>
                <w:b/>
                <w:bCs/>
                <w:color w:val="000000"/>
                <w:sz w:val="21"/>
                <w:szCs w:val="21"/>
                <w:lang w:val="en-CA" w:eastAsia="en-CA"/>
              </w:rPr>
            </w:pPr>
            <w:r w:rsidRPr="00E54F1D">
              <w:rPr>
                <w:b/>
                <w:bCs/>
                <w:color w:val="000000"/>
                <w:sz w:val="21"/>
                <w:szCs w:val="21"/>
                <w:lang w:val="en-CA" w:eastAsia="en-CA"/>
              </w:rPr>
              <w:t>2015</w:t>
            </w:r>
          </w:p>
        </w:tc>
        <w:tc>
          <w:tcPr>
            <w:tcW w:w="1300" w:type="dxa"/>
            <w:shd w:val="clear" w:color="auto" w:fill="auto"/>
            <w:noWrap/>
            <w:vAlign w:val="center"/>
            <w:hideMark/>
          </w:tcPr>
          <w:p w:rsidR="001D074D" w:rsidRPr="00E54F1D" w:rsidRDefault="001D074D" w:rsidP="009524F4">
            <w:pPr>
              <w:bidi/>
              <w:jc w:val="center"/>
              <w:rPr>
                <w:b/>
                <w:bCs/>
                <w:color w:val="000000"/>
                <w:sz w:val="21"/>
                <w:szCs w:val="21"/>
                <w:lang w:val="en-CA" w:eastAsia="en-CA"/>
              </w:rPr>
            </w:pPr>
            <w:r w:rsidRPr="00E54F1D">
              <w:rPr>
                <w:b/>
                <w:bCs/>
                <w:color w:val="000000"/>
                <w:sz w:val="21"/>
                <w:szCs w:val="21"/>
                <w:lang w:val="en-CA" w:eastAsia="en-CA"/>
              </w:rPr>
              <w:t>2020</w:t>
            </w:r>
          </w:p>
        </w:tc>
        <w:tc>
          <w:tcPr>
            <w:tcW w:w="1301" w:type="dxa"/>
            <w:shd w:val="clear" w:color="auto" w:fill="auto"/>
            <w:noWrap/>
            <w:vAlign w:val="center"/>
            <w:hideMark/>
          </w:tcPr>
          <w:p w:rsidR="001D074D" w:rsidRPr="00E54F1D" w:rsidRDefault="001D074D" w:rsidP="009524F4">
            <w:pPr>
              <w:bidi/>
              <w:jc w:val="center"/>
              <w:rPr>
                <w:b/>
                <w:bCs/>
                <w:color w:val="000000"/>
                <w:sz w:val="21"/>
                <w:szCs w:val="21"/>
                <w:lang w:val="en-CA" w:eastAsia="en-CA"/>
              </w:rPr>
            </w:pPr>
            <w:r w:rsidRPr="00E54F1D">
              <w:rPr>
                <w:b/>
                <w:bCs/>
                <w:color w:val="000000"/>
                <w:sz w:val="21"/>
                <w:szCs w:val="21"/>
                <w:lang w:val="en-CA" w:eastAsia="en-CA"/>
              </w:rPr>
              <w:t>2025</w:t>
            </w:r>
          </w:p>
        </w:tc>
        <w:tc>
          <w:tcPr>
            <w:tcW w:w="1301" w:type="dxa"/>
            <w:shd w:val="clear" w:color="auto" w:fill="auto"/>
            <w:noWrap/>
            <w:vAlign w:val="center"/>
            <w:hideMark/>
          </w:tcPr>
          <w:p w:rsidR="001D074D" w:rsidRPr="00E54F1D" w:rsidRDefault="001D074D" w:rsidP="009524F4">
            <w:pPr>
              <w:bidi/>
              <w:jc w:val="center"/>
              <w:rPr>
                <w:b/>
                <w:bCs/>
                <w:color w:val="000000"/>
                <w:sz w:val="21"/>
                <w:szCs w:val="21"/>
                <w:lang w:val="en-CA" w:eastAsia="en-CA"/>
              </w:rPr>
            </w:pPr>
            <w:r w:rsidRPr="00E54F1D">
              <w:rPr>
                <w:b/>
                <w:bCs/>
                <w:color w:val="000000"/>
                <w:sz w:val="21"/>
                <w:szCs w:val="21"/>
                <w:lang w:val="en-CA" w:eastAsia="en-CA"/>
              </w:rPr>
              <w:t>2030</w:t>
            </w:r>
          </w:p>
        </w:tc>
      </w:tr>
      <w:tr w:rsidR="00EF0F05" w:rsidRPr="00E54F1D" w:rsidTr="00433BA2">
        <w:trPr>
          <w:jc w:val="center"/>
        </w:trPr>
        <w:tc>
          <w:tcPr>
            <w:tcW w:w="9270" w:type="dxa"/>
            <w:gridSpan w:val="6"/>
            <w:shd w:val="clear" w:color="auto" w:fill="auto"/>
            <w:noWrap/>
          </w:tcPr>
          <w:p w:rsidR="00EF0F05" w:rsidRPr="00433BA2" w:rsidRDefault="00433BA2" w:rsidP="009524F4">
            <w:pPr>
              <w:bidi/>
              <w:jc w:val="left"/>
              <w:rPr>
                <w:bCs/>
                <w:color w:val="000000"/>
                <w:sz w:val="21"/>
                <w:szCs w:val="21"/>
              </w:rPr>
            </w:pPr>
            <w:r>
              <w:rPr>
                <w:rFonts w:hint="cs"/>
                <w:bCs/>
                <w:color w:val="000000"/>
                <w:sz w:val="21"/>
                <w:szCs w:val="21"/>
                <w:rtl/>
              </w:rPr>
              <w:t>بالأطنان المترية</w:t>
            </w:r>
          </w:p>
        </w:tc>
      </w:tr>
      <w:tr w:rsidR="00EF0F05" w:rsidRPr="00E54F1D" w:rsidTr="00433BA2">
        <w:trPr>
          <w:jc w:val="center"/>
        </w:trPr>
        <w:tc>
          <w:tcPr>
            <w:tcW w:w="2767" w:type="dxa"/>
            <w:shd w:val="clear" w:color="auto" w:fill="auto"/>
            <w:noWrap/>
            <w:vAlign w:val="bottom"/>
          </w:tcPr>
          <w:p w:rsidR="00EF0F05" w:rsidRPr="00E54F1D" w:rsidRDefault="00433BA2" w:rsidP="009524F4">
            <w:pPr>
              <w:bidi/>
              <w:rPr>
                <w:color w:val="000000"/>
                <w:sz w:val="21"/>
                <w:szCs w:val="21"/>
              </w:rPr>
            </w:pPr>
            <w:r>
              <w:rPr>
                <w:rFonts w:hint="cs"/>
                <w:color w:val="000000"/>
                <w:sz w:val="20"/>
                <w:szCs w:val="20"/>
                <w:rtl/>
              </w:rPr>
              <w:t>تصنيع أجهزة التبريد وتكييف الهواء</w:t>
            </w:r>
          </w:p>
        </w:tc>
        <w:tc>
          <w:tcPr>
            <w:tcW w:w="1300"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91,523</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185,838</w:t>
            </w:r>
          </w:p>
        </w:tc>
        <w:tc>
          <w:tcPr>
            <w:tcW w:w="1300"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281,619</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392,390</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510,596</w:t>
            </w:r>
          </w:p>
        </w:tc>
      </w:tr>
      <w:tr w:rsidR="00EF0F05" w:rsidRPr="00E54F1D" w:rsidTr="00433BA2">
        <w:trPr>
          <w:jc w:val="center"/>
        </w:trPr>
        <w:tc>
          <w:tcPr>
            <w:tcW w:w="2767" w:type="dxa"/>
            <w:shd w:val="clear" w:color="auto" w:fill="auto"/>
            <w:noWrap/>
            <w:vAlign w:val="bottom"/>
          </w:tcPr>
          <w:p w:rsidR="00EF0F05" w:rsidRPr="00E54F1D" w:rsidRDefault="00433BA2" w:rsidP="009524F4">
            <w:pPr>
              <w:bidi/>
              <w:rPr>
                <w:color w:val="000000"/>
                <w:sz w:val="21"/>
                <w:szCs w:val="21"/>
              </w:rPr>
            </w:pPr>
            <w:r>
              <w:rPr>
                <w:rFonts w:hint="cs"/>
                <w:color w:val="000000"/>
                <w:sz w:val="20"/>
                <w:szCs w:val="20"/>
                <w:rtl/>
              </w:rPr>
              <w:t>خدمة التبريد وتكييف الهواء</w:t>
            </w:r>
          </w:p>
        </w:tc>
        <w:tc>
          <w:tcPr>
            <w:tcW w:w="1300"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33,476</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87,033</w:t>
            </w:r>
          </w:p>
        </w:tc>
        <w:tc>
          <w:tcPr>
            <w:tcW w:w="1300"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176,493</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305,922</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468,550</w:t>
            </w:r>
          </w:p>
        </w:tc>
      </w:tr>
      <w:tr w:rsidR="00EF0F05" w:rsidRPr="00E54F1D" w:rsidTr="00433BA2">
        <w:trPr>
          <w:jc w:val="center"/>
        </w:trPr>
        <w:tc>
          <w:tcPr>
            <w:tcW w:w="2767" w:type="dxa"/>
            <w:shd w:val="clear" w:color="auto" w:fill="auto"/>
            <w:noWrap/>
            <w:vAlign w:val="bottom"/>
          </w:tcPr>
          <w:p w:rsidR="00EF0F05" w:rsidRPr="00E54F1D" w:rsidRDefault="00433BA2" w:rsidP="009524F4">
            <w:pPr>
              <w:bidi/>
              <w:rPr>
                <w:color w:val="000000"/>
                <w:sz w:val="21"/>
                <w:szCs w:val="21"/>
              </w:rPr>
            </w:pPr>
            <w:r>
              <w:rPr>
                <w:rFonts w:hint="cs"/>
                <w:color w:val="000000"/>
                <w:sz w:val="20"/>
                <w:szCs w:val="20"/>
                <w:rtl/>
              </w:rPr>
              <w:t>القطاعات الأخرى</w:t>
            </w:r>
          </w:p>
        </w:tc>
        <w:tc>
          <w:tcPr>
            <w:tcW w:w="1300"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2,010</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11,458</w:t>
            </w:r>
          </w:p>
        </w:tc>
        <w:tc>
          <w:tcPr>
            <w:tcW w:w="1300"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19,506</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33,092</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42,074</w:t>
            </w:r>
          </w:p>
        </w:tc>
      </w:tr>
      <w:tr w:rsidR="00EF0F05" w:rsidRPr="00E54F1D" w:rsidTr="00433BA2">
        <w:trPr>
          <w:jc w:val="center"/>
        </w:trPr>
        <w:tc>
          <w:tcPr>
            <w:tcW w:w="2767" w:type="dxa"/>
            <w:shd w:val="clear" w:color="auto" w:fill="auto"/>
            <w:noWrap/>
            <w:vAlign w:val="bottom"/>
          </w:tcPr>
          <w:p w:rsidR="00EF0F05" w:rsidRPr="00E54F1D" w:rsidRDefault="00433BA2" w:rsidP="009524F4">
            <w:pPr>
              <w:bidi/>
              <w:rPr>
                <w:color w:val="000000"/>
                <w:sz w:val="21"/>
                <w:szCs w:val="21"/>
              </w:rPr>
            </w:pPr>
            <w:r>
              <w:rPr>
                <w:rFonts w:hint="cs"/>
                <w:color w:val="000000"/>
                <w:sz w:val="20"/>
                <w:szCs w:val="20"/>
                <w:rtl/>
              </w:rPr>
              <w:t>المجموع (بالأطنان المترية)</w:t>
            </w:r>
          </w:p>
        </w:tc>
        <w:tc>
          <w:tcPr>
            <w:tcW w:w="1300"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127,009</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284,329</w:t>
            </w:r>
          </w:p>
        </w:tc>
        <w:tc>
          <w:tcPr>
            <w:tcW w:w="1300"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477,618</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731,404</w:t>
            </w:r>
          </w:p>
        </w:tc>
        <w:tc>
          <w:tcPr>
            <w:tcW w:w="1301" w:type="dxa"/>
            <w:shd w:val="clear" w:color="auto" w:fill="auto"/>
            <w:noWrap/>
            <w:tcMar>
              <w:left w:w="115" w:type="dxa"/>
              <w:right w:w="288" w:type="dxa"/>
            </w:tcMar>
          </w:tcPr>
          <w:p w:rsidR="00EF0F05" w:rsidRPr="00E54F1D" w:rsidRDefault="00EF0F05" w:rsidP="00433BA2">
            <w:pPr>
              <w:bidi/>
              <w:jc w:val="left"/>
              <w:rPr>
                <w:color w:val="000000"/>
                <w:sz w:val="21"/>
                <w:szCs w:val="21"/>
              </w:rPr>
            </w:pPr>
            <w:r>
              <w:rPr>
                <w:color w:val="000000"/>
                <w:sz w:val="20"/>
                <w:szCs w:val="20"/>
              </w:rPr>
              <w:t>1,021,220</w:t>
            </w:r>
          </w:p>
        </w:tc>
      </w:tr>
      <w:tr w:rsidR="00EF0F05" w:rsidRPr="00E54F1D" w:rsidTr="00433BA2">
        <w:trPr>
          <w:jc w:val="center"/>
        </w:trPr>
        <w:tc>
          <w:tcPr>
            <w:tcW w:w="9270" w:type="dxa"/>
            <w:gridSpan w:val="6"/>
            <w:tcBorders>
              <w:top w:val="single" w:sz="4" w:space="0" w:color="auto"/>
              <w:left w:val="single" w:sz="4" w:space="0" w:color="auto"/>
              <w:bottom w:val="single" w:sz="4" w:space="0" w:color="auto"/>
              <w:right w:val="single" w:sz="4" w:space="0" w:color="auto"/>
            </w:tcBorders>
            <w:shd w:val="clear" w:color="auto" w:fill="auto"/>
            <w:noWrap/>
          </w:tcPr>
          <w:p w:rsidR="00EF0F05" w:rsidRPr="00433BA2" w:rsidRDefault="00433BA2" w:rsidP="009524F4">
            <w:pPr>
              <w:bidi/>
              <w:jc w:val="left"/>
              <w:rPr>
                <w:bCs/>
                <w:color w:val="000000"/>
                <w:sz w:val="21"/>
                <w:szCs w:val="21"/>
              </w:rPr>
            </w:pPr>
            <w:r>
              <w:rPr>
                <w:rFonts w:hint="cs"/>
                <w:bCs/>
                <w:color w:val="000000"/>
                <w:sz w:val="20"/>
                <w:szCs w:val="20"/>
                <w:rtl/>
              </w:rPr>
              <w:t>النسبة المئوية</w:t>
            </w:r>
          </w:p>
        </w:tc>
      </w:tr>
      <w:tr w:rsidR="00EF0F05" w:rsidRPr="00E54F1D" w:rsidTr="00433BA2">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0F05" w:rsidRPr="00E54F1D" w:rsidRDefault="00433BA2" w:rsidP="009524F4">
            <w:pPr>
              <w:bidi/>
              <w:rPr>
                <w:color w:val="000000"/>
                <w:sz w:val="21"/>
                <w:szCs w:val="21"/>
              </w:rPr>
            </w:pPr>
            <w:r>
              <w:rPr>
                <w:rFonts w:hint="cs"/>
                <w:color w:val="000000"/>
                <w:sz w:val="20"/>
                <w:szCs w:val="20"/>
                <w:rtl/>
              </w:rPr>
              <w:t>تصنيع أجهزة التبريد وتكييف الهواء</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72.1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65.4</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59.0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53.6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50.0</w:t>
            </w:r>
          </w:p>
        </w:tc>
      </w:tr>
      <w:tr w:rsidR="00EF0F05" w:rsidRPr="00E54F1D" w:rsidTr="00433BA2">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0F05" w:rsidRPr="00E54F1D" w:rsidRDefault="00433BA2" w:rsidP="009524F4">
            <w:pPr>
              <w:bidi/>
              <w:rPr>
                <w:color w:val="000000"/>
                <w:sz w:val="21"/>
                <w:szCs w:val="21"/>
              </w:rPr>
            </w:pPr>
            <w:r>
              <w:rPr>
                <w:rFonts w:hint="cs"/>
                <w:color w:val="000000"/>
                <w:sz w:val="20"/>
                <w:szCs w:val="20"/>
                <w:rtl/>
              </w:rPr>
              <w:t>خدمة التبريد وتكييف الهواء</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26.4</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30.6</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37.0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41.8</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F0F05" w:rsidRPr="00E54F1D" w:rsidRDefault="00EF0F05" w:rsidP="009524F4">
            <w:pPr>
              <w:bidi/>
              <w:jc w:val="right"/>
              <w:rPr>
                <w:color w:val="000000"/>
                <w:sz w:val="21"/>
                <w:szCs w:val="21"/>
              </w:rPr>
            </w:pPr>
            <w:r>
              <w:rPr>
                <w:color w:val="000000"/>
                <w:sz w:val="20"/>
                <w:szCs w:val="20"/>
              </w:rPr>
              <w:t>45.9</w:t>
            </w:r>
          </w:p>
        </w:tc>
      </w:tr>
      <w:tr w:rsidR="00EF0F05" w:rsidRPr="00E54F1D" w:rsidTr="00433BA2">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F0F05" w:rsidRPr="00E54F1D" w:rsidRDefault="00433BA2" w:rsidP="009524F4">
            <w:pPr>
              <w:bidi/>
              <w:rPr>
                <w:color w:val="000000"/>
                <w:sz w:val="21"/>
                <w:szCs w:val="21"/>
              </w:rPr>
            </w:pPr>
            <w:r>
              <w:rPr>
                <w:rFonts w:hint="cs"/>
                <w:color w:val="000000"/>
                <w:sz w:val="20"/>
                <w:szCs w:val="20"/>
                <w:rtl/>
              </w:rPr>
              <w:t>القطاعات الأخرى</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EF0F05" w:rsidRPr="00E54F1D" w:rsidRDefault="00EF0F05" w:rsidP="009524F4">
            <w:pPr>
              <w:bidi/>
              <w:jc w:val="right"/>
              <w:rPr>
                <w:color w:val="000000"/>
                <w:sz w:val="21"/>
                <w:szCs w:val="21"/>
              </w:rPr>
            </w:pPr>
            <w:r>
              <w:rPr>
                <w:color w:val="000000"/>
                <w:sz w:val="20"/>
                <w:szCs w:val="20"/>
              </w:rPr>
              <w:t>1.6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EF0F05" w:rsidRPr="00E54F1D" w:rsidRDefault="00EF0F05" w:rsidP="009524F4">
            <w:pPr>
              <w:bidi/>
              <w:jc w:val="right"/>
              <w:rPr>
                <w:color w:val="000000"/>
                <w:sz w:val="21"/>
                <w:szCs w:val="21"/>
              </w:rPr>
            </w:pPr>
            <w:r>
              <w:rPr>
                <w:color w:val="000000"/>
                <w:sz w:val="20"/>
                <w:szCs w:val="20"/>
              </w:rPr>
              <w:t>4.0</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EF0F05" w:rsidRPr="00E54F1D" w:rsidRDefault="00EF0F05" w:rsidP="009524F4">
            <w:pPr>
              <w:bidi/>
              <w:jc w:val="right"/>
              <w:rPr>
                <w:color w:val="000000"/>
                <w:sz w:val="21"/>
                <w:szCs w:val="21"/>
              </w:rPr>
            </w:pPr>
            <w:r>
              <w:rPr>
                <w:color w:val="000000"/>
                <w:sz w:val="20"/>
                <w:szCs w:val="20"/>
              </w:rPr>
              <w:t>4.1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EF0F05" w:rsidRPr="00E54F1D" w:rsidRDefault="00EF0F05" w:rsidP="009524F4">
            <w:pPr>
              <w:bidi/>
              <w:jc w:val="right"/>
              <w:rPr>
                <w:color w:val="000000"/>
                <w:sz w:val="21"/>
                <w:szCs w:val="21"/>
              </w:rPr>
            </w:pPr>
            <w:r>
              <w:rPr>
                <w:color w:val="000000"/>
                <w:sz w:val="20"/>
                <w:szCs w:val="20"/>
              </w:rPr>
              <w:t>4.5</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rsidR="00EF0F05" w:rsidRPr="00E54F1D" w:rsidRDefault="00EF0F05" w:rsidP="009524F4">
            <w:pPr>
              <w:bidi/>
              <w:jc w:val="right"/>
              <w:rPr>
                <w:color w:val="000000"/>
                <w:sz w:val="21"/>
                <w:szCs w:val="21"/>
              </w:rPr>
            </w:pPr>
            <w:r>
              <w:rPr>
                <w:color w:val="000000"/>
                <w:sz w:val="20"/>
                <w:szCs w:val="20"/>
              </w:rPr>
              <w:t>4.1</w:t>
            </w:r>
          </w:p>
        </w:tc>
      </w:tr>
    </w:tbl>
    <w:p w:rsidR="001D074D" w:rsidRDefault="001D074D" w:rsidP="009524F4">
      <w:pPr>
        <w:pStyle w:val="Heading1"/>
        <w:numPr>
          <w:ilvl w:val="0"/>
          <w:numId w:val="0"/>
        </w:numPr>
        <w:bidi/>
        <w:spacing w:after="0"/>
        <w:rPr>
          <w:lang w:val="en-CA"/>
        </w:rPr>
      </w:pPr>
    </w:p>
    <w:p w:rsidR="00433BA2" w:rsidRPr="00E35D84" w:rsidRDefault="00433BA2" w:rsidP="00501956">
      <w:pPr>
        <w:pStyle w:val="Heading1"/>
        <w:numPr>
          <w:ilvl w:val="0"/>
          <w:numId w:val="13"/>
        </w:numPr>
        <w:bidi/>
        <w:rPr>
          <w:sz w:val="26"/>
          <w:szCs w:val="26"/>
          <w:lang w:val="en-CA"/>
        </w:rPr>
      </w:pPr>
      <w:r w:rsidRPr="00E35D84">
        <w:rPr>
          <w:rFonts w:hint="cs"/>
          <w:sz w:val="26"/>
          <w:szCs w:val="26"/>
          <w:rtl/>
          <w:lang w:val="en-CA"/>
        </w:rPr>
        <w:t>وتقدم المعلومات المجمعة من المسوحات البالغة 119 لبدائل المواد المستنفدة للأوزون</w:t>
      </w:r>
      <w:r w:rsidRPr="00E35D84">
        <w:rPr>
          <w:rStyle w:val="FootnoteReference"/>
          <w:sz w:val="26"/>
          <w:szCs w:val="26"/>
          <w:lang w:val="en-CA"/>
        </w:rPr>
        <w:footnoteReference w:id="26"/>
      </w:r>
      <w:r w:rsidRPr="00E35D84">
        <w:rPr>
          <w:rFonts w:hint="cs"/>
          <w:sz w:val="26"/>
          <w:szCs w:val="26"/>
          <w:rtl/>
          <w:lang w:val="en-CA"/>
        </w:rPr>
        <w:t xml:space="preserve"> عرضا عاما للمواد</w:t>
      </w:r>
      <w:r w:rsidR="00B66B88" w:rsidRPr="00E35D84">
        <w:rPr>
          <w:rFonts w:hint="cs"/>
          <w:sz w:val="26"/>
          <w:szCs w:val="26"/>
          <w:rtl/>
          <w:lang w:val="en-CA"/>
        </w:rPr>
        <w:t xml:space="preserve"> للهيدروفلوروكربونية الرئيسية وخلائط الهيدروفلوروكربونية المستهلكة وتوزيعها القطاعي على النحو الوارد في الجدول 2.</w:t>
      </w:r>
    </w:p>
    <w:p w:rsidR="00B66B88" w:rsidRPr="00B66B88" w:rsidRDefault="00B66B88" w:rsidP="009524F4">
      <w:pPr>
        <w:bidi/>
        <w:rPr>
          <w:bCs/>
          <w:rtl/>
          <w:lang w:val="en-CA"/>
        </w:rPr>
      </w:pPr>
      <w:r>
        <w:rPr>
          <w:rFonts w:hint="cs"/>
          <w:bCs/>
          <w:rtl/>
          <w:lang w:val="en-CA"/>
        </w:rPr>
        <w:t>الجدول 2: المواد الهيدروفلوروكربون</w:t>
      </w:r>
      <w:r w:rsidR="00B16407">
        <w:rPr>
          <w:rFonts w:hint="cs"/>
          <w:bCs/>
          <w:rtl/>
          <w:lang w:val="en-CA"/>
        </w:rPr>
        <w:t>ية</w:t>
      </w:r>
      <w:r>
        <w:rPr>
          <w:rFonts w:hint="cs"/>
          <w:bCs/>
          <w:rtl/>
          <w:lang w:val="en-CA"/>
        </w:rPr>
        <w:t xml:space="preserve"> الرئيسية وخلائط الهيدروفلوروكربون المستهلكة في 119 بلدا من بلدان المادة 5</w:t>
      </w:r>
    </w:p>
    <w:tbl>
      <w:tblPr>
        <w:tblStyle w:val="TableGrid"/>
        <w:bidiVisual/>
        <w:tblW w:w="4943" w:type="pct"/>
        <w:jc w:val="center"/>
        <w:tblLayout w:type="fixed"/>
        <w:tblLook w:val="04A0" w:firstRow="1" w:lastRow="0" w:firstColumn="1" w:lastColumn="0" w:noHBand="0" w:noVBand="1"/>
      </w:tblPr>
      <w:tblGrid>
        <w:gridCol w:w="1578"/>
        <w:gridCol w:w="860"/>
        <w:gridCol w:w="993"/>
        <w:gridCol w:w="993"/>
        <w:gridCol w:w="4819"/>
      </w:tblGrid>
      <w:tr w:rsidR="001D074D" w:rsidRPr="00876C2C" w:rsidTr="00B66B88">
        <w:trPr>
          <w:tblHeader/>
          <w:jc w:val="center"/>
        </w:trPr>
        <w:tc>
          <w:tcPr>
            <w:tcW w:w="854" w:type="pct"/>
            <w:vAlign w:val="center"/>
          </w:tcPr>
          <w:p w:rsidR="001D074D" w:rsidRPr="00B66B88" w:rsidRDefault="00B66B88" w:rsidP="009524F4">
            <w:pPr>
              <w:bidi/>
              <w:jc w:val="left"/>
              <w:rPr>
                <w:bCs/>
                <w:sz w:val="20"/>
                <w:szCs w:val="20"/>
                <w:lang w:val="en-CA"/>
              </w:rPr>
            </w:pPr>
            <w:r>
              <w:rPr>
                <w:rFonts w:hint="cs"/>
                <w:bCs/>
                <w:sz w:val="20"/>
                <w:szCs w:val="20"/>
                <w:rtl/>
                <w:lang w:val="en-CA"/>
              </w:rPr>
              <w:t>الهيدروفلوروكربون</w:t>
            </w:r>
          </w:p>
        </w:tc>
        <w:tc>
          <w:tcPr>
            <w:tcW w:w="465" w:type="pct"/>
            <w:tcMar>
              <w:left w:w="0" w:type="dxa"/>
              <w:right w:w="0" w:type="dxa"/>
            </w:tcMar>
            <w:vAlign w:val="center"/>
          </w:tcPr>
          <w:p w:rsidR="001D074D" w:rsidRPr="00FE75E1" w:rsidRDefault="00B66B88" w:rsidP="009524F4">
            <w:pPr>
              <w:bidi/>
              <w:jc w:val="center"/>
              <w:rPr>
                <w:bCs/>
                <w:sz w:val="20"/>
                <w:szCs w:val="20"/>
                <w:lang w:val="en-CA"/>
              </w:rPr>
            </w:pPr>
            <w:r w:rsidRPr="00FE75E1">
              <w:rPr>
                <w:rFonts w:hint="cs"/>
                <w:bCs/>
                <w:sz w:val="20"/>
                <w:szCs w:val="20"/>
                <w:rtl/>
                <w:lang w:val="en-CA"/>
              </w:rPr>
              <w:t>عدد البلدان</w:t>
            </w:r>
          </w:p>
        </w:tc>
        <w:tc>
          <w:tcPr>
            <w:tcW w:w="537" w:type="pct"/>
            <w:tcMar>
              <w:left w:w="0" w:type="dxa"/>
              <w:right w:w="0" w:type="dxa"/>
            </w:tcMar>
            <w:vAlign w:val="center"/>
          </w:tcPr>
          <w:p w:rsidR="001D074D" w:rsidRPr="00FE75E1" w:rsidRDefault="00FE75E1" w:rsidP="009524F4">
            <w:pPr>
              <w:bidi/>
              <w:jc w:val="center"/>
              <w:rPr>
                <w:bCs/>
                <w:sz w:val="20"/>
                <w:szCs w:val="20"/>
                <w:lang w:val="en-CA"/>
              </w:rPr>
            </w:pPr>
            <w:r w:rsidRPr="00FE75E1">
              <w:rPr>
                <w:rFonts w:hint="cs"/>
                <w:bCs/>
                <w:sz w:val="20"/>
                <w:szCs w:val="20"/>
                <w:rtl/>
                <w:lang w:val="en-CA"/>
              </w:rPr>
              <w:t>نسبة الإجمالي</w:t>
            </w:r>
          </w:p>
        </w:tc>
        <w:tc>
          <w:tcPr>
            <w:tcW w:w="537" w:type="pct"/>
            <w:tcMar>
              <w:left w:w="0" w:type="dxa"/>
              <w:right w:w="0" w:type="dxa"/>
            </w:tcMar>
            <w:vAlign w:val="center"/>
          </w:tcPr>
          <w:p w:rsidR="001D074D" w:rsidRPr="00876C2C" w:rsidRDefault="00FE75E1" w:rsidP="009524F4">
            <w:pPr>
              <w:bidi/>
              <w:jc w:val="center"/>
              <w:rPr>
                <w:b/>
                <w:sz w:val="20"/>
                <w:szCs w:val="20"/>
                <w:lang w:val="en-CA"/>
              </w:rPr>
            </w:pPr>
            <w:r w:rsidRPr="00FE75E1">
              <w:rPr>
                <w:rFonts w:hint="cs"/>
                <w:bCs/>
                <w:sz w:val="20"/>
                <w:szCs w:val="20"/>
                <w:rtl/>
                <w:lang w:val="en-CA"/>
              </w:rPr>
              <w:t>معدل النمو</w:t>
            </w:r>
            <w:r w:rsidR="001D074D">
              <w:rPr>
                <w:b/>
                <w:sz w:val="20"/>
                <w:szCs w:val="20"/>
                <w:lang w:val="en-CA"/>
              </w:rPr>
              <w:t>%</w:t>
            </w:r>
            <w:r w:rsidR="001D074D" w:rsidRPr="00876C2C">
              <w:rPr>
                <w:b/>
                <w:sz w:val="20"/>
                <w:szCs w:val="20"/>
                <w:lang w:val="en-CA"/>
              </w:rPr>
              <w:t>*</w:t>
            </w:r>
          </w:p>
        </w:tc>
        <w:tc>
          <w:tcPr>
            <w:tcW w:w="2607" w:type="pct"/>
            <w:vAlign w:val="center"/>
          </w:tcPr>
          <w:p w:rsidR="001D074D" w:rsidRPr="00FE75E1" w:rsidRDefault="00FE75E1" w:rsidP="009524F4">
            <w:pPr>
              <w:bidi/>
              <w:jc w:val="center"/>
              <w:rPr>
                <w:bCs/>
                <w:sz w:val="20"/>
                <w:szCs w:val="20"/>
                <w:lang w:val="en-CA"/>
              </w:rPr>
            </w:pPr>
            <w:r w:rsidRPr="00FE75E1">
              <w:rPr>
                <w:rFonts w:hint="cs"/>
                <w:bCs/>
                <w:sz w:val="20"/>
                <w:szCs w:val="20"/>
                <w:rtl/>
                <w:lang w:val="en-CA"/>
              </w:rPr>
              <w:t>الاستخدام</w:t>
            </w:r>
            <w:r>
              <w:rPr>
                <w:rFonts w:hint="cs"/>
                <w:bCs/>
                <w:sz w:val="20"/>
                <w:szCs w:val="20"/>
                <w:rtl/>
                <w:lang w:val="en-CA"/>
              </w:rPr>
              <w:t>ات</w:t>
            </w:r>
          </w:p>
        </w:tc>
      </w:tr>
      <w:tr w:rsidR="001D074D" w:rsidRPr="00876C2C" w:rsidTr="00B66B88">
        <w:trPr>
          <w:jc w:val="center"/>
        </w:trPr>
        <w:tc>
          <w:tcPr>
            <w:tcW w:w="854" w:type="pct"/>
          </w:tcPr>
          <w:p w:rsidR="001D074D" w:rsidRPr="00876C2C" w:rsidRDefault="001D074D" w:rsidP="009524F4">
            <w:pPr>
              <w:bidi/>
              <w:rPr>
                <w:b/>
                <w:sz w:val="20"/>
                <w:szCs w:val="20"/>
                <w:lang w:val="en-CA"/>
              </w:rPr>
            </w:pPr>
            <w:r w:rsidRPr="00876C2C">
              <w:rPr>
                <w:sz w:val="20"/>
                <w:szCs w:val="20"/>
                <w:lang w:val="en-CA"/>
              </w:rPr>
              <w:t>HFC-134a</w:t>
            </w:r>
          </w:p>
        </w:tc>
        <w:tc>
          <w:tcPr>
            <w:tcW w:w="465"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119</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34</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9</w:t>
            </w:r>
          </w:p>
        </w:tc>
        <w:tc>
          <w:tcPr>
            <w:tcW w:w="2607" w:type="pct"/>
          </w:tcPr>
          <w:p w:rsidR="001D074D" w:rsidRPr="00876C2C" w:rsidRDefault="00FE75E1" w:rsidP="00FE75E1">
            <w:pPr>
              <w:bidi/>
              <w:jc w:val="left"/>
              <w:rPr>
                <w:sz w:val="20"/>
                <w:szCs w:val="20"/>
                <w:lang w:val="en-CA"/>
              </w:rPr>
            </w:pPr>
            <w:r>
              <w:rPr>
                <w:rFonts w:hint="cs"/>
                <w:sz w:val="20"/>
                <w:szCs w:val="20"/>
                <w:rtl/>
                <w:lang w:val="en-CA"/>
              </w:rPr>
              <w:t>التبريد المنزلي والتجاري وأجهزة تكييف الهواء المتنقلة، واستخدامات صغيرة في التبريد وعمليات الرغاوي والايروصول</w:t>
            </w:r>
          </w:p>
        </w:tc>
      </w:tr>
      <w:tr w:rsidR="001D074D" w:rsidRPr="00876C2C" w:rsidTr="00B66B88">
        <w:trPr>
          <w:jc w:val="center"/>
        </w:trPr>
        <w:tc>
          <w:tcPr>
            <w:tcW w:w="854" w:type="pct"/>
          </w:tcPr>
          <w:p w:rsidR="001D074D" w:rsidRPr="00876C2C" w:rsidRDefault="001D074D" w:rsidP="009524F4">
            <w:pPr>
              <w:bidi/>
              <w:rPr>
                <w:b/>
                <w:sz w:val="20"/>
                <w:szCs w:val="20"/>
                <w:lang w:val="en-CA"/>
              </w:rPr>
            </w:pPr>
            <w:r w:rsidRPr="00876C2C">
              <w:rPr>
                <w:sz w:val="20"/>
                <w:szCs w:val="20"/>
                <w:lang w:val="en-CA"/>
              </w:rPr>
              <w:t>R-410A</w:t>
            </w:r>
          </w:p>
        </w:tc>
        <w:tc>
          <w:tcPr>
            <w:tcW w:w="465"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119</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43</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40</w:t>
            </w:r>
          </w:p>
        </w:tc>
        <w:tc>
          <w:tcPr>
            <w:tcW w:w="2607" w:type="pct"/>
          </w:tcPr>
          <w:p w:rsidR="001D074D" w:rsidRPr="00876C2C" w:rsidRDefault="00FE75E1" w:rsidP="009524F4">
            <w:pPr>
              <w:bidi/>
              <w:jc w:val="left"/>
              <w:rPr>
                <w:sz w:val="20"/>
                <w:szCs w:val="20"/>
                <w:lang w:val="en-CA"/>
              </w:rPr>
            </w:pPr>
            <w:r>
              <w:rPr>
                <w:rFonts w:hint="cs"/>
                <w:sz w:val="20"/>
                <w:szCs w:val="20"/>
                <w:rtl/>
                <w:lang w:val="en-CA"/>
              </w:rPr>
              <w:t>عمليات تكييف الهواء</w:t>
            </w:r>
          </w:p>
        </w:tc>
      </w:tr>
      <w:tr w:rsidR="001D074D" w:rsidRPr="00876C2C" w:rsidTr="00B66B88">
        <w:trPr>
          <w:jc w:val="center"/>
        </w:trPr>
        <w:tc>
          <w:tcPr>
            <w:tcW w:w="854" w:type="pct"/>
          </w:tcPr>
          <w:p w:rsidR="001D074D" w:rsidRPr="00876C2C" w:rsidRDefault="001D074D" w:rsidP="009524F4">
            <w:pPr>
              <w:bidi/>
              <w:rPr>
                <w:b/>
                <w:sz w:val="20"/>
                <w:szCs w:val="20"/>
                <w:lang w:val="en-CA"/>
              </w:rPr>
            </w:pPr>
            <w:r w:rsidRPr="00876C2C">
              <w:rPr>
                <w:sz w:val="20"/>
                <w:szCs w:val="20"/>
                <w:lang w:val="en-CA"/>
              </w:rPr>
              <w:t>R-404A</w:t>
            </w:r>
          </w:p>
        </w:tc>
        <w:tc>
          <w:tcPr>
            <w:tcW w:w="465"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118</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7</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11</w:t>
            </w:r>
          </w:p>
        </w:tc>
        <w:tc>
          <w:tcPr>
            <w:tcW w:w="2607" w:type="pct"/>
          </w:tcPr>
          <w:p w:rsidR="001D074D" w:rsidRPr="00876C2C" w:rsidRDefault="00FE75E1" w:rsidP="009524F4">
            <w:pPr>
              <w:bidi/>
              <w:jc w:val="left"/>
              <w:rPr>
                <w:sz w:val="20"/>
                <w:szCs w:val="20"/>
                <w:lang w:val="en-CA"/>
              </w:rPr>
            </w:pPr>
            <w:r>
              <w:rPr>
                <w:rFonts w:hint="cs"/>
                <w:sz w:val="20"/>
                <w:szCs w:val="20"/>
                <w:rtl/>
                <w:lang w:val="en-CA"/>
              </w:rPr>
              <w:t>عمليات التبريد المنخفض الحرارة</w:t>
            </w:r>
          </w:p>
        </w:tc>
      </w:tr>
      <w:tr w:rsidR="001D074D" w:rsidRPr="00876C2C" w:rsidTr="00B66B88">
        <w:trPr>
          <w:jc w:val="center"/>
        </w:trPr>
        <w:tc>
          <w:tcPr>
            <w:tcW w:w="854" w:type="pct"/>
          </w:tcPr>
          <w:p w:rsidR="001D074D" w:rsidRPr="00876C2C" w:rsidRDefault="001D074D" w:rsidP="009524F4">
            <w:pPr>
              <w:bidi/>
              <w:rPr>
                <w:b/>
                <w:sz w:val="20"/>
                <w:szCs w:val="20"/>
                <w:lang w:val="en-CA"/>
              </w:rPr>
            </w:pPr>
            <w:r w:rsidRPr="00876C2C">
              <w:rPr>
                <w:sz w:val="20"/>
                <w:szCs w:val="20"/>
                <w:lang w:val="en-CA"/>
              </w:rPr>
              <w:t>R-507A</w:t>
            </w:r>
          </w:p>
        </w:tc>
        <w:tc>
          <w:tcPr>
            <w:tcW w:w="465"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70</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1</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21</w:t>
            </w:r>
          </w:p>
        </w:tc>
        <w:tc>
          <w:tcPr>
            <w:tcW w:w="2607" w:type="pct"/>
          </w:tcPr>
          <w:p w:rsidR="001D074D" w:rsidRPr="00876C2C" w:rsidRDefault="00FE75E1" w:rsidP="009524F4">
            <w:pPr>
              <w:bidi/>
              <w:jc w:val="left"/>
              <w:rPr>
                <w:sz w:val="20"/>
                <w:szCs w:val="20"/>
                <w:lang w:val="en-CA"/>
              </w:rPr>
            </w:pPr>
            <w:r>
              <w:rPr>
                <w:rFonts w:hint="cs"/>
                <w:sz w:val="20"/>
                <w:szCs w:val="20"/>
                <w:rtl/>
                <w:lang w:val="en-CA"/>
              </w:rPr>
              <w:t>التبريد التجاري</w:t>
            </w:r>
          </w:p>
        </w:tc>
      </w:tr>
      <w:tr w:rsidR="001D074D" w:rsidRPr="00876C2C" w:rsidTr="00B66B88">
        <w:trPr>
          <w:jc w:val="center"/>
        </w:trPr>
        <w:tc>
          <w:tcPr>
            <w:tcW w:w="854" w:type="pct"/>
          </w:tcPr>
          <w:p w:rsidR="001D074D" w:rsidRPr="00876C2C" w:rsidRDefault="001D074D" w:rsidP="009524F4">
            <w:pPr>
              <w:bidi/>
              <w:rPr>
                <w:b/>
                <w:sz w:val="20"/>
                <w:szCs w:val="20"/>
                <w:lang w:val="en-CA"/>
              </w:rPr>
            </w:pPr>
            <w:r w:rsidRPr="00876C2C">
              <w:rPr>
                <w:sz w:val="20"/>
                <w:szCs w:val="20"/>
                <w:lang w:val="en-CA"/>
              </w:rPr>
              <w:t>R-407C</w:t>
            </w:r>
          </w:p>
        </w:tc>
        <w:tc>
          <w:tcPr>
            <w:tcW w:w="465"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110</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6</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33</w:t>
            </w:r>
          </w:p>
        </w:tc>
        <w:tc>
          <w:tcPr>
            <w:tcW w:w="2607" w:type="pct"/>
          </w:tcPr>
          <w:p w:rsidR="001D074D" w:rsidRPr="00876C2C" w:rsidRDefault="00FE75E1" w:rsidP="009524F4">
            <w:pPr>
              <w:bidi/>
              <w:jc w:val="left"/>
              <w:rPr>
                <w:sz w:val="20"/>
                <w:szCs w:val="20"/>
                <w:lang w:val="en-CA"/>
              </w:rPr>
            </w:pPr>
            <w:r>
              <w:rPr>
                <w:rFonts w:hint="cs"/>
                <w:sz w:val="20"/>
                <w:szCs w:val="20"/>
                <w:rtl/>
                <w:lang w:val="en-CA"/>
              </w:rPr>
              <w:t>عمليات تكييف الهواء</w:t>
            </w:r>
          </w:p>
        </w:tc>
      </w:tr>
      <w:tr w:rsidR="001D074D" w:rsidRPr="00876C2C" w:rsidTr="00B66B88">
        <w:trPr>
          <w:jc w:val="center"/>
        </w:trPr>
        <w:tc>
          <w:tcPr>
            <w:tcW w:w="854" w:type="pct"/>
          </w:tcPr>
          <w:p w:rsidR="001D074D" w:rsidRPr="00876C2C" w:rsidRDefault="001D074D" w:rsidP="009524F4">
            <w:pPr>
              <w:bidi/>
              <w:rPr>
                <w:b/>
                <w:sz w:val="20"/>
                <w:szCs w:val="20"/>
                <w:lang w:val="en-CA"/>
              </w:rPr>
            </w:pPr>
            <w:r w:rsidRPr="00876C2C">
              <w:rPr>
                <w:sz w:val="20"/>
                <w:szCs w:val="20"/>
                <w:lang w:val="en-CA"/>
              </w:rPr>
              <w:t>HFC-152a**</w:t>
            </w:r>
          </w:p>
        </w:tc>
        <w:tc>
          <w:tcPr>
            <w:tcW w:w="465"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19</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4</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23</w:t>
            </w:r>
          </w:p>
        </w:tc>
        <w:tc>
          <w:tcPr>
            <w:tcW w:w="2607" w:type="pct"/>
          </w:tcPr>
          <w:p w:rsidR="001D074D" w:rsidRPr="00876C2C" w:rsidRDefault="00FE75E1" w:rsidP="009524F4">
            <w:pPr>
              <w:bidi/>
              <w:jc w:val="left"/>
              <w:rPr>
                <w:sz w:val="20"/>
                <w:szCs w:val="20"/>
                <w:lang w:val="en-CA"/>
              </w:rPr>
            </w:pPr>
            <w:r>
              <w:rPr>
                <w:rFonts w:hint="cs"/>
                <w:sz w:val="20"/>
                <w:szCs w:val="20"/>
                <w:rtl/>
                <w:lang w:val="en-CA"/>
              </w:rPr>
              <w:t>قطاع الايروصول الصناعي ورغاوي البوليسترين الممدة بالضغط</w:t>
            </w:r>
          </w:p>
        </w:tc>
      </w:tr>
      <w:tr w:rsidR="001D074D" w:rsidRPr="00876C2C" w:rsidTr="00B66B88">
        <w:trPr>
          <w:jc w:val="center"/>
        </w:trPr>
        <w:tc>
          <w:tcPr>
            <w:tcW w:w="854" w:type="pct"/>
          </w:tcPr>
          <w:p w:rsidR="001D074D" w:rsidRPr="00876C2C" w:rsidRDefault="001D074D" w:rsidP="009524F4">
            <w:pPr>
              <w:bidi/>
              <w:rPr>
                <w:b/>
                <w:sz w:val="20"/>
                <w:szCs w:val="20"/>
                <w:lang w:val="en-CA"/>
              </w:rPr>
            </w:pPr>
            <w:r w:rsidRPr="00876C2C">
              <w:rPr>
                <w:sz w:val="20"/>
                <w:szCs w:val="20"/>
                <w:lang w:val="en-CA"/>
              </w:rPr>
              <w:t>HFC-245fa***</w:t>
            </w:r>
          </w:p>
        </w:tc>
        <w:tc>
          <w:tcPr>
            <w:tcW w:w="465"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10</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2</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9</w:t>
            </w:r>
          </w:p>
        </w:tc>
        <w:tc>
          <w:tcPr>
            <w:tcW w:w="2607" w:type="pct"/>
          </w:tcPr>
          <w:p w:rsidR="001D074D" w:rsidRPr="00876C2C" w:rsidRDefault="00FE75E1" w:rsidP="009524F4">
            <w:pPr>
              <w:bidi/>
              <w:jc w:val="left"/>
              <w:rPr>
                <w:sz w:val="20"/>
                <w:szCs w:val="20"/>
                <w:lang w:val="en-CA"/>
              </w:rPr>
            </w:pPr>
            <w:r>
              <w:rPr>
                <w:rFonts w:hint="cs"/>
                <w:sz w:val="20"/>
                <w:szCs w:val="20"/>
                <w:rtl/>
                <w:lang w:val="en-CA"/>
              </w:rPr>
              <w:t>رغاوي البوليوريثان</w:t>
            </w:r>
          </w:p>
        </w:tc>
      </w:tr>
      <w:tr w:rsidR="001D074D" w:rsidRPr="00876C2C" w:rsidTr="00B66B88">
        <w:trPr>
          <w:jc w:val="center"/>
        </w:trPr>
        <w:tc>
          <w:tcPr>
            <w:tcW w:w="854" w:type="pct"/>
          </w:tcPr>
          <w:p w:rsidR="001D074D" w:rsidRPr="00876C2C" w:rsidRDefault="001D074D" w:rsidP="009524F4">
            <w:pPr>
              <w:bidi/>
              <w:rPr>
                <w:b/>
                <w:sz w:val="20"/>
                <w:szCs w:val="20"/>
                <w:lang w:val="en-CA"/>
              </w:rPr>
            </w:pPr>
            <w:r w:rsidRPr="00876C2C">
              <w:rPr>
                <w:sz w:val="20"/>
                <w:szCs w:val="20"/>
                <w:lang w:val="en-CA"/>
              </w:rPr>
              <w:t>Others</w:t>
            </w:r>
          </w:p>
        </w:tc>
        <w:tc>
          <w:tcPr>
            <w:tcW w:w="465"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64</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3</w:t>
            </w:r>
          </w:p>
        </w:tc>
        <w:tc>
          <w:tcPr>
            <w:tcW w:w="537" w:type="pct"/>
            <w:tcMar>
              <w:left w:w="115" w:type="dxa"/>
              <w:right w:w="288" w:type="dxa"/>
            </w:tcMar>
          </w:tcPr>
          <w:p w:rsidR="001D074D" w:rsidRPr="00876C2C" w:rsidRDefault="001D074D" w:rsidP="00B66B88">
            <w:pPr>
              <w:bidi/>
              <w:jc w:val="left"/>
              <w:rPr>
                <w:sz w:val="20"/>
                <w:szCs w:val="20"/>
                <w:lang w:val="en-CA"/>
              </w:rPr>
            </w:pPr>
            <w:r w:rsidRPr="00876C2C">
              <w:rPr>
                <w:sz w:val="20"/>
                <w:szCs w:val="20"/>
                <w:lang w:val="en-CA"/>
              </w:rPr>
              <w:t>35</w:t>
            </w:r>
          </w:p>
        </w:tc>
        <w:tc>
          <w:tcPr>
            <w:tcW w:w="2607" w:type="pct"/>
          </w:tcPr>
          <w:p w:rsidR="001D074D" w:rsidRPr="00876C2C" w:rsidRDefault="00FE75E1" w:rsidP="009524F4">
            <w:pPr>
              <w:bidi/>
              <w:jc w:val="left"/>
              <w:rPr>
                <w:sz w:val="20"/>
                <w:szCs w:val="20"/>
                <w:lang w:val="en-CA"/>
              </w:rPr>
            </w:pPr>
            <w:r>
              <w:rPr>
                <w:rFonts w:hint="cs"/>
                <w:sz w:val="20"/>
                <w:szCs w:val="20"/>
                <w:rtl/>
                <w:lang w:val="en-CA"/>
              </w:rPr>
              <w:t>الاستخدامات الصغيرة في جميع العمليات</w:t>
            </w:r>
          </w:p>
        </w:tc>
      </w:tr>
    </w:tbl>
    <w:p w:rsidR="001D074D" w:rsidRPr="00AC2011" w:rsidRDefault="001D074D" w:rsidP="00FE75E1">
      <w:pPr>
        <w:bidi/>
        <w:rPr>
          <w:sz w:val="18"/>
          <w:szCs w:val="18"/>
          <w:lang w:val="en-CA"/>
        </w:rPr>
      </w:pPr>
      <w:r w:rsidRPr="00AC2011">
        <w:rPr>
          <w:sz w:val="18"/>
          <w:szCs w:val="18"/>
          <w:lang w:val="en-CA"/>
        </w:rPr>
        <w:t xml:space="preserve">(*) </w:t>
      </w:r>
      <w:r w:rsidR="00FE75E1">
        <w:rPr>
          <w:rFonts w:hint="cs"/>
          <w:sz w:val="18"/>
          <w:szCs w:val="18"/>
          <w:rtl/>
          <w:lang w:val="en-CA"/>
        </w:rPr>
        <w:t xml:space="preserve"> حسبت كمعدل نمو سنوي تراكمي فيما بين 2012 و2015.</w:t>
      </w:r>
    </w:p>
    <w:p w:rsidR="001D074D" w:rsidRPr="00AC2011" w:rsidRDefault="001D074D" w:rsidP="00FE75E1">
      <w:pPr>
        <w:bidi/>
        <w:rPr>
          <w:sz w:val="18"/>
          <w:szCs w:val="18"/>
          <w:lang w:val="en-CA"/>
        </w:rPr>
      </w:pPr>
      <w:r w:rsidRPr="00AC2011">
        <w:rPr>
          <w:sz w:val="18"/>
          <w:szCs w:val="18"/>
          <w:lang w:val="en-CA"/>
        </w:rPr>
        <w:t xml:space="preserve">(**) </w:t>
      </w:r>
      <w:r w:rsidR="00FE75E1">
        <w:rPr>
          <w:rFonts w:hint="cs"/>
          <w:sz w:val="18"/>
          <w:szCs w:val="18"/>
          <w:rtl/>
          <w:lang w:val="en-CA"/>
        </w:rPr>
        <w:t xml:space="preserve"> أبلغ أكثر من 90 في المائة من الاستهلاك عن بلد واحد.</w:t>
      </w:r>
    </w:p>
    <w:p w:rsidR="00FE75E1" w:rsidRDefault="001D074D" w:rsidP="009524F4">
      <w:pPr>
        <w:bidi/>
        <w:rPr>
          <w:sz w:val="18"/>
          <w:szCs w:val="18"/>
          <w:rtl/>
          <w:lang w:val="en-CA"/>
        </w:rPr>
      </w:pPr>
      <w:r w:rsidRPr="00AC2011">
        <w:rPr>
          <w:sz w:val="18"/>
          <w:szCs w:val="18"/>
          <w:lang w:val="en-CA"/>
        </w:rPr>
        <w:t xml:space="preserve">(***) </w:t>
      </w:r>
      <w:r w:rsidR="00FE75E1">
        <w:rPr>
          <w:rFonts w:hint="cs"/>
          <w:sz w:val="18"/>
          <w:szCs w:val="18"/>
          <w:rtl/>
          <w:lang w:val="en-CA"/>
        </w:rPr>
        <w:t xml:space="preserve"> أبلغ أحد البلدان عن استخدام مرتفع في الهيدروفلوروكربون-</w:t>
      </w:r>
      <w:r w:rsidR="00FE75E1" w:rsidRPr="00AC2011">
        <w:rPr>
          <w:sz w:val="18"/>
          <w:szCs w:val="18"/>
          <w:lang w:val="en-CA"/>
        </w:rPr>
        <w:t>245fa</w:t>
      </w:r>
      <w:r w:rsidR="00FE75E1">
        <w:rPr>
          <w:rFonts w:hint="cs"/>
          <w:sz w:val="18"/>
          <w:szCs w:val="18"/>
          <w:rtl/>
          <w:lang w:val="en-CA"/>
        </w:rPr>
        <w:t xml:space="preserve"> لقطاع الرغاوي (أي نحو 15 في المائة من مجموع استهلاك الهيدروفلوروكربون).</w:t>
      </w:r>
    </w:p>
    <w:p w:rsidR="001D074D" w:rsidRPr="00E35D84" w:rsidRDefault="001D074D" w:rsidP="009524F4">
      <w:pPr>
        <w:bidi/>
        <w:rPr>
          <w:sz w:val="26"/>
          <w:szCs w:val="26"/>
          <w:lang w:val="en-CA"/>
        </w:rPr>
      </w:pPr>
    </w:p>
    <w:p w:rsidR="00B16407" w:rsidRPr="00B16407" w:rsidRDefault="00B16407" w:rsidP="00F222D5">
      <w:pPr>
        <w:pStyle w:val="Heading1"/>
        <w:bidi/>
        <w:rPr>
          <w:sz w:val="26"/>
          <w:szCs w:val="26"/>
          <w:lang w:val="en-CA"/>
        </w:rPr>
      </w:pPr>
      <w:r>
        <w:rPr>
          <w:rFonts w:hint="cs"/>
          <w:sz w:val="26"/>
          <w:szCs w:val="26"/>
          <w:rtl/>
          <w:lang w:val="en-CA"/>
        </w:rPr>
        <w:t xml:space="preserve">من ضمن مجموع استهلاك المواد الهيدروفلوروكربونية و خلائط الهيدروفلوروكربون التي أبلغت بها </w:t>
      </w:r>
      <w:r w:rsidR="00F222D5">
        <w:rPr>
          <w:rFonts w:hint="cs"/>
          <w:sz w:val="26"/>
          <w:szCs w:val="26"/>
          <w:rtl/>
          <w:lang w:val="en-CA"/>
        </w:rPr>
        <w:t>77 بلداً ذ</w:t>
      </w:r>
      <w:r w:rsidR="00CF0871">
        <w:rPr>
          <w:rFonts w:hint="cs"/>
          <w:sz w:val="26"/>
          <w:szCs w:val="26"/>
          <w:rtl/>
          <w:lang w:val="en-CA"/>
        </w:rPr>
        <w:t xml:space="preserve">ات استهلاك منخفض  و 42 ذات استهلاك غير منخفض في سنة </w:t>
      </w:r>
      <w:r w:rsidR="00F222D5">
        <w:rPr>
          <w:rFonts w:hint="cs"/>
          <w:sz w:val="26"/>
          <w:szCs w:val="26"/>
          <w:rtl/>
          <w:lang w:val="en-CA"/>
        </w:rPr>
        <w:t xml:space="preserve">2015 </w:t>
      </w:r>
      <w:r w:rsidR="00CF0871">
        <w:rPr>
          <w:rFonts w:hint="cs"/>
          <w:sz w:val="26"/>
          <w:szCs w:val="26"/>
          <w:rtl/>
          <w:lang w:val="en-CA"/>
        </w:rPr>
        <w:t xml:space="preserve">  فقد تم استعمال  95%  منه في البلدان  ذات </w:t>
      </w:r>
      <w:r w:rsidR="00CF0871">
        <w:rPr>
          <w:rFonts w:hint="cs"/>
          <w:sz w:val="26"/>
          <w:szCs w:val="26"/>
          <w:rtl/>
          <w:lang w:val="en-CA"/>
        </w:rPr>
        <w:lastRenderedPageBreak/>
        <w:t>الاستهلاك المنخفض  و 90% في البلدان  ذات الاستهلاك غير المنخفض  في قطاع التبريد بما فيه</w:t>
      </w:r>
      <w:r w:rsidR="00F222D5">
        <w:rPr>
          <w:rFonts w:hint="cs"/>
          <w:sz w:val="26"/>
          <w:szCs w:val="26"/>
          <w:rtl/>
          <w:lang w:val="en-CA"/>
        </w:rPr>
        <w:t>ا</w:t>
      </w:r>
      <w:r w:rsidR="00CF0871">
        <w:rPr>
          <w:sz w:val="26"/>
          <w:szCs w:val="26"/>
          <w:lang w:val="en-CA"/>
        </w:rPr>
        <w:t xml:space="preserve"> </w:t>
      </w:r>
      <w:r w:rsidR="00CF0871">
        <w:rPr>
          <w:rFonts w:hint="cs"/>
          <w:sz w:val="26"/>
          <w:szCs w:val="26"/>
          <w:rtl/>
          <w:lang w:val="en-CA" w:bidi="ar-AE"/>
        </w:rPr>
        <w:t xml:space="preserve"> الصناعة و</w:t>
      </w:r>
      <w:r w:rsidR="00F222D5">
        <w:rPr>
          <w:rFonts w:hint="eastAsia"/>
          <w:sz w:val="26"/>
          <w:szCs w:val="26"/>
          <w:rtl/>
          <w:lang w:val="en-CA" w:bidi="ar-AE"/>
        </w:rPr>
        <w:t> </w:t>
      </w:r>
      <w:r w:rsidR="00CF0871">
        <w:rPr>
          <w:rFonts w:hint="cs"/>
          <w:sz w:val="26"/>
          <w:szCs w:val="26"/>
          <w:rtl/>
          <w:lang w:val="en-CA" w:bidi="ar-AE"/>
        </w:rPr>
        <w:t xml:space="preserve"> </w:t>
      </w:r>
      <w:r w:rsidR="00CF0871">
        <w:rPr>
          <w:rFonts w:hint="cs"/>
          <w:sz w:val="26"/>
          <w:szCs w:val="26"/>
          <w:rtl/>
          <w:lang w:val="en-CA"/>
        </w:rPr>
        <w:t xml:space="preserve">الخدمات كما </w:t>
      </w:r>
      <w:r w:rsidR="009E5A64">
        <w:rPr>
          <w:rFonts w:hint="cs"/>
          <w:sz w:val="26"/>
          <w:szCs w:val="26"/>
          <w:rtl/>
          <w:lang w:val="en-CA"/>
        </w:rPr>
        <w:t>يرد في الجدول الثالث.</w:t>
      </w:r>
    </w:p>
    <w:p w:rsidR="00916BA4" w:rsidRPr="00B66B88" w:rsidRDefault="00916BA4" w:rsidP="00916BA4">
      <w:pPr>
        <w:keepNext/>
        <w:bidi/>
        <w:rPr>
          <w:bCs/>
          <w:rtl/>
          <w:lang w:val="en-CA"/>
        </w:rPr>
      </w:pPr>
      <w:r>
        <w:rPr>
          <w:rFonts w:hint="cs"/>
          <w:bCs/>
          <w:rtl/>
          <w:lang w:val="en-CA"/>
        </w:rPr>
        <w:t>الجدول 3: مجموع استهلاك الهيدروفلوروكربون المبلغ من 119 بلدا في 2015 (بالأطنان المترية)</w:t>
      </w:r>
    </w:p>
    <w:tbl>
      <w:tblPr>
        <w:bidiVisual/>
        <w:tblW w:w="9360" w:type="dxa"/>
        <w:jc w:val="center"/>
        <w:tblLayout w:type="fixed"/>
        <w:tblLook w:val="04A0" w:firstRow="1" w:lastRow="0" w:firstColumn="1" w:lastColumn="0" w:noHBand="0" w:noVBand="1"/>
      </w:tblPr>
      <w:tblGrid>
        <w:gridCol w:w="2340"/>
        <w:gridCol w:w="1404"/>
        <w:gridCol w:w="1404"/>
        <w:gridCol w:w="1404"/>
        <w:gridCol w:w="1404"/>
        <w:gridCol w:w="1404"/>
      </w:tblGrid>
      <w:tr w:rsidR="00600E58" w:rsidRPr="00D95176" w:rsidTr="00916BA4">
        <w:trPr>
          <w:tblHeader/>
          <w:jc w:val="center"/>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0E58" w:rsidRPr="00600E58" w:rsidRDefault="00600E58" w:rsidP="00916BA4">
            <w:pPr>
              <w:keepNext/>
              <w:bidi/>
              <w:jc w:val="left"/>
              <w:rPr>
                <w:bCs/>
                <w:color w:val="000000"/>
                <w:sz w:val="21"/>
                <w:szCs w:val="21"/>
                <w:lang w:val="en-CA" w:eastAsia="en-CA"/>
              </w:rPr>
            </w:pPr>
            <w:r>
              <w:rPr>
                <w:rFonts w:hint="cs"/>
                <w:bCs/>
                <w:color w:val="000000"/>
                <w:sz w:val="21"/>
                <w:szCs w:val="21"/>
                <w:rtl/>
                <w:lang w:val="en-CA" w:eastAsia="en-CA"/>
              </w:rPr>
              <w:t>القطاع</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E58" w:rsidRPr="00600E58" w:rsidRDefault="00600E58" w:rsidP="00916BA4">
            <w:pPr>
              <w:keepNext/>
              <w:bidi/>
              <w:jc w:val="center"/>
              <w:rPr>
                <w:bCs/>
                <w:color w:val="000000"/>
                <w:sz w:val="21"/>
                <w:szCs w:val="21"/>
                <w:lang w:val="en-CA" w:eastAsia="en-CA"/>
              </w:rPr>
            </w:pPr>
            <w:r>
              <w:rPr>
                <w:rFonts w:hint="cs"/>
                <w:bCs/>
                <w:color w:val="000000"/>
                <w:sz w:val="21"/>
                <w:szCs w:val="21"/>
                <w:rtl/>
                <w:lang w:val="en-CA" w:eastAsia="en-CA"/>
              </w:rPr>
              <w:t>البلدان التي ينخفض فيها حجم الاستهلاك</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E58" w:rsidRPr="00600E58" w:rsidRDefault="00600E58" w:rsidP="00073D9D">
            <w:pPr>
              <w:keepNext/>
              <w:bidi/>
              <w:jc w:val="center"/>
              <w:rPr>
                <w:bCs/>
                <w:color w:val="000000"/>
                <w:sz w:val="21"/>
                <w:szCs w:val="21"/>
                <w:lang w:val="en-CA" w:eastAsia="en-CA"/>
              </w:rPr>
            </w:pPr>
            <w:r>
              <w:rPr>
                <w:rFonts w:hint="cs"/>
                <w:bCs/>
                <w:color w:val="000000"/>
                <w:sz w:val="21"/>
                <w:szCs w:val="21"/>
                <w:rtl/>
                <w:lang w:val="en-CA" w:eastAsia="en-CA"/>
              </w:rPr>
              <w:t>البلدان التي لا ينخفض فيها حجم الاستهلاك</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E58" w:rsidRPr="00600E58" w:rsidRDefault="00600E58" w:rsidP="00916BA4">
            <w:pPr>
              <w:keepNext/>
              <w:bidi/>
              <w:jc w:val="center"/>
              <w:rPr>
                <w:bCs/>
                <w:color w:val="000000"/>
                <w:sz w:val="21"/>
                <w:szCs w:val="21"/>
                <w:lang w:val="en-CA" w:eastAsia="en-CA"/>
              </w:rPr>
            </w:pPr>
            <w:r>
              <w:rPr>
                <w:rFonts w:hint="cs"/>
                <w:bCs/>
                <w:color w:val="000000"/>
                <w:sz w:val="21"/>
                <w:szCs w:val="21"/>
                <w:rtl/>
                <w:lang w:val="en-CA" w:eastAsia="en-CA"/>
              </w:rPr>
              <w:t>المجموع</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E58" w:rsidRPr="00600E58" w:rsidRDefault="00600E58" w:rsidP="00916BA4">
            <w:pPr>
              <w:keepNext/>
              <w:bidi/>
              <w:jc w:val="center"/>
              <w:rPr>
                <w:bCs/>
                <w:color w:val="000000"/>
                <w:sz w:val="21"/>
                <w:szCs w:val="21"/>
                <w:lang w:val="en-CA" w:eastAsia="en-CA"/>
              </w:rPr>
            </w:pPr>
            <w:r>
              <w:rPr>
                <w:rFonts w:hint="cs"/>
                <w:bCs/>
                <w:color w:val="000000"/>
                <w:sz w:val="21"/>
                <w:szCs w:val="21"/>
                <w:rtl/>
                <w:lang w:val="en-CA" w:eastAsia="en-CA"/>
              </w:rPr>
              <w:t>النسبة التي ينخفض فيها حجم الاستهلاك</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rsidR="00600E58" w:rsidRPr="00600E58" w:rsidRDefault="00600E58" w:rsidP="00073D9D">
            <w:pPr>
              <w:keepNext/>
              <w:bidi/>
              <w:jc w:val="center"/>
              <w:rPr>
                <w:bCs/>
                <w:color w:val="000000"/>
                <w:sz w:val="21"/>
                <w:szCs w:val="21"/>
                <w:lang w:val="en-CA" w:eastAsia="en-CA"/>
              </w:rPr>
            </w:pPr>
            <w:r>
              <w:rPr>
                <w:rFonts w:hint="cs"/>
                <w:bCs/>
                <w:color w:val="000000"/>
                <w:sz w:val="21"/>
                <w:szCs w:val="21"/>
                <w:rtl/>
                <w:lang w:val="en-CA" w:eastAsia="en-CA"/>
              </w:rPr>
              <w:t>النسبة التي لا ينخفض فيها حجم الاستهلاك</w:t>
            </w:r>
          </w:p>
        </w:tc>
      </w:tr>
      <w:tr w:rsidR="00E36ABA" w:rsidRPr="00D95176" w:rsidTr="00916BA4">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E36ABA" w:rsidRPr="00E36ABA" w:rsidRDefault="007844D5" w:rsidP="00916BA4">
            <w:pPr>
              <w:keepNext/>
              <w:bidi/>
              <w:jc w:val="left"/>
              <w:rPr>
                <w:color w:val="000000"/>
                <w:sz w:val="21"/>
                <w:szCs w:val="21"/>
                <w:lang w:val="en-CA" w:eastAsia="en-CA"/>
              </w:rPr>
            </w:pPr>
            <w:r>
              <w:rPr>
                <w:rFonts w:hint="cs"/>
                <w:color w:val="000000"/>
                <w:sz w:val="21"/>
                <w:szCs w:val="21"/>
                <w:rtl/>
              </w:rPr>
              <w:t>التبريد</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14,466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151,548</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166,014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8.7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91.3</w:t>
            </w:r>
          </w:p>
        </w:tc>
      </w:tr>
      <w:tr w:rsidR="00E36ABA" w:rsidRPr="00D95176" w:rsidTr="00916BA4">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E36ABA" w:rsidRPr="00E36ABA" w:rsidRDefault="007844D5" w:rsidP="00916BA4">
            <w:pPr>
              <w:keepNext/>
              <w:bidi/>
              <w:jc w:val="left"/>
              <w:rPr>
                <w:color w:val="000000"/>
                <w:sz w:val="21"/>
                <w:szCs w:val="21"/>
                <w:lang w:val="en-CA" w:eastAsia="en-CA"/>
              </w:rPr>
            </w:pPr>
            <w:r>
              <w:rPr>
                <w:rFonts w:hint="cs"/>
                <w:color w:val="000000"/>
                <w:sz w:val="21"/>
                <w:szCs w:val="21"/>
                <w:rtl/>
              </w:rPr>
              <w:t>القطاعات الأخرى</w:t>
            </w:r>
            <w:r w:rsidR="00E36ABA" w:rsidRPr="00E36ABA">
              <w:rPr>
                <w:color w:val="000000"/>
                <w:sz w:val="21"/>
                <w:szCs w:val="21"/>
              </w:rPr>
              <w:t>*</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751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15,376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16,127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4.7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95.3</w:t>
            </w:r>
          </w:p>
        </w:tc>
      </w:tr>
      <w:tr w:rsidR="00E36ABA" w:rsidRPr="00D95176" w:rsidTr="00916BA4">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E36ABA" w:rsidRPr="00E36ABA" w:rsidRDefault="007844D5" w:rsidP="00916BA4">
            <w:pPr>
              <w:keepNext/>
              <w:bidi/>
              <w:jc w:val="left"/>
              <w:rPr>
                <w:color w:val="000000"/>
                <w:sz w:val="21"/>
                <w:szCs w:val="21"/>
                <w:lang w:val="en-CA" w:eastAsia="en-CA"/>
              </w:rPr>
            </w:pPr>
            <w:r>
              <w:rPr>
                <w:rFonts w:hint="cs"/>
                <w:color w:val="000000"/>
                <w:sz w:val="21"/>
                <w:szCs w:val="21"/>
                <w:rtl/>
              </w:rPr>
              <w:t>المجموع (بالأطنان المترية)</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15,217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166,924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182,141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8.4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E36ABA" w:rsidRPr="00E36ABA" w:rsidRDefault="00E36ABA" w:rsidP="00916BA4">
            <w:pPr>
              <w:keepNext/>
              <w:bidi/>
              <w:jc w:val="left"/>
              <w:rPr>
                <w:color w:val="000000"/>
                <w:sz w:val="21"/>
                <w:szCs w:val="21"/>
                <w:lang w:val="en-CA" w:eastAsia="en-CA"/>
              </w:rPr>
            </w:pPr>
            <w:r w:rsidRPr="00E36ABA">
              <w:rPr>
                <w:color w:val="000000"/>
                <w:sz w:val="21"/>
                <w:szCs w:val="21"/>
              </w:rPr>
              <w:t>91.6</w:t>
            </w:r>
          </w:p>
        </w:tc>
      </w:tr>
    </w:tbl>
    <w:p w:rsidR="001D074D" w:rsidRPr="00E36ABA" w:rsidRDefault="00E36ABA" w:rsidP="007844D5">
      <w:pPr>
        <w:keepNext/>
        <w:bidi/>
        <w:rPr>
          <w:sz w:val="20"/>
          <w:szCs w:val="20"/>
          <w:lang w:val="en-CA"/>
        </w:rPr>
      </w:pPr>
      <w:r w:rsidRPr="00E36ABA">
        <w:rPr>
          <w:sz w:val="20"/>
          <w:szCs w:val="20"/>
          <w:lang w:val="en-CA"/>
        </w:rPr>
        <w:t xml:space="preserve">(*) </w:t>
      </w:r>
      <w:r w:rsidR="007844D5">
        <w:rPr>
          <w:rFonts w:hint="cs"/>
          <w:sz w:val="20"/>
          <w:szCs w:val="20"/>
          <w:rtl/>
          <w:lang w:val="en-CA"/>
        </w:rPr>
        <w:t xml:space="preserve"> بما في ذلك قطاعات الايروصول والرغاوي ومكافحة الحرائق.</w:t>
      </w:r>
    </w:p>
    <w:p w:rsidR="00E36ABA" w:rsidRPr="007844D5" w:rsidRDefault="00E36ABA" w:rsidP="009524F4">
      <w:pPr>
        <w:widowControl w:val="0"/>
        <w:bidi/>
        <w:rPr>
          <w:lang w:val="en-CA"/>
        </w:rPr>
      </w:pPr>
    </w:p>
    <w:p w:rsidR="007844D5" w:rsidRPr="00E35D84" w:rsidRDefault="007844D5" w:rsidP="00F353F7">
      <w:pPr>
        <w:pStyle w:val="Heading1"/>
        <w:bidi/>
        <w:rPr>
          <w:sz w:val="26"/>
          <w:szCs w:val="26"/>
          <w:lang w:val="en-CA"/>
        </w:rPr>
      </w:pPr>
      <w:r w:rsidRPr="00E35D84">
        <w:rPr>
          <w:rFonts w:hint="cs"/>
          <w:sz w:val="26"/>
          <w:szCs w:val="26"/>
          <w:rtl/>
          <w:lang w:val="en-CA"/>
        </w:rPr>
        <w:t>كانت المواد الهيدروفلوروكربون الرئيسية التي استهلكت في قطاع التبريد في 2015 هي الهيدروفلوروكربون-</w:t>
      </w:r>
      <w:r w:rsidRPr="00E35D84">
        <w:rPr>
          <w:sz w:val="26"/>
          <w:szCs w:val="26"/>
          <w:lang w:val="en-CA"/>
        </w:rPr>
        <w:t>134a</w:t>
      </w:r>
      <w:r w:rsidRPr="00E35D84">
        <w:rPr>
          <w:rFonts w:hint="cs"/>
          <w:sz w:val="26"/>
          <w:szCs w:val="26"/>
          <w:rtl/>
          <w:lang w:val="en-CA"/>
        </w:rPr>
        <w:t xml:space="preserve"> (</w:t>
      </w:r>
      <w:r w:rsidRPr="00E35D84">
        <w:rPr>
          <w:sz w:val="26"/>
          <w:szCs w:val="26"/>
          <w:lang w:val="en-CA"/>
        </w:rPr>
        <w:t>36</w:t>
      </w:r>
      <w:r w:rsidRPr="00E35D84">
        <w:rPr>
          <w:rFonts w:hint="cs"/>
          <w:sz w:val="26"/>
          <w:szCs w:val="26"/>
          <w:rtl/>
          <w:lang w:val="en-CA"/>
        </w:rPr>
        <w:t xml:space="preserve"> في المائة)، و</w:t>
      </w:r>
      <w:r w:rsidRPr="00E35D84">
        <w:rPr>
          <w:sz w:val="26"/>
          <w:szCs w:val="26"/>
          <w:lang w:val="en-CA"/>
        </w:rPr>
        <w:t xml:space="preserve"> R</w:t>
      </w:r>
      <w:r w:rsidRPr="00E35D84">
        <w:rPr>
          <w:sz w:val="26"/>
          <w:szCs w:val="26"/>
          <w:lang w:val="en-CA"/>
        </w:rPr>
        <w:noBreakHyphen/>
        <w:t>410A</w:t>
      </w:r>
      <w:r w:rsidRPr="00E35D84">
        <w:rPr>
          <w:rFonts w:hint="cs"/>
          <w:sz w:val="26"/>
          <w:szCs w:val="26"/>
          <w:rtl/>
          <w:lang w:val="en-CA"/>
        </w:rPr>
        <w:t>(</w:t>
      </w:r>
      <w:r w:rsidRPr="00E35D84">
        <w:rPr>
          <w:sz w:val="26"/>
          <w:szCs w:val="26"/>
          <w:lang w:val="en-CA"/>
        </w:rPr>
        <w:t>47</w:t>
      </w:r>
      <w:r w:rsidRPr="00E35D84">
        <w:rPr>
          <w:rFonts w:hint="cs"/>
          <w:sz w:val="26"/>
          <w:szCs w:val="26"/>
          <w:rtl/>
          <w:lang w:val="en-CA"/>
        </w:rPr>
        <w:t xml:space="preserve"> في المائة)،</w:t>
      </w:r>
      <w:r w:rsidR="00F353F7" w:rsidRPr="00E35D84">
        <w:rPr>
          <w:rFonts w:hint="cs"/>
          <w:sz w:val="26"/>
          <w:szCs w:val="26"/>
          <w:rtl/>
          <w:lang w:val="en-CA"/>
        </w:rPr>
        <w:t xml:space="preserve"> و</w:t>
      </w:r>
      <w:r w:rsidR="00F353F7" w:rsidRPr="00E35D84">
        <w:rPr>
          <w:sz w:val="26"/>
          <w:szCs w:val="26"/>
          <w:lang w:val="en-CA"/>
        </w:rPr>
        <w:t>R-404A</w:t>
      </w:r>
      <w:r w:rsidRPr="00E35D84">
        <w:rPr>
          <w:rFonts w:hint="cs"/>
          <w:sz w:val="26"/>
          <w:szCs w:val="26"/>
          <w:rtl/>
          <w:lang w:val="en-CA"/>
        </w:rPr>
        <w:t xml:space="preserve"> </w:t>
      </w:r>
      <w:r w:rsidR="00F353F7" w:rsidRPr="00E35D84">
        <w:rPr>
          <w:rFonts w:hint="cs"/>
          <w:sz w:val="26"/>
          <w:szCs w:val="26"/>
          <w:rtl/>
          <w:lang w:val="en-CA"/>
        </w:rPr>
        <w:t>(</w:t>
      </w:r>
      <w:r w:rsidR="00F353F7" w:rsidRPr="00E35D84">
        <w:rPr>
          <w:sz w:val="26"/>
          <w:szCs w:val="26"/>
          <w:lang w:val="en-CA"/>
        </w:rPr>
        <w:t>8</w:t>
      </w:r>
      <w:r w:rsidR="00F353F7" w:rsidRPr="00E35D84">
        <w:rPr>
          <w:rFonts w:hint="cs"/>
          <w:sz w:val="26"/>
          <w:szCs w:val="26"/>
          <w:rtl/>
          <w:lang w:val="en-CA"/>
        </w:rPr>
        <w:t xml:space="preserve"> في المائة)، و</w:t>
      </w:r>
      <w:r w:rsidR="00F353F7" w:rsidRPr="00E35D84">
        <w:rPr>
          <w:sz w:val="26"/>
          <w:szCs w:val="26"/>
          <w:lang w:val="en-CA"/>
        </w:rPr>
        <w:t xml:space="preserve"> R</w:t>
      </w:r>
      <w:r w:rsidR="00F353F7" w:rsidRPr="00E35D84">
        <w:rPr>
          <w:sz w:val="26"/>
          <w:szCs w:val="26"/>
          <w:lang w:val="en-CA"/>
        </w:rPr>
        <w:noBreakHyphen/>
        <w:t>407C</w:t>
      </w:r>
      <w:r w:rsidR="00F353F7" w:rsidRPr="00E35D84">
        <w:rPr>
          <w:rFonts w:hint="cs"/>
          <w:sz w:val="26"/>
          <w:szCs w:val="26"/>
          <w:rtl/>
          <w:lang w:val="en-CA"/>
        </w:rPr>
        <w:t>(</w:t>
      </w:r>
      <w:r w:rsidR="00F353F7" w:rsidRPr="00E35D84">
        <w:rPr>
          <w:sz w:val="26"/>
          <w:szCs w:val="26"/>
          <w:lang w:val="en-CA"/>
        </w:rPr>
        <w:t>6</w:t>
      </w:r>
      <w:r w:rsidR="00F353F7" w:rsidRPr="00E35D84">
        <w:rPr>
          <w:rFonts w:hint="cs"/>
          <w:sz w:val="26"/>
          <w:szCs w:val="26"/>
          <w:rtl/>
          <w:lang w:val="en-CA"/>
        </w:rPr>
        <w:t xml:space="preserve"> في المائة) مسحوبة بالأطنان المترية. ويشكل استهلاك الهيدروفلوروكربون المستخدم في خدمة أجهزة التبريد وتكييف الهواء نسبة 78 في المائة من مجموع الاستهلاك (أي 97 في المائة من مجموع الاستهلاك في البلدان التي ينخفض فيها حجم الاستهلاك و76 في المائة للبلدان التي لا ينخفض فيها حجم الاستهلاك</w:t>
      </w:r>
    </w:p>
    <w:p w:rsidR="00735EED" w:rsidRPr="00E35D84" w:rsidRDefault="00F353F7" w:rsidP="00F353F7">
      <w:pPr>
        <w:keepNext/>
        <w:bidi/>
        <w:rPr>
          <w:sz w:val="26"/>
          <w:szCs w:val="26"/>
          <w:u w:val="single"/>
          <w:lang w:val="en-CA"/>
        </w:rPr>
      </w:pPr>
      <w:r w:rsidRPr="00E35D84">
        <w:rPr>
          <w:rFonts w:hint="cs"/>
          <w:sz w:val="26"/>
          <w:szCs w:val="26"/>
          <w:u w:val="single"/>
          <w:rtl/>
          <w:lang w:val="en-CA"/>
        </w:rPr>
        <w:t>التقدم التكنولوجي في نظم التبريد وتكييف الهواء</w:t>
      </w:r>
    </w:p>
    <w:p w:rsidR="00735EED" w:rsidRPr="00E35D84" w:rsidRDefault="00735EED" w:rsidP="00F353F7">
      <w:pPr>
        <w:keepNext/>
        <w:bidi/>
        <w:rPr>
          <w:sz w:val="26"/>
          <w:szCs w:val="26"/>
          <w:lang w:val="en-CA"/>
        </w:rPr>
      </w:pPr>
    </w:p>
    <w:p w:rsidR="00F353F7" w:rsidRPr="00E35D84" w:rsidRDefault="00073D9D" w:rsidP="00F353F7">
      <w:pPr>
        <w:pStyle w:val="Heading1"/>
        <w:keepNext/>
        <w:bidi/>
        <w:rPr>
          <w:sz w:val="26"/>
          <w:szCs w:val="26"/>
        </w:rPr>
      </w:pPr>
      <w:r w:rsidRPr="00E35D84">
        <w:rPr>
          <w:rFonts w:hint="cs"/>
          <w:sz w:val="26"/>
          <w:szCs w:val="26"/>
          <w:rtl/>
        </w:rPr>
        <w:t>أدت الزيادة الشديدة في أجهزة التبريد وتكييف الهواء منذ إنشاء الصندوق المتعدد الأطراف الى زيادة نواحي التقدم التكنولوجي الكبير مدفوعة بالحاجة الى ترشيد تلك النظم وتعزيز كفاءتها في استخدام الطاقة. ويتزايد عدد المكونات الالكترونية وعمليات التحكم وأدوات الدفع بسرعات متفاوتة المركبة في أجهزة التبريد وتكييف الهواء. ويتولى صانعو الأجهزة الآن استحداث المكابس الصغيرة المتقدمة التي تستند الى معدات التشخيص والتحكم التي تدير عمليات تشغيل المكابس ونظم تدفق الهواء.</w:t>
      </w:r>
      <w:r w:rsidRPr="00E35D84">
        <w:rPr>
          <w:rStyle w:val="FootnoteReference"/>
          <w:sz w:val="26"/>
          <w:szCs w:val="26"/>
        </w:rPr>
        <w:t xml:space="preserve"> </w:t>
      </w:r>
      <w:r w:rsidRPr="00E35D84">
        <w:rPr>
          <w:rStyle w:val="FootnoteReference"/>
          <w:sz w:val="26"/>
          <w:szCs w:val="26"/>
        </w:rPr>
        <w:footnoteReference w:id="27"/>
      </w:r>
      <w:r w:rsidRPr="00E35D84">
        <w:rPr>
          <w:rFonts w:hint="cs"/>
          <w:sz w:val="26"/>
          <w:szCs w:val="26"/>
          <w:rtl/>
        </w:rPr>
        <w:t xml:space="preserve"> وعلاوة على ذلك، فإن من المتوقع أن يؤدي تزايد أعداد وتنوع أجهزة التبريد وتكييف الهواء التي تقترن بالقيود على استهلاك المواد الهيدروكلوروفلوروكربونية والمواد الهيدروفلوروكربونية الى زيادة أعداد خلائط غازات التبريد التي شهدت تلك العمليات المتعلقة بأغراض التهيئة والخدمة.</w:t>
      </w:r>
    </w:p>
    <w:p w:rsidR="00073D9D" w:rsidRPr="00E35D84" w:rsidRDefault="00073D9D" w:rsidP="009524F4">
      <w:pPr>
        <w:pStyle w:val="Heading1"/>
        <w:bidi/>
        <w:rPr>
          <w:sz w:val="26"/>
          <w:szCs w:val="26"/>
        </w:rPr>
      </w:pPr>
      <w:r w:rsidRPr="00E35D84">
        <w:rPr>
          <w:rFonts w:hint="cs"/>
          <w:sz w:val="26"/>
          <w:szCs w:val="26"/>
          <w:rtl/>
        </w:rPr>
        <w:t>ويبين الجدول 4 تطور تعقيدات قطاع خدمة التبريد من خلال تقديم تحليل مقارن للاحتياجات في القطاع على فترات مختلفة من تنفيذ بروتوكول مونتريال.</w:t>
      </w:r>
    </w:p>
    <w:p w:rsidR="00073D9D" w:rsidRPr="00073D9D" w:rsidRDefault="00073D9D" w:rsidP="009524F4">
      <w:pPr>
        <w:bidi/>
        <w:outlineLvl w:val="0"/>
        <w:rPr>
          <w:bCs/>
          <w:rtl/>
        </w:rPr>
      </w:pPr>
      <w:r>
        <w:rPr>
          <w:rFonts w:hint="cs"/>
          <w:bCs/>
          <w:rtl/>
        </w:rPr>
        <w:t xml:space="preserve">الجدول 4: قطاع خدمة التبريد في مختلف فترات بروتوكول مونتريال </w:t>
      </w:r>
    </w:p>
    <w:tbl>
      <w:tblPr>
        <w:bidiVisual/>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2669"/>
        <w:gridCol w:w="2669"/>
        <w:gridCol w:w="2669"/>
      </w:tblGrid>
      <w:tr w:rsidR="00073D9D" w:rsidRPr="00EF720B" w:rsidTr="00073D9D">
        <w:trPr>
          <w:tblHeader/>
        </w:trPr>
        <w:tc>
          <w:tcPr>
            <w:tcW w:w="745" w:type="pct"/>
            <w:shd w:val="clear" w:color="auto" w:fill="auto"/>
            <w:tcMar>
              <w:top w:w="15" w:type="dxa"/>
              <w:left w:w="30" w:type="dxa"/>
              <w:bottom w:w="0" w:type="dxa"/>
              <w:right w:w="30" w:type="dxa"/>
            </w:tcMar>
            <w:vAlign w:val="center"/>
            <w:hideMark/>
          </w:tcPr>
          <w:p w:rsidR="00073D9D" w:rsidRPr="00EF720B" w:rsidRDefault="00073D9D" w:rsidP="009524F4">
            <w:pPr>
              <w:tabs>
                <w:tab w:val="left" w:pos="2880"/>
                <w:tab w:val="left" w:pos="3600"/>
                <w:tab w:val="left" w:pos="5760"/>
              </w:tabs>
              <w:bidi/>
              <w:jc w:val="left"/>
              <w:rPr>
                <w:sz w:val="20"/>
                <w:szCs w:val="20"/>
                <w:lang w:val="en-US"/>
              </w:rPr>
            </w:pPr>
            <w:r>
              <w:rPr>
                <w:rFonts w:hint="cs"/>
                <w:b/>
                <w:bCs/>
                <w:kern w:val="24"/>
                <w:sz w:val="20"/>
                <w:szCs w:val="20"/>
                <w:rtl/>
              </w:rPr>
              <w:t>الوصف</w:t>
            </w:r>
          </w:p>
        </w:tc>
        <w:tc>
          <w:tcPr>
            <w:tcW w:w="1418" w:type="pct"/>
            <w:shd w:val="clear" w:color="auto" w:fill="auto"/>
            <w:tcMar>
              <w:top w:w="15" w:type="dxa"/>
              <w:left w:w="30" w:type="dxa"/>
              <w:bottom w:w="0" w:type="dxa"/>
              <w:right w:w="30" w:type="dxa"/>
            </w:tcMar>
            <w:vAlign w:val="center"/>
            <w:hideMark/>
          </w:tcPr>
          <w:p w:rsidR="00073D9D" w:rsidRPr="00EF720B" w:rsidRDefault="00073D9D" w:rsidP="00E35D02">
            <w:pPr>
              <w:tabs>
                <w:tab w:val="left" w:pos="2880"/>
                <w:tab w:val="left" w:pos="3600"/>
                <w:tab w:val="left" w:pos="5760"/>
              </w:tabs>
              <w:bidi/>
              <w:jc w:val="center"/>
              <w:rPr>
                <w:sz w:val="20"/>
                <w:szCs w:val="20"/>
                <w:lang w:val="en-US"/>
              </w:rPr>
            </w:pPr>
            <w:r>
              <w:rPr>
                <w:rFonts w:hint="cs"/>
                <w:b/>
                <w:bCs/>
                <w:kern w:val="24"/>
                <w:sz w:val="20"/>
                <w:szCs w:val="20"/>
                <w:rtl/>
              </w:rPr>
              <w:t xml:space="preserve">أزالت </w:t>
            </w:r>
            <w:r w:rsidR="00E35D02">
              <w:rPr>
                <w:rFonts w:hint="cs"/>
                <w:b/>
                <w:bCs/>
                <w:kern w:val="24"/>
                <w:sz w:val="20"/>
                <w:szCs w:val="20"/>
                <w:rtl/>
              </w:rPr>
              <w:t>الهيدرو</w:t>
            </w:r>
            <w:r>
              <w:rPr>
                <w:rFonts w:hint="cs"/>
                <w:b/>
                <w:bCs/>
                <w:kern w:val="24"/>
                <w:sz w:val="20"/>
                <w:szCs w:val="20"/>
                <w:rtl/>
              </w:rPr>
              <w:t>فلوروكربون</w:t>
            </w:r>
          </w:p>
        </w:tc>
        <w:tc>
          <w:tcPr>
            <w:tcW w:w="1418" w:type="pct"/>
            <w:shd w:val="clear" w:color="auto" w:fill="auto"/>
            <w:tcMar>
              <w:top w:w="15" w:type="dxa"/>
              <w:left w:w="30" w:type="dxa"/>
              <w:bottom w:w="0" w:type="dxa"/>
              <w:right w:w="30" w:type="dxa"/>
            </w:tcMar>
            <w:vAlign w:val="center"/>
            <w:hideMark/>
          </w:tcPr>
          <w:p w:rsidR="00073D9D" w:rsidRPr="00EF720B" w:rsidRDefault="00073D9D" w:rsidP="00073D9D">
            <w:pPr>
              <w:tabs>
                <w:tab w:val="left" w:pos="2880"/>
                <w:tab w:val="left" w:pos="3600"/>
                <w:tab w:val="left" w:pos="5760"/>
              </w:tabs>
              <w:bidi/>
              <w:jc w:val="center"/>
              <w:rPr>
                <w:sz w:val="20"/>
                <w:szCs w:val="20"/>
                <w:lang w:val="en-US"/>
              </w:rPr>
            </w:pPr>
            <w:r>
              <w:rPr>
                <w:rFonts w:hint="cs"/>
                <w:b/>
                <w:bCs/>
                <w:kern w:val="24"/>
                <w:sz w:val="20"/>
                <w:szCs w:val="20"/>
                <w:rtl/>
              </w:rPr>
              <w:t>أزالت الهيدروكلوروفلوروكربون</w:t>
            </w:r>
          </w:p>
        </w:tc>
        <w:tc>
          <w:tcPr>
            <w:tcW w:w="1418" w:type="pct"/>
            <w:shd w:val="clear" w:color="auto" w:fill="auto"/>
            <w:tcMar>
              <w:top w:w="15" w:type="dxa"/>
              <w:left w:w="30" w:type="dxa"/>
              <w:bottom w:w="0" w:type="dxa"/>
              <w:right w:w="30" w:type="dxa"/>
            </w:tcMar>
            <w:vAlign w:val="center"/>
            <w:hideMark/>
          </w:tcPr>
          <w:p w:rsidR="00073D9D" w:rsidRPr="00E35D02" w:rsidRDefault="00B03868" w:rsidP="00E35D02">
            <w:pPr>
              <w:tabs>
                <w:tab w:val="left" w:pos="2880"/>
                <w:tab w:val="left" w:pos="3600"/>
                <w:tab w:val="left" w:pos="5760"/>
              </w:tabs>
              <w:bidi/>
              <w:jc w:val="center"/>
              <w:rPr>
                <w:b/>
                <w:bCs/>
                <w:kern w:val="24"/>
                <w:sz w:val="20"/>
                <w:szCs w:val="20"/>
              </w:rPr>
            </w:pPr>
            <w:r>
              <w:rPr>
                <w:rFonts w:hint="cs"/>
                <w:b/>
                <w:bCs/>
                <w:kern w:val="24"/>
                <w:sz w:val="20"/>
                <w:szCs w:val="20"/>
                <w:rtl/>
              </w:rPr>
              <w:t>إزالت</w:t>
            </w:r>
            <w:r w:rsidR="00E35D02">
              <w:rPr>
                <w:rFonts w:hint="cs"/>
                <w:b/>
                <w:bCs/>
                <w:kern w:val="24"/>
                <w:sz w:val="20"/>
                <w:szCs w:val="20"/>
                <w:rtl/>
              </w:rPr>
              <w:t xml:space="preserve"> الهيدروفلوروكربون/ خفض الهيدروفلوروكربون</w:t>
            </w:r>
          </w:p>
        </w:tc>
      </w:tr>
      <w:tr w:rsidR="005A389C" w:rsidRPr="00EF720B" w:rsidTr="00073D9D">
        <w:tc>
          <w:tcPr>
            <w:tcW w:w="745" w:type="pct"/>
            <w:shd w:val="clear" w:color="auto" w:fill="auto"/>
            <w:tcMar>
              <w:top w:w="15" w:type="dxa"/>
              <w:left w:w="30" w:type="dxa"/>
              <w:bottom w:w="0" w:type="dxa"/>
              <w:right w:w="30" w:type="dxa"/>
            </w:tcMar>
            <w:hideMark/>
          </w:tcPr>
          <w:p w:rsidR="005A389C" w:rsidRPr="00EF720B" w:rsidRDefault="00E35D02" w:rsidP="009524F4">
            <w:pPr>
              <w:tabs>
                <w:tab w:val="left" w:pos="2880"/>
                <w:tab w:val="left" w:pos="3600"/>
                <w:tab w:val="left" w:pos="5760"/>
              </w:tabs>
              <w:bidi/>
              <w:jc w:val="left"/>
              <w:rPr>
                <w:sz w:val="20"/>
                <w:szCs w:val="20"/>
                <w:lang w:val="en-US"/>
              </w:rPr>
            </w:pPr>
            <w:r>
              <w:rPr>
                <w:rFonts w:hint="cs"/>
                <w:b/>
                <w:bCs/>
                <w:kern w:val="24"/>
                <w:sz w:val="20"/>
                <w:szCs w:val="20"/>
                <w:rtl/>
              </w:rPr>
              <w:t>المواد المعالجة</w:t>
            </w:r>
          </w:p>
        </w:tc>
        <w:tc>
          <w:tcPr>
            <w:tcW w:w="1418" w:type="pct"/>
            <w:shd w:val="clear" w:color="auto" w:fill="auto"/>
            <w:tcMar>
              <w:top w:w="15" w:type="dxa"/>
              <w:left w:w="30" w:type="dxa"/>
              <w:bottom w:w="0" w:type="dxa"/>
              <w:right w:w="30" w:type="dxa"/>
            </w:tcMar>
            <w:hideMark/>
          </w:tcPr>
          <w:p w:rsidR="00E35D02" w:rsidRDefault="00E35D02" w:rsidP="00E35D02">
            <w:pPr>
              <w:tabs>
                <w:tab w:val="left" w:pos="2880"/>
                <w:tab w:val="left" w:pos="3600"/>
                <w:tab w:val="left" w:pos="5760"/>
              </w:tabs>
              <w:bidi/>
              <w:rPr>
                <w:kern w:val="24"/>
                <w:sz w:val="20"/>
                <w:szCs w:val="20"/>
                <w:rtl/>
              </w:rPr>
            </w:pPr>
            <w:r>
              <w:rPr>
                <w:rFonts w:hint="cs"/>
                <w:kern w:val="24"/>
                <w:sz w:val="20"/>
                <w:szCs w:val="20"/>
                <w:rtl/>
              </w:rPr>
              <w:t>غالبا الكلوروفلوروكربون-12 درجة أقل الكلوروفلوروكربون-11 و115 و</w:t>
            </w:r>
            <w:r>
              <w:rPr>
                <w:kern w:val="24"/>
                <w:sz w:val="20"/>
                <w:szCs w:val="20"/>
              </w:rPr>
              <w:t xml:space="preserve"> R-502</w:t>
            </w:r>
            <w:r>
              <w:rPr>
                <w:rFonts w:hint="cs"/>
                <w:kern w:val="24"/>
                <w:sz w:val="20"/>
                <w:szCs w:val="20"/>
                <w:rtl/>
              </w:rPr>
              <w:t xml:space="preserve"> (منخفض درجة الحرارة)</w:t>
            </w:r>
          </w:p>
          <w:p w:rsidR="005A389C" w:rsidRPr="00EF720B" w:rsidRDefault="005A389C" w:rsidP="00E35D02">
            <w:pPr>
              <w:tabs>
                <w:tab w:val="left" w:pos="2880"/>
                <w:tab w:val="left" w:pos="3600"/>
                <w:tab w:val="left" w:pos="5760"/>
              </w:tabs>
              <w:bidi/>
              <w:rPr>
                <w:sz w:val="20"/>
                <w:szCs w:val="20"/>
                <w:lang w:val="en-US"/>
              </w:rPr>
            </w:pPr>
          </w:p>
        </w:tc>
        <w:tc>
          <w:tcPr>
            <w:tcW w:w="1418" w:type="pct"/>
            <w:shd w:val="clear" w:color="auto" w:fill="auto"/>
            <w:tcMar>
              <w:top w:w="15" w:type="dxa"/>
              <w:left w:w="30" w:type="dxa"/>
              <w:bottom w:w="0" w:type="dxa"/>
              <w:right w:w="30" w:type="dxa"/>
            </w:tcMar>
            <w:hideMark/>
          </w:tcPr>
          <w:p w:rsidR="00E35D02" w:rsidRDefault="00E35D02" w:rsidP="00E35D02">
            <w:pPr>
              <w:tabs>
                <w:tab w:val="left" w:pos="2880"/>
                <w:tab w:val="left" w:pos="3600"/>
                <w:tab w:val="left" w:pos="5760"/>
              </w:tabs>
              <w:bidi/>
              <w:jc w:val="left"/>
              <w:rPr>
                <w:kern w:val="24"/>
                <w:sz w:val="20"/>
                <w:szCs w:val="20"/>
                <w:rtl/>
              </w:rPr>
            </w:pPr>
            <w:r>
              <w:rPr>
                <w:rFonts w:hint="cs"/>
                <w:kern w:val="24"/>
                <w:sz w:val="20"/>
                <w:szCs w:val="20"/>
                <w:rtl/>
              </w:rPr>
              <w:t>غالبا الهيدروكلوروفلوروكربون-22 (كميات محدودة من الهيدروكلوروفلوروكربون-141ب في التنظيف والهيدروكلوروفلوروكربون-124 والهيدروكلوروفلوروكربون-142ب (المدرج في اليوليونات)</w:t>
            </w:r>
          </w:p>
          <w:p w:rsidR="005A389C" w:rsidRPr="00EF720B" w:rsidRDefault="005A389C" w:rsidP="009524F4">
            <w:pPr>
              <w:tabs>
                <w:tab w:val="left" w:pos="2880"/>
                <w:tab w:val="left" w:pos="3600"/>
                <w:tab w:val="left" w:pos="5760"/>
              </w:tabs>
              <w:bidi/>
              <w:jc w:val="left"/>
              <w:rPr>
                <w:sz w:val="20"/>
                <w:szCs w:val="20"/>
                <w:lang w:val="en-US"/>
              </w:rPr>
            </w:pPr>
          </w:p>
        </w:tc>
        <w:tc>
          <w:tcPr>
            <w:tcW w:w="1418" w:type="pct"/>
            <w:shd w:val="clear" w:color="auto" w:fill="auto"/>
            <w:tcMar>
              <w:top w:w="15" w:type="dxa"/>
              <w:left w:w="30" w:type="dxa"/>
              <w:bottom w:w="0" w:type="dxa"/>
              <w:right w:w="30" w:type="dxa"/>
            </w:tcMar>
            <w:hideMark/>
          </w:tcPr>
          <w:p w:rsidR="00E35D02" w:rsidRDefault="00E35D02" w:rsidP="00E35D02">
            <w:pPr>
              <w:tabs>
                <w:tab w:val="left" w:pos="2880"/>
                <w:tab w:val="left" w:pos="3600"/>
                <w:tab w:val="left" w:pos="5760"/>
              </w:tabs>
              <w:bidi/>
              <w:jc w:val="left"/>
              <w:rPr>
                <w:kern w:val="24"/>
                <w:sz w:val="20"/>
                <w:szCs w:val="20"/>
                <w:rtl/>
              </w:rPr>
            </w:pPr>
            <w:r>
              <w:rPr>
                <w:rFonts w:hint="cs"/>
                <w:kern w:val="24"/>
                <w:sz w:val="20"/>
                <w:szCs w:val="20"/>
                <w:rtl/>
              </w:rPr>
              <w:t>الهيدروكلوروفلوروكربون-22 والهيدروفلوروكربون-22 و و</w:t>
            </w:r>
            <w:r w:rsidRPr="00EF720B">
              <w:rPr>
                <w:kern w:val="24"/>
                <w:sz w:val="20"/>
                <w:szCs w:val="20"/>
              </w:rPr>
              <w:t>34a</w:t>
            </w:r>
            <w:r>
              <w:rPr>
                <w:rFonts w:hint="cs"/>
                <w:kern w:val="24"/>
                <w:sz w:val="20"/>
                <w:szCs w:val="20"/>
                <w:rtl/>
              </w:rPr>
              <w:t xml:space="preserve"> و</w:t>
            </w:r>
            <w:r w:rsidRPr="00EF720B">
              <w:rPr>
                <w:kern w:val="24"/>
                <w:sz w:val="20"/>
                <w:szCs w:val="20"/>
              </w:rPr>
              <w:t>R</w:t>
            </w:r>
            <w:r w:rsidRPr="00EF720B">
              <w:rPr>
                <w:kern w:val="24"/>
                <w:sz w:val="20"/>
                <w:szCs w:val="20"/>
              </w:rPr>
              <w:noBreakHyphen/>
              <w:t>410A</w:t>
            </w:r>
            <w:r>
              <w:rPr>
                <w:rFonts w:hint="cs"/>
                <w:kern w:val="24"/>
                <w:sz w:val="20"/>
                <w:szCs w:val="20"/>
                <w:rtl/>
              </w:rPr>
              <w:t xml:space="preserve">  و</w:t>
            </w:r>
            <w:r w:rsidRPr="00EF720B">
              <w:rPr>
                <w:kern w:val="24"/>
                <w:sz w:val="20"/>
                <w:szCs w:val="20"/>
              </w:rPr>
              <w:t xml:space="preserve"> R-404A</w:t>
            </w:r>
            <w:r>
              <w:rPr>
                <w:rFonts w:hint="cs"/>
                <w:kern w:val="24"/>
                <w:sz w:val="20"/>
                <w:szCs w:val="20"/>
                <w:rtl/>
              </w:rPr>
              <w:t xml:space="preserve"> و</w:t>
            </w:r>
            <w:r w:rsidRPr="00EF720B">
              <w:rPr>
                <w:kern w:val="24"/>
                <w:sz w:val="20"/>
                <w:szCs w:val="20"/>
              </w:rPr>
              <w:t xml:space="preserve"> R-407C</w:t>
            </w:r>
            <w:r>
              <w:rPr>
                <w:rFonts w:hint="cs"/>
                <w:kern w:val="24"/>
                <w:sz w:val="20"/>
                <w:szCs w:val="20"/>
                <w:rtl/>
              </w:rPr>
              <w:t xml:space="preserve"> و</w:t>
            </w:r>
            <w:r w:rsidRPr="00EF720B">
              <w:rPr>
                <w:kern w:val="24"/>
                <w:sz w:val="20"/>
                <w:szCs w:val="20"/>
              </w:rPr>
              <w:t xml:space="preserve"> R-507</w:t>
            </w:r>
            <w:r>
              <w:rPr>
                <w:rFonts w:hint="cs"/>
                <w:kern w:val="24"/>
                <w:sz w:val="20"/>
                <w:szCs w:val="20"/>
                <w:rtl/>
              </w:rPr>
              <w:t xml:space="preserve"> وغير ذلك من المواد الهيدروفلوروكربون وخلائط الهيدروفلوروكربون (تستخدم المواد الهيدروفلوروكربون كبديل للهيدروكلوروفلوروكربون-22)</w:t>
            </w:r>
          </w:p>
          <w:p w:rsidR="005A389C" w:rsidRPr="00EF720B" w:rsidRDefault="005A389C" w:rsidP="00E35D02">
            <w:pPr>
              <w:tabs>
                <w:tab w:val="left" w:pos="2880"/>
                <w:tab w:val="left" w:pos="3600"/>
                <w:tab w:val="left" w:pos="5760"/>
              </w:tabs>
              <w:bidi/>
              <w:jc w:val="left"/>
              <w:rPr>
                <w:sz w:val="20"/>
                <w:szCs w:val="20"/>
                <w:lang w:val="en-US"/>
              </w:rPr>
            </w:pPr>
          </w:p>
        </w:tc>
      </w:tr>
      <w:tr w:rsidR="005A389C" w:rsidRPr="00EF720B" w:rsidTr="00073D9D">
        <w:tc>
          <w:tcPr>
            <w:tcW w:w="745" w:type="pct"/>
            <w:shd w:val="clear" w:color="auto" w:fill="auto"/>
            <w:tcMar>
              <w:top w:w="15" w:type="dxa"/>
              <w:left w:w="30" w:type="dxa"/>
              <w:bottom w:w="0" w:type="dxa"/>
              <w:right w:w="30" w:type="dxa"/>
            </w:tcMar>
          </w:tcPr>
          <w:p w:rsidR="005A389C" w:rsidRPr="00EF720B" w:rsidRDefault="00DA4163" w:rsidP="009524F4">
            <w:pPr>
              <w:tabs>
                <w:tab w:val="left" w:pos="2880"/>
                <w:tab w:val="left" w:pos="3600"/>
                <w:tab w:val="left" w:pos="5760"/>
              </w:tabs>
              <w:bidi/>
              <w:jc w:val="left"/>
              <w:rPr>
                <w:b/>
                <w:bCs/>
                <w:kern w:val="24"/>
                <w:sz w:val="20"/>
                <w:szCs w:val="20"/>
              </w:rPr>
            </w:pPr>
            <w:r>
              <w:rPr>
                <w:rFonts w:hint="cs"/>
                <w:b/>
                <w:bCs/>
                <w:kern w:val="24"/>
                <w:sz w:val="20"/>
                <w:szCs w:val="20"/>
                <w:rtl/>
              </w:rPr>
              <w:t>خط أساس الاستهلاك في بلدان المادة 5 في التبريد وتكييف الهواء</w:t>
            </w:r>
          </w:p>
        </w:tc>
        <w:tc>
          <w:tcPr>
            <w:tcW w:w="1418" w:type="pct"/>
            <w:shd w:val="clear" w:color="auto" w:fill="auto"/>
            <w:tcMar>
              <w:top w:w="15" w:type="dxa"/>
              <w:left w:w="30" w:type="dxa"/>
              <w:bottom w:w="0" w:type="dxa"/>
              <w:right w:w="30" w:type="dxa"/>
            </w:tcMar>
          </w:tcPr>
          <w:p w:rsidR="00DA4163" w:rsidRDefault="00DA4163" w:rsidP="009524F4">
            <w:pPr>
              <w:tabs>
                <w:tab w:val="left" w:pos="2880"/>
                <w:tab w:val="left" w:pos="3600"/>
                <w:tab w:val="left" w:pos="5760"/>
              </w:tabs>
              <w:bidi/>
              <w:jc w:val="left"/>
              <w:rPr>
                <w:kern w:val="24"/>
                <w:sz w:val="20"/>
                <w:szCs w:val="20"/>
                <w:rtl/>
              </w:rPr>
            </w:pPr>
            <w:r>
              <w:rPr>
                <w:rFonts w:hint="cs"/>
                <w:kern w:val="24"/>
                <w:sz w:val="20"/>
                <w:szCs w:val="20"/>
                <w:rtl/>
              </w:rPr>
              <w:t xml:space="preserve">لا يتوافر خط الأساس بالأطنان المترية للتبريد وتكييف الهواء. ويتضمن خط الأساس المبلغ البالغ </w:t>
            </w:r>
            <w:r>
              <w:rPr>
                <w:kern w:val="24"/>
                <w:sz w:val="20"/>
                <w:szCs w:val="20"/>
              </w:rPr>
              <w:t>164,923</w:t>
            </w:r>
            <w:r>
              <w:rPr>
                <w:rFonts w:hint="cs"/>
                <w:kern w:val="24"/>
                <w:sz w:val="20"/>
                <w:szCs w:val="20"/>
                <w:rtl/>
              </w:rPr>
              <w:t xml:space="preserve"> طنا بقدرات استنفاد الأوزون جميع المواد </w:t>
            </w:r>
            <w:r>
              <w:rPr>
                <w:rFonts w:hint="cs"/>
                <w:kern w:val="24"/>
                <w:sz w:val="20"/>
                <w:szCs w:val="20"/>
                <w:rtl/>
              </w:rPr>
              <w:lastRenderedPageBreak/>
              <w:t>الكلوروفلوروكربونية المستخدمة في جميع القطاعات (خط الأساس للامتثال أي متوسط استهلاك 1995-1997)</w:t>
            </w:r>
          </w:p>
          <w:p w:rsidR="005A389C" w:rsidRPr="00EF720B" w:rsidRDefault="005A389C" w:rsidP="00DA4163">
            <w:pPr>
              <w:tabs>
                <w:tab w:val="left" w:pos="2880"/>
                <w:tab w:val="left" w:pos="3600"/>
                <w:tab w:val="left" w:pos="5760"/>
              </w:tabs>
              <w:bidi/>
              <w:jc w:val="left"/>
              <w:rPr>
                <w:sz w:val="20"/>
                <w:szCs w:val="20"/>
                <w:lang w:val="en-US"/>
              </w:rPr>
            </w:pPr>
          </w:p>
        </w:tc>
        <w:tc>
          <w:tcPr>
            <w:tcW w:w="1418" w:type="pct"/>
            <w:shd w:val="clear" w:color="auto" w:fill="auto"/>
            <w:tcMar>
              <w:top w:w="15" w:type="dxa"/>
              <w:left w:w="30" w:type="dxa"/>
              <w:bottom w:w="0" w:type="dxa"/>
              <w:right w:w="30" w:type="dxa"/>
            </w:tcMar>
          </w:tcPr>
          <w:p w:rsidR="00DA4163" w:rsidRDefault="00DA4163" w:rsidP="009524F4">
            <w:pPr>
              <w:tabs>
                <w:tab w:val="left" w:pos="2880"/>
                <w:tab w:val="left" w:pos="3600"/>
                <w:tab w:val="left" w:pos="5760"/>
              </w:tabs>
              <w:bidi/>
              <w:jc w:val="left"/>
              <w:rPr>
                <w:kern w:val="24"/>
                <w:sz w:val="20"/>
                <w:szCs w:val="20"/>
                <w:rtl/>
              </w:rPr>
            </w:pPr>
            <w:r w:rsidRPr="00F92A6C">
              <w:rPr>
                <w:kern w:val="24"/>
                <w:sz w:val="20"/>
                <w:szCs w:val="20"/>
              </w:rPr>
              <w:lastRenderedPageBreak/>
              <w:t>318,474</w:t>
            </w:r>
            <w:r>
              <w:rPr>
                <w:rFonts w:hint="cs"/>
                <w:kern w:val="24"/>
                <w:sz w:val="20"/>
                <w:szCs w:val="20"/>
                <w:rtl/>
              </w:rPr>
              <w:t xml:space="preserve"> طنا متريا من الهيدروكلوروفلوروكربون تستخدم في قطاع التبريد وتكييف الهواء (متوسط 2009-2010) و</w:t>
            </w:r>
            <w:r w:rsidRPr="00F92A6C">
              <w:rPr>
                <w:kern w:val="24"/>
                <w:sz w:val="20"/>
                <w:szCs w:val="20"/>
              </w:rPr>
              <w:t>165,924</w:t>
            </w:r>
            <w:r>
              <w:rPr>
                <w:rFonts w:hint="cs"/>
                <w:kern w:val="24"/>
                <w:sz w:val="20"/>
                <w:szCs w:val="20"/>
                <w:rtl/>
              </w:rPr>
              <w:t xml:space="preserve"> طنا متريا في </w:t>
            </w:r>
            <w:r>
              <w:rPr>
                <w:rFonts w:hint="cs"/>
                <w:kern w:val="24"/>
                <w:sz w:val="20"/>
                <w:szCs w:val="20"/>
                <w:rtl/>
              </w:rPr>
              <w:lastRenderedPageBreak/>
              <w:t>التصنيع و</w:t>
            </w:r>
            <w:r w:rsidRPr="00F92A6C">
              <w:rPr>
                <w:kern w:val="24"/>
                <w:sz w:val="20"/>
                <w:szCs w:val="20"/>
              </w:rPr>
              <w:t>152,550</w:t>
            </w:r>
            <w:r>
              <w:rPr>
                <w:rFonts w:hint="cs"/>
                <w:kern w:val="24"/>
                <w:sz w:val="20"/>
                <w:szCs w:val="20"/>
                <w:rtl/>
              </w:rPr>
              <w:t xml:space="preserve"> طنا متريا في الخدمة)</w:t>
            </w:r>
          </w:p>
          <w:p w:rsidR="005A389C" w:rsidRPr="00EF720B" w:rsidRDefault="005A389C" w:rsidP="009524F4">
            <w:pPr>
              <w:tabs>
                <w:tab w:val="left" w:pos="2880"/>
                <w:tab w:val="left" w:pos="3600"/>
                <w:tab w:val="left" w:pos="5760"/>
              </w:tabs>
              <w:bidi/>
              <w:jc w:val="left"/>
              <w:rPr>
                <w:sz w:val="20"/>
                <w:szCs w:val="20"/>
                <w:lang w:val="en-US"/>
              </w:rPr>
            </w:pPr>
          </w:p>
        </w:tc>
        <w:tc>
          <w:tcPr>
            <w:tcW w:w="1418" w:type="pct"/>
            <w:shd w:val="clear" w:color="auto" w:fill="auto"/>
            <w:tcMar>
              <w:top w:w="15" w:type="dxa"/>
              <w:left w:w="30" w:type="dxa"/>
              <w:bottom w:w="0" w:type="dxa"/>
              <w:right w:w="30" w:type="dxa"/>
            </w:tcMar>
          </w:tcPr>
          <w:p w:rsidR="00DA4163" w:rsidRDefault="00DA4163" w:rsidP="00DA4163">
            <w:pPr>
              <w:tabs>
                <w:tab w:val="left" w:pos="2880"/>
                <w:tab w:val="left" w:pos="3600"/>
                <w:tab w:val="left" w:pos="5760"/>
              </w:tabs>
              <w:bidi/>
              <w:jc w:val="left"/>
              <w:rPr>
                <w:sz w:val="20"/>
                <w:szCs w:val="20"/>
                <w:rtl/>
                <w:lang w:val="en-US"/>
              </w:rPr>
            </w:pPr>
            <w:r w:rsidRPr="00EF720B">
              <w:rPr>
                <w:sz w:val="20"/>
                <w:szCs w:val="20"/>
                <w:lang w:val="en-US"/>
              </w:rPr>
              <w:lastRenderedPageBreak/>
              <w:t>272,87</w:t>
            </w:r>
            <w:r>
              <w:rPr>
                <w:sz w:val="20"/>
                <w:szCs w:val="20"/>
                <w:lang w:val="en-US"/>
              </w:rPr>
              <w:t>1</w:t>
            </w:r>
            <w:r>
              <w:rPr>
                <w:rFonts w:hint="cs"/>
                <w:sz w:val="20"/>
                <w:szCs w:val="20"/>
                <w:rtl/>
                <w:lang w:val="en-US"/>
              </w:rPr>
              <w:t xml:space="preserve"> طنا متريا من الهيدروفلوروكربون-</w:t>
            </w:r>
            <w:r w:rsidRPr="00EF720B">
              <w:rPr>
                <w:sz w:val="20"/>
                <w:szCs w:val="20"/>
                <w:lang w:val="en-US"/>
              </w:rPr>
              <w:t>134a</w:t>
            </w:r>
            <w:r>
              <w:rPr>
                <w:rFonts w:hint="cs"/>
                <w:sz w:val="20"/>
                <w:szCs w:val="20"/>
                <w:rtl/>
                <w:lang w:val="en-US"/>
              </w:rPr>
              <w:t>، و</w:t>
            </w:r>
            <w:r w:rsidRPr="00EF720B">
              <w:rPr>
                <w:sz w:val="20"/>
                <w:szCs w:val="20"/>
                <w:lang w:val="en-US"/>
              </w:rPr>
              <w:t>R</w:t>
            </w:r>
            <w:r>
              <w:rPr>
                <w:sz w:val="20"/>
                <w:szCs w:val="20"/>
                <w:lang w:val="en-US"/>
              </w:rPr>
              <w:noBreakHyphen/>
            </w:r>
            <w:r w:rsidRPr="00EF720B">
              <w:rPr>
                <w:sz w:val="20"/>
                <w:szCs w:val="20"/>
                <w:lang w:val="en-US"/>
              </w:rPr>
              <w:t>410A</w:t>
            </w:r>
            <w:r>
              <w:rPr>
                <w:rFonts w:hint="cs"/>
                <w:sz w:val="20"/>
                <w:szCs w:val="20"/>
                <w:rtl/>
                <w:lang w:val="en-US"/>
              </w:rPr>
              <w:t>، و</w:t>
            </w:r>
            <w:r w:rsidRPr="00EF720B">
              <w:rPr>
                <w:sz w:val="20"/>
                <w:szCs w:val="20"/>
                <w:lang w:val="en-US"/>
              </w:rPr>
              <w:t>R-407C</w:t>
            </w:r>
            <w:r>
              <w:rPr>
                <w:rFonts w:hint="cs"/>
                <w:sz w:val="20"/>
                <w:szCs w:val="20"/>
                <w:rtl/>
                <w:lang w:val="en-US"/>
              </w:rPr>
              <w:t>، و</w:t>
            </w:r>
            <w:r w:rsidRPr="00EF720B">
              <w:rPr>
                <w:sz w:val="20"/>
                <w:szCs w:val="20"/>
                <w:lang w:val="en-US"/>
              </w:rPr>
              <w:t>R-404A</w:t>
            </w:r>
            <w:r>
              <w:rPr>
                <w:rFonts w:hint="cs"/>
                <w:sz w:val="20"/>
                <w:szCs w:val="20"/>
                <w:rtl/>
                <w:lang w:val="en-US"/>
              </w:rPr>
              <w:t>، و</w:t>
            </w:r>
            <w:r w:rsidRPr="00EF720B">
              <w:rPr>
                <w:sz w:val="20"/>
                <w:szCs w:val="20"/>
                <w:lang w:val="en-US"/>
              </w:rPr>
              <w:t>R-507</w:t>
            </w:r>
            <w:r>
              <w:rPr>
                <w:sz w:val="20"/>
                <w:szCs w:val="20"/>
                <w:lang w:val="en-US"/>
              </w:rPr>
              <w:t>A</w:t>
            </w:r>
            <w:r>
              <w:rPr>
                <w:rFonts w:hint="cs"/>
                <w:sz w:val="20"/>
                <w:szCs w:val="20"/>
                <w:rtl/>
                <w:lang w:val="en-US"/>
              </w:rPr>
              <w:t xml:space="preserve">، بقدراتها تستخدم في قطاع التبريد وتكييف </w:t>
            </w:r>
            <w:r>
              <w:rPr>
                <w:rFonts w:hint="cs"/>
                <w:sz w:val="20"/>
                <w:szCs w:val="20"/>
                <w:rtl/>
                <w:lang w:val="en-US"/>
              </w:rPr>
              <w:lastRenderedPageBreak/>
              <w:t>الهواء في 2015 (كل من التصنيع والخدمة)</w:t>
            </w:r>
            <w:r w:rsidRPr="00EF720B">
              <w:rPr>
                <w:rStyle w:val="FootnoteReference"/>
                <w:sz w:val="20"/>
                <w:szCs w:val="20"/>
                <w:lang w:val="en-US"/>
              </w:rPr>
              <w:t xml:space="preserve"> </w:t>
            </w:r>
            <w:r w:rsidRPr="00EF720B">
              <w:rPr>
                <w:rStyle w:val="FootnoteReference"/>
                <w:sz w:val="20"/>
                <w:szCs w:val="20"/>
                <w:lang w:val="en-US"/>
              </w:rPr>
              <w:footnoteReference w:id="28"/>
            </w:r>
            <w:r>
              <w:rPr>
                <w:rFonts w:hint="cs"/>
                <w:sz w:val="20"/>
                <w:szCs w:val="20"/>
                <w:rtl/>
                <w:lang w:val="en-US"/>
              </w:rPr>
              <w:t xml:space="preserve"> وعلاوة على ذلك ينبغي استهلاك من الهيدروكلوروفلوروكربون-22 ستجري إزالتها.</w:t>
            </w:r>
          </w:p>
          <w:p w:rsidR="005A389C" w:rsidRPr="00EF720B" w:rsidRDefault="005A389C" w:rsidP="00DA4163">
            <w:pPr>
              <w:tabs>
                <w:tab w:val="left" w:pos="2880"/>
                <w:tab w:val="left" w:pos="3600"/>
                <w:tab w:val="left" w:pos="5760"/>
              </w:tabs>
              <w:bidi/>
              <w:jc w:val="left"/>
              <w:rPr>
                <w:sz w:val="20"/>
                <w:szCs w:val="20"/>
                <w:lang w:val="en-US"/>
              </w:rPr>
            </w:pPr>
          </w:p>
        </w:tc>
      </w:tr>
      <w:tr w:rsidR="005A389C" w:rsidRPr="00EF720B" w:rsidTr="00073D9D">
        <w:tc>
          <w:tcPr>
            <w:tcW w:w="745" w:type="pct"/>
            <w:shd w:val="clear" w:color="auto" w:fill="auto"/>
            <w:tcMar>
              <w:top w:w="15" w:type="dxa"/>
              <w:left w:w="30" w:type="dxa"/>
              <w:bottom w:w="0" w:type="dxa"/>
              <w:right w:w="30" w:type="dxa"/>
            </w:tcMar>
            <w:hideMark/>
          </w:tcPr>
          <w:p w:rsidR="005A389C" w:rsidRPr="00EF720B" w:rsidRDefault="00787544" w:rsidP="009524F4">
            <w:pPr>
              <w:keepNext/>
              <w:tabs>
                <w:tab w:val="left" w:pos="2880"/>
                <w:tab w:val="left" w:pos="3600"/>
                <w:tab w:val="left" w:pos="5760"/>
              </w:tabs>
              <w:bidi/>
              <w:jc w:val="left"/>
              <w:rPr>
                <w:sz w:val="20"/>
                <w:szCs w:val="20"/>
                <w:lang w:val="en-US"/>
              </w:rPr>
            </w:pPr>
            <w:r>
              <w:rPr>
                <w:rFonts w:hint="cs"/>
                <w:b/>
                <w:bCs/>
                <w:kern w:val="24"/>
                <w:sz w:val="20"/>
                <w:szCs w:val="20"/>
                <w:rtl/>
              </w:rPr>
              <w:lastRenderedPageBreak/>
              <w:t>بدائل أدخلت أو يجري دراستها في التحويلات الصناعية</w:t>
            </w:r>
          </w:p>
        </w:tc>
        <w:tc>
          <w:tcPr>
            <w:tcW w:w="1418" w:type="pct"/>
            <w:shd w:val="clear" w:color="auto" w:fill="auto"/>
            <w:tcMar>
              <w:top w:w="15" w:type="dxa"/>
              <w:left w:w="30" w:type="dxa"/>
              <w:bottom w:w="0" w:type="dxa"/>
              <w:right w:w="30" w:type="dxa"/>
            </w:tcMar>
            <w:hideMark/>
          </w:tcPr>
          <w:p w:rsidR="00787544" w:rsidRDefault="00787544" w:rsidP="009524F4">
            <w:pPr>
              <w:keepNext/>
              <w:tabs>
                <w:tab w:val="left" w:pos="2880"/>
                <w:tab w:val="left" w:pos="3600"/>
                <w:tab w:val="left" w:pos="5760"/>
              </w:tabs>
              <w:bidi/>
              <w:jc w:val="left"/>
              <w:rPr>
                <w:kern w:val="24"/>
                <w:sz w:val="20"/>
                <w:szCs w:val="20"/>
                <w:rtl/>
              </w:rPr>
            </w:pPr>
            <w:r>
              <w:rPr>
                <w:rFonts w:hint="cs"/>
                <w:kern w:val="24"/>
                <w:sz w:val="20"/>
                <w:szCs w:val="20"/>
                <w:rtl/>
              </w:rPr>
              <w:t>الهيدروفلوروكربون-</w:t>
            </w:r>
            <w:r w:rsidRPr="00EF720B">
              <w:rPr>
                <w:kern w:val="24"/>
                <w:sz w:val="20"/>
                <w:szCs w:val="20"/>
              </w:rPr>
              <w:t>134a</w:t>
            </w:r>
            <w:r>
              <w:rPr>
                <w:rFonts w:hint="cs"/>
                <w:kern w:val="24"/>
                <w:sz w:val="20"/>
                <w:szCs w:val="20"/>
                <w:rtl/>
              </w:rPr>
              <w:t xml:space="preserve"> والهيدروكلوروفلوروكربون-22 في بعض الاستخدامات في </w:t>
            </w:r>
            <w:r w:rsidRPr="00EF720B">
              <w:rPr>
                <w:kern w:val="24"/>
                <w:sz w:val="20"/>
                <w:szCs w:val="20"/>
              </w:rPr>
              <w:t>R-404A</w:t>
            </w:r>
            <w:r>
              <w:rPr>
                <w:rFonts w:hint="cs"/>
                <w:kern w:val="24"/>
                <w:sz w:val="20"/>
                <w:szCs w:val="20"/>
                <w:rtl/>
              </w:rPr>
              <w:t xml:space="preserve"> جزء من سوق التبريد المنزلي</w:t>
            </w:r>
          </w:p>
          <w:p w:rsidR="005A389C" w:rsidRPr="00EF720B" w:rsidRDefault="005A389C" w:rsidP="009524F4">
            <w:pPr>
              <w:keepNext/>
              <w:tabs>
                <w:tab w:val="left" w:pos="2880"/>
                <w:tab w:val="left" w:pos="3600"/>
                <w:tab w:val="left" w:pos="5760"/>
              </w:tabs>
              <w:bidi/>
              <w:jc w:val="left"/>
              <w:rPr>
                <w:sz w:val="20"/>
                <w:szCs w:val="20"/>
                <w:lang w:val="en-US"/>
              </w:rPr>
            </w:pPr>
          </w:p>
        </w:tc>
        <w:tc>
          <w:tcPr>
            <w:tcW w:w="1418" w:type="pct"/>
            <w:shd w:val="clear" w:color="auto" w:fill="auto"/>
            <w:tcMar>
              <w:top w:w="15" w:type="dxa"/>
              <w:left w:w="30" w:type="dxa"/>
              <w:bottom w:w="0" w:type="dxa"/>
              <w:right w:w="30" w:type="dxa"/>
            </w:tcMar>
            <w:hideMark/>
          </w:tcPr>
          <w:p w:rsidR="00787544" w:rsidRDefault="00787544" w:rsidP="009524F4">
            <w:pPr>
              <w:keepNext/>
              <w:tabs>
                <w:tab w:val="left" w:pos="2880"/>
                <w:tab w:val="left" w:pos="3600"/>
                <w:tab w:val="left" w:pos="5760"/>
              </w:tabs>
              <w:bidi/>
              <w:jc w:val="left"/>
              <w:rPr>
                <w:kern w:val="24"/>
                <w:sz w:val="20"/>
                <w:szCs w:val="20"/>
                <w:rtl/>
              </w:rPr>
            </w:pPr>
            <w:r>
              <w:rPr>
                <w:rFonts w:hint="cs"/>
                <w:kern w:val="24"/>
                <w:sz w:val="20"/>
                <w:szCs w:val="20"/>
                <w:rtl/>
              </w:rPr>
              <w:t>خلائط الهيدروفلوروكربون في البلدان اتي ترتفع فيها القدرة على الاحترار العالمي، وغازات التبريد المنخفضة القدرة حيثما يمكن بالاقتران مع القضايا المتعلقة بالقابلية للاشتعال أو السمية أو ارتفاع ضغوط التشغيل أو محدودية التوافر التجاري. غير أن السوق سوف يتيح كميات كبيرة من الأجهزة العاملة بالهيدروفلوروكربون</w:t>
            </w:r>
          </w:p>
          <w:p w:rsidR="005A389C" w:rsidRPr="00EF720B" w:rsidRDefault="005A389C" w:rsidP="009524F4">
            <w:pPr>
              <w:keepNext/>
              <w:tabs>
                <w:tab w:val="left" w:pos="2880"/>
                <w:tab w:val="left" w:pos="3600"/>
                <w:tab w:val="left" w:pos="5760"/>
              </w:tabs>
              <w:bidi/>
              <w:jc w:val="left"/>
              <w:rPr>
                <w:kern w:val="24"/>
                <w:sz w:val="20"/>
                <w:szCs w:val="20"/>
              </w:rPr>
            </w:pPr>
          </w:p>
        </w:tc>
        <w:tc>
          <w:tcPr>
            <w:tcW w:w="1418" w:type="pct"/>
            <w:shd w:val="clear" w:color="auto" w:fill="auto"/>
            <w:tcMar>
              <w:top w:w="15" w:type="dxa"/>
              <w:left w:w="30" w:type="dxa"/>
              <w:bottom w:w="0" w:type="dxa"/>
              <w:right w:w="30" w:type="dxa"/>
            </w:tcMar>
            <w:hideMark/>
          </w:tcPr>
          <w:p w:rsidR="00787544" w:rsidRDefault="00787544" w:rsidP="009524F4">
            <w:pPr>
              <w:keepNext/>
              <w:tabs>
                <w:tab w:val="left" w:pos="2880"/>
                <w:tab w:val="left" w:pos="3600"/>
                <w:tab w:val="left" w:pos="5760"/>
              </w:tabs>
              <w:bidi/>
              <w:jc w:val="left"/>
              <w:rPr>
                <w:kern w:val="24"/>
                <w:sz w:val="20"/>
                <w:szCs w:val="20"/>
                <w:rtl/>
              </w:rPr>
            </w:pPr>
            <w:r>
              <w:rPr>
                <w:rFonts w:hint="cs"/>
                <w:kern w:val="24"/>
                <w:sz w:val="20"/>
                <w:szCs w:val="20"/>
                <w:rtl/>
              </w:rPr>
              <w:t>البدائل المحتملة للأجهزة المعتمدة على الهيدروكربونات والمواد الهيدروفلوروكربون وخلائط الهيدروفلوروكربون/ الهيدروفلوروأورفان وثاني أكسيدالكربون والتشاور مع مايقترن بها من قضايا القابلية للاشتعال أو السمية أو ارتفاع ضغط التشغيل أو محدودة التوافر التجاري.</w:t>
            </w:r>
          </w:p>
          <w:p w:rsidR="005A389C" w:rsidRPr="00EF720B" w:rsidRDefault="005A389C" w:rsidP="00787544">
            <w:pPr>
              <w:keepNext/>
              <w:tabs>
                <w:tab w:val="left" w:pos="2880"/>
                <w:tab w:val="left" w:pos="3600"/>
                <w:tab w:val="left" w:pos="5760"/>
              </w:tabs>
              <w:bidi/>
              <w:jc w:val="left"/>
              <w:rPr>
                <w:kern w:val="24"/>
                <w:sz w:val="20"/>
                <w:szCs w:val="20"/>
              </w:rPr>
            </w:pPr>
          </w:p>
        </w:tc>
      </w:tr>
      <w:tr w:rsidR="005A389C" w:rsidRPr="00EF720B" w:rsidTr="00073D9D">
        <w:tc>
          <w:tcPr>
            <w:tcW w:w="745" w:type="pct"/>
            <w:shd w:val="clear" w:color="auto" w:fill="auto"/>
            <w:tcMar>
              <w:top w:w="15" w:type="dxa"/>
              <w:left w:w="30" w:type="dxa"/>
              <w:bottom w:w="0" w:type="dxa"/>
              <w:right w:w="30" w:type="dxa"/>
            </w:tcMar>
          </w:tcPr>
          <w:p w:rsidR="005A389C" w:rsidRPr="00C95D45" w:rsidRDefault="00787544" w:rsidP="009524F4">
            <w:pPr>
              <w:tabs>
                <w:tab w:val="left" w:pos="2880"/>
                <w:tab w:val="left" w:pos="3600"/>
                <w:tab w:val="left" w:pos="5760"/>
              </w:tabs>
              <w:bidi/>
              <w:jc w:val="left"/>
              <w:rPr>
                <w:b/>
                <w:bCs/>
                <w:kern w:val="24"/>
                <w:sz w:val="20"/>
                <w:szCs w:val="20"/>
              </w:rPr>
            </w:pPr>
            <w:r>
              <w:rPr>
                <w:rFonts w:hint="cs"/>
                <w:b/>
                <w:bCs/>
                <w:kern w:val="24"/>
                <w:sz w:val="20"/>
                <w:szCs w:val="20"/>
                <w:rtl/>
              </w:rPr>
              <w:t>مجموعة متباينة من الخلائط</w:t>
            </w:r>
          </w:p>
        </w:tc>
        <w:tc>
          <w:tcPr>
            <w:tcW w:w="1418" w:type="pct"/>
            <w:shd w:val="clear" w:color="auto" w:fill="auto"/>
            <w:tcMar>
              <w:top w:w="15" w:type="dxa"/>
              <w:left w:w="30" w:type="dxa"/>
              <w:bottom w:w="0" w:type="dxa"/>
              <w:right w:w="30" w:type="dxa"/>
            </w:tcMar>
          </w:tcPr>
          <w:p w:rsidR="00787544" w:rsidRDefault="00787544" w:rsidP="009524F4">
            <w:pPr>
              <w:tabs>
                <w:tab w:val="left" w:pos="2880"/>
                <w:tab w:val="left" w:pos="3600"/>
                <w:tab w:val="left" w:pos="5760"/>
              </w:tabs>
              <w:bidi/>
              <w:jc w:val="left"/>
              <w:rPr>
                <w:kern w:val="24"/>
                <w:sz w:val="20"/>
                <w:szCs w:val="20"/>
                <w:rtl/>
              </w:rPr>
            </w:pPr>
            <w:r>
              <w:rPr>
                <w:rFonts w:hint="cs"/>
                <w:kern w:val="24"/>
                <w:sz w:val="20"/>
                <w:szCs w:val="20"/>
                <w:rtl/>
              </w:rPr>
              <w:t>محدودية (</w:t>
            </w:r>
            <w:r w:rsidRPr="00C95D45">
              <w:rPr>
                <w:kern w:val="24"/>
                <w:sz w:val="20"/>
                <w:szCs w:val="20"/>
              </w:rPr>
              <w:t>R-502</w:t>
            </w:r>
            <w:r>
              <w:rPr>
                <w:rFonts w:hint="cs"/>
                <w:kern w:val="24"/>
                <w:sz w:val="20"/>
                <w:szCs w:val="20"/>
                <w:rtl/>
              </w:rPr>
              <w:t>) للاستخدامات المنخفضة القدرة</w:t>
            </w:r>
          </w:p>
          <w:p w:rsidR="005A389C" w:rsidRPr="00C95D45" w:rsidRDefault="005A389C" w:rsidP="009524F4">
            <w:pPr>
              <w:tabs>
                <w:tab w:val="left" w:pos="2880"/>
                <w:tab w:val="left" w:pos="3600"/>
                <w:tab w:val="left" w:pos="5760"/>
              </w:tabs>
              <w:bidi/>
              <w:jc w:val="left"/>
              <w:rPr>
                <w:kern w:val="24"/>
                <w:sz w:val="20"/>
                <w:szCs w:val="20"/>
              </w:rPr>
            </w:pPr>
          </w:p>
        </w:tc>
        <w:tc>
          <w:tcPr>
            <w:tcW w:w="1418" w:type="pct"/>
            <w:shd w:val="clear" w:color="auto" w:fill="auto"/>
            <w:tcMar>
              <w:top w:w="15" w:type="dxa"/>
              <w:left w:w="30" w:type="dxa"/>
              <w:bottom w:w="0" w:type="dxa"/>
              <w:right w:w="30" w:type="dxa"/>
            </w:tcMar>
          </w:tcPr>
          <w:p w:rsidR="00553724" w:rsidRDefault="00787544" w:rsidP="00BC04C4">
            <w:pPr>
              <w:tabs>
                <w:tab w:val="left" w:pos="2880"/>
                <w:tab w:val="left" w:pos="3600"/>
                <w:tab w:val="left" w:pos="5760"/>
              </w:tabs>
              <w:bidi/>
              <w:jc w:val="left"/>
              <w:rPr>
                <w:kern w:val="24"/>
                <w:sz w:val="20"/>
                <w:szCs w:val="20"/>
              </w:rPr>
            </w:pPr>
            <w:r>
              <w:rPr>
                <w:rFonts w:hint="cs"/>
                <w:kern w:val="24"/>
                <w:sz w:val="20"/>
                <w:szCs w:val="20"/>
                <w:rtl/>
              </w:rPr>
              <w:t>محدودة (</w:t>
            </w:r>
            <w:r w:rsidRPr="00C95D45">
              <w:rPr>
                <w:kern w:val="24"/>
                <w:sz w:val="20"/>
                <w:szCs w:val="20"/>
              </w:rPr>
              <w:t>R-406</w:t>
            </w:r>
            <w:r>
              <w:rPr>
                <w:kern w:val="24"/>
                <w:sz w:val="20"/>
                <w:szCs w:val="20"/>
              </w:rPr>
              <w:t>A</w:t>
            </w:r>
            <w:r>
              <w:rPr>
                <w:rFonts w:hint="cs"/>
                <w:kern w:val="24"/>
                <w:sz w:val="20"/>
                <w:szCs w:val="20"/>
                <w:rtl/>
              </w:rPr>
              <w:t xml:space="preserve"> و</w:t>
            </w:r>
            <w:r w:rsidRPr="00C95D45">
              <w:rPr>
                <w:kern w:val="24"/>
                <w:sz w:val="20"/>
                <w:szCs w:val="20"/>
              </w:rPr>
              <w:t>R-409</w:t>
            </w:r>
            <w:r>
              <w:rPr>
                <w:kern w:val="24"/>
                <w:sz w:val="20"/>
                <w:szCs w:val="20"/>
              </w:rPr>
              <w:t>A</w:t>
            </w:r>
            <w:r>
              <w:rPr>
                <w:rFonts w:hint="cs"/>
                <w:kern w:val="24"/>
                <w:sz w:val="20"/>
                <w:szCs w:val="20"/>
                <w:rtl/>
              </w:rPr>
              <w:t>)</w:t>
            </w:r>
            <w:r w:rsidR="00894EDF">
              <w:rPr>
                <w:rFonts w:hint="cs"/>
                <w:kern w:val="24"/>
                <w:sz w:val="20"/>
                <w:szCs w:val="20"/>
                <w:rtl/>
              </w:rPr>
              <w:t xml:space="preserve"> (</w:t>
            </w:r>
            <w:r w:rsidR="00BC04C4">
              <w:rPr>
                <w:rFonts w:hint="cs"/>
                <w:kern w:val="24"/>
                <w:sz w:val="20"/>
                <w:szCs w:val="20"/>
                <w:rtl/>
              </w:rPr>
              <w:t>إنحدار</w:t>
            </w:r>
            <w:r w:rsidR="00894EDF">
              <w:rPr>
                <w:rFonts w:hint="cs"/>
                <w:kern w:val="24"/>
                <w:sz w:val="20"/>
                <w:szCs w:val="20"/>
                <w:rtl/>
              </w:rPr>
              <w:t xml:space="preserve"> بدرجة حرارة محدودة)</w:t>
            </w:r>
          </w:p>
          <w:p w:rsidR="005A389C" w:rsidRPr="00C95D45" w:rsidRDefault="005A389C" w:rsidP="009524F4">
            <w:pPr>
              <w:tabs>
                <w:tab w:val="left" w:pos="2880"/>
                <w:tab w:val="left" w:pos="3600"/>
                <w:tab w:val="left" w:pos="5760"/>
              </w:tabs>
              <w:bidi/>
              <w:jc w:val="left"/>
              <w:rPr>
                <w:kern w:val="24"/>
                <w:sz w:val="20"/>
                <w:szCs w:val="20"/>
              </w:rPr>
            </w:pPr>
          </w:p>
        </w:tc>
        <w:tc>
          <w:tcPr>
            <w:tcW w:w="1418" w:type="pct"/>
            <w:shd w:val="clear" w:color="auto" w:fill="auto"/>
            <w:tcMar>
              <w:top w:w="15" w:type="dxa"/>
              <w:left w:w="30" w:type="dxa"/>
              <w:bottom w:w="0" w:type="dxa"/>
              <w:right w:w="30" w:type="dxa"/>
            </w:tcMar>
          </w:tcPr>
          <w:p w:rsidR="00547006" w:rsidRPr="00F86EB0" w:rsidRDefault="00894EDF" w:rsidP="00894EDF">
            <w:pPr>
              <w:tabs>
                <w:tab w:val="left" w:pos="2880"/>
                <w:tab w:val="left" w:pos="3600"/>
                <w:tab w:val="left" w:pos="5760"/>
              </w:tabs>
              <w:bidi/>
              <w:jc w:val="left"/>
              <w:rPr>
                <w:sz w:val="20"/>
                <w:szCs w:val="20"/>
                <w:lang w:val="en-US"/>
              </w:rPr>
            </w:pPr>
            <w:r>
              <w:rPr>
                <w:rFonts w:hint="cs"/>
                <w:sz w:val="20"/>
                <w:szCs w:val="20"/>
                <w:rtl/>
                <w:lang w:val="en-US"/>
              </w:rPr>
              <w:t>كميات كبيرة من (</w:t>
            </w:r>
            <w:r w:rsidRPr="00C95D45">
              <w:rPr>
                <w:sz w:val="20"/>
                <w:szCs w:val="20"/>
                <w:lang w:val="en-US"/>
              </w:rPr>
              <w:t>R-404A</w:t>
            </w:r>
            <w:r>
              <w:rPr>
                <w:rFonts w:hint="cs"/>
                <w:sz w:val="20"/>
                <w:szCs w:val="20"/>
                <w:rtl/>
                <w:lang w:val="en-US"/>
              </w:rPr>
              <w:t xml:space="preserve">، </w:t>
            </w:r>
            <w:r w:rsidRPr="00C95D45">
              <w:rPr>
                <w:sz w:val="20"/>
                <w:szCs w:val="20"/>
                <w:lang w:val="en-US"/>
              </w:rPr>
              <w:t xml:space="preserve"> R-407C</w:t>
            </w:r>
            <w:r>
              <w:rPr>
                <w:rFonts w:hint="cs"/>
                <w:sz w:val="20"/>
                <w:szCs w:val="20"/>
                <w:rtl/>
                <w:lang w:val="en-US"/>
              </w:rPr>
              <w:t xml:space="preserve">، </w:t>
            </w:r>
            <w:r w:rsidRPr="00C95D45">
              <w:rPr>
                <w:sz w:val="20"/>
                <w:szCs w:val="20"/>
                <w:lang w:val="en-US"/>
              </w:rPr>
              <w:t>R-410A</w:t>
            </w:r>
            <w:r>
              <w:rPr>
                <w:rFonts w:hint="cs"/>
                <w:sz w:val="20"/>
                <w:szCs w:val="20"/>
                <w:rtl/>
                <w:lang w:val="en-US"/>
              </w:rPr>
              <w:t>، ،</w:t>
            </w:r>
            <w:r w:rsidRPr="00C95D45">
              <w:rPr>
                <w:sz w:val="20"/>
                <w:szCs w:val="20"/>
                <w:lang w:val="en-US"/>
              </w:rPr>
              <w:t>R-507</w:t>
            </w:r>
            <w:r>
              <w:rPr>
                <w:sz w:val="20"/>
                <w:szCs w:val="20"/>
                <w:lang w:val="en-US"/>
              </w:rPr>
              <w:t>A</w:t>
            </w:r>
            <w:r>
              <w:rPr>
                <w:rFonts w:hint="cs"/>
                <w:sz w:val="20"/>
                <w:szCs w:val="20"/>
                <w:rtl/>
                <w:lang w:val="en-US"/>
              </w:rPr>
              <w:t xml:space="preserve">) (الانزلاق بدرجة كبيرة) استخدام متناثر للكثير من الخلائط من الهيدروفلوروكربون والهيدروفلوروكربون/ الهيدروفلوروأولفان (مثل </w:t>
            </w:r>
            <w:r>
              <w:rPr>
                <w:sz w:val="20"/>
                <w:szCs w:val="20"/>
                <w:lang w:val="en-US"/>
              </w:rPr>
              <w:t>R-448A</w:t>
            </w:r>
            <w:r>
              <w:rPr>
                <w:rFonts w:hint="cs"/>
                <w:sz w:val="20"/>
                <w:szCs w:val="20"/>
                <w:rtl/>
                <w:lang w:val="en-US"/>
              </w:rPr>
              <w:t>،</w:t>
            </w:r>
            <w:r>
              <w:rPr>
                <w:sz w:val="20"/>
                <w:szCs w:val="20"/>
                <w:lang w:val="en-US"/>
              </w:rPr>
              <w:t xml:space="preserve"> R-449A</w:t>
            </w:r>
            <w:r>
              <w:rPr>
                <w:rFonts w:hint="cs"/>
                <w:sz w:val="20"/>
                <w:szCs w:val="20"/>
                <w:rtl/>
                <w:lang w:val="en-US"/>
              </w:rPr>
              <w:t xml:space="preserve">، </w:t>
            </w:r>
            <w:r>
              <w:rPr>
                <w:sz w:val="20"/>
                <w:szCs w:val="20"/>
                <w:lang w:val="en-US"/>
              </w:rPr>
              <w:t>R-450A</w:t>
            </w:r>
            <w:r>
              <w:rPr>
                <w:rFonts w:hint="cs"/>
                <w:sz w:val="20"/>
                <w:szCs w:val="20"/>
                <w:rtl/>
                <w:lang w:val="en-US"/>
              </w:rPr>
              <w:t xml:space="preserve">، </w:t>
            </w:r>
            <w:r>
              <w:rPr>
                <w:sz w:val="20"/>
                <w:szCs w:val="20"/>
                <w:lang w:val="en-US"/>
              </w:rPr>
              <w:t>R-513A</w:t>
            </w:r>
            <w:r>
              <w:rPr>
                <w:rFonts w:hint="cs"/>
                <w:sz w:val="20"/>
                <w:szCs w:val="20"/>
                <w:rtl/>
                <w:lang w:val="en-US"/>
              </w:rPr>
              <w:t xml:space="preserve"> وغيرها)</w:t>
            </w:r>
          </w:p>
        </w:tc>
      </w:tr>
      <w:tr w:rsidR="005A389C" w:rsidRPr="00EF720B" w:rsidTr="00073D9D">
        <w:tc>
          <w:tcPr>
            <w:tcW w:w="745" w:type="pct"/>
            <w:shd w:val="clear" w:color="auto" w:fill="auto"/>
            <w:tcMar>
              <w:top w:w="15" w:type="dxa"/>
              <w:left w:w="30" w:type="dxa"/>
              <w:bottom w:w="0" w:type="dxa"/>
              <w:right w:w="30" w:type="dxa"/>
            </w:tcMar>
            <w:hideMark/>
          </w:tcPr>
          <w:p w:rsidR="005A389C" w:rsidRPr="00EF720B" w:rsidRDefault="00894EDF" w:rsidP="009524F4">
            <w:pPr>
              <w:tabs>
                <w:tab w:val="left" w:pos="2880"/>
                <w:tab w:val="left" w:pos="3600"/>
                <w:tab w:val="left" w:pos="5760"/>
              </w:tabs>
              <w:bidi/>
              <w:jc w:val="left"/>
              <w:rPr>
                <w:sz w:val="20"/>
                <w:szCs w:val="20"/>
                <w:lang w:val="en-US"/>
              </w:rPr>
            </w:pPr>
            <w:r>
              <w:rPr>
                <w:rFonts w:hint="cs"/>
                <w:b/>
                <w:bCs/>
                <w:kern w:val="24"/>
                <w:sz w:val="20"/>
                <w:szCs w:val="20"/>
                <w:rtl/>
              </w:rPr>
              <w:t>استخدامات (الشحن بغازات التبريد)</w:t>
            </w:r>
          </w:p>
        </w:tc>
        <w:tc>
          <w:tcPr>
            <w:tcW w:w="1418" w:type="pct"/>
            <w:shd w:val="clear" w:color="auto" w:fill="auto"/>
            <w:tcMar>
              <w:top w:w="15" w:type="dxa"/>
              <w:left w:w="30" w:type="dxa"/>
              <w:bottom w:w="0" w:type="dxa"/>
              <w:right w:w="30" w:type="dxa"/>
            </w:tcMar>
            <w:hideMark/>
          </w:tcPr>
          <w:p w:rsidR="00894EDF" w:rsidRDefault="00894EDF" w:rsidP="009524F4">
            <w:pPr>
              <w:tabs>
                <w:tab w:val="left" w:pos="2880"/>
                <w:tab w:val="left" w:pos="3600"/>
                <w:tab w:val="left" w:pos="5760"/>
              </w:tabs>
              <w:bidi/>
              <w:jc w:val="left"/>
              <w:rPr>
                <w:kern w:val="24"/>
                <w:sz w:val="20"/>
                <w:szCs w:val="20"/>
                <w:rtl/>
              </w:rPr>
            </w:pPr>
            <w:r>
              <w:rPr>
                <w:rFonts w:hint="cs"/>
                <w:kern w:val="24"/>
                <w:sz w:val="20"/>
                <w:szCs w:val="20"/>
                <w:rtl/>
              </w:rPr>
              <w:t>التبريد المنزلي والتجاري الصغير وتصنيع أجهزة تكييف الهواء المتنقلة في بضعة بلدان والخدمة في جميع البلدان وشحن غازات التبريد على النطاق الصغير</w:t>
            </w:r>
          </w:p>
          <w:p w:rsidR="005A389C" w:rsidRPr="00EF720B" w:rsidRDefault="005A389C" w:rsidP="00894EDF">
            <w:pPr>
              <w:tabs>
                <w:tab w:val="left" w:pos="2880"/>
                <w:tab w:val="left" w:pos="3600"/>
                <w:tab w:val="left" w:pos="5760"/>
              </w:tabs>
              <w:bidi/>
              <w:jc w:val="left"/>
              <w:rPr>
                <w:sz w:val="20"/>
                <w:szCs w:val="20"/>
                <w:lang w:val="en-US"/>
              </w:rPr>
            </w:pPr>
          </w:p>
        </w:tc>
        <w:tc>
          <w:tcPr>
            <w:tcW w:w="1418" w:type="pct"/>
            <w:shd w:val="clear" w:color="auto" w:fill="auto"/>
            <w:tcMar>
              <w:top w:w="15" w:type="dxa"/>
              <w:left w:w="30" w:type="dxa"/>
              <w:bottom w:w="0" w:type="dxa"/>
              <w:right w:w="30" w:type="dxa"/>
            </w:tcMar>
            <w:hideMark/>
          </w:tcPr>
          <w:p w:rsidR="005A389C" w:rsidRPr="00894EDF" w:rsidRDefault="00894EDF" w:rsidP="00894EDF">
            <w:pPr>
              <w:tabs>
                <w:tab w:val="left" w:pos="2880"/>
                <w:tab w:val="left" w:pos="3600"/>
                <w:tab w:val="left" w:pos="5760"/>
              </w:tabs>
              <w:bidi/>
              <w:jc w:val="left"/>
              <w:rPr>
                <w:kern w:val="24"/>
                <w:sz w:val="20"/>
                <w:szCs w:val="20"/>
              </w:rPr>
            </w:pPr>
            <w:r>
              <w:rPr>
                <w:rFonts w:hint="cs"/>
                <w:kern w:val="24"/>
                <w:sz w:val="20"/>
                <w:szCs w:val="20"/>
                <w:rtl/>
              </w:rPr>
              <w:t>الأجهزة المعتمدة على الهيدروكلوروفلوروكربون-22 فقط ومعظمها في تكييف الهواء وبعض التبريد التجاري وشحن غازات التبريد على نطاق واسع.</w:t>
            </w:r>
          </w:p>
        </w:tc>
        <w:tc>
          <w:tcPr>
            <w:tcW w:w="1418" w:type="pct"/>
            <w:shd w:val="clear" w:color="auto" w:fill="auto"/>
            <w:tcMar>
              <w:top w:w="15" w:type="dxa"/>
              <w:left w:w="30" w:type="dxa"/>
              <w:bottom w:w="0" w:type="dxa"/>
              <w:right w:w="30" w:type="dxa"/>
            </w:tcMar>
            <w:hideMark/>
          </w:tcPr>
          <w:p w:rsidR="00894EDF" w:rsidRDefault="00894EDF" w:rsidP="009524F4">
            <w:pPr>
              <w:tabs>
                <w:tab w:val="left" w:pos="2880"/>
                <w:tab w:val="left" w:pos="3600"/>
                <w:tab w:val="left" w:pos="5760"/>
              </w:tabs>
              <w:bidi/>
              <w:jc w:val="left"/>
              <w:rPr>
                <w:kern w:val="24"/>
                <w:sz w:val="20"/>
                <w:szCs w:val="20"/>
                <w:rtl/>
              </w:rPr>
            </w:pPr>
            <w:r>
              <w:rPr>
                <w:rFonts w:hint="cs"/>
                <w:kern w:val="24"/>
                <w:sz w:val="20"/>
                <w:szCs w:val="20"/>
                <w:rtl/>
              </w:rPr>
              <w:t>جميع أنواع التبريد وتكييف الهواء المنزلي والتجاري والصناعي، والنقل المبرد، وأجهزة تكييف الهواء المتنقلة وبعض أنواع التبريد التجاري والشحن بغازات التبريد على نطاق واسع.</w:t>
            </w:r>
          </w:p>
          <w:p w:rsidR="005A389C" w:rsidRPr="00EF720B" w:rsidRDefault="005A389C" w:rsidP="00894EDF">
            <w:pPr>
              <w:tabs>
                <w:tab w:val="left" w:pos="2880"/>
                <w:tab w:val="left" w:pos="3600"/>
                <w:tab w:val="left" w:pos="5760"/>
              </w:tabs>
              <w:bidi/>
              <w:jc w:val="left"/>
              <w:rPr>
                <w:sz w:val="20"/>
                <w:szCs w:val="20"/>
                <w:lang w:val="en-US"/>
              </w:rPr>
            </w:pPr>
          </w:p>
        </w:tc>
      </w:tr>
      <w:tr w:rsidR="005A389C" w:rsidRPr="00EF720B" w:rsidTr="00073D9D">
        <w:tc>
          <w:tcPr>
            <w:tcW w:w="745" w:type="pct"/>
            <w:shd w:val="clear" w:color="auto" w:fill="auto"/>
            <w:tcMar>
              <w:top w:w="15" w:type="dxa"/>
              <w:left w:w="30" w:type="dxa"/>
              <w:bottom w:w="0" w:type="dxa"/>
              <w:right w:w="30" w:type="dxa"/>
            </w:tcMar>
            <w:hideMark/>
          </w:tcPr>
          <w:p w:rsidR="005A389C" w:rsidRPr="00EF720B" w:rsidRDefault="00894EDF" w:rsidP="009524F4">
            <w:pPr>
              <w:tabs>
                <w:tab w:val="left" w:pos="2880"/>
                <w:tab w:val="left" w:pos="3600"/>
                <w:tab w:val="left" w:pos="5760"/>
              </w:tabs>
              <w:bidi/>
              <w:jc w:val="left"/>
              <w:rPr>
                <w:sz w:val="20"/>
                <w:szCs w:val="20"/>
                <w:lang w:val="en-US"/>
              </w:rPr>
            </w:pPr>
            <w:r>
              <w:rPr>
                <w:rFonts w:hint="cs"/>
                <w:b/>
                <w:bCs/>
                <w:kern w:val="24"/>
                <w:sz w:val="20"/>
                <w:szCs w:val="20"/>
                <w:rtl/>
              </w:rPr>
              <w:t>الأنشطة المؤهلة</w:t>
            </w:r>
          </w:p>
        </w:tc>
        <w:tc>
          <w:tcPr>
            <w:tcW w:w="2836" w:type="pct"/>
            <w:gridSpan w:val="2"/>
            <w:shd w:val="clear" w:color="auto" w:fill="auto"/>
            <w:tcMar>
              <w:top w:w="15" w:type="dxa"/>
              <w:left w:w="30" w:type="dxa"/>
              <w:bottom w:w="0" w:type="dxa"/>
              <w:right w:w="30" w:type="dxa"/>
            </w:tcMar>
            <w:hideMark/>
          </w:tcPr>
          <w:p w:rsidR="005A389C" w:rsidRPr="00E46C7A" w:rsidRDefault="00894EDF" w:rsidP="00E46C7A">
            <w:pPr>
              <w:tabs>
                <w:tab w:val="left" w:pos="2880"/>
                <w:tab w:val="left" w:pos="3600"/>
                <w:tab w:val="left" w:pos="5760"/>
              </w:tabs>
              <w:bidi/>
              <w:jc w:val="left"/>
              <w:rPr>
                <w:kern w:val="24"/>
                <w:sz w:val="20"/>
                <w:szCs w:val="20"/>
              </w:rPr>
            </w:pPr>
            <w:r>
              <w:rPr>
                <w:rFonts w:hint="cs"/>
                <w:kern w:val="24"/>
                <w:sz w:val="20"/>
                <w:szCs w:val="20"/>
                <w:rtl/>
              </w:rPr>
              <w:t xml:space="preserve">يتضمن، </w:t>
            </w:r>
            <w:r w:rsidRPr="00E46C7A">
              <w:rPr>
                <w:rFonts w:hint="cs"/>
                <w:i/>
                <w:iCs/>
                <w:kern w:val="24"/>
                <w:sz w:val="20"/>
                <w:szCs w:val="20"/>
                <w:rtl/>
              </w:rPr>
              <w:t>ضمن جملة أمور</w:t>
            </w:r>
            <w:r>
              <w:rPr>
                <w:rFonts w:hint="cs"/>
                <w:kern w:val="24"/>
                <w:sz w:val="20"/>
                <w:szCs w:val="20"/>
                <w:rtl/>
              </w:rPr>
              <w:t xml:space="preserve"> المساعدات لوضع التشريعات والقواعد بما في ذلك نظم التراخيص للواردات والصادرات وتدريب سلطات الجمارك </w:t>
            </w:r>
            <w:r w:rsidR="00E46C7A">
              <w:rPr>
                <w:rFonts w:hint="cs"/>
                <w:kern w:val="24"/>
                <w:sz w:val="20"/>
                <w:szCs w:val="20"/>
                <w:rtl/>
              </w:rPr>
              <w:t>وإنفاذ القوانين والتدريب على ممارسات خدمة التبريد الجيدة ووضع خطط للاسترجاع والإصلاح وإعادة التدوير والحوافز للمستخدمين النهائيين للتحويل وفي بعض الحالات اعتماد الفنيين والمعايير وتعزيز الروابط وبرامج خفض التسرب.</w:t>
            </w:r>
          </w:p>
        </w:tc>
        <w:tc>
          <w:tcPr>
            <w:tcW w:w="1418" w:type="pct"/>
            <w:shd w:val="clear" w:color="auto" w:fill="auto"/>
            <w:tcMar>
              <w:top w:w="15" w:type="dxa"/>
              <w:left w:w="30" w:type="dxa"/>
              <w:bottom w:w="0" w:type="dxa"/>
              <w:right w:w="30" w:type="dxa"/>
            </w:tcMar>
            <w:hideMark/>
          </w:tcPr>
          <w:p w:rsidR="005A389C" w:rsidRPr="00E46C7A" w:rsidRDefault="00E46C7A" w:rsidP="00E46C7A">
            <w:pPr>
              <w:tabs>
                <w:tab w:val="left" w:pos="2880"/>
                <w:tab w:val="left" w:pos="3600"/>
                <w:tab w:val="left" w:pos="5760"/>
              </w:tabs>
              <w:bidi/>
              <w:jc w:val="left"/>
              <w:rPr>
                <w:kern w:val="24"/>
                <w:sz w:val="20"/>
                <w:szCs w:val="20"/>
              </w:rPr>
            </w:pPr>
            <w:r>
              <w:rPr>
                <w:rFonts w:hint="cs"/>
                <w:kern w:val="24"/>
                <w:sz w:val="20"/>
                <w:szCs w:val="20"/>
                <w:rtl/>
              </w:rPr>
              <w:t>فئات التكاليف الإضافية والمؤجلة لإزالة الهيدروكلوروفلوروكربون وخفض الهيدروفلوروكربون متماثلة</w:t>
            </w:r>
          </w:p>
        </w:tc>
      </w:tr>
      <w:tr w:rsidR="005A389C" w:rsidRPr="00EF720B" w:rsidTr="00073D9D">
        <w:tc>
          <w:tcPr>
            <w:tcW w:w="745" w:type="pct"/>
            <w:shd w:val="clear" w:color="auto" w:fill="auto"/>
            <w:tcMar>
              <w:top w:w="15" w:type="dxa"/>
              <w:left w:w="30" w:type="dxa"/>
              <w:bottom w:w="0" w:type="dxa"/>
              <w:right w:w="30" w:type="dxa"/>
            </w:tcMar>
          </w:tcPr>
          <w:p w:rsidR="005A389C" w:rsidRPr="00EF720B" w:rsidRDefault="00E46C7A" w:rsidP="009524F4">
            <w:pPr>
              <w:tabs>
                <w:tab w:val="left" w:pos="2880"/>
                <w:tab w:val="left" w:pos="3600"/>
                <w:tab w:val="left" w:pos="5760"/>
              </w:tabs>
              <w:bidi/>
              <w:jc w:val="left"/>
              <w:rPr>
                <w:b/>
                <w:bCs/>
                <w:kern w:val="24"/>
                <w:sz w:val="20"/>
                <w:szCs w:val="20"/>
              </w:rPr>
            </w:pPr>
            <w:r>
              <w:rPr>
                <w:rFonts w:hint="cs"/>
                <w:b/>
                <w:bCs/>
                <w:kern w:val="24"/>
                <w:sz w:val="20"/>
                <w:szCs w:val="20"/>
                <w:rtl/>
              </w:rPr>
              <w:t>تأثير الأنشطة المنفذة</w:t>
            </w:r>
          </w:p>
        </w:tc>
        <w:tc>
          <w:tcPr>
            <w:tcW w:w="1418" w:type="pct"/>
            <w:shd w:val="clear" w:color="auto" w:fill="auto"/>
            <w:tcMar>
              <w:top w:w="15" w:type="dxa"/>
              <w:left w:w="30" w:type="dxa"/>
              <w:bottom w:w="0" w:type="dxa"/>
              <w:right w:w="30" w:type="dxa"/>
            </w:tcMar>
          </w:tcPr>
          <w:p w:rsidR="00E46C7A" w:rsidRDefault="00E46C7A" w:rsidP="00E46C7A">
            <w:pPr>
              <w:tabs>
                <w:tab w:val="left" w:pos="2880"/>
                <w:tab w:val="left" w:pos="3600"/>
                <w:tab w:val="left" w:pos="5760"/>
              </w:tabs>
              <w:bidi/>
              <w:jc w:val="left"/>
              <w:rPr>
                <w:kern w:val="24"/>
                <w:sz w:val="20"/>
                <w:szCs w:val="20"/>
                <w:rtl/>
              </w:rPr>
            </w:pPr>
            <w:r>
              <w:rPr>
                <w:rFonts w:hint="cs"/>
                <w:kern w:val="24"/>
                <w:sz w:val="20"/>
                <w:szCs w:val="20"/>
                <w:rtl/>
              </w:rPr>
              <w:t>إزالة الهيدروفلوروكربون، تغييرات دنيا خلال الخدمة لدى العمل مع البدائل المدخلة تأثير الأنشطة الأولية في الخدمة وصعوبات القياس، وقطاع الخدمة المتوائم مع البدائل- وإدارة الجمارك وتعزيز مراكز التدريب.</w:t>
            </w:r>
          </w:p>
          <w:p w:rsidR="005A389C" w:rsidRPr="00574524" w:rsidRDefault="005A389C" w:rsidP="00E46C7A">
            <w:pPr>
              <w:tabs>
                <w:tab w:val="left" w:pos="2880"/>
                <w:tab w:val="left" w:pos="3600"/>
                <w:tab w:val="left" w:pos="5760"/>
              </w:tabs>
              <w:bidi/>
              <w:jc w:val="left"/>
              <w:rPr>
                <w:kern w:val="24"/>
                <w:sz w:val="20"/>
                <w:szCs w:val="20"/>
              </w:rPr>
            </w:pPr>
          </w:p>
        </w:tc>
        <w:tc>
          <w:tcPr>
            <w:tcW w:w="1418" w:type="pct"/>
            <w:shd w:val="clear" w:color="auto" w:fill="auto"/>
          </w:tcPr>
          <w:p w:rsidR="005A389C" w:rsidRPr="00574524" w:rsidRDefault="00E46C7A" w:rsidP="00E46C7A">
            <w:pPr>
              <w:tabs>
                <w:tab w:val="left" w:pos="2880"/>
                <w:tab w:val="left" w:pos="3600"/>
                <w:tab w:val="left" w:pos="5760"/>
              </w:tabs>
              <w:bidi/>
              <w:jc w:val="left"/>
              <w:rPr>
                <w:kern w:val="24"/>
                <w:sz w:val="20"/>
                <w:szCs w:val="20"/>
              </w:rPr>
            </w:pPr>
            <w:r>
              <w:rPr>
                <w:rFonts w:hint="cs"/>
                <w:kern w:val="24"/>
                <w:sz w:val="20"/>
                <w:szCs w:val="20"/>
                <w:rtl/>
              </w:rPr>
              <w:t>التقييم المستمر التغييرات الموقعة خلال الخدمة للعمل بأمان مع بعض البدائل المنخفضة القدرة على الاحترار العالمي يمكن أن تساعد بعض الأنشطة المعتادة من قطاع الخدمة في خطط إدارة إزالة المواد الهيدروكلوروفلوروكربونية في تيسير إدخال البدائل المنخفضة القدرة على الاحترار العالمي</w:t>
            </w:r>
          </w:p>
        </w:tc>
        <w:tc>
          <w:tcPr>
            <w:tcW w:w="1418" w:type="pct"/>
            <w:shd w:val="clear" w:color="auto" w:fill="auto"/>
            <w:tcMar>
              <w:top w:w="15" w:type="dxa"/>
              <w:left w:w="30" w:type="dxa"/>
              <w:bottom w:w="0" w:type="dxa"/>
              <w:right w:w="30" w:type="dxa"/>
            </w:tcMar>
          </w:tcPr>
          <w:p w:rsidR="00E46C7A" w:rsidRDefault="00E46C7A" w:rsidP="009524F4">
            <w:pPr>
              <w:tabs>
                <w:tab w:val="left" w:pos="2880"/>
                <w:tab w:val="left" w:pos="3600"/>
                <w:tab w:val="left" w:pos="5760"/>
              </w:tabs>
              <w:bidi/>
              <w:jc w:val="left"/>
              <w:rPr>
                <w:sz w:val="20"/>
                <w:szCs w:val="20"/>
                <w:rtl/>
              </w:rPr>
            </w:pPr>
            <w:r>
              <w:rPr>
                <w:rFonts w:hint="cs"/>
                <w:sz w:val="20"/>
                <w:szCs w:val="20"/>
                <w:rtl/>
              </w:rPr>
              <w:t>يتعين أن يكون للأنشطة في قطاع الخدمة الى أن يكون لها تأثير أوسع نطاقا والدعم بمرور الوقت لتعزيز عملية التطبيق الآمن للتكنولوجيات المنخفضة القدرة على الاحترار العالمي بما في ذلك إقامة النظم وتشغيلها وصيانتها وإزالة الوقف النهائي للنظم.</w:t>
            </w:r>
          </w:p>
          <w:p w:rsidR="005A389C" w:rsidRPr="00574524" w:rsidRDefault="005A389C" w:rsidP="00E46C7A">
            <w:pPr>
              <w:tabs>
                <w:tab w:val="left" w:pos="2880"/>
                <w:tab w:val="left" w:pos="3600"/>
                <w:tab w:val="left" w:pos="5760"/>
              </w:tabs>
              <w:bidi/>
              <w:jc w:val="left"/>
              <w:rPr>
                <w:kern w:val="24"/>
                <w:sz w:val="20"/>
                <w:szCs w:val="20"/>
              </w:rPr>
            </w:pPr>
          </w:p>
        </w:tc>
      </w:tr>
    </w:tbl>
    <w:p w:rsidR="005A389C" w:rsidRPr="00124771" w:rsidRDefault="005A389C" w:rsidP="009524F4">
      <w:pPr>
        <w:bidi/>
        <w:outlineLvl w:val="0"/>
      </w:pPr>
    </w:p>
    <w:p w:rsidR="008111AB" w:rsidRPr="00E35D84" w:rsidRDefault="008111AB" w:rsidP="009524F4">
      <w:pPr>
        <w:pStyle w:val="Heading1"/>
        <w:numPr>
          <w:ilvl w:val="0"/>
          <w:numId w:val="0"/>
        </w:numPr>
        <w:bidi/>
        <w:rPr>
          <w:sz w:val="26"/>
          <w:szCs w:val="26"/>
          <w:u w:val="single"/>
          <w:lang w:bidi="ar-EG"/>
        </w:rPr>
      </w:pPr>
      <w:r w:rsidRPr="00E35D84">
        <w:rPr>
          <w:rFonts w:hint="cs"/>
          <w:sz w:val="26"/>
          <w:szCs w:val="26"/>
          <w:u w:val="single"/>
          <w:rtl/>
          <w:lang w:bidi="ar-EG"/>
        </w:rPr>
        <w:t>المعوقات أمام التغلغل الأوسع نطاقا للتكنولوجيات البديلة المنخفضة القدرة على الاحترار العالمي</w:t>
      </w:r>
    </w:p>
    <w:p w:rsidR="008111AB" w:rsidRPr="00E35D84" w:rsidRDefault="008111AB" w:rsidP="009524F4">
      <w:pPr>
        <w:pStyle w:val="Heading1"/>
        <w:bidi/>
        <w:rPr>
          <w:sz w:val="26"/>
          <w:szCs w:val="26"/>
        </w:rPr>
      </w:pPr>
      <w:r w:rsidRPr="00E35D84">
        <w:rPr>
          <w:rFonts w:hint="cs"/>
          <w:sz w:val="26"/>
          <w:szCs w:val="26"/>
          <w:rtl/>
        </w:rPr>
        <w:t xml:space="preserve">علاوة على ذلك، أطلق تعديل كيغالي الحاجة الى اعتماد تكنولوجيا تعتمد على غازات التبريد المنخفضة القدرة على الاحترار العالمي على نطاق أوسع مما أثار قضايا تتعلق بالسلامة والتكاليف.فعلى سبيل المثال، فإن استخدام غازات التبريد القابلة للاشتعال بشحن غازات يزيد عن 150 غراما يتطلب تغييرات في المعايير فضلا عن احتياطيات </w:t>
      </w:r>
      <w:r w:rsidRPr="00E35D84">
        <w:rPr>
          <w:rFonts w:hint="cs"/>
          <w:sz w:val="26"/>
          <w:szCs w:val="26"/>
          <w:rtl/>
        </w:rPr>
        <w:lastRenderedPageBreak/>
        <w:t>إضافية للسلامة خلال التركيب والتشغيل والصيانة ووقف نظم التبريد باستخدام تلك التكنولوجيات. وتتضمن الأسباب الأخرى التي تحد من تطبيق هذه التكنولوجيات مايلي:</w:t>
      </w:r>
    </w:p>
    <w:p w:rsidR="008111AB" w:rsidRPr="00E35D84" w:rsidRDefault="008111AB" w:rsidP="009524F4">
      <w:pPr>
        <w:pStyle w:val="Heading2"/>
        <w:bidi/>
        <w:rPr>
          <w:sz w:val="26"/>
          <w:szCs w:val="26"/>
        </w:rPr>
      </w:pPr>
      <w:r w:rsidRPr="00E35D84">
        <w:rPr>
          <w:rFonts w:hint="cs"/>
          <w:sz w:val="26"/>
          <w:szCs w:val="26"/>
          <w:rtl/>
        </w:rPr>
        <w:t>نقص المعايير اللازمة لإدخال وتركيب المعدات الجديدة المعتمدة على غازات التبريد القابلة للاشتعال أو السامة، وتوفير الخدمة لها وصيانتها؛</w:t>
      </w:r>
    </w:p>
    <w:p w:rsidR="008111AB" w:rsidRPr="00E35D84" w:rsidRDefault="008111AB" w:rsidP="009524F4">
      <w:pPr>
        <w:pStyle w:val="Heading2"/>
        <w:bidi/>
        <w:rPr>
          <w:sz w:val="26"/>
          <w:szCs w:val="26"/>
        </w:rPr>
      </w:pPr>
      <w:r w:rsidRPr="00E35D84">
        <w:rPr>
          <w:rFonts w:hint="cs"/>
          <w:sz w:val="26"/>
          <w:szCs w:val="26"/>
          <w:rtl/>
        </w:rPr>
        <w:t>نقص المعايير اللازمة لنقل غازات التبريد بصورة سليمة ومدونات البناء؛</w:t>
      </w:r>
    </w:p>
    <w:p w:rsidR="008111AB" w:rsidRPr="00E35D84" w:rsidRDefault="008111AB" w:rsidP="009524F4">
      <w:pPr>
        <w:pStyle w:val="Heading2"/>
        <w:bidi/>
        <w:rPr>
          <w:sz w:val="26"/>
          <w:szCs w:val="26"/>
        </w:rPr>
      </w:pPr>
      <w:r w:rsidRPr="00E35D84">
        <w:rPr>
          <w:rFonts w:hint="cs"/>
          <w:sz w:val="26"/>
          <w:szCs w:val="26"/>
          <w:rtl/>
        </w:rPr>
        <w:t>نقص المعدات  الضرورية والأدوات الأساسية في ورش الصيانة؛</w:t>
      </w:r>
    </w:p>
    <w:p w:rsidR="008111AB" w:rsidRPr="00E35D84" w:rsidRDefault="008111AB" w:rsidP="009524F4">
      <w:pPr>
        <w:pStyle w:val="Heading2"/>
        <w:bidi/>
        <w:rPr>
          <w:sz w:val="26"/>
          <w:szCs w:val="26"/>
        </w:rPr>
      </w:pPr>
      <w:r w:rsidRPr="00E35D84">
        <w:rPr>
          <w:rFonts w:hint="cs"/>
          <w:sz w:val="26"/>
          <w:szCs w:val="26"/>
          <w:rtl/>
        </w:rPr>
        <w:t>بطء وتيرة التوافر التجاري، وتوافر بعض غازات التبريد أو المعدات العاملة بها.</w:t>
      </w:r>
    </w:p>
    <w:p w:rsidR="008111AB" w:rsidRPr="00E35D84" w:rsidRDefault="008111AB" w:rsidP="008111AB">
      <w:pPr>
        <w:pStyle w:val="Heading1"/>
        <w:bidi/>
        <w:rPr>
          <w:sz w:val="26"/>
          <w:szCs w:val="26"/>
        </w:rPr>
      </w:pPr>
      <w:r w:rsidRPr="00E35D84">
        <w:rPr>
          <w:rFonts w:hint="cs"/>
          <w:sz w:val="26"/>
          <w:szCs w:val="26"/>
          <w:rtl/>
        </w:rPr>
        <w:t>ولا يمكن في الوقت الحاضر التيقن مما إذا كان سيتوافر عدد كاف من الفنيين بالمهارات الدنيا اللازمة لخدمة القاعدة المتنامية من المعدات المتقدمة تكنولوجيا باستخدام طائفة واسعة من غازات التبريد التي تنطوي على خصائص تشغيل مختلفة تتعلق بالضغط والقابلية للاشتعال والسمية. ويتمثل التحدي الذي يواجه معاهد التدريب والصناعة واتحادات التبريد لتعزيز مهارات الفنيين لخمة وصيانة المعدات المتقدمة تكنولوجيا التي يجري إدخالها في الأسواق في أي الفنيين عادة موسميين ففي الموسم المنخفض (وقت الشتاء عادة) يبحث هؤلاء الفنيون عن فرص عمل أخرى ويميلون الى قضاء وقتهم المحدود خلال الموسم الكبير في تركيب وخدمة المعدات في التدريب. كذلك فإن الاتجاه في عدد من الفنيين الجدد الذين يدخلون سوق العمل آخذا في الانخفاض بالنظر الى أنه يبدو أن صناعة التبريد وتكييف الهواء أصبحت أقل جاذبية من التخصصات الأخرى مثل تكنولوجيا المعلومات والإلكترونيات.</w:t>
      </w:r>
    </w:p>
    <w:p w:rsidR="008111AB" w:rsidRPr="00E35D84" w:rsidRDefault="008111AB" w:rsidP="00C414AD">
      <w:pPr>
        <w:pStyle w:val="Heading1"/>
        <w:bidi/>
        <w:rPr>
          <w:color w:val="000000"/>
          <w:sz w:val="26"/>
          <w:szCs w:val="26"/>
          <w:lang w:val="en-CA" w:eastAsia="en-CA"/>
        </w:rPr>
      </w:pPr>
      <w:r w:rsidRPr="00E35D84">
        <w:rPr>
          <w:rFonts w:hint="cs"/>
          <w:color w:val="000000"/>
          <w:sz w:val="26"/>
          <w:szCs w:val="26"/>
          <w:rtl/>
          <w:lang w:val="en-CA" w:eastAsia="en-CA"/>
        </w:rPr>
        <w:t xml:space="preserve">وتعالج بلدان المادة 5 العديد من هذه المعوقات من خلال أنشطة أصبحت بصورة متزايدة مكونات عادية </w:t>
      </w:r>
      <w:r w:rsidR="00FB0CCE" w:rsidRPr="00E35D84">
        <w:rPr>
          <w:rFonts w:hint="cs"/>
          <w:color w:val="000000"/>
          <w:sz w:val="26"/>
          <w:szCs w:val="26"/>
          <w:rtl/>
          <w:lang w:val="en-CA" w:eastAsia="en-CA"/>
        </w:rPr>
        <w:t>من خطط إدارة إزالة المواد الهيدروكلوروفلوروكربونية مثل بناء قدرات مؤسسات التدريب</w:t>
      </w:r>
      <w:r w:rsidR="006862F2" w:rsidRPr="00E35D84">
        <w:rPr>
          <w:rFonts w:hint="cs"/>
          <w:color w:val="000000"/>
          <w:sz w:val="26"/>
          <w:szCs w:val="26"/>
          <w:rtl/>
          <w:lang w:val="en-CA" w:eastAsia="en-CA"/>
        </w:rPr>
        <w:t xml:space="preserve"> المحلية، وتركيز تدريب</w:t>
      </w:r>
      <w:r w:rsidR="00C414AD" w:rsidRPr="00E35D84">
        <w:rPr>
          <w:rFonts w:hint="cs"/>
          <w:color w:val="000000"/>
          <w:sz w:val="26"/>
          <w:szCs w:val="26"/>
          <w:rtl/>
          <w:lang w:val="en-CA" w:eastAsia="en-CA"/>
        </w:rPr>
        <w:t xml:space="preserve"> الفنيين على غازات التبريد القابلة للاشتعال و/أو السامة، و/أو ارتفاع ضغط غازات التبريد، ومراجعة مدونات الممارسات الجيدة، ووضع قواعد واعتماد المعايير المرتبطة بتركيب وخدمة مختلف نظم التدريب المعتمدة على الهيدروكربونات، واستخدام الحوافز، والمشروعات الإيضاحية للتكنولوجيا المتعلقة بغازات التبريد المنخفضة القدرة على الاحترار العالمي وبرامج استثارة الوعي.</w:t>
      </w:r>
    </w:p>
    <w:p w:rsidR="00C414AD" w:rsidRPr="00E35D84" w:rsidRDefault="00C414AD" w:rsidP="005D7A72">
      <w:pPr>
        <w:pStyle w:val="Heading1"/>
        <w:keepNext/>
        <w:numPr>
          <w:ilvl w:val="0"/>
          <w:numId w:val="0"/>
        </w:numPr>
        <w:bidi/>
        <w:rPr>
          <w:bCs/>
          <w:sz w:val="26"/>
          <w:szCs w:val="26"/>
          <w:rtl/>
        </w:rPr>
      </w:pPr>
      <w:r w:rsidRPr="00E35D84">
        <w:rPr>
          <w:rFonts w:hint="cs"/>
          <w:bCs/>
          <w:sz w:val="26"/>
          <w:szCs w:val="26"/>
          <w:rtl/>
        </w:rPr>
        <w:t>ثانيا-</w:t>
      </w:r>
      <w:r w:rsidRPr="00E35D84">
        <w:rPr>
          <w:rFonts w:hint="cs"/>
          <w:bCs/>
          <w:sz w:val="26"/>
          <w:szCs w:val="26"/>
          <w:rtl/>
        </w:rPr>
        <w:tab/>
        <w:t>تحليل القدرات المتوافرة المنشأة بالتمويل الموافق عليه لقطاع خدمة التبريد</w:t>
      </w:r>
    </w:p>
    <w:p w:rsidR="005D7A72" w:rsidRPr="00E35D84" w:rsidRDefault="00505666" w:rsidP="005D7A72">
      <w:pPr>
        <w:pStyle w:val="Heading1"/>
        <w:keepNext/>
        <w:bidi/>
        <w:rPr>
          <w:sz w:val="26"/>
          <w:szCs w:val="26"/>
        </w:rPr>
      </w:pPr>
      <w:r w:rsidRPr="00E35D84">
        <w:rPr>
          <w:rFonts w:hint="cs"/>
          <w:sz w:val="26"/>
          <w:szCs w:val="26"/>
          <w:rtl/>
        </w:rPr>
        <w:t>أنشئ</w:t>
      </w:r>
      <w:r w:rsidR="005D7A72" w:rsidRPr="00E35D84">
        <w:rPr>
          <w:rFonts w:hint="cs"/>
          <w:sz w:val="26"/>
          <w:szCs w:val="26"/>
          <w:rtl/>
        </w:rPr>
        <w:t xml:space="preserve"> الصندوق المتعدد الأطراف</w:t>
      </w:r>
      <w:r w:rsidR="00AB1092" w:rsidRPr="00E35D84">
        <w:rPr>
          <w:rFonts w:hint="cs"/>
          <w:sz w:val="26"/>
          <w:szCs w:val="26"/>
          <w:rtl/>
        </w:rPr>
        <w:t xml:space="preserve"> ليكون آلية تمويل لبروتوكول مونتريال لمساعدة بلدان المادة 5 على أن تكون في حالة امتثال لبروتوكول مونتريال وتعديلاته. ونظرا لأن المواد الخاضعة للرقابة تستخدم بواسطة جميع بلدان المادة 5 لخدمة وصيانة معدات التبريد، قدمت المساعدات التقنية والمالية لهذا القطاع منذ الاجتماع الرابع للجنة التنفيذية.</w:t>
      </w:r>
    </w:p>
    <w:p w:rsidR="00AB1092" w:rsidRPr="00E35D84" w:rsidRDefault="00284E33" w:rsidP="009524F4">
      <w:pPr>
        <w:pStyle w:val="Heading1"/>
        <w:bidi/>
        <w:rPr>
          <w:sz w:val="26"/>
          <w:szCs w:val="26"/>
        </w:rPr>
      </w:pPr>
      <w:r w:rsidRPr="00E35D84">
        <w:rPr>
          <w:rFonts w:hint="cs"/>
          <w:sz w:val="26"/>
          <w:szCs w:val="26"/>
          <w:rtl/>
        </w:rPr>
        <w:t>ومنذ ذلك الوقت، تتخذ اللجنة التنفيذية باستمرار المقررات لتعزيز هذه المساعدة، ومعالجة الاحتياجات والقضايا الناشئة في القطاع لتيسير امتثال بلدان المادة 5 لبروتوكول مونتريال، وعلاوة على ذلك، أجرت اللجنة التنفيذية بمقتضى برنامج عمل الرصد والتقييم في الصندوق المتعدد الأطراف دراسات نظرية، ودراسات حالة قطرية، وعمليات تقييم لقطاع خدمة التبريد، وعمليات تقييم للمشروعات المنفصلة (مثل نظم وقواعد التراخيص بالواردات والصادرات، وبرامج التدريب، ومخططات الاسترجاع وإعادة التدوير، وخطط إدارة غازات التبريد) لزيادة تقييم مدى قابلية مقرراتها في ظل الظروف السائدة في بلدان المادة 5، ولتقييم فعالية أنشطة التمويل في خفض انبعاثات المواد الخاضعة للرقابة في الغلاف الجوي، وكانت الدروس المستفادة من عمليات التقييم هذه والتوصيات الناشئة عنها تدرج بصورة مستمرة في قطاع خدمة التبريد قيد التنفيذ.</w:t>
      </w:r>
      <w:r w:rsidRPr="00E35D84">
        <w:rPr>
          <w:rStyle w:val="FootnoteReference"/>
          <w:sz w:val="26"/>
          <w:szCs w:val="26"/>
        </w:rPr>
        <w:t xml:space="preserve"> </w:t>
      </w:r>
      <w:r w:rsidRPr="00E35D84">
        <w:rPr>
          <w:rStyle w:val="FootnoteReference"/>
          <w:sz w:val="26"/>
          <w:szCs w:val="26"/>
        </w:rPr>
        <w:footnoteReference w:id="29"/>
      </w:r>
    </w:p>
    <w:p w:rsidR="00284E33" w:rsidRPr="00E35D84" w:rsidRDefault="00284E33" w:rsidP="009524F4">
      <w:pPr>
        <w:pStyle w:val="Heading1"/>
        <w:bidi/>
        <w:rPr>
          <w:sz w:val="26"/>
          <w:szCs w:val="26"/>
        </w:rPr>
      </w:pPr>
      <w:r w:rsidRPr="00E35D84">
        <w:rPr>
          <w:rFonts w:hint="cs"/>
          <w:sz w:val="26"/>
          <w:szCs w:val="26"/>
          <w:rtl/>
        </w:rPr>
        <w:lastRenderedPageBreak/>
        <w:t>وللعلم يتضمن المرفق الأول بهذه الوثيقة مقررات تتعلق بقطاع خدمة التبريد اعتمدتها اللجنة التنفيذية والأطراف، ويتضمن المرفق الثاني قائمة بعمليات التقييم ذات الصلة بهذا القطاع التي أجراها الصندوق المتعدد الأطراف.</w:t>
      </w:r>
    </w:p>
    <w:p w:rsidR="00284E33" w:rsidRPr="00E35D84" w:rsidRDefault="00284E33" w:rsidP="009524F4">
      <w:pPr>
        <w:keepNext/>
        <w:keepLines/>
        <w:bidi/>
        <w:rPr>
          <w:bCs/>
          <w:sz w:val="26"/>
          <w:szCs w:val="26"/>
          <w:rtl/>
        </w:rPr>
      </w:pPr>
      <w:r w:rsidRPr="00E35D84">
        <w:rPr>
          <w:rFonts w:hint="cs"/>
          <w:bCs/>
          <w:sz w:val="26"/>
          <w:szCs w:val="26"/>
          <w:rtl/>
        </w:rPr>
        <w:t xml:space="preserve">تعزيز القدرات الوطنية </w:t>
      </w:r>
    </w:p>
    <w:p w:rsidR="00924689" w:rsidRPr="00E35D84" w:rsidRDefault="00924689" w:rsidP="009524F4">
      <w:pPr>
        <w:keepNext/>
        <w:keepLines/>
        <w:bidi/>
        <w:rPr>
          <w:sz w:val="26"/>
          <w:szCs w:val="26"/>
        </w:rPr>
      </w:pPr>
    </w:p>
    <w:p w:rsidR="00284E33" w:rsidRPr="00E35D84" w:rsidRDefault="00284E33" w:rsidP="009524F4">
      <w:pPr>
        <w:pStyle w:val="Heading1"/>
        <w:keepNext/>
        <w:keepLines/>
        <w:bidi/>
        <w:rPr>
          <w:sz w:val="26"/>
          <w:szCs w:val="26"/>
        </w:rPr>
      </w:pPr>
      <w:r w:rsidRPr="00E35D84">
        <w:rPr>
          <w:rFonts w:hint="cs"/>
          <w:sz w:val="26"/>
          <w:szCs w:val="26"/>
          <w:rtl/>
        </w:rPr>
        <w:t>أدت الخبرات المتجمعة المكتسبة من تنفيذ المشروعات ذات الصلة بقطاع خدمة التبريد الى تعزيز القدرات الوطنية المشاركة في تلك المشروعات. وعلاوة على وحدات الأوزون الوطنية التي قدم لها التمويل المباشر بموجب "التعزيز المؤسسي"، وتم إنشاء أو تعزيز القدرات الوطنية ذات الصلة بسلطات الجمارك وإنفاذ القوانين، ومعاهد التعليم ومعاهد التدريب المعني لفنيي التدريب، وروابط فنيي التبريد وقدم أيضا بناء القدرات بصورة مباشرة بواسطة برنامج المساعدة على الامتثال من خلال مهام غرفة تبادل المعلومات، وعلى المستويات الإقليمية والعالمية من خلال اجتماعات الشبكات الإقليمية بالدرجة الأولى. ومنذ الاجتماع التاسع (مارس/ آذار 1993)، تعقد اجتماعات الشبكات الإقليمية على أساس سنوي.</w:t>
      </w:r>
    </w:p>
    <w:p w:rsidR="00284E33" w:rsidRPr="00E35D84" w:rsidRDefault="00284E33" w:rsidP="009524F4">
      <w:pPr>
        <w:pStyle w:val="Heading1"/>
        <w:bidi/>
        <w:rPr>
          <w:sz w:val="26"/>
          <w:szCs w:val="26"/>
        </w:rPr>
      </w:pPr>
      <w:r w:rsidRPr="00E35D84">
        <w:rPr>
          <w:rFonts w:hint="cs"/>
          <w:sz w:val="26"/>
          <w:szCs w:val="26"/>
          <w:rtl/>
        </w:rPr>
        <w:t xml:space="preserve">وخلال تنفيذ خطط إدارة إزالة المواد الهيدروكلوروفلوروكربونية على وجه الخصوص، وجد العديد من بلدان المادة 5 أن من المفيد لضمان الاستدامة الطويلة الأجل للأنشطة المقترحة ذات الصلة بقطاع خدمة التبريد من خلال </w:t>
      </w:r>
      <w:r w:rsidRPr="00E35D84">
        <w:rPr>
          <w:rFonts w:hint="cs"/>
          <w:i/>
          <w:iCs/>
          <w:sz w:val="26"/>
          <w:szCs w:val="26"/>
          <w:rtl/>
        </w:rPr>
        <w:t>عدة أمور</w:t>
      </w:r>
      <w:r w:rsidRPr="00E35D84">
        <w:rPr>
          <w:rFonts w:hint="cs"/>
          <w:sz w:val="26"/>
          <w:szCs w:val="26"/>
          <w:rtl/>
        </w:rPr>
        <w:t xml:space="preserve"> من بينها زيادة و/أو تعزيز القدرات والمؤسسات المحلية لتوفير برامج التدريب الشاملة لعدد كبير من فنيي التبريد أو موظفي الجمارك، وتعديل المناهج الدراسية لمعاهد التدريب، ومعاهد التدريب المهني و/أو سلطات الجمارك، ومراجعة وتحديث مدونة ممارسات الخدمة الجيدة، وإدخال نظم لاعتماد مهارات الفنيين على تنفيذ ممارسات التركيب والخدمة الجيدة، وتوسع نطاق التدريب لتغطية مناولة التكنولوجيات البديلة للمواد الهيدروكلوروفلوروكربونية وخاصة تلك المعتمدة على غازات التبريد القابلة للاشتعال، وتعزيز وتيسير اعتماد المعايير ذات الصلة بقطاع خدمة التبريد.</w:t>
      </w:r>
    </w:p>
    <w:p w:rsidR="00284E33" w:rsidRPr="00E35D84" w:rsidRDefault="00284E33" w:rsidP="005A472B">
      <w:pPr>
        <w:bidi/>
        <w:rPr>
          <w:bCs/>
          <w:sz w:val="26"/>
          <w:szCs w:val="26"/>
          <w:rtl/>
        </w:rPr>
      </w:pPr>
      <w:r w:rsidRPr="00E35D84">
        <w:rPr>
          <w:rFonts w:hint="cs"/>
          <w:bCs/>
          <w:sz w:val="26"/>
          <w:szCs w:val="26"/>
          <w:rtl/>
        </w:rPr>
        <w:t>دعم الإطار السياساتي والتنظيمي</w:t>
      </w:r>
    </w:p>
    <w:p w:rsidR="00C41BF0" w:rsidRPr="00E35D84" w:rsidRDefault="00C41BF0" w:rsidP="005A472B">
      <w:pPr>
        <w:bidi/>
        <w:rPr>
          <w:sz w:val="26"/>
          <w:szCs w:val="26"/>
        </w:rPr>
      </w:pPr>
    </w:p>
    <w:p w:rsidR="00284E33" w:rsidRPr="00E35D84" w:rsidRDefault="00284E33" w:rsidP="005A472B">
      <w:pPr>
        <w:pStyle w:val="Heading1"/>
        <w:bidi/>
        <w:rPr>
          <w:sz w:val="26"/>
          <w:szCs w:val="26"/>
        </w:rPr>
      </w:pPr>
      <w:r w:rsidRPr="00E35D84">
        <w:rPr>
          <w:rFonts w:hint="cs"/>
          <w:sz w:val="26"/>
          <w:szCs w:val="26"/>
          <w:rtl/>
        </w:rPr>
        <w:t xml:space="preserve">كان الإطار السياساتي والتنظيم الذي </w:t>
      </w:r>
      <w:r w:rsidR="00505666" w:rsidRPr="00E35D84">
        <w:rPr>
          <w:rFonts w:hint="cs"/>
          <w:sz w:val="26"/>
          <w:szCs w:val="26"/>
          <w:rtl/>
        </w:rPr>
        <w:t>أنشئ</w:t>
      </w:r>
      <w:r w:rsidRPr="00E35D84">
        <w:rPr>
          <w:rFonts w:hint="cs"/>
          <w:sz w:val="26"/>
          <w:szCs w:val="26"/>
          <w:rtl/>
        </w:rPr>
        <w:t xml:space="preserve"> بموجب الصندوق المتعدد الأطراف ذا فائدة خاصة في دعم أنشطة الإزالة في قطاع خدمة التبريد، وستزداد فائدة مع خفض المواد الهيدروفلوروكربون. ولذا فإن هذا القسم من الوثيقة بتناول الإطار بالتفصيل.</w:t>
      </w:r>
    </w:p>
    <w:p w:rsidR="00284E33" w:rsidRPr="00E35D84" w:rsidRDefault="00284E33" w:rsidP="005A472B">
      <w:pPr>
        <w:pStyle w:val="Heading1"/>
        <w:numPr>
          <w:ilvl w:val="0"/>
          <w:numId w:val="0"/>
        </w:numPr>
        <w:bidi/>
        <w:rPr>
          <w:sz w:val="26"/>
          <w:szCs w:val="26"/>
          <w:u w:val="single"/>
          <w:rtl/>
        </w:rPr>
      </w:pPr>
      <w:r w:rsidRPr="00E35D84">
        <w:rPr>
          <w:rFonts w:hint="cs"/>
          <w:sz w:val="26"/>
          <w:szCs w:val="26"/>
          <w:u w:val="single"/>
          <w:rtl/>
        </w:rPr>
        <w:t xml:space="preserve">الإطار التنظيمي الذي </w:t>
      </w:r>
      <w:r w:rsidR="00505666" w:rsidRPr="00E35D84">
        <w:rPr>
          <w:rFonts w:hint="cs"/>
          <w:sz w:val="26"/>
          <w:szCs w:val="26"/>
          <w:u w:val="single"/>
          <w:rtl/>
        </w:rPr>
        <w:t>أنشئ</w:t>
      </w:r>
      <w:r w:rsidRPr="00E35D84">
        <w:rPr>
          <w:rFonts w:hint="cs"/>
          <w:sz w:val="26"/>
          <w:szCs w:val="26"/>
          <w:u w:val="single"/>
          <w:rtl/>
        </w:rPr>
        <w:t xml:space="preserve"> خلال إزالة الكلوروفلوروكربون</w:t>
      </w:r>
    </w:p>
    <w:p w:rsidR="00284E33" w:rsidRPr="00E35D84" w:rsidRDefault="00284E33" w:rsidP="005A472B">
      <w:pPr>
        <w:pStyle w:val="Heading1"/>
        <w:bidi/>
        <w:rPr>
          <w:sz w:val="26"/>
          <w:szCs w:val="26"/>
        </w:rPr>
      </w:pPr>
      <w:r w:rsidRPr="00E35D84">
        <w:rPr>
          <w:rFonts w:hint="cs"/>
          <w:sz w:val="26"/>
          <w:szCs w:val="26"/>
          <w:rtl/>
        </w:rPr>
        <w:t xml:space="preserve">خفضت بلدان المادة 5 إمدادات المواد الخاضعة للرقابة بموجب البروتوكول من خلال فرض قيود على الواردات و/أو الصادرات وذلك أساسا من خلال نظم التراخيص والحصص، وعلاوة على ذلك، وضع العديد </w:t>
      </w:r>
      <w:r w:rsidR="005A472B" w:rsidRPr="00E35D84">
        <w:rPr>
          <w:rFonts w:hint="cs"/>
          <w:sz w:val="26"/>
          <w:szCs w:val="26"/>
          <w:rtl/>
        </w:rPr>
        <w:t>من البلدان أو في سبيله الى ذلك ضوابط على الواردات والصادرات حسب مقتضى الحال من معدات التبريد المعتمدة على المواد الخاضعة للرقابة للحد من زيادتها وخفض حجم القاعدة المقامة لهذه المعدات.</w:t>
      </w:r>
    </w:p>
    <w:p w:rsidR="005A472B" w:rsidRPr="00E35D84" w:rsidRDefault="005A472B" w:rsidP="009524F4">
      <w:pPr>
        <w:pStyle w:val="Heading1"/>
        <w:bidi/>
        <w:rPr>
          <w:sz w:val="26"/>
          <w:szCs w:val="26"/>
        </w:rPr>
      </w:pPr>
      <w:r w:rsidRPr="00E35D84">
        <w:rPr>
          <w:rFonts w:hint="cs"/>
          <w:sz w:val="26"/>
          <w:szCs w:val="26"/>
          <w:rtl/>
        </w:rPr>
        <w:t>وتزايدت فعالية هذه القيود على النحو المبين من تقارير التحقق المقدمة مع طلبات شريحة التمويل لخطط الإزالة التي استعرضتها الأمانة والتي تبين التحسينات الكبيرة في التنسيق بين وحدة الأوزون الوطنية، وهيئات إصدار التراخيص، وسلطات الجمارك والموردين. كما تحسنت بدرجة كبيرة عملية رصد الواردات من المواد الخاضعة للرقابة بموجب البروتوكول ويتزايد استخدام البلدان لقاعدة البيانات الكمبيوترية للجمارك.</w:t>
      </w:r>
    </w:p>
    <w:p w:rsidR="005A472B" w:rsidRPr="00E35D84" w:rsidRDefault="005A472B" w:rsidP="005A472B">
      <w:pPr>
        <w:pStyle w:val="Heading1"/>
        <w:tabs>
          <w:tab w:val="num" w:pos="720"/>
          <w:tab w:val="right" w:pos="5310"/>
        </w:tabs>
        <w:bidi/>
        <w:rPr>
          <w:sz w:val="26"/>
          <w:szCs w:val="26"/>
        </w:rPr>
      </w:pPr>
      <w:r w:rsidRPr="00E35D84">
        <w:rPr>
          <w:rFonts w:hint="cs"/>
          <w:sz w:val="26"/>
          <w:szCs w:val="26"/>
          <w:rtl/>
        </w:rPr>
        <w:lastRenderedPageBreak/>
        <w:t>وبغية دعم الإطار التنظيمي للمواد الخاضعة للرقابة بموجب البروتوكول وقوانين إنفاذه، قدمت مساعدات كبيرة  لتدريب موظفي الجمارك وغيرهم من موظفي الانفاذ. فعلى سبيل المثال، طلبت اللجنة التنفيذية خلال الاجتماع الثامن والأربعين (أبريل/ نيسان 2006)، من الوكالات الثنائية والمنفذة إعداد وتنفيذ خطط إزالة بطريقة تضمن، حيثما يمكن، تنفيذ التوصيات التالية:</w:t>
      </w:r>
    </w:p>
    <w:p w:rsidR="005A472B" w:rsidRPr="00E35D84" w:rsidRDefault="005A472B" w:rsidP="009524F4">
      <w:pPr>
        <w:pStyle w:val="Heading2"/>
        <w:bidi/>
        <w:ind w:left="1350"/>
        <w:rPr>
          <w:sz w:val="26"/>
          <w:szCs w:val="26"/>
        </w:rPr>
      </w:pPr>
      <w:r w:rsidRPr="00E35D84">
        <w:rPr>
          <w:rFonts w:hint="cs"/>
          <w:sz w:val="26"/>
          <w:szCs w:val="26"/>
          <w:rtl/>
        </w:rPr>
        <w:t xml:space="preserve">تطبيق قواعد بشأن خطط التراخيص بالصادرات، وفرض حظر عى بيع المواد الخاضعة للرقابة للشركات غير المرخص لها، وفرض قيود على الواردات من معدات التبريد وتكييف الهواء المعتمدة على غازات التبريد الخاضعة للرقابة، وتعيين موظفي الجمارك الذين يشاركون في لجان الأوزون، وتوقيع مذكرات تفاهم بين إدارة الجمارك ووحدة الأوزون الوطنية وإنشاء نقاط تركيز بشأن البيئة في الجمارك مع فرص الوصول لأعلى مستوى من هيكل الجمارك، وإشراك معاهد اعتماد الشهادات والتطبيع لتحديد المواد الخاضعة للرقابة في حالة وجود نقص في مرافق المختبرات المجهزة بصورة كافية في مكاتب الجمارك، وزيادة تفاصيل رموز الجمارك من خلال إضافة أرقام </w:t>
      </w:r>
      <w:r w:rsidR="005A2370" w:rsidRPr="00E35D84">
        <w:rPr>
          <w:rFonts w:hint="cs"/>
          <w:sz w:val="26"/>
          <w:szCs w:val="26"/>
          <w:rtl/>
        </w:rPr>
        <w:t>"الوصف المنسق للسلع"، ونظام الترميز (النظام المنسق) الذي تضعه منظمة الجمارك العالمية وتديره، وإبلاغ البلدان المستوردة بالشحنات المرخصة، ومراجعة ما إذا كان العملاء مدرجين في قائمة الموردين المعتمدين التي ستقدم للبلدان المستوردة على أسس منتظمة؛</w:t>
      </w:r>
    </w:p>
    <w:p w:rsidR="005A2370" w:rsidRPr="00E35D84" w:rsidRDefault="005A2370" w:rsidP="009524F4">
      <w:pPr>
        <w:pStyle w:val="Heading2"/>
        <w:bidi/>
        <w:ind w:left="1350"/>
        <w:rPr>
          <w:sz w:val="26"/>
          <w:szCs w:val="26"/>
        </w:rPr>
      </w:pPr>
      <w:r w:rsidRPr="00E35D84">
        <w:rPr>
          <w:rFonts w:hint="cs"/>
          <w:sz w:val="26"/>
          <w:szCs w:val="26"/>
          <w:rtl/>
        </w:rPr>
        <w:t>دعوة كبار الموظفين من إدارات الجمارك وغيرها من الإدارات الحكومية والوكلاء التجاريين والسماسرة المسؤولين عن إدارة الترخيص للشحنات الى حضور الندوات الدراسية لضمان التطبيق السليم لنظام التراخيص وتحديد المواد الخاضعة للرقابة، وضمان أن تتم مراحل تدريب المدربين، وتدريب موظفي الجمارك في تتابع سريع، وأن قاعدة بيانات المدربين النشطين والمتدربين تعمل بصورة عادية، والإسراع بإرسال نشرات التعرف على غازات التبريد الى إدارات الجمارك؛</w:t>
      </w:r>
    </w:p>
    <w:p w:rsidR="005A2370" w:rsidRPr="00E35D84" w:rsidRDefault="005A2370" w:rsidP="009524F4">
      <w:pPr>
        <w:pStyle w:val="Heading2"/>
        <w:bidi/>
        <w:ind w:left="1350"/>
        <w:rPr>
          <w:sz w:val="26"/>
          <w:szCs w:val="26"/>
        </w:rPr>
      </w:pPr>
      <w:r w:rsidRPr="00E35D84">
        <w:rPr>
          <w:rFonts w:hint="cs"/>
          <w:sz w:val="26"/>
          <w:szCs w:val="26"/>
          <w:rtl/>
        </w:rPr>
        <w:t>تنظيم حلقات دراسة عن التعاون الإقليمي بين موظفي الجمارك، ودعم عملية تنسيق التشريعات والإجراءات الجمركية بواسطة برنامج المساعدة على الامتثال في اليونيب، والترويج لإنشاء أطر إقليمية غير رسمية لموظفي الجمارك وتعديل أدلة التدريب لموظفي الجمارك لإضافة معلومات عن الضوابط الجمركية ورصد الاتجار غير الشرعي، وإقامة أدوات فحص (مثل أداة المراجعة الجمركية السريعة، والمعلنيين وقوائم المراجعة وقواعد البيانات) وضمان التوزيع الواسع على بلدان المادة 5.</w:t>
      </w:r>
    </w:p>
    <w:p w:rsidR="00023A26" w:rsidRPr="00E35D84" w:rsidRDefault="00023A26" w:rsidP="009524F4">
      <w:pPr>
        <w:bidi/>
        <w:rPr>
          <w:sz w:val="26"/>
          <w:szCs w:val="26"/>
          <w:u w:val="single"/>
          <w:rtl/>
        </w:rPr>
      </w:pPr>
      <w:r w:rsidRPr="00E35D84">
        <w:rPr>
          <w:rFonts w:hint="cs"/>
          <w:sz w:val="26"/>
          <w:szCs w:val="26"/>
          <w:u w:val="single"/>
          <w:rtl/>
        </w:rPr>
        <w:t>تعزيز الإطار التنظيمي خلال إزالة المواد الهيدروكلوروفلوروكربونية</w:t>
      </w:r>
    </w:p>
    <w:p w:rsidR="00E47FAF" w:rsidRPr="00E35D84" w:rsidRDefault="00E47FAF" w:rsidP="009524F4">
      <w:pPr>
        <w:bidi/>
        <w:rPr>
          <w:sz w:val="26"/>
          <w:szCs w:val="26"/>
        </w:rPr>
      </w:pPr>
    </w:p>
    <w:p w:rsidR="00023A26" w:rsidRPr="00E35D84" w:rsidRDefault="00023A26" w:rsidP="009524F4">
      <w:pPr>
        <w:pStyle w:val="Heading1"/>
        <w:bidi/>
        <w:rPr>
          <w:sz w:val="26"/>
          <w:szCs w:val="26"/>
        </w:rPr>
      </w:pPr>
      <w:r w:rsidRPr="00E35D84">
        <w:rPr>
          <w:rFonts w:hint="cs"/>
          <w:sz w:val="26"/>
          <w:szCs w:val="26"/>
          <w:rtl/>
        </w:rPr>
        <w:t>كانت بلدان المادة 5 والوكالات الثنائية والمنفذة تتبع جميع التوصيات الواردة أعلاه وفقا لظروف كل منها الخاصة. وفي هذا الصدد، فإن الإطار التنظيمي الذي وضع استخدم بالكامل في الإزالة المعجلة للمواد ا</w:t>
      </w:r>
      <w:r w:rsidR="00D621D0" w:rsidRPr="00E35D84">
        <w:rPr>
          <w:rFonts w:hint="cs"/>
          <w:sz w:val="26"/>
          <w:szCs w:val="26"/>
          <w:rtl/>
        </w:rPr>
        <w:t>لهيدروكلوروفلوروكربون على نحو وافقت عليه الأطراف.</w:t>
      </w:r>
    </w:p>
    <w:p w:rsidR="00D621D0" w:rsidRPr="00E35D84" w:rsidRDefault="00D621D0" w:rsidP="009524F4">
      <w:pPr>
        <w:pStyle w:val="Heading1"/>
        <w:bidi/>
        <w:rPr>
          <w:sz w:val="26"/>
          <w:szCs w:val="26"/>
        </w:rPr>
      </w:pPr>
      <w:r w:rsidRPr="00E35D84">
        <w:rPr>
          <w:rFonts w:hint="cs"/>
          <w:sz w:val="26"/>
          <w:szCs w:val="26"/>
          <w:rtl/>
        </w:rPr>
        <w:t>ويقدم التمويل اللازم لإدراج تدابير الرقابة على الهيدروكلوروفلوروكربون في التشريعات والقواعد ونظم التراخيص وذلك كجزء من التمويل الخاص بإعداد خطط إدارة إزالة المواد الهيدروكلوروفلوروكربونية بالنظر الى أن تأكيد تنفيذ هذه التدابير الخاصة بالرقابة كان شرطا للموافقة على التمويل لتنفيذ خطة إدارة إزالة المواد الهيدروكلوروفلوروكربونية (المقرر 54/39(</w:t>
      </w:r>
      <w:r w:rsidRPr="00E35D84">
        <w:rPr>
          <w:sz w:val="26"/>
          <w:szCs w:val="26"/>
          <w:rtl/>
        </w:rPr>
        <w:t>ھ</w:t>
      </w:r>
      <w:r w:rsidRPr="00E35D84">
        <w:rPr>
          <w:rFonts w:hint="cs"/>
          <w:sz w:val="26"/>
          <w:szCs w:val="26"/>
          <w:rtl/>
        </w:rPr>
        <w:t>)). وبغية مواصلة تعزيز نظام التراخيص والحصص، قررت اللجنة التنفيذية أن يتعين بالنسبة لجميع طلبات التمويل لخطط إدارة إزالة المواد الهيدروكلوروفلوروكربونية المقدمة اعتبارا من الاجتماع الثامن والستين (ديسمبر/ كانون أول 2012) فصاعدا، تلك تأكيد من الحكومة بأن نظاما وطنيا ساريا للتراخيص والحصص الخاصة بالواردات من الهيدروكلوروفلوروكربون، وحيثما يقتضي الحال، إنتاج هذه المادة وصادراتها، وأن النظام قادر على ضمان امتثال البلد للجدول الزمني لإزالة الهيدروكلوروفلوروكربون (المقرر 63/17).</w:t>
      </w:r>
    </w:p>
    <w:p w:rsidR="00D621D0" w:rsidRPr="00E35D84" w:rsidRDefault="00D621D0" w:rsidP="009524F4">
      <w:pPr>
        <w:pStyle w:val="Heading1"/>
        <w:widowControl w:val="0"/>
        <w:bidi/>
        <w:rPr>
          <w:sz w:val="26"/>
          <w:szCs w:val="26"/>
          <w:lang w:val="en-CA"/>
        </w:rPr>
      </w:pPr>
      <w:r w:rsidRPr="00E35D84">
        <w:rPr>
          <w:rFonts w:hint="cs"/>
          <w:sz w:val="26"/>
          <w:szCs w:val="26"/>
          <w:rtl/>
          <w:lang w:val="en-CA"/>
        </w:rPr>
        <w:lastRenderedPageBreak/>
        <w:t xml:space="preserve">وخلال تنفيذ خطط إدارة إزالة المواد </w:t>
      </w:r>
      <w:r w:rsidRPr="00E35D84">
        <w:rPr>
          <w:rFonts w:hint="cs"/>
          <w:sz w:val="26"/>
          <w:szCs w:val="26"/>
          <w:rtl/>
        </w:rPr>
        <w:t xml:space="preserve">الهيدروكلوروفلوروكربونية رأي العديد من بلدان المادة 5 أن من المفيد تطبيق تدابير رقابة تنظيمية بما في ذلك، </w:t>
      </w:r>
      <w:r w:rsidRPr="00E35D84">
        <w:rPr>
          <w:rFonts w:hint="cs"/>
          <w:i/>
          <w:iCs/>
          <w:sz w:val="26"/>
          <w:szCs w:val="26"/>
          <w:rtl/>
        </w:rPr>
        <w:t>ضمن جملة أمور</w:t>
      </w:r>
      <w:r w:rsidRPr="00E35D84">
        <w:rPr>
          <w:rFonts w:hint="cs"/>
          <w:sz w:val="26"/>
          <w:szCs w:val="26"/>
          <w:rtl/>
        </w:rPr>
        <w:t>، الإبلاغ الإلزامي عن الواردات والصادرات من الهيدروكلوروفلوروكربونية، وفرض حظر على السلنديرات "غير القابلة للعمل" (أي القابلة للتخلص) ورسوم على الواردات من الهيدروكلوروفلوروكربون، وتحديد خطة التراخيص لتشمل جميع غازات التبريد التي تستورد للبلد وتدابير الرقابة على انبعاثات هذه المادة والخيارات المتعلقة بمسك السجلات.</w:t>
      </w:r>
      <w:r w:rsidRPr="00E35D84">
        <w:rPr>
          <w:rStyle w:val="FootnoteReference"/>
          <w:sz w:val="26"/>
          <w:szCs w:val="26"/>
        </w:rPr>
        <w:t xml:space="preserve"> </w:t>
      </w:r>
      <w:r w:rsidRPr="00E35D84">
        <w:rPr>
          <w:rStyle w:val="FootnoteReference"/>
          <w:sz w:val="26"/>
          <w:szCs w:val="26"/>
        </w:rPr>
        <w:footnoteReference w:id="30"/>
      </w:r>
    </w:p>
    <w:p w:rsidR="00D621D0" w:rsidRPr="00E35D84" w:rsidRDefault="00D621D0" w:rsidP="009524F4">
      <w:pPr>
        <w:bidi/>
        <w:rPr>
          <w:sz w:val="26"/>
          <w:szCs w:val="26"/>
          <w:u w:val="single"/>
          <w:rtl/>
          <w:lang w:val="en-CA"/>
        </w:rPr>
      </w:pPr>
      <w:r w:rsidRPr="00E35D84">
        <w:rPr>
          <w:rFonts w:hint="cs"/>
          <w:sz w:val="26"/>
          <w:szCs w:val="26"/>
          <w:u w:val="single"/>
          <w:rtl/>
          <w:lang w:val="en-CA"/>
        </w:rPr>
        <w:t>الإطار التنظيمي بعد تعديل كيغالي</w:t>
      </w:r>
    </w:p>
    <w:p w:rsidR="00E47FAF" w:rsidRPr="00E35D84" w:rsidRDefault="00E47FAF" w:rsidP="009524F4">
      <w:pPr>
        <w:bidi/>
        <w:rPr>
          <w:sz w:val="26"/>
          <w:szCs w:val="26"/>
          <w:lang w:val="en-CA"/>
        </w:rPr>
      </w:pPr>
    </w:p>
    <w:p w:rsidR="00D621D0" w:rsidRPr="00E35D84" w:rsidRDefault="00D621D0" w:rsidP="009524F4">
      <w:pPr>
        <w:pStyle w:val="Heading1"/>
        <w:tabs>
          <w:tab w:val="num" w:pos="720"/>
        </w:tabs>
        <w:bidi/>
        <w:rPr>
          <w:sz w:val="26"/>
          <w:szCs w:val="26"/>
        </w:rPr>
      </w:pPr>
      <w:r w:rsidRPr="00E35D84">
        <w:rPr>
          <w:rFonts w:hint="cs"/>
          <w:sz w:val="26"/>
          <w:szCs w:val="26"/>
          <w:rtl/>
        </w:rPr>
        <w:t xml:space="preserve">سيتعين على بلدان المادة 5، في سياق خفض الهيدروفلوروكربون، أن تستعرض وتحدث و/أو مواصلة تطوير التشريعات بما في ذلك نظم التراخيص والحصص المعنية بالتصدير والاستيراد لإدراج المواد الهيدروفلوروكربون غير المدرجة الآن في النظام الموحد الحالي مما يتسبب في صعوبات لسلطات الجمارك في التعرف على </w:t>
      </w:r>
      <w:r w:rsidR="001C5B3E" w:rsidRPr="00E35D84">
        <w:rPr>
          <w:rFonts w:hint="cs"/>
          <w:sz w:val="26"/>
          <w:szCs w:val="26"/>
          <w:rtl/>
        </w:rPr>
        <w:t>الطابع غير الشرعي للواردات أو الصادرات من المواد الهيدروكلوروفلوروكربون، والمواد الهيدروفلوروكربون.</w:t>
      </w:r>
      <w:r w:rsidR="001C5B3E" w:rsidRPr="00E35D84">
        <w:rPr>
          <w:rStyle w:val="FootnoteReference"/>
          <w:sz w:val="26"/>
          <w:szCs w:val="26"/>
          <w:lang w:val="en-CA"/>
        </w:rPr>
        <w:t xml:space="preserve"> </w:t>
      </w:r>
      <w:r w:rsidR="001C5B3E" w:rsidRPr="00E35D84">
        <w:rPr>
          <w:rStyle w:val="FootnoteReference"/>
          <w:sz w:val="26"/>
          <w:szCs w:val="26"/>
          <w:lang w:val="en-CA"/>
        </w:rPr>
        <w:footnoteReference w:id="31"/>
      </w:r>
      <w:r w:rsidR="001C5B3E" w:rsidRPr="00E35D84">
        <w:rPr>
          <w:rFonts w:hint="cs"/>
          <w:sz w:val="26"/>
          <w:szCs w:val="26"/>
          <w:rtl/>
        </w:rPr>
        <w:t xml:space="preserve"> ويتسم استعراض الإطار التنظيمي بالسرعة الخاصة لتلك البلدان التي تصدق على تعديل كيغالي مثل الأول من يناير/ كانون الثاني 2019 حيث أنها ستحتاج الى إنشاء نظام للتراخيص للمواد الهيدروفلوروكربون بحلول 2018 لتحقيق متطلبات الإبلاغ بموجب المادة 7 من بروتوكول مونتريال. كما أن تزايد كمية وتباين المواد الخاضعة للرقابة التي تضمن جزءا كبيرا من خلائط الغازات فضلا عن قياس الامتثال لإنتاج واستهلاك الهيدروفلوروكربون بالأطنان المعادلة لثاني أكسيد الكربون سوف يتطلب عمليات تحديث وتعديل على محتويات تدريب موظفي الجمارك الحاليين ولتطبيق التراخيص والحصص على الواردات والصادرات من المواد الهيدروفلوروكربون.</w:t>
      </w:r>
    </w:p>
    <w:p w:rsidR="001C5B3E" w:rsidRPr="00E35D84" w:rsidRDefault="001C5B3E" w:rsidP="009524F4">
      <w:pPr>
        <w:pStyle w:val="Heading1"/>
        <w:bidi/>
        <w:rPr>
          <w:sz w:val="26"/>
          <w:szCs w:val="26"/>
          <w:lang w:val="en-CA"/>
        </w:rPr>
      </w:pPr>
      <w:r w:rsidRPr="00E35D84">
        <w:rPr>
          <w:rFonts w:hint="cs"/>
          <w:sz w:val="26"/>
          <w:szCs w:val="26"/>
          <w:rtl/>
          <w:lang w:val="en-CA"/>
        </w:rPr>
        <w:t>ونظرا للتنفيذ الموازي لإزالة الهيدروكلوروفلوروكربون وخفض الهيدروفلوروكربون، يمكن مواصلة تعزيز الإطار التنظيمي من خلال إدراج المواد الهيدروفلوروكربون تحت قواعد الهيدروكلوروفلوروكربون الحالية وخاصة تلك المتعلقة بالرقابة والرصد على التجارة (مثل نظام التراخيص والحصص للواردات، والإبلاغ بواسطة المستوردين، والحظر على سيلندران الهيدروفلوروكربون غير القابلة للملء، والحظر على بعض أنواع المعدات المعتمدة على الهيدروفلوروكربون ومسك السجلات بشأن بعض أنواع النظم المعتمدة على الهيدروفلوروكربون والرقابة على انبعاثات الهيدروفلوروكربون).</w:t>
      </w:r>
      <w:r w:rsidRPr="00E35D84">
        <w:rPr>
          <w:rStyle w:val="FootnoteReference"/>
          <w:sz w:val="26"/>
          <w:szCs w:val="26"/>
          <w:lang w:val="en-CA"/>
        </w:rPr>
        <w:t xml:space="preserve"> </w:t>
      </w:r>
      <w:r w:rsidRPr="00E35D84">
        <w:rPr>
          <w:rStyle w:val="FootnoteReference"/>
          <w:sz w:val="26"/>
          <w:szCs w:val="26"/>
          <w:lang w:val="en-CA"/>
        </w:rPr>
        <w:footnoteReference w:id="32"/>
      </w:r>
    </w:p>
    <w:p w:rsidR="001C5B3E" w:rsidRPr="00E35D84" w:rsidRDefault="001C5B3E" w:rsidP="009524F4">
      <w:pPr>
        <w:pStyle w:val="Heading1"/>
        <w:bidi/>
        <w:rPr>
          <w:sz w:val="26"/>
          <w:szCs w:val="26"/>
          <w:lang w:val="en-CA"/>
        </w:rPr>
      </w:pPr>
      <w:r w:rsidRPr="00E35D84">
        <w:rPr>
          <w:rFonts w:hint="cs"/>
          <w:sz w:val="26"/>
          <w:szCs w:val="26"/>
          <w:rtl/>
          <w:lang w:val="en-CA"/>
        </w:rPr>
        <w:t>ويستخدم العديد من البلدان غير العاملة بالمادة 5 التدابير التنظيمية لضمان تطبيق ممارسات التبريد الجيدة بصورة أوسع نطاقا وتعزيزا. فعلى سبيل المثال فإن الاعتماد والتدريب من الشروط المسبقة لكي يتولى الفنيون خدمة نظم التبريد، ويتعين على المنتجين والموزعين لغازات التبريد تلقى غازات التبريد المستعملة لإعادة تدويرها أو التخلص منها ويعتبر استرجاع غازات التبريد شرطا إلزاميا للفنيين المعتمدين.</w:t>
      </w:r>
    </w:p>
    <w:p w:rsidR="004601CD" w:rsidRPr="00E35D84" w:rsidRDefault="001C5B3E" w:rsidP="004601CD">
      <w:pPr>
        <w:pStyle w:val="Heading1"/>
        <w:bidi/>
        <w:rPr>
          <w:sz w:val="26"/>
          <w:szCs w:val="26"/>
        </w:rPr>
      </w:pPr>
      <w:r w:rsidRPr="00E35D84">
        <w:rPr>
          <w:rFonts w:hint="cs"/>
          <w:sz w:val="26"/>
          <w:szCs w:val="26"/>
          <w:rtl/>
        </w:rPr>
        <w:t>ونظرا أن الكثير من بدائل المواد الهيدروكلوروفلوروكربون والمواد الهيدروفلوروكربون مصنفة مع مستوى معين من القابلية للاشتعال،  ينبغي اعتماد القواعد ومدونات الممارسات والمعايير</w:t>
      </w:r>
      <w:r w:rsidR="00C3574B" w:rsidRPr="00E35D84">
        <w:rPr>
          <w:rStyle w:val="FootnoteReference"/>
          <w:sz w:val="26"/>
          <w:szCs w:val="26"/>
        </w:rPr>
        <w:footnoteReference w:id="33"/>
      </w:r>
      <w:r w:rsidRPr="00E35D84">
        <w:rPr>
          <w:rFonts w:hint="cs"/>
          <w:sz w:val="26"/>
          <w:szCs w:val="26"/>
          <w:rtl/>
        </w:rPr>
        <w:t xml:space="preserve"> لضمان</w:t>
      </w:r>
      <w:r w:rsidR="00C3574B" w:rsidRPr="00E35D84">
        <w:rPr>
          <w:rFonts w:hint="cs"/>
          <w:sz w:val="26"/>
          <w:szCs w:val="26"/>
          <w:rtl/>
        </w:rPr>
        <w:t xml:space="preserve"> التشغيل الآمن للمعدات المعتمدة على تلك البدائل، ومناولتها الآمنة وإدارتها بواسطة جميع أصحاب المصلحة المعنيين (مثل إدارات الجمارك، والمستور</w:t>
      </w:r>
      <w:r w:rsidR="00505666" w:rsidRPr="00E35D84">
        <w:rPr>
          <w:rFonts w:hint="cs"/>
          <w:sz w:val="26"/>
          <w:szCs w:val="26"/>
          <w:rtl/>
        </w:rPr>
        <w:t>د</w:t>
      </w:r>
      <w:r w:rsidR="00C3574B" w:rsidRPr="00E35D84">
        <w:rPr>
          <w:rFonts w:hint="cs"/>
          <w:sz w:val="26"/>
          <w:szCs w:val="26"/>
          <w:rtl/>
        </w:rPr>
        <w:t>ين، وورش الخدمة والفنيين). وقد ي</w:t>
      </w:r>
      <w:r w:rsidR="004601CD" w:rsidRPr="00E35D84">
        <w:rPr>
          <w:rFonts w:hint="cs"/>
          <w:sz w:val="26"/>
          <w:szCs w:val="26"/>
          <w:rtl/>
        </w:rPr>
        <w:t xml:space="preserve">فرض اعتماد هذه القواعد والمعايير من إدخال التكنولوجيات البديلة المنخفضة القدرة على الاحترار العالمي. فعلى سبيل المثال هناك من بين المعوقات التي حددها اليونيب أمام اعتماد </w:t>
      </w:r>
      <w:r w:rsidR="004601CD" w:rsidRPr="00E35D84">
        <w:rPr>
          <w:rFonts w:hint="cs"/>
          <w:sz w:val="26"/>
          <w:szCs w:val="26"/>
          <w:rtl/>
        </w:rPr>
        <w:lastRenderedPageBreak/>
        <w:t>المعايير تلك التي المتعلقة بما تنطوي عليه العملية من تعقيدات وطول، ونقص الخبرات، وعدم كفاية البنية التحتية المؤسسية، ونقص الروابط مع هيئات وضع المعايير الدولية والإقليمية، ومقاومة تعديل الممارسات والتكاليف المرتبطة بحصول صغار المنشئات على المعايير. وتستطيع وحدات الأوزون الوطنية توفير الدعم لهيئات التوحيد القياسي الوطنية لتيسير عملية وضع واعتماد وتحديث المعايير وتعزيز الروابط مع اتحادات التبريد وتكييف الهواء المحلية.</w:t>
      </w:r>
      <w:r w:rsidR="004601CD" w:rsidRPr="00E35D84">
        <w:rPr>
          <w:rStyle w:val="FootnoteReference"/>
          <w:sz w:val="26"/>
          <w:szCs w:val="26"/>
        </w:rPr>
        <w:t xml:space="preserve"> </w:t>
      </w:r>
      <w:r w:rsidR="004601CD" w:rsidRPr="00E35D84">
        <w:rPr>
          <w:rStyle w:val="FootnoteReference"/>
          <w:sz w:val="26"/>
          <w:szCs w:val="26"/>
        </w:rPr>
        <w:footnoteReference w:id="34"/>
      </w:r>
    </w:p>
    <w:p w:rsidR="004601CD" w:rsidRPr="00E35D84" w:rsidRDefault="004601CD" w:rsidP="009524F4">
      <w:pPr>
        <w:pStyle w:val="Heading1"/>
        <w:bidi/>
        <w:rPr>
          <w:sz w:val="26"/>
          <w:szCs w:val="26"/>
        </w:rPr>
      </w:pPr>
      <w:r w:rsidRPr="00E35D84">
        <w:rPr>
          <w:rFonts w:hint="cs"/>
          <w:sz w:val="26"/>
          <w:szCs w:val="26"/>
          <w:rtl/>
        </w:rPr>
        <w:t xml:space="preserve">وخلال الاجتماع الثاني والسبعين (مايو/ أيار 2014) شجعت اللجنة التنفيذية بلدان المادة 5 على أن تنظر لدى تنفيذ خططها لإدارة إزالة المواد الهيدروكلوروفلوروكربونية، حسب مقتضى الحال والممكن </w:t>
      </w:r>
      <w:r w:rsidRPr="00E35D84">
        <w:rPr>
          <w:rFonts w:hint="cs"/>
          <w:i/>
          <w:iCs/>
          <w:sz w:val="26"/>
          <w:szCs w:val="26"/>
          <w:rtl/>
        </w:rPr>
        <w:t>في جملة أمور</w:t>
      </w:r>
      <w:r w:rsidRPr="00E35D84">
        <w:rPr>
          <w:rFonts w:hint="cs"/>
          <w:sz w:val="26"/>
          <w:szCs w:val="26"/>
          <w:rtl/>
        </w:rPr>
        <w:t xml:space="preserve">، من بينها وضع قواعد ومدونات ممارسات، واعتماد المعايير المتعلقة بالتطبيق الآمن لغازات التبريد القابلة للاشتعال والسامة، وغازات التبريد التي </w:t>
      </w:r>
      <w:r w:rsidR="009E06ED" w:rsidRPr="00E35D84">
        <w:rPr>
          <w:rFonts w:hint="cs"/>
          <w:sz w:val="26"/>
          <w:szCs w:val="26"/>
          <w:rtl/>
        </w:rPr>
        <w:t>تعمل بدرجة شديدة من الضغط بالنظر الى المخاطر المحتملة للحوادث والآثار السلبية على الصحة المرتبطة باستخدامها، والنظر في تركيز الأنشطة في قطاع خدمة التبريد على تدريب الفنيين، والممارسات الجيدة، والمناولة الآمنة لغازات التبريد، واحتوائها، واسترجاعها وإعادة تدويرها، وإعادة استخدام غازات التبريد المسترجعة (المقرر 72/41). وقد اعتبر التدريب في مجالات تركيب وتشغيل وصيانة والتخلص من المعدات التي تستخدم المواد القابلة للاشتعال كأولوية خلال المرحلة الأولى من خطط إدارة إزالة المواد الهيدروكلوروفلوروكربونية في البلدان التي أصبحت فيها غازات التبريد هذه في الأسواق أو يتوقع أن يتم ذلك.</w:t>
      </w:r>
    </w:p>
    <w:p w:rsidR="009E06ED" w:rsidRPr="00E35D84" w:rsidRDefault="009E06ED" w:rsidP="009524F4">
      <w:pPr>
        <w:pStyle w:val="Heading1"/>
        <w:bidi/>
        <w:rPr>
          <w:sz w:val="26"/>
          <w:szCs w:val="26"/>
        </w:rPr>
      </w:pPr>
      <w:r w:rsidRPr="00E35D84">
        <w:rPr>
          <w:rFonts w:hint="cs"/>
          <w:sz w:val="26"/>
          <w:szCs w:val="26"/>
          <w:rtl/>
        </w:rPr>
        <w:t>وفي حال أن بعض الأنشطة المتعلقة باعتماد المعايير الوطنية لتيسير إدخال البدائل المنخفضة القدرة على الاحترار العالمي قد أدرجت في العديد من خطط إدارة إزالة المواد الهيدروكلوروفلوروكربون قيد التنفيذ، سيتعين القيام ببعض الأعمال الإضافية في هذا المجال في معظم بلدان المادة 5. وفي هذا الصدد، وافقت اللجنة التنفيذية خلال الاجتماع التاسع والسبعين (يوليه/ تموز 2017) على تمويل أنشطة تمكينية لدعم خفض المواد الهيدروفلوروكربونية (المقرر 70/46) تتضمن وأن يكن لها أنشطة تهدف الى تيسير ودعم التصديق وقت مبكر على تعديل كيغالي، والأنشطة التي تهدف الى المشروع في دعم الترتيبات المؤسسية، واستعراض نظم التراخيص، وإبلاغ بيانات الهيدروفلوروكربون، وإيضاح الأنشطة غير الاستثمارية والاستراتيجيات الوطنية. كما وافقت اللجنة التنفيذية على أنه يمكن تقديم التمويل اللازم لإعداد خطط خفض الهيدروفلوروكربون لتحقيق الخفض الأولي في أسرع وقت ممكن. أي خمس سنوات قبل هذه الالتزامات بعد أن يكون البلد قد صادق على تعديل كيغالي. وفي نفس الوقت الانتهاء من وضع الصيغة النهائية لهذه الوثيقة، كان 35 بلدا من بلدان المادة 5 قد صدق على تعديل كيغالي، وصنف جميعها في المجموعة الأولى. ويمكن لهذه البلدان أن تحصل على طلبات التمويل في وقت مبكر من عام 2019.</w:t>
      </w:r>
    </w:p>
    <w:p w:rsidR="008B110E" w:rsidRPr="00E35D84" w:rsidRDefault="009E06ED" w:rsidP="009524F4">
      <w:pPr>
        <w:widowControl w:val="0"/>
        <w:bidi/>
        <w:spacing w:after="240"/>
        <w:outlineLvl w:val="2"/>
        <w:rPr>
          <w:bCs/>
          <w:sz w:val="26"/>
          <w:szCs w:val="26"/>
        </w:rPr>
      </w:pPr>
      <w:r w:rsidRPr="00E35D84">
        <w:rPr>
          <w:rFonts w:hint="cs"/>
          <w:bCs/>
          <w:sz w:val="26"/>
          <w:szCs w:val="26"/>
          <w:rtl/>
        </w:rPr>
        <w:t>تدريب واعتماد الفنيين</w:t>
      </w:r>
    </w:p>
    <w:p w:rsidR="009E06ED" w:rsidRPr="00E35D84" w:rsidRDefault="00F85493" w:rsidP="00F85493">
      <w:pPr>
        <w:pStyle w:val="Heading1"/>
        <w:bidi/>
        <w:rPr>
          <w:sz w:val="26"/>
          <w:szCs w:val="26"/>
        </w:rPr>
      </w:pPr>
      <w:r w:rsidRPr="00E35D84">
        <w:rPr>
          <w:rFonts w:hint="cs"/>
          <w:sz w:val="26"/>
          <w:szCs w:val="26"/>
          <w:rtl/>
        </w:rPr>
        <w:t>قدم التدريب في أول الأمر للفنيين في شكل تدريب منفصل على ممارسات خدمة التنفيذ الجيد الذي كان يتضمن دورة لتدريب المدربين يعقبها تدريب الفنيين. وعلى الرغم من أن تغطية برامج التدريب كانت محدودة ولم يتم إجراء تقييم كمي للخفض في استهلاك الكلوروفلوروكربون الناتج عن ذلك،خلص التقييم الذي أجراه الصندوق المتعدد الأطراف الى أن تطبيق ممارسات خدمة التبريد الجيدة كان عاملا مهما في خفض انبعاثات الكلوروفلوروكربون في الغلاف الجوي،</w:t>
      </w:r>
      <w:r w:rsidRPr="00E35D84">
        <w:rPr>
          <w:sz w:val="26"/>
          <w:szCs w:val="26"/>
          <w:vertAlign w:val="superscript"/>
        </w:rPr>
        <w:footnoteReference w:id="35"/>
      </w:r>
      <w:r w:rsidRPr="00E35D84">
        <w:rPr>
          <w:rFonts w:hint="cs"/>
          <w:sz w:val="26"/>
          <w:szCs w:val="26"/>
          <w:rtl/>
        </w:rPr>
        <w:t xml:space="preserve"> والى أنه يتيح للبلدان أن تكون في حالة امتثال بهذه الالتزامات بموجب بروتوكول مونتريال. وعلازة على ذلك زادت برامج التدريب من التوعية بالحفظ والصيانة الوقائية واستبدال التكنولوجيا والإسهام في تحديث المناهج الدراسية بدورات مراكز التدريب.</w:t>
      </w:r>
    </w:p>
    <w:p w:rsidR="00F85493" w:rsidRPr="00E35D84" w:rsidRDefault="00F85493" w:rsidP="009524F4">
      <w:pPr>
        <w:pStyle w:val="Heading1"/>
        <w:bidi/>
        <w:rPr>
          <w:sz w:val="26"/>
          <w:szCs w:val="26"/>
        </w:rPr>
      </w:pPr>
      <w:r w:rsidRPr="00E35D84">
        <w:rPr>
          <w:rFonts w:hint="cs"/>
          <w:sz w:val="26"/>
          <w:szCs w:val="26"/>
          <w:rtl/>
        </w:rPr>
        <w:t>ونظر لأن برامج تدريب فنيي التبريد قد نشأت عن الأنشطة المنفصلة لتصبح عناصر أساسية من القطاع وخطط إزالة وطنية، زادت وحدات الأوزون الوطنية من مشاركتها المراكز الوطنية للتدريب المهني/ التدريب في تنفيذها وضمان إدراج الموضوعات المشمولة بالتدريب (مثل الممارسات الجيدة في مجال التبريد، والاستخدام السليم لغازات التبريد والقابلة للاشتعال) في المناهج الدراسية للمراكز.</w:t>
      </w:r>
    </w:p>
    <w:p w:rsidR="00F85493" w:rsidRPr="00E35D84" w:rsidRDefault="00F85493" w:rsidP="009524F4">
      <w:pPr>
        <w:pStyle w:val="Heading1"/>
        <w:bidi/>
        <w:rPr>
          <w:sz w:val="26"/>
          <w:szCs w:val="26"/>
        </w:rPr>
      </w:pPr>
      <w:r w:rsidRPr="00E35D84">
        <w:rPr>
          <w:rFonts w:hint="cs"/>
          <w:sz w:val="26"/>
          <w:szCs w:val="26"/>
          <w:rtl/>
        </w:rPr>
        <w:lastRenderedPageBreak/>
        <w:t>وقد أتاحت برامج تدريب واعتماد الفنيين التي نفذت حتى الآن للعديد من الب</w:t>
      </w:r>
      <w:r w:rsidR="00505666" w:rsidRPr="00E35D84">
        <w:rPr>
          <w:rFonts w:hint="cs"/>
          <w:sz w:val="26"/>
          <w:szCs w:val="26"/>
          <w:rtl/>
        </w:rPr>
        <w:t>لدان تعزيز مؤسساتها المحلية وتم</w:t>
      </w:r>
      <w:r w:rsidRPr="00E35D84">
        <w:rPr>
          <w:rFonts w:hint="cs"/>
          <w:sz w:val="26"/>
          <w:szCs w:val="26"/>
          <w:rtl/>
        </w:rPr>
        <w:t>ك</w:t>
      </w:r>
      <w:r w:rsidR="00505666" w:rsidRPr="00E35D84">
        <w:rPr>
          <w:rFonts w:hint="cs"/>
          <w:sz w:val="26"/>
          <w:szCs w:val="26"/>
          <w:rtl/>
        </w:rPr>
        <w:t>ي</w:t>
      </w:r>
      <w:r w:rsidRPr="00E35D84">
        <w:rPr>
          <w:rFonts w:hint="cs"/>
          <w:sz w:val="26"/>
          <w:szCs w:val="26"/>
          <w:rtl/>
        </w:rPr>
        <w:t>نها من توفير التدريب للفنيين على مستويات مختلفة من المهارة. كما  أوصت عملية تقييم برامج التدريب السابقة بدعم إنشاء نظم لاعتماد الفنيين. وانتقل الكثير من البلدان صوب إنشاء مخططات اعتماد طوعية بدعم من القواعد السائدة. غير أن تحويل هذه المخططات الى إلزامية ينطوي على تحديات كبيرة نظرا لأن هذا القرار يتجاوز سلطات وحدات الأوزون الوطنية (أي أنه مسألة تتعلق بوزارات التعليم و/أو العمل) ويتطلب المزيد من الأعمال المؤسسة. ويتمثل نهج بديل آخر نظر في بعض البلدان في إصدار تراخيص بيئية مما سيكون ضمن اختصاصات وزارات البيئة.</w:t>
      </w:r>
    </w:p>
    <w:p w:rsidR="00AC0102" w:rsidRPr="00E35D84" w:rsidRDefault="00AC0102" w:rsidP="009524F4">
      <w:pPr>
        <w:pStyle w:val="Heading1"/>
        <w:bidi/>
        <w:rPr>
          <w:sz w:val="26"/>
          <w:szCs w:val="26"/>
        </w:rPr>
      </w:pPr>
      <w:r w:rsidRPr="00E35D84">
        <w:rPr>
          <w:rFonts w:hint="cs"/>
          <w:sz w:val="26"/>
          <w:szCs w:val="26"/>
          <w:rtl/>
        </w:rPr>
        <w:t>وقد أوصى أحد أعمال التقييم لبرامج التدريب</w:t>
      </w:r>
      <w:r w:rsidRPr="00E35D84">
        <w:rPr>
          <w:sz w:val="26"/>
          <w:szCs w:val="26"/>
          <w:vertAlign w:val="superscript"/>
        </w:rPr>
        <w:footnoteReference w:id="36"/>
      </w:r>
      <w:r w:rsidRPr="00E35D84">
        <w:rPr>
          <w:rFonts w:hint="cs"/>
          <w:sz w:val="26"/>
          <w:szCs w:val="26"/>
          <w:rtl/>
        </w:rPr>
        <w:t xml:space="preserve"> بتعزيز الاتحادات وإشراكها بصورة أوفق في تنفيذ المشروع. وقد أدرجت هذه التوصية في خطط إدارة إزالة المواد الهيدروكلوروفلوروكربونية للعديد من بلدان المادة 5 مع نتائج إيجابية لدرجة أن بعض الحكومات عينت وعززت من اتحادات التبريد لتنفيذ نظام اعتماد الفنيين مما سيدر دخلا يسهم في توفير الاستدامة لها. وقد تأكدت هذه النتائج بفعل التقييم الجاري لقطاع خدمة التبريد وتكييف الهواء حيث أبرزت أهمية اتحادات التبريد باعتبارها صاحبة مصلحة في تصميم المشروع وتنفيذه وحيث أوصى بتعزيزها أو اقترح بشدة إنشائها في حالة عدم وجودها.</w:t>
      </w:r>
      <w:r w:rsidRPr="00E35D84">
        <w:rPr>
          <w:rStyle w:val="FootnoteReference"/>
          <w:sz w:val="26"/>
          <w:szCs w:val="26"/>
        </w:rPr>
        <w:t xml:space="preserve"> </w:t>
      </w:r>
      <w:r w:rsidRPr="00E35D84">
        <w:rPr>
          <w:rStyle w:val="FootnoteReference"/>
          <w:sz w:val="26"/>
          <w:szCs w:val="26"/>
        </w:rPr>
        <w:footnoteReference w:id="37"/>
      </w:r>
    </w:p>
    <w:p w:rsidR="0025501C" w:rsidRPr="00E35D84" w:rsidRDefault="0025501C" w:rsidP="009524F4">
      <w:pPr>
        <w:pStyle w:val="Heading1"/>
        <w:numPr>
          <w:ilvl w:val="0"/>
          <w:numId w:val="0"/>
        </w:numPr>
        <w:bidi/>
        <w:rPr>
          <w:sz w:val="26"/>
          <w:szCs w:val="26"/>
          <w:u w:val="single"/>
          <w:lang w:val="en-CA" w:bidi="ar-EG"/>
        </w:rPr>
      </w:pPr>
      <w:r w:rsidRPr="00E35D84">
        <w:rPr>
          <w:rFonts w:hint="cs"/>
          <w:sz w:val="26"/>
          <w:szCs w:val="26"/>
          <w:u w:val="single"/>
          <w:rtl/>
          <w:lang w:val="en-CA" w:bidi="ar-EG"/>
        </w:rPr>
        <w:t>استخدام قدرات التدريب التي أنشئت لخفض الهيدروفلوروكربون</w:t>
      </w:r>
    </w:p>
    <w:p w:rsidR="0025501C" w:rsidRPr="00E35D84" w:rsidRDefault="0025501C" w:rsidP="009524F4">
      <w:pPr>
        <w:pStyle w:val="Heading1"/>
        <w:bidi/>
        <w:rPr>
          <w:sz w:val="26"/>
          <w:szCs w:val="26"/>
        </w:rPr>
      </w:pPr>
      <w:r w:rsidRPr="00E35D84">
        <w:rPr>
          <w:rFonts w:hint="cs"/>
          <w:sz w:val="26"/>
          <w:szCs w:val="26"/>
          <w:rtl/>
        </w:rPr>
        <w:t>مع الإزالة المعجلة للمواد الهيدروكلوروفلوروكربون واعتماد تعديل كيغالي، زاد عدد وتنوع نظم التبريد وتكييف الهواء التي تعمل بغازات التبريد المنخفضة القدرة على الاحترار العالمي بصورة تدريجية. وفي هذا السياق، بدأ العديد من البلدان بالفعل في تعزيز المؤسسات والهيئات المحلية المشاركة في تدريب الفنيين واعتمادهم خلال تنفيذ خططها لإدارة إزالة المواد الهيدروكلوروفلوروكربون. وسوف يساعد ذلك في تهيئة الظروف لضمان أن يكون لدى الفنيين الذين يخدمون المعدات المعتمدة على غازات التبريد البديلة هذه على دراية ولديها المهارات والأدوات لتحقيق ذلك بطريقة آمنة وسليمة من الناحية البيئية.</w:t>
      </w:r>
    </w:p>
    <w:p w:rsidR="0025501C" w:rsidRPr="00E35D84" w:rsidRDefault="0025501C" w:rsidP="009524F4">
      <w:pPr>
        <w:pStyle w:val="Heading1"/>
        <w:bidi/>
        <w:rPr>
          <w:sz w:val="26"/>
          <w:szCs w:val="26"/>
        </w:rPr>
      </w:pPr>
      <w:r w:rsidRPr="00E35D84">
        <w:rPr>
          <w:rFonts w:hint="cs"/>
          <w:sz w:val="26"/>
          <w:szCs w:val="26"/>
          <w:rtl/>
        </w:rPr>
        <w:t>وأشادت الدروس المستفادة من المشروعات التي نفذت الى أن من الضروري أن يصبح التدريب ذاتي التمويل لضمان التغطية الأشمل بعد انتهاء المشروع والإسهام بصورة أفضل في إحداث التغيير المستمر في السلوك في قطاع التبريد.</w:t>
      </w:r>
    </w:p>
    <w:p w:rsidR="0025501C" w:rsidRPr="00E35D84" w:rsidRDefault="0025501C" w:rsidP="009524F4">
      <w:pPr>
        <w:pStyle w:val="Heading1"/>
        <w:bidi/>
        <w:rPr>
          <w:sz w:val="26"/>
          <w:szCs w:val="26"/>
        </w:rPr>
      </w:pPr>
      <w:r w:rsidRPr="00E35D84">
        <w:rPr>
          <w:rFonts w:hint="cs"/>
          <w:sz w:val="26"/>
          <w:szCs w:val="26"/>
          <w:rtl/>
        </w:rPr>
        <w:t xml:space="preserve">ولضمان الاستدامة الطويلة الأجل في ممارسات خدمة التبريد بعد المساعدات المقدمة من الصندوق المتعدد الأطراف، ينبغي إيلاء المزيد من الاهتمام، </w:t>
      </w:r>
      <w:r w:rsidRPr="00E35D84">
        <w:rPr>
          <w:rFonts w:hint="cs"/>
          <w:i/>
          <w:iCs/>
          <w:sz w:val="26"/>
          <w:szCs w:val="26"/>
          <w:rtl/>
        </w:rPr>
        <w:t>ضمن جملة أمور</w:t>
      </w:r>
      <w:r w:rsidRPr="00E35D84">
        <w:rPr>
          <w:rFonts w:hint="cs"/>
          <w:sz w:val="26"/>
          <w:szCs w:val="26"/>
          <w:rtl/>
        </w:rPr>
        <w:t>، للتحديث المستمر لمناهج التدريب في المؤسسات والمعاهد المهنية لإدراج التغييرات والارتقاء بالتكنولوجيا في نظم التبريد، وإدخال غازات تبريد بديلة، وتوسيع نطاق التدريب ليشمل أصحاب المصلحة الآخرين في سلسلة الإمداد بغازات التبريد والمعدات، والمستخدمين النهائيين، وتمديد شهادات الاعتماد لتشمل المنشئات المشاركة في تركيب وخدمة وصيانة، ووقف معدات التبريد مع ربط اعتماد شهادات الفنيين بالمعايير التنظيمية أو المعايير التي يطبقها البلد، وتحديد  عدد ومستويات اعتماد الفنيين وفقا للاحتياجات النوعية للبلد والنظر فيها إذا كان يتعين أن يكون اعتماد الفنيين إلزاميا، وضمان الكتلة الحرجة من الفنيين المعتمدين، وتعزيز وإشراك مؤسسات التبريد في تعزيز أو تنفيذ اعتماد الفنيين.</w:t>
      </w:r>
    </w:p>
    <w:p w:rsidR="0025501C" w:rsidRPr="00E35D84" w:rsidRDefault="0025501C" w:rsidP="00505666">
      <w:pPr>
        <w:pStyle w:val="Heading1"/>
        <w:bidi/>
        <w:rPr>
          <w:sz w:val="26"/>
          <w:szCs w:val="26"/>
          <w:lang w:val="en-US"/>
        </w:rPr>
      </w:pPr>
      <w:r w:rsidRPr="00E35D84">
        <w:rPr>
          <w:rFonts w:hint="cs"/>
          <w:sz w:val="26"/>
          <w:szCs w:val="26"/>
          <w:rtl/>
          <w:lang w:val="en-US"/>
        </w:rPr>
        <w:t>ويتمثل أحد الدروس التي يتعين مواصلة نظرها في إعداد الفنيين الذين بدون تدريب رسمي والذين لا يشكلون جزءا من ورش أو اتحادات الخدمة والذين غير مسجلين كفنيين، والذين لا يعملون عادة بصفة مستمرة في قطاع خدمة التبريد. فعلى سبيل المثال، جرى في ب</w:t>
      </w:r>
      <w:r w:rsidR="00505666" w:rsidRPr="00E35D84">
        <w:rPr>
          <w:rFonts w:hint="cs"/>
          <w:sz w:val="26"/>
          <w:szCs w:val="26"/>
          <w:rtl/>
          <w:lang w:val="en-US"/>
        </w:rPr>
        <w:t>ع</w:t>
      </w:r>
      <w:r w:rsidRPr="00E35D84">
        <w:rPr>
          <w:rFonts w:hint="cs"/>
          <w:sz w:val="26"/>
          <w:szCs w:val="26"/>
          <w:rtl/>
          <w:lang w:val="en-US"/>
        </w:rPr>
        <w:t xml:space="preserve">ض البلدان دعم هذا القطاع من خلال </w:t>
      </w:r>
      <w:r w:rsidRPr="00E35D84">
        <w:rPr>
          <w:rFonts w:hint="cs"/>
          <w:i/>
          <w:iCs/>
          <w:sz w:val="26"/>
          <w:szCs w:val="26"/>
          <w:rtl/>
          <w:lang w:val="en-US"/>
        </w:rPr>
        <w:t>جملة أمور</w:t>
      </w:r>
      <w:r w:rsidRPr="00E35D84">
        <w:rPr>
          <w:rFonts w:hint="cs"/>
          <w:sz w:val="26"/>
          <w:szCs w:val="26"/>
          <w:rtl/>
          <w:lang w:val="en-US"/>
        </w:rPr>
        <w:t xml:space="preserve"> من بينها التدريب وأنشطة استثارة الوعي التي تنفذ من خلال وسائل غير تقليدية (مثل الدورات القصيرة، وأشرطة الفيديو التي تحمل الى مواقع على الويب </w:t>
      </w:r>
      <w:r w:rsidR="002B1F7E" w:rsidRPr="00E35D84">
        <w:rPr>
          <w:rFonts w:hint="cs"/>
          <w:sz w:val="26"/>
          <w:szCs w:val="26"/>
          <w:rtl/>
          <w:lang w:val="en-US"/>
        </w:rPr>
        <w:t xml:space="preserve">و"أدوات" علمية لتحمل على الهواتف الجوالة وغير ذلك من الوسائل) و/أو من خلال مساعدات اتحادات </w:t>
      </w:r>
      <w:r w:rsidR="002B1F7E" w:rsidRPr="00E35D84">
        <w:rPr>
          <w:rFonts w:hint="cs"/>
          <w:sz w:val="26"/>
          <w:szCs w:val="26"/>
          <w:rtl/>
          <w:lang w:val="en-US"/>
        </w:rPr>
        <w:lastRenderedPageBreak/>
        <w:t>التبريد. ونظرا لتزايد تعقيد نظم التدريب وتكييف الهواء، سيتعين تعزيز المستويات الدنيا لمهارات ومعارف هؤلاء الفنيين.</w:t>
      </w:r>
    </w:p>
    <w:p w:rsidR="008B110E" w:rsidRDefault="002B1F7E" w:rsidP="000441B0">
      <w:pPr>
        <w:jc w:val="right"/>
        <w:rPr>
          <w:bCs/>
          <w:sz w:val="26"/>
          <w:szCs w:val="26"/>
          <w:rtl/>
        </w:rPr>
      </w:pPr>
      <w:r w:rsidRPr="00E35D84">
        <w:rPr>
          <w:rFonts w:hint="cs"/>
          <w:bCs/>
          <w:sz w:val="26"/>
          <w:szCs w:val="26"/>
          <w:rtl/>
        </w:rPr>
        <w:t>المساعدات التقنية بما في ذلك أدوات ومعدات الخدمة</w:t>
      </w:r>
    </w:p>
    <w:p w:rsidR="000441B0" w:rsidRPr="00E35D84" w:rsidRDefault="000441B0" w:rsidP="000441B0">
      <w:pPr>
        <w:jc w:val="right"/>
        <w:rPr>
          <w:bCs/>
          <w:sz w:val="26"/>
          <w:szCs w:val="26"/>
        </w:rPr>
      </w:pPr>
    </w:p>
    <w:p w:rsidR="002B1F7E" w:rsidRPr="00E35D84" w:rsidRDefault="002B1F7E" w:rsidP="009524F4">
      <w:pPr>
        <w:pStyle w:val="Heading1"/>
        <w:bidi/>
        <w:rPr>
          <w:sz w:val="26"/>
          <w:szCs w:val="26"/>
        </w:rPr>
      </w:pPr>
      <w:r w:rsidRPr="00E35D84">
        <w:rPr>
          <w:rFonts w:hint="cs"/>
          <w:sz w:val="26"/>
          <w:szCs w:val="26"/>
          <w:rtl/>
        </w:rPr>
        <w:t xml:space="preserve">تتمثل الأشكال الرئيسية </w:t>
      </w:r>
      <w:r w:rsidR="000441B0">
        <w:rPr>
          <w:rFonts w:hint="cs"/>
          <w:sz w:val="26"/>
          <w:szCs w:val="26"/>
          <w:rtl/>
        </w:rPr>
        <w:t xml:space="preserve">الثلاث </w:t>
      </w:r>
      <w:r w:rsidRPr="00E35D84">
        <w:rPr>
          <w:rFonts w:hint="cs"/>
          <w:sz w:val="26"/>
          <w:szCs w:val="26"/>
          <w:rtl/>
        </w:rPr>
        <w:t>للمساعدات التقنية في قطاع خدمة التبريد التي تحصل على الدعم من الصندوق المتعدد الأطراف في توفير أدوات الخدمة الأساسية للفنيين، ووضع مخططات للإسترجاع وإعادة التدوير أو الاسترجاع وإعادة التدوير والإصلاح لغازات التبريد وإعادة تهيئة المعدات واستبدالها.</w:t>
      </w:r>
    </w:p>
    <w:p w:rsidR="00C92FB8" w:rsidRPr="00E35D84" w:rsidRDefault="002B1F7E" w:rsidP="009524F4">
      <w:pPr>
        <w:keepNext/>
        <w:bidi/>
        <w:rPr>
          <w:sz w:val="26"/>
          <w:szCs w:val="26"/>
          <w:u w:val="single"/>
          <w:lang w:val="en-CA"/>
        </w:rPr>
      </w:pPr>
      <w:r w:rsidRPr="00E35D84">
        <w:rPr>
          <w:rFonts w:hint="cs"/>
          <w:sz w:val="26"/>
          <w:szCs w:val="26"/>
          <w:u w:val="single"/>
          <w:rtl/>
          <w:lang w:val="en-CA"/>
        </w:rPr>
        <w:t>أدوات الخدمة الأساسية للفنيين</w:t>
      </w:r>
    </w:p>
    <w:p w:rsidR="00C92FB8" w:rsidRPr="00E35D84" w:rsidRDefault="00C92FB8" w:rsidP="009524F4">
      <w:pPr>
        <w:keepNext/>
        <w:bidi/>
        <w:rPr>
          <w:sz w:val="26"/>
          <w:szCs w:val="26"/>
          <w:lang w:val="en-CA"/>
        </w:rPr>
      </w:pPr>
    </w:p>
    <w:p w:rsidR="002B1F7E" w:rsidRPr="00E35D84" w:rsidRDefault="002B1F7E" w:rsidP="009524F4">
      <w:pPr>
        <w:pStyle w:val="Heading1"/>
        <w:keepNext/>
        <w:bidi/>
        <w:rPr>
          <w:sz w:val="26"/>
          <w:szCs w:val="26"/>
          <w:lang w:val="en-CA"/>
        </w:rPr>
      </w:pPr>
      <w:r w:rsidRPr="00E35D84">
        <w:rPr>
          <w:rFonts w:hint="cs"/>
          <w:sz w:val="26"/>
          <w:szCs w:val="26"/>
          <w:rtl/>
          <w:lang w:val="en-CA"/>
        </w:rPr>
        <w:t>وزعت أدوات خدمة التبريد</w:t>
      </w:r>
      <w:r w:rsidRPr="00E35D84">
        <w:rPr>
          <w:rStyle w:val="FootnoteReference"/>
          <w:sz w:val="26"/>
          <w:szCs w:val="26"/>
          <w:lang w:val="en-CA"/>
        </w:rPr>
        <w:footnoteReference w:id="38"/>
      </w:r>
      <w:r w:rsidRPr="00E35D84">
        <w:rPr>
          <w:rFonts w:hint="cs"/>
          <w:sz w:val="26"/>
          <w:szCs w:val="26"/>
          <w:rtl/>
          <w:lang w:val="en-CA"/>
        </w:rPr>
        <w:t xml:space="preserve"> في معظم بلدان المادة 5 مما أتاح لعدد كبير من الفنيين تطبيق ممارسات الخدمة الجيدة. وتتباين مجموعات الأدوات الموزعة من بلد لآخر بحسب الأولويات المحلية، وأكثر أنواع المعدات التي تحصل على الخدمة شيوعا، وتوافر الميزانية، وعدد الفنيين المشمولين بالمساعدة. ونظر العديد من البلدان في استخدام المعدات وتطبيق الممارسات الجيدة في عمليات تنظيف دوائر التبريد. كما جرى توزيع أدوات إضافية لخدمة معدات التبريد</w:t>
      </w:r>
      <w:r w:rsidR="0095148A" w:rsidRPr="00E35D84">
        <w:rPr>
          <w:rStyle w:val="FootnoteReference"/>
          <w:sz w:val="26"/>
          <w:szCs w:val="26"/>
          <w:lang w:val="en-CA"/>
        </w:rPr>
        <w:footnoteReference w:id="39"/>
      </w:r>
      <w:r w:rsidRPr="00E35D84">
        <w:rPr>
          <w:rFonts w:hint="cs"/>
          <w:sz w:val="26"/>
          <w:szCs w:val="26"/>
          <w:rtl/>
          <w:lang w:val="en-CA"/>
        </w:rPr>
        <w:t xml:space="preserve"> العاملة بغازات تبريد قابلة للاشتعال وارتفاع الضغط و/أو ارتفاع سميتها.</w:t>
      </w:r>
    </w:p>
    <w:p w:rsidR="0095148A" w:rsidRPr="00E35D84" w:rsidRDefault="0095148A" w:rsidP="0095148A">
      <w:pPr>
        <w:bidi/>
        <w:rPr>
          <w:sz w:val="26"/>
          <w:szCs w:val="26"/>
          <w:u w:val="single"/>
        </w:rPr>
      </w:pPr>
      <w:r w:rsidRPr="00E35D84">
        <w:rPr>
          <w:rFonts w:hint="cs"/>
          <w:sz w:val="26"/>
          <w:szCs w:val="26"/>
          <w:u w:val="single"/>
          <w:rtl/>
        </w:rPr>
        <w:t>مخططات استرجاع غازات التبريد وإعادة تدويرها وإصلاحها</w:t>
      </w:r>
    </w:p>
    <w:p w:rsidR="008B110E" w:rsidRPr="00E35D84" w:rsidRDefault="008B110E" w:rsidP="009524F4">
      <w:pPr>
        <w:bidi/>
        <w:rPr>
          <w:sz w:val="26"/>
          <w:szCs w:val="26"/>
          <w:lang w:val="en-CA"/>
        </w:rPr>
      </w:pPr>
    </w:p>
    <w:p w:rsidR="0095148A" w:rsidRPr="00E35D84" w:rsidRDefault="0095148A" w:rsidP="009524F4">
      <w:pPr>
        <w:pStyle w:val="Heading1"/>
        <w:bidi/>
        <w:rPr>
          <w:sz w:val="26"/>
          <w:szCs w:val="26"/>
        </w:rPr>
      </w:pPr>
      <w:r w:rsidRPr="00E35D84">
        <w:rPr>
          <w:rFonts w:hint="cs"/>
          <w:sz w:val="26"/>
          <w:szCs w:val="26"/>
          <w:rtl/>
        </w:rPr>
        <w:t>كانت اللجنة التنفيذية توافق على مشروعات لاسترجاع وإعادة تدوير غازات التبريد منذ عام 1991 ويتباين مستوى البنية التحتية المنشأة من خلال مشروعات الاسترجاع وإعادة التدوير والإصلاح المنفذة تباينا شديدا من بلد لآخر. ففي بعض البلدان، كانت معدات الاسترجاع وإعادة التدوير والإصلاح لغازات التبريد المتعددة، في حين لم تكن تقدم في عديد من البلدان الأخرى سوى أدوات الخدمة بالنظر الى أن حجم غازات التبريد لم يكن يبرز عمليات الإصلاح.</w:t>
      </w:r>
    </w:p>
    <w:p w:rsidR="0095148A" w:rsidRPr="00E35D84" w:rsidRDefault="0095148A" w:rsidP="009524F4">
      <w:pPr>
        <w:pStyle w:val="Heading1"/>
        <w:bidi/>
        <w:rPr>
          <w:sz w:val="26"/>
          <w:szCs w:val="26"/>
        </w:rPr>
      </w:pPr>
      <w:r w:rsidRPr="00E35D84">
        <w:rPr>
          <w:rFonts w:hint="cs"/>
          <w:sz w:val="26"/>
          <w:szCs w:val="26"/>
          <w:rtl/>
        </w:rPr>
        <w:t>وحسب ما ورد توثيقه في عمليات التقييم السابقة،</w:t>
      </w:r>
      <w:r w:rsidRPr="00E35D84">
        <w:rPr>
          <w:sz w:val="26"/>
          <w:szCs w:val="26"/>
          <w:vertAlign w:val="superscript"/>
        </w:rPr>
        <w:footnoteReference w:id="40"/>
      </w:r>
      <w:r w:rsidRPr="00E35D84">
        <w:rPr>
          <w:rFonts w:hint="cs"/>
          <w:sz w:val="26"/>
          <w:szCs w:val="26"/>
          <w:rtl/>
        </w:rPr>
        <w:t xml:space="preserve"> تضمنت المسائل التي منعت التنفيذ الفعال لأول مشروعات استرجاع الكلوروفلوروكربون وإعادة تدويره ونقص القواعد التي تحول دون الانبعاثات القوية من المواد الخاضعة للرقابة عدم وجود نموذج اقتصادي مقترنا بانخفاض أسعار الكلوروفلوروكربون التي كانت سائدة خلال معظم فترة إزالة الكلوروفلوروكربون، نقص الوعي لدى الفنيين والمستخدمين النهائيين، وارتفاع تكاليف معدات الاسترجاع وإعادة التدوير ونقص الإمدادات (مثل الفلاتر) في الأسواق المحلية والمسائل اللوجستية (مثل وزن المعدات والمسافة، وصغر شحنات غازات التبريد التي سيتم استرجاعها) و</w:t>
      </w:r>
      <w:r w:rsidR="00AD392F" w:rsidRPr="00E35D84">
        <w:rPr>
          <w:rFonts w:hint="cs"/>
          <w:sz w:val="26"/>
          <w:szCs w:val="26"/>
          <w:rtl/>
        </w:rPr>
        <w:t>خفض نظم الرصد والإبلاغ المناسبة</w:t>
      </w:r>
      <w:r w:rsidRPr="00E35D84">
        <w:rPr>
          <w:rFonts w:hint="cs"/>
          <w:sz w:val="26"/>
          <w:szCs w:val="26"/>
          <w:rtl/>
        </w:rPr>
        <w:t>.</w:t>
      </w:r>
    </w:p>
    <w:p w:rsidR="00AD392F" w:rsidRPr="00E35D84" w:rsidRDefault="00AD392F" w:rsidP="009524F4">
      <w:pPr>
        <w:pStyle w:val="Heading1"/>
        <w:bidi/>
        <w:rPr>
          <w:sz w:val="26"/>
          <w:szCs w:val="26"/>
        </w:rPr>
      </w:pPr>
      <w:r w:rsidRPr="00E35D84">
        <w:rPr>
          <w:rFonts w:hint="cs"/>
          <w:sz w:val="26"/>
          <w:szCs w:val="26"/>
          <w:rtl/>
        </w:rPr>
        <w:t>ونظر العديد من البلدان من خلال الاستفادة من الخبرات المكتسبة من مشروعات الاسترجاع وإعادة مخططات الاسترجاع وإعادة التدوير عوامل إضافية لتعزيز فعالية الاسترجاع وإعادة التدوير والإصلاح. فعلى سبيل المثال إعادة وضع وحدات إعادة التدوير مع وحدات الإصلاح الأقل تكلفة نسبيا مما يمكن أن يضمن عودة غازات التبريد المعتمدة.</w:t>
      </w:r>
      <w:r w:rsidRPr="00E35D84">
        <w:rPr>
          <w:sz w:val="26"/>
          <w:szCs w:val="26"/>
          <w:vertAlign w:val="superscript"/>
        </w:rPr>
        <w:t xml:space="preserve"> </w:t>
      </w:r>
      <w:r w:rsidRPr="00E35D84">
        <w:rPr>
          <w:sz w:val="26"/>
          <w:szCs w:val="26"/>
          <w:vertAlign w:val="superscript"/>
        </w:rPr>
        <w:footnoteReference w:id="41"/>
      </w:r>
      <w:r w:rsidRPr="00E35D84">
        <w:rPr>
          <w:rFonts w:hint="cs"/>
          <w:sz w:val="26"/>
          <w:szCs w:val="26"/>
          <w:rtl/>
        </w:rPr>
        <w:t xml:space="preserve"> وفي بلدان أخرى، أنشئت مراكز الاسترجاع في منشئات أكبر مشاركة في عملية بيع غازات التبريد المعتمدة وليس في مراكز التدريب أو الهيئات الحكومية وفقا لنموذج أعمال، وبتمويل مشترك مع المنشئات المستفيدة. كما أنشئت </w:t>
      </w:r>
      <w:r w:rsidRPr="00E35D84">
        <w:rPr>
          <w:rFonts w:hint="cs"/>
          <w:sz w:val="26"/>
          <w:szCs w:val="26"/>
          <w:rtl/>
        </w:rPr>
        <w:lastRenderedPageBreak/>
        <w:t>وحدات إصلاح للعمل مع مختلف أنواع الغازات النقية أو المتضمنة في خلائط. وتحققت معدلات استرجاع أعلى للهيدركلوروفلوروكربون-22 نتيجة لكبر حجم الشحن الخاص بالمعدات المعتمدة على الهيدروكلوروفلوروكربون بالمقارنة بالمعدات العاملة بالكلوروفلوروكربون التي كانت تعالج في السابق.</w:t>
      </w:r>
    </w:p>
    <w:p w:rsidR="00AD392F" w:rsidRPr="00E35D84" w:rsidRDefault="00AD392F" w:rsidP="009524F4">
      <w:pPr>
        <w:pStyle w:val="Heading1"/>
        <w:bidi/>
        <w:rPr>
          <w:sz w:val="26"/>
          <w:szCs w:val="26"/>
        </w:rPr>
      </w:pPr>
      <w:r w:rsidRPr="00E35D84">
        <w:rPr>
          <w:rFonts w:hint="cs"/>
          <w:sz w:val="26"/>
          <w:szCs w:val="26"/>
          <w:rtl/>
        </w:rPr>
        <w:t>كما تبين أن جزءا كبيرا من غازات التبريد المسترجعة قد نشأ عن وقف استخدام المعدات التي وصلت الى مرحلة الاغلاق وفي تلك الحالات كانت المنشئات تعيد تدوير جميع عناصر المعدات مما أسفر عن زيادة في الدخل الذي يمكن أن يكون عملية إصلاح غازات التبريد وفي عدد قليل من البلدان كان مشروع الاسترجاع وإعادة التدوير (والإصلاح) بمشاركة برامج كفاءة استخدام الطاقة يهدف الى تبادل أجهزة التبريد المنزلية المعتمدة على الكلوروفلوروكربون القديمة وبدون كفاءة بأجهزة تتسم بكفاءة استخدام الطاقة مع كميات كبيرة من الكلوروفلوروكربون المسترجع (لإعادة الاستخدام هو التدمير بحسب الحالة السائدة أو يمكن بدلا من ذلك من تضمينها في الغلاف الجوي خلال التخلص من المعدات.</w:t>
      </w:r>
    </w:p>
    <w:p w:rsidR="00AD392F" w:rsidRPr="00E35D84" w:rsidRDefault="00AD392F" w:rsidP="009524F4">
      <w:pPr>
        <w:pStyle w:val="Heading1"/>
        <w:bidi/>
        <w:rPr>
          <w:sz w:val="26"/>
          <w:szCs w:val="26"/>
        </w:rPr>
      </w:pPr>
      <w:r w:rsidRPr="00E35D84">
        <w:rPr>
          <w:rFonts w:hint="cs"/>
          <w:sz w:val="26"/>
          <w:szCs w:val="26"/>
          <w:rtl/>
        </w:rPr>
        <w:t>وعلى الرغم من التقدم الذي تحقق حتى الآن، لاحظ أحدث تقييم لقطاع خدمة التبريد أن استدامة نظم الاسترجاع وإعادة التدوير والإصلاح مازالت تشكل تحديات نتيجة لعوامل مثل تكاليف اللوجستيات، وتكاليف العمل، ونقص المعدات المساعدة، ونقص الحوافز الاقتصادية للإصلاح بالنظر الى انخفاض تكاليف غازات التبريد الجديدة.</w:t>
      </w:r>
    </w:p>
    <w:p w:rsidR="006E6412" w:rsidRPr="00E35D84" w:rsidRDefault="00AD392F" w:rsidP="009524F4">
      <w:pPr>
        <w:pStyle w:val="Heading1"/>
        <w:numPr>
          <w:ilvl w:val="0"/>
          <w:numId w:val="0"/>
        </w:numPr>
        <w:bidi/>
        <w:rPr>
          <w:sz w:val="26"/>
          <w:szCs w:val="26"/>
          <w:u w:val="single"/>
        </w:rPr>
      </w:pPr>
      <w:r w:rsidRPr="00E35D84">
        <w:rPr>
          <w:rFonts w:hint="cs"/>
          <w:sz w:val="26"/>
          <w:szCs w:val="26"/>
          <w:u w:val="single"/>
          <w:rtl/>
        </w:rPr>
        <w:t>إعادة تهيئة المعدات واستبدالها</w:t>
      </w:r>
    </w:p>
    <w:p w:rsidR="00505666" w:rsidRPr="00E35D84" w:rsidRDefault="00505666" w:rsidP="009524F4">
      <w:pPr>
        <w:pStyle w:val="Heading1"/>
        <w:bidi/>
        <w:rPr>
          <w:sz w:val="26"/>
          <w:szCs w:val="26"/>
        </w:rPr>
      </w:pPr>
      <w:r w:rsidRPr="00E35D84">
        <w:rPr>
          <w:rFonts w:hint="cs"/>
          <w:sz w:val="26"/>
          <w:szCs w:val="26"/>
          <w:rtl/>
        </w:rPr>
        <w:t>اعتمدت المبادئ التوجيهية لتحويل المستخدمين النهائيين في قطاع التبريد التجاري خلال الاجتماع الثامن والعشرين (يوليه/ تموز 1999)،</w:t>
      </w:r>
      <w:r w:rsidRPr="00E35D84">
        <w:rPr>
          <w:rStyle w:val="FootnoteReference"/>
          <w:sz w:val="26"/>
          <w:szCs w:val="26"/>
        </w:rPr>
        <w:t xml:space="preserve"> </w:t>
      </w:r>
      <w:r w:rsidRPr="00E35D84">
        <w:rPr>
          <w:rStyle w:val="FootnoteReference"/>
          <w:sz w:val="26"/>
          <w:szCs w:val="26"/>
        </w:rPr>
        <w:footnoteReference w:id="42"/>
      </w:r>
      <w:r w:rsidRPr="00E35D84">
        <w:rPr>
          <w:rFonts w:hint="cs"/>
          <w:sz w:val="26"/>
          <w:szCs w:val="26"/>
          <w:rtl/>
        </w:rPr>
        <w:t xml:space="preserve"> وسمح خلال الاجتماع الثاني والثلاثين (ديسمبر/ كانون أول 2000) ببرامج تحفيزية للتشجيع على إعادة تهيئة معدات التبريد. وأظهر التقييم الذي أجرى لخطط إدارة إزالة المواد الهيدروكلوروفلوروكربونية في 2009 أن هذه البرامج التحفيزية قد عملت بصورة جيدة في الأماكن التي كانت أسعار الكلوروفلوروكربون فيها ترتفع بسرعة مقابل خلفية من السعار المستقرة للبدائل المتوافرة. كما اضطلعت الفروق السعرية ومستوى الحوافز والأنشطة ذات الصلة بوحدات الأوزون الوطنية بدور كبير.</w:t>
      </w:r>
    </w:p>
    <w:p w:rsidR="00F32EDC" w:rsidRPr="00E35D84" w:rsidRDefault="00F32EDC" w:rsidP="009524F4">
      <w:pPr>
        <w:pStyle w:val="Heading1"/>
        <w:bidi/>
        <w:rPr>
          <w:sz w:val="26"/>
          <w:szCs w:val="26"/>
        </w:rPr>
      </w:pPr>
      <w:r w:rsidRPr="00E35D84">
        <w:rPr>
          <w:rFonts w:hint="cs"/>
          <w:sz w:val="26"/>
          <w:szCs w:val="26"/>
          <w:rtl/>
        </w:rPr>
        <w:t>ولدى تطبيق مبادئ المقرر 28/44 بشأن المواد الهيدروكلوروفلوروكربونية، كانت الظروف ذات الصلة التي ينبغي أن تسود قبل منح الأولوية لأنشطة تحويل المستخدمين النهائيي هي: (أ) توافر الرقابة على الإنتاج والواردات من المواد الهيدروكلوروفلوروكربونية، والمعدات المعتمدة على الهيدروكلوروفلوروكربون وإنفاذها بفعالية، وتقييد وضع عناصر جديدة للهيدروكلوروفلوروكربون (ب) إن الاستهلاك الرئيسي المتبقي في البلد يتعلق بخدمة معدات التبريد وتكييف الهواء (ج) إن أنشطة محتملة أخرى لن تتيح للبلد يحقق التزاماته بالرقابة على الهيدروملوروفلوروكربون أو أن الأسعار المقارنة للمواد الهيدروكلوروفلوروكربونية مقابل غازات التبريد البديلة كانت مرتفعة ويتوقع أن تواصل ارتفاعها (د) وضع مدونات الممارسات والمعايير لاستخدام غازات التبريد القابلة للاشتعال، وأن الفنيين الذين يخدمون المعدات قد حصلوا على التدريب والاعتماد.</w:t>
      </w:r>
    </w:p>
    <w:p w:rsidR="00F32EDC" w:rsidRPr="00E35D84" w:rsidRDefault="00F32EDC" w:rsidP="00D11F69">
      <w:pPr>
        <w:pStyle w:val="Heading1"/>
        <w:bidi/>
        <w:spacing w:after="160"/>
        <w:rPr>
          <w:sz w:val="26"/>
          <w:szCs w:val="26"/>
        </w:rPr>
      </w:pPr>
      <w:r w:rsidRPr="00E35D84">
        <w:rPr>
          <w:rFonts w:hint="cs"/>
          <w:sz w:val="26"/>
          <w:szCs w:val="26"/>
          <w:rtl/>
        </w:rPr>
        <w:t>وفي نفس اوقت فإن غازات التبريد البديلة المتوافرة</w:t>
      </w:r>
      <w:r w:rsidRPr="00E35D84">
        <w:rPr>
          <w:sz w:val="26"/>
          <w:szCs w:val="26"/>
          <w:vertAlign w:val="superscript"/>
        </w:rPr>
        <w:footnoteReference w:id="43"/>
      </w:r>
      <w:r w:rsidRPr="00E35D84">
        <w:rPr>
          <w:rFonts w:hint="cs"/>
          <w:sz w:val="26"/>
          <w:szCs w:val="26"/>
          <w:rtl/>
        </w:rPr>
        <w:t xml:space="preserve"> التي تناسب إعادة التهيئة هي غازات تبريد مرتفعة القدرة على الاحترار العالمي مما لا يمثل أي تحسن في انبعاثات غازات التبريد أو تحسين في استخدام الطاقة. ولدى </w:t>
      </w:r>
      <w:r w:rsidRPr="00E35D84">
        <w:rPr>
          <w:rFonts w:hint="cs"/>
          <w:sz w:val="26"/>
          <w:szCs w:val="26"/>
          <w:rtl/>
        </w:rPr>
        <w:lastRenderedPageBreak/>
        <w:t xml:space="preserve">المعدات المعتمدة على الهيدروكلوروفلوروكربون، في جميع الأحوال تقريبا، كفاءة كامنة مرتفعة بالمقارنة بغازات التبريد العاد تهيئتها المحتملة. وعلى ذلك شجعت اللجنة التنفيذية بلدان المادة 5 على أن تنظر، لدى تنفيذ خططها الإدارة إزالة المواد الهيدروكلوروفلوروكربونية، </w:t>
      </w:r>
      <w:r w:rsidRPr="00E35D84">
        <w:rPr>
          <w:rFonts w:hint="cs"/>
          <w:i/>
          <w:iCs/>
          <w:sz w:val="26"/>
          <w:szCs w:val="26"/>
          <w:rtl/>
        </w:rPr>
        <w:t>ضمن جملة أمور</w:t>
      </w:r>
      <w:r w:rsidRPr="00E35D84">
        <w:rPr>
          <w:rFonts w:hint="cs"/>
          <w:sz w:val="26"/>
          <w:szCs w:val="26"/>
          <w:rtl/>
        </w:rPr>
        <w:t>، في تركيز أنشطتها في قطاع خدمة التبريد على تدريب الفنيين، والممارسات الجيدة، والمناولة الآمنة لغازات التبريد، والاحتواء والاسترجاع وإعادة التدوير وإعادة استخدام غازات التبريد المسترجعة وليس على إعادة تهيئتها (المقرر 72/41(ج)(3).</w:t>
      </w:r>
    </w:p>
    <w:p w:rsidR="00F32EDC" w:rsidRPr="00E35D84" w:rsidRDefault="002424F8" w:rsidP="00D11F69">
      <w:pPr>
        <w:pStyle w:val="Heading1"/>
        <w:bidi/>
        <w:spacing w:after="160"/>
        <w:rPr>
          <w:sz w:val="26"/>
          <w:szCs w:val="26"/>
        </w:rPr>
      </w:pPr>
      <w:r w:rsidRPr="00E35D84">
        <w:rPr>
          <w:rFonts w:hint="cs"/>
          <w:sz w:val="26"/>
          <w:szCs w:val="26"/>
          <w:rtl/>
        </w:rPr>
        <w:t xml:space="preserve">أبلغ أثناء تنفيذ خطط إزالة إزالة المواد الهيدروكلوروفلوروكربونية بأن يجري استخدام </w:t>
      </w:r>
      <w:r w:rsidRPr="00E35D84">
        <w:rPr>
          <w:sz w:val="26"/>
          <w:szCs w:val="26"/>
        </w:rPr>
        <w:t>R-290</w:t>
      </w:r>
      <w:r w:rsidRPr="00E35D84">
        <w:rPr>
          <w:rFonts w:hint="cs"/>
          <w:sz w:val="26"/>
          <w:szCs w:val="26"/>
          <w:rtl/>
        </w:rPr>
        <w:t xml:space="preserve"> في العديد من بلدان المادة 5 لإعادة التهيئة والتشغيل و/أو ملء المعدات المعتمدة على الهيدروكلوروفلوروكربون-22. ويبدو أن ظروف السوق قد تكون ملائمة لهذه الممارسة حيث أنها تنفذ خارج خطط إدارة إزالة المواد الهيدروكلوروفلوروكربونية وأثارت عوامل قلق شديدة بشأن الاستخدام الآمن لغازات التبريد القابلة للاشتعال في نظم صممت لغازات التبريد غير القابلة للاشتعال والمخاطر المتعلقة بذلك على الفنيين والمستخدمين النهائيين.</w:t>
      </w:r>
      <w:r w:rsidRPr="00E35D84">
        <w:rPr>
          <w:rStyle w:val="FootnoteReference"/>
          <w:sz w:val="26"/>
          <w:szCs w:val="26"/>
        </w:rPr>
        <w:t xml:space="preserve"> </w:t>
      </w:r>
      <w:r w:rsidRPr="00E35D84">
        <w:rPr>
          <w:rStyle w:val="FootnoteReference"/>
          <w:sz w:val="26"/>
          <w:szCs w:val="26"/>
        </w:rPr>
        <w:footnoteReference w:id="44"/>
      </w:r>
      <w:r w:rsidRPr="00E35D84">
        <w:rPr>
          <w:rFonts w:hint="cs"/>
          <w:sz w:val="26"/>
          <w:szCs w:val="26"/>
          <w:rtl/>
        </w:rPr>
        <w:t xml:space="preserve"> واستجابة لهذه الممارسة أشارت اللجنة التنفيذية الى أنه إذا كان البلد العامل في إعادة تهيئة معدات للتبريد وتكييف الهواء المعتمدة على الهيدروكلوروفلوروكربون يتحول الى التبريد القابل للاشتعال أو السام والخدمة المتصلة بها بمساعدة من الصندوق، على البلد أن يفعل ذلك على أساس الفهم بأنه يتحمل جميع المسؤوليات والمخاطر المرتبطة بذلك، وأنه يتعين أن لا تتم عملية إعادة التهيئة إلاّ وفقا للمعايير والبروتوكولات ذات الصلة (المقرران 72/17 و73/34).</w:t>
      </w:r>
    </w:p>
    <w:p w:rsidR="00EC75F4" w:rsidRPr="00E35D84" w:rsidRDefault="002424F8" w:rsidP="00D11F69">
      <w:pPr>
        <w:bidi/>
        <w:spacing w:after="160"/>
        <w:rPr>
          <w:sz w:val="26"/>
          <w:szCs w:val="26"/>
          <w:u w:val="single"/>
        </w:rPr>
      </w:pPr>
      <w:r w:rsidRPr="00E35D84">
        <w:rPr>
          <w:rFonts w:hint="cs"/>
          <w:sz w:val="26"/>
          <w:szCs w:val="26"/>
          <w:u w:val="single"/>
          <w:rtl/>
        </w:rPr>
        <w:t>القطاع الفرعي للتجميع والتركيب والشحن</w:t>
      </w:r>
    </w:p>
    <w:p w:rsidR="00EC75F4" w:rsidRPr="00E35D84" w:rsidRDefault="00EC75F4" w:rsidP="00D11F69">
      <w:pPr>
        <w:bidi/>
        <w:spacing w:after="160"/>
        <w:rPr>
          <w:sz w:val="26"/>
          <w:szCs w:val="26"/>
        </w:rPr>
      </w:pPr>
    </w:p>
    <w:p w:rsidR="002424F8" w:rsidRPr="00E35D84" w:rsidRDefault="002424F8" w:rsidP="00D11F69">
      <w:pPr>
        <w:pStyle w:val="Heading1"/>
        <w:bidi/>
        <w:spacing w:after="160"/>
        <w:rPr>
          <w:sz w:val="26"/>
          <w:szCs w:val="26"/>
          <w:lang w:val="en-CA"/>
        </w:rPr>
      </w:pPr>
      <w:r w:rsidRPr="00E35D84">
        <w:rPr>
          <w:rFonts w:hint="cs"/>
          <w:sz w:val="26"/>
          <w:szCs w:val="26"/>
          <w:rtl/>
          <w:lang w:val="en-CA"/>
        </w:rPr>
        <w:t>حددت اللجنة التنفيذية خلال اجتماعها الحادي والثلاثين (يوليه/ تموز 2000) القطاع الفرعي للتجميع والتركيب والشحن، ووافقت على مبادئ توجيهية لحساب التكاليف الإضافية (المقرر 31/45). ووفق على توجيه آخر خلال الاجتماع الثاني والستين (المقرر 62/14).</w:t>
      </w:r>
      <w:r w:rsidRPr="00E35D84">
        <w:rPr>
          <w:rStyle w:val="FootnoteReference"/>
          <w:sz w:val="26"/>
          <w:szCs w:val="26"/>
          <w:lang w:val="en-CA"/>
        </w:rPr>
        <w:t xml:space="preserve"> </w:t>
      </w:r>
      <w:r w:rsidRPr="00E35D84">
        <w:rPr>
          <w:rStyle w:val="FootnoteReference"/>
          <w:sz w:val="26"/>
          <w:szCs w:val="26"/>
          <w:lang w:val="en-CA"/>
        </w:rPr>
        <w:footnoteReference w:id="45"/>
      </w:r>
      <w:r w:rsidRPr="00E35D84">
        <w:rPr>
          <w:rFonts w:hint="cs"/>
          <w:sz w:val="26"/>
          <w:szCs w:val="26"/>
          <w:rtl/>
          <w:lang w:val="en-CA"/>
        </w:rPr>
        <w:t xml:space="preserve"> ومنذ ذلك الوقت كان يوافق على الأنشطة في هذا القطاع الفرعي في سياق مشروعا جامعة أو خطط إزالة حيث لم تكن الظروف المحددة للمنشئات التي تقوم بتجميع المعدات معروفة بالتفصيل.</w:t>
      </w:r>
    </w:p>
    <w:p w:rsidR="00585625" w:rsidRPr="00E35D84" w:rsidRDefault="00585625" w:rsidP="00D11F69">
      <w:pPr>
        <w:pStyle w:val="Heading1"/>
        <w:bidi/>
        <w:spacing w:after="160"/>
        <w:rPr>
          <w:sz w:val="26"/>
          <w:szCs w:val="26"/>
          <w:lang w:val="en-CA"/>
        </w:rPr>
      </w:pPr>
      <w:r w:rsidRPr="00E35D84">
        <w:rPr>
          <w:rFonts w:hint="cs"/>
          <w:sz w:val="26"/>
          <w:szCs w:val="26"/>
          <w:rtl/>
          <w:lang w:val="en-CA"/>
        </w:rPr>
        <w:t xml:space="preserve">ويمكن أن يساعد القطاع الفرعي في تيسير اعتماد البدائل المنخفضة القدرة على الاحترار العالمي حيث أنه يجمع ويركب نظم  تبريد وتكييف هواء جديدة. ويضم القطاع الفرعي العديد من أنواع المنشئات بما في ذلك التبريد التجاري أو تصنيع أجهزة تكييف الهواء التي تشحن غازات التبريد في المواقع الطبيعية (ولديها عموما معامل تصنيع، وخطوط إنتاج ومخازن، ونظم تجميع مخصصة بحسب العملاء)، والمقاولين الذين يركبون نظم التبريد المفصلة أو نظم تكييف الهواء للمستخدمين النهائيين أو المستخدمون النهائيون الذين يقومون بتركيب نظمهم بقدرات تقنية داخلية. ويوفر هذا القطاع الفرعي النظم لطائفة عريضة من الصناعات بما في ذلك البائعين بالتجزئة مثل السوبرماركت، والأسواق الصغيرة والمجازر والصناعات الزراعية بما في ذلك متاجر الزهور وتجميد الأغذية والمسالخ ومنتجات الألبان ومعامل تصنيع الأغذية والصناعات </w:t>
      </w:r>
      <w:r w:rsidR="005E68AF" w:rsidRPr="00E35D84">
        <w:rPr>
          <w:rFonts w:hint="cs"/>
          <w:sz w:val="26"/>
          <w:szCs w:val="26"/>
          <w:rtl/>
          <w:lang w:val="en-CA"/>
        </w:rPr>
        <w:t>السمكية والفنادق ومباني المكاتب من بين أنواع أخرى.</w:t>
      </w:r>
    </w:p>
    <w:p w:rsidR="005E68AF" w:rsidRPr="00E35D84" w:rsidRDefault="005E68AF" w:rsidP="00D11F69">
      <w:pPr>
        <w:pStyle w:val="Heading1"/>
        <w:bidi/>
        <w:spacing w:after="160"/>
        <w:rPr>
          <w:sz w:val="26"/>
          <w:szCs w:val="26"/>
          <w:lang w:val="en-CA"/>
        </w:rPr>
      </w:pPr>
      <w:r w:rsidRPr="00E35D84">
        <w:rPr>
          <w:rFonts w:hint="cs"/>
          <w:sz w:val="26"/>
          <w:szCs w:val="26"/>
          <w:rtl/>
          <w:lang w:val="en-CA"/>
        </w:rPr>
        <w:t>وعلاوة على ذلك، لا يتوافر التوزيع الفعلي لاستهلاك المواد الخاضعة للرقابة بين الخدمة والتجميع والتركيب والشحن الأولي.</w:t>
      </w:r>
      <w:r w:rsidRPr="00E35D84">
        <w:rPr>
          <w:rStyle w:val="FootnoteReference"/>
          <w:sz w:val="26"/>
          <w:szCs w:val="26"/>
          <w:lang w:val="en-CA"/>
        </w:rPr>
        <w:footnoteReference w:id="46"/>
      </w:r>
      <w:r w:rsidRPr="00E35D84">
        <w:rPr>
          <w:rFonts w:hint="cs"/>
          <w:sz w:val="26"/>
          <w:szCs w:val="26"/>
          <w:rtl/>
          <w:lang w:val="en-CA"/>
        </w:rPr>
        <w:t xml:space="preserve"> ولدي مناقشة الخبرات التي اكتسبتها الوكالات الثنائية والمنفذة من تنفيذ خطط إدارة إزالة المواد الهيدروكلوروفلوروكربونية، انتهى الأمر الى أن هناك حاجة الى تحسين الفهم بهذا القطا الفرعي حيث أن بإمكانه تيسير </w:t>
      </w:r>
      <w:r w:rsidRPr="00E35D84">
        <w:rPr>
          <w:rFonts w:hint="cs"/>
          <w:sz w:val="26"/>
          <w:szCs w:val="26"/>
          <w:rtl/>
          <w:lang w:val="en-CA"/>
        </w:rPr>
        <w:lastRenderedPageBreak/>
        <w:t xml:space="preserve">خفض الهيدروفلوروكربون، وملاءمة إدخال التكنولوجيا المنخفضة القدرة على الاحترار العالمي والترويج لممارسات التركيب الآمن والذي يتسم بكفاءة استخدام الطاقة. </w:t>
      </w:r>
    </w:p>
    <w:p w:rsidR="00D11F69" w:rsidRPr="00D11F69" w:rsidRDefault="005E68AF" w:rsidP="00D11F69">
      <w:pPr>
        <w:pStyle w:val="Heading1"/>
        <w:numPr>
          <w:ilvl w:val="0"/>
          <w:numId w:val="0"/>
        </w:numPr>
        <w:bidi/>
        <w:spacing w:after="160"/>
        <w:rPr>
          <w:sz w:val="26"/>
          <w:szCs w:val="26"/>
          <w:u w:val="single"/>
          <w:lang w:val="en-CA"/>
        </w:rPr>
      </w:pPr>
      <w:r w:rsidRPr="00E35D84">
        <w:rPr>
          <w:rFonts w:hint="cs"/>
          <w:sz w:val="26"/>
          <w:szCs w:val="26"/>
          <w:u w:val="single"/>
          <w:rtl/>
          <w:lang w:val="en-CA"/>
        </w:rPr>
        <w:t>استخدام قدرات المساعدات التقنية الحالية لخفض الهيدروفلوروكربون</w:t>
      </w:r>
    </w:p>
    <w:p w:rsidR="00B12D24" w:rsidRPr="00E35D84" w:rsidRDefault="00B12D24" w:rsidP="00D11F69">
      <w:pPr>
        <w:pStyle w:val="Heading1"/>
        <w:bidi/>
        <w:spacing w:after="160"/>
        <w:rPr>
          <w:sz w:val="26"/>
          <w:szCs w:val="26"/>
          <w:lang w:val="en-CA"/>
        </w:rPr>
      </w:pPr>
      <w:r w:rsidRPr="00E35D84">
        <w:rPr>
          <w:rFonts w:hint="cs"/>
          <w:sz w:val="26"/>
          <w:szCs w:val="26"/>
          <w:rtl/>
          <w:lang w:val="en-CA"/>
        </w:rPr>
        <w:t>ينبغي مواصلة النظر في العديد من الأدوات الخاصة بالفنيين باعتبارها عنصرا مهما في قطاع خدمة التبريد. فبدلا من تحديد مجموعة أدوات عالمية تقدم لجميع البلدان، يمكن لكل بلد من بلدان المادة 5 تحديد مجموعة أدوات الخدمة التي تعالج احتياجات فنييها في مختلف مراحل تنفيذ المشروع.</w:t>
      </w:r>
    </w:p>
    <w:p w:rsidR="007C1842" w:rsidRPr="00E35D84" w:rsidRDefault="007C1842" w:rsidP="00D11F69">
      <w:pPr>
        <w:pStyle w:val="Heading1"/>
        <w:bidi/>
        <w:spacing w:after="160"/>
        <w:rPr>
          <w:sz w:val="26"/>
          <w:szCs w:val="26"/>
        </w:rPr>
      </w:pPr>
      <w:r w:rsidRPr="00E35D84">
        <w:rPr>
          <w:rFonts w:hint="cs"/>
          <w:sz w:val="26"/>
          <w:szCs w:val="26"/>
          <w:rtl/>
          <w:lang w:val="en-CA"/>
        </w:rPr>
        <w:t xml:space="preserve">وينبغي أن تستند عملية تعزيز مخططات الاسترجاع وإعادة التدوير والإصلاح أو إنشاء نظم جديدة الى نموذج أعما شامل يناسب ظروف البلد وأصحاب المصلحة المعنيين مع مراعاة </w:t>
      </w:r>
      <w:r w:rsidRPr="00E35D84">
        <w:rPr>
          <w:rFonts w:hint="cs"/>
          <w:i/>
          <w:iCs/>
          <w:sz w:val="26"/>
          <w:szCs w:val="26"/>
          <w:rtl/>
          <w:lang w:val="en-CA"/>
        </w:rPr>
        <w:t>ضمن جملة أمور</w:t>
      </w:r>
      <w:r w:rsidRPr="00E35D84">
        <w:rPr>
          <w:rFonts w:hint="cs"/>
          <w:sz w:val="26"/>
          <w:szCs w:val="26"/>
          <w:rtl/>
          <w:lang w:val="en-CA"/>
        </w:rPr>
        <w:t xml:space="preserve"> سعر غازات التبريد الجديدة، والكمية المتوقعة من غازات التبريد التي سيتم إصلاحها.</w:t>
      </w:r>
      <w:r w:rsidRPr="00E35D84">
        <w:rPr>
          <w:rStyle w:val="FootnoteReference"/>
          <w:sz w:val="26"/>
          <w:szCs w:val="26"/>
          <w:lang w:val="en-CA"/>
        </w:rPr>
        <w:t xml:space="preserve"> </w:t>
      </w:r>
      <w:r w:rsidRPr="00E35D84">
        <w:rPr>
          <w:rStyle w:val="FootnoteReference"/>
          <w:sz w:val="26"/>
          <w:szCs w:val="26"/>
          <w:lang w:val="en-CA"/>
        </w:rPr>
        <w:footnoteReference w:id="47"/>
      </w:r>
      <w:r w:rsidRPr="00E35D84">
        <w:rPr>
          <w:rFonts w:hint="cs"/>
          <w:sz w:val="26"/>
          <w:szCs w:val="26"/>
          <w:rtl/>
          <w:lang w:val="en-CA"/>
        </w:rPr>
        <w:t xml:space="preserve"> وينبغي تعزيز الاستدامة الطويلة الأجل لهذه النظم وكفاءتها بقواعد لاحتواء غازات التبريد بصورة إلزامية،</w:t>
      </w:r>
      <w:r w:rsidRPr="00E35D84">
        <w:rPr>
          <w:rStyle w:val="FootnoteReference"/>
          <w:sz w:val="26"/>
          <w:szCs w:val="26"/>
        </w:rPr>
        <w:footnoteReference w:id="48"/>
      </w:r>
      <w:r w:rsidRPr="00E35D84">
        <w:rPr>
          <w:rFonts w:hint="cs"/>
          <w:sz w:val="26"/>
          <w:szCs w:val="26"/>
          <w:rtl/>
          <w:lang w:val="en-CA"/>
        </w:rPr>
        <w:t xml:space="preserve"> وأنشطة استثارة الوعي للفنيين والمستخدمين النهائيين مع مشاركة اتحادات التبريد. وفي الحالات التي تكون فيها السياسات التي ستحل مكان معدات التبريد المنخفضة القدرة على الاحترار العالمي، ينبغي أن يتضمن المقترح استراتيجيات لاسترجاع غازات التبريد من المعدات الهالكة.</w:t>
      </w:r>
    </w:p>
    <w:p w:rsidR="008F2D26" w:rsidRPr="00E35D84" w:rsidRDefault="008F2D26" w:rsidP="00D11F69">
      <w:pPr>
        <w:pStyle w:val="Heading1"/>
        <w:bidi/>
        <w:spacing w:after="160"/>
        <w:rPr>
          <w:sz w:val="26"/>
          <w:szCs w:val="26"/>
        </w:rPr>
      </w:pPr>
      <w:r w:rsidRPr="00E35D84">
        <w:rPr>
          <w:rFonts w:hint="cs"/>
          <w:sz w:val="26"/>
          <w:szCs w:val="26"/>
          <w:rtl/>
        </w:rPr>
        <w:t xml:space="preserve">توفر الكمية الكبيرة من نظم التبريد المعتمدة على الهيدروكلوروفلوروكربون والهيدروفلوروكربون قيد التشغيل وتنوعها فرصة كبيرة لاسترجاع وإصلاح غازات التبريد. وسيتعين النظر بين </w:t>
      </w:r>
      <w:r w:rsidRPr="00E35D84">
        <w:rPr>
          <w:rFonts w:hint="cs"/>
          <w:i/>
          <w:iCs/>
          <w:sz w:val="26"/>
          <w:szCs w:val="26"/>
          <w:rtl/>
        </w:rPr>
        <w:t>جملة أمور</w:t>
      </w:r>
      <w:r w:rsidRPr="00E35D84">
        <w:rPr>
          <w:rFonts w:hint="cs"/>
          <w:sz w:val="26"/>
          <w:szCs w:val="26"/>
          <w:rtl/>
        </w:rPr>
        <w:t xml:space="preserve">، في قدرة المعدات وتوابعها (مثل السيلندر وأجهزة التعرف على غازات التبريد) لاسترجاع وإعادة تدوير وإصلاح لكل من الهيدروكلوروفلوروكربون، والهيدروفلوروكربون بما في ذلك الخلائط والإدارة السليمة للكميات الآخذة في التزايد من الغازات غير القابلة للاشتعال والمسترجعة (نتيجة للكميات الكبيرة من </w:t>
      </w:r>
      <w:r w:rsidR="00EF1B01" w:rsidRPr="00E35D84">
        <w:rPr>
          <w:rFonts w:hint="cs"/>
          <w:sz w:val="26"/>
          <w:szCs w:val="26"/>
          <w:rtl/>
        </w:rPr>
        <w:t>الخلائط</w:t>
      </w:r>
      <w:r w:rsidRPr="00E35D84">
        <w:rPr>
          <w:rFonts w:hint="cs"/>
          <w:sz w:val="26"/>
          <w:szCs w:val="26"/>
          <w:rtl/>
        </w:rPr>
        <w:t xml:space="preserve"> الزيتر</w:t>
      </w:r>
      <w:r w:rsidR="00EF1B01" w:rsidRPr="00E35D84">
        <w:rPr>
          <w:rFonts w:hint="cs"/>
          <w:sz w:val="26"/>
          <w:szCs w:val="26"/>
          <w:rtl/>
        </w:rPr>
        <w:t>ية</w:t>
      </w:r>
      <w:r w:rsidRPr="00E35D84">
        <w:rPr>
          <w:rFonts w:hint="cs"/>
          <w:sz w:val="26"/>
          <w:szCs w:val="26"/>
          <w:rtl/>
        </w:rPr>
        <w:t xml:space="preserve"> في الأسواق والتي يمكن أن تفقد بعد التسرب تكوينها من غازات التبريد الأصلية) وذلك تحليل للمنافع والتحديات الناشئة عن إعادة الاسترجاع وإعادة التدوير والإصلاح بشأن الغازات القابلة للاشتعال (بما في ذلك اليقين التنظيمي للاسترجاع الآمن وقدرات النقل) وأجرى تقييم للجدوى الاقتصادية لمرافق الإصلاح وخاصة بالنسبة للخلائط </w:t>
      </w:r>
      <w:r w:rsidR="00493EA7" w:rsidRPr="00E35D84">
        <w:rPr>
          <w:rFonts w:hint="cs"/>
          <w:sz w:val="26"/>
          <w:szCs w:val="26"/>
          <w:rtl/>
        </w:rPr>
        <w:t>الزيتروبك ومكوناتها.</w:t>
      </w:r>
    </w:p>
    <w:p w:rsidR="00493EA7" w:rsidRPr="00E35D84" w:rsidRDefault="00493EA7" w:rsidP="00D11F69">
      <w:pPr>
        <w:pStyle w:val="Heading1"/>
        <w:bidi/>
        <w:spacing w:after="160"/>
        <w:rPr>
          <w:sz w:val="26"/>
          <w:szCs w:val="26"/>
        </w:rPr>
      </w:pPr>
      <w:r w:rsidRPr="00E35D84">
        <w:rPr>
          <w:rFonts w:hint="cs"/>
          <w:sz w:val="26"/>
          <w:szCs w:val="26"/>
          <w:rtl/>
        </w:rPr>
        <w:t>ويمكن أن تساعد منشئات التجميع والتركيب والشحن الأولي فضلا عن منشئات التصنيع في ضمان ممارسات الخدمة الجيدة والمحافظة على كفاءة استخدام الطاقة وخاصة في النظم الكبيرة على الرغم من أن عقود الخدمة الدورية السابقة الترتيب للسنوات الأولى من التشغيل و/أو الضمانات الممتدة مما يمكن أن يساعد أيضا فيها الفنيون قادرين على توفير الخدمة للتكنولوجيات المدخلة حديثا بصورة محدودة.</w:t>
      </w:r>
    </w:p>
    <w:p w:rsidR="00493EA7" w:rsidRPr="00E35D84" w:rsidRDefault="00493EA7" w:rsidP="00D11F69">
      <w:pPr>
        <w:pStyle w:val="Heading1"/>
        <w:numPr>
          <w:ilvl w:val="0"/>
          <w:numId w:val="0"/>
        </w:numPr>
        <w:bidi/>
        <w:spacing w:after="160"/>
        <w:rPr>
          <w:bCs/>
          <w:sz w:val="26"/>
          <w:szCs w:val="26"/>
          <w:rtl/>
        </w:rPr>
      </w:pPr>
      <w:r w:rsidRPr="00E35D84">
        <w:rPr>
          <w:rFonts w:hint="cs"/>
          <w:bCs/>
          <w:sz w:val="26"/>
          <w:szCs w:val="26"/>
          <w:rtl/>
        </w:rPr>
        <w:t>اعتبارات بشأن كفاءة استخدام الطاقة في قطاع خدمة التبريد</w:t>
      </w:r>
    </w:p>
    <w:p w:rsidR="00493EA7" w:rsidRPr="00E35D84" w:rsidRDefault="00493EA7" w:rsidP="00D11F69">
      <w:pPr>
        <w:pStyle w:val="Heading1"/>
        <w:bidi/>
        <w:spacing w:after="160"/>
        <w:rPr>
          <w:sz w:val="26"/>
          <w:szCs w:val="26"/>
        </w:rPr>
      </w:pPr>
      <w:r w:rsidRPr="00E35D84">
        <w:rPr>
          <w:rFonts w:hint="cs"/>
          <w:sz w:val="26"/>
          <w:szCs w:val="26"/>
          <w:rtl/>
        </w:rPr>
        <w:t>على الرغم من أنه لم تتم الموافقة على تمويل عملية تعزيز كفاءة استخدام الطاقة في معدات التبريد، فقد رؤي أن استخدام هذه المعدات قد أخذ في الاعتبار عندما كانت توضع معايير التمويل لمشروعات إزالة الهيدروكلوروفلوروكربون.</w:t>
      </w:r>
      <w:r w:rsidRPr="00E35D84">
        <w:rPr>
          <w:rStyle w:val="FootnoteReference"/>
          <w:sz w:val="26"/>
          <w:szCs w:val="26"/>
          <w:lang w:val="en-CA"/>
        </w:rPr>
        <w:t xml:space="preserve"> </w:t>
      </w:r>
      <w:r w:rsidRPr="00E35D84">
        <w:rPr>
          <w:rStyle w:val="FootnoteReference"/>
          <w:sz w:val="26"/>
          <w:szCs w:val="26"/>
          <w:lang w:val="en-CA"/>
        </w:rPr>
        <w:footnoteReference w:id="49"/>
      </w:r>
      <w:r w:rsidRPr="00E35D84">
        <w:rPr>
          <w:rFonts w:hint="cs"/>
          <w:sz w:val="26"/>
          <w:szCs w:val="26"/>
          <w:rtl/>
        </w:rPr>
        <w:t xml:space="preserve"> وعلاوة على ذلك، بحثت اللجنة التنفيذية عن فرص للترويج للتحسينات في كفاءة استخدام الطاقة. وفيما يتعلق بإزالة الكلوروفلوروكربون، كان ينظر الى كفاءة استخدام الطاقة في سياق مشروعات تبريد المباني. وقد ووفق على مشروعين خلال الاجتماعين السادس والعشرين والثامن والعشرين باستخدام آليات القروض البسيطة (المقرران 26/34 و28/32)، وخلال الاجتماع السادس والأربعين، ووفق على نافذة تمويل بمبلغ </w:t>
      </w:r>
      <w:r w:rsidRPr="00E35D84">
        <w:rPr>
          <w:sz w:val="26"/>
          <w:szCs w:val="26"/>
        </w:rPr>
        <w:t>15.2</w:t>
      </w:r>
      <w:r w:rsidRPr="00E35D84">
        <w:rPr>
          <w:rFonts w:hint="cs"/>
          <w:sz w:val="26"/>
          <w:szCs w:val="26"/>
          <w:rtl/>
        </w:rPr>
        <w:t xml:space="preserve"> مليون دولار للمشروعات الإيضاحية الإضافية في القطاع الفرعي المتعلق بتبريد المباني (المقرر 46/33). ويخلص تقرير التقرير </w:t>
      </w:r>
      <w:r w:rsidRPr="00E35D84">
        <w:rPr>
          <w:rFonts w:hint="cs"/>
          <w:sz w:val="26"/>
          <w:szCs w:val="26"/>
          <w:rtl/>
        </w:rPr>
        <w:lastRenderedPageBreak/>
        <w:t>بشأن تبريد المباني المقدم للاجتماع الثمانين،</w:t>
      </w:r>
      <w:r w:rsidRPr="00E35D84">
        <w:rPr>
          <w:rStyle w:val="FootnoteReference"/>
          <w:sz w:val="26"/>
          <w:szCs w:val="26"/>
        </w:rPr>
        <w:footnoteReference w:id="50"/>
      </w:r>
      <w:r w:rsidRPr="00E35D84">
        <w:rPr>
          <w:rFonts w:hint="cs"/>
          <w:sz w:val="26"/>
          <w:szCs w:val="26"/>
          <w:rtl/>
        </w:rPr>
        <w:t xml:space="preserve"> الى أن كفاءة استخدام الطاقة والاقتصاد في الطاقة يعتبران عوامل دفع هامة في الاستعادة عن تبريد المباني، وأشار كذلك الى أن قدرات الاسترجاع وإعادة التدوير في البلد ستحتاج الى نظر فيما يتعلق باستبدال تبريد المباني- وفي حين أن التقرير لم يقدم أي توصيات للتدخلات المتعلقة بالخدمة للترويج للعمليات التي تتسم بكفاءة استخدام </w:t>
      </w:r>
      <w:r w:rsidR="000D476D" w:rsidRPr="00E35D84">
        <w:rPr>
          <w:rFonts w:hint="cs"/>
          <w:sz w:val="26"/>
          <w:szCs w:val="26"/>
          <w:rtl/>
        </w:rPr>
        <w:t>الطاقة</w:t>
      </w:r>
      <w:r w:rsidRPr="00E35D84">
        <w:rPr>
          <w:rFonts w:hint="cs"/>
          <w:sz w:val="26"/>
          <w:szCs w:val="26"/>
          <w:rtl/>
        </w:rPr>
        <w:t xml:space="preserve"> </w:t>
      </w:r>
      <w:r w:rsidR="000D476D" w:rsidRPr="00E35D84">
        <w:rPr>
          <w:rFonts w:hint="cs"/>
          <w:sz w:val="26"/>
          <w:szCs w:val="26"/>
          <w:rtl/>
        </w:rPr>
        <w:t>فإن الصيانة الملائمة وخدمة معدات تبريد المباني عناصر ضرورية لتشغيل المعدات بصورة تتسم بالكفاءة.</w:t>
      </w:r>
    </w:p>
    <w:p w:rsidR="000D476D" w:rsidRPr="00E35D84" w:rsidRDefault="000D476D" w:rsidP="00D11F69">
      <w:pPr>
        <w:pStyle w:val="Heading1"/>
        <w:bidi/>
        <w:spacing w:after="160"/>
        <w:rPr>
          <w:sz w:val="26"/>
          <w:szCs w:val="26"/>
          <w:lang w:val="en-CA"/>
        </w:rPr>
      </w:pPr>
      <w:r w:rsidRPr="00E35D84">
        <w:rPr>
          <w:rFonts w:hint="cs"/>
          <w:sz w:val="26"/>
          <w:szCs w:val="26"/>
          <w:rtl/>
          <w:lang w:val="en-CA"/>
        </w:rPr>
        <w:t>وفيما يتعلق بالمواد الهيدروكلوروفلوروكربونية، قررت اللجنة التنفيذية الموافقة على مشروع إيضاحي لبدائل المواد الهيدروكلوروفلوروكربونية المنخفضة القدرة على الاحترار العالمي، وتمثل أحد معايير اختيار هذه المشروعات يتعلق بالترويج للتحسينات في كفاءة استخدام الطاقة (المقرر 72/40(ب)(1)(و)). وعلى ذلك، ووفق على 14 مشروعا إيضاحيا تتعلق بقطاع التبريد وتكييف الهواء خلال الاجتماع الرابع والسبعين (مايو/ أيار 2015) والخامس والسبعين (نوفمبر/ تشرين الثاني 2015) والاجتماع السادس والسبعين (مايور/ آيار 2016). وسيبلغ عن أداء كفاءة استخدام الطاقة كجزء من نتائج المشروع ذات الصلة.</w:t>
      </w:r>
      <w:r w:rsidRPr="00E35D84">
        <w:rPr>
          <w:rStyle w:val="FootnoteReference"/>
          <w:sz w:val="26"/>
          <w:szCs w:val="26"/>
          <w:lang w:val="en-CA"/>
        </w:rPr>
        <w:t xml:space="preserve"> </w:t>
      </w:r>
      <w:r w:rsidRPr="00E35D84">
        <w:rPr>
          <w:rStyle w:val="FootnoteReference"/>
          <w:sz w:val="26"/>
          <w:szCs w:val="26"/>
          <w:lang w:val="en-CA"/>
        </w:rPr>
        <w:footnoteReference w:id="51"/>
      </w:r>
    </w:p>
    <w:p w:rsidR="000D476D" w:rsidRPr="00E35D84" w:rsidRDefault="000D476D" w:rsidP="00D11F69">
      <w:pPr>
        <w:pStyle w:val="Heading1"/>
        <w:bidi/>
        <w:spacing w:after="160"/>
        <w:rPr>
          <w:sz w:val="26"/>
          <w:szCs w:val="26"/>
          <w:lang w:val="en-CA"/>
        </w:rPr>
      </w:pPr>
      <w:r w:rsidRPr="00E35D84">
        <w:rPr>
          <w:rFonts w:hint="cs"/>
          <w:sz w:val="26"/>
          <w:szCs w:val="26"/>
          <w:rtl/>
          <w:lang w:val="en-CA"/>
        </w:rPr>
        <w:t>وعلاوة على ذلك، أدرجت الظروف النوعية المرتبطة بكفاءة استخدام الطاقة لدى الموافقة على بعض خطط إدارة إزالة المواد الهيدروكلوروفلوروكربونية، فعلى سبيل المثال، تضمنت خطة إدارة إزالة المواد الهيدروكلوروفلوروكربونية للأردن</w:t>
      </w:r>
      <w:r w:rsidR="0076711C" w:rsidRPr="00E35D84">
        <w:rPr>
          <w:rStyle w:val="FootnoteReference"/>
          <w:sz w:val="26"/>
          <w:szCs w:val="26"/>
          <w:lang w:val="en-CA"/>
        </w:rPr>
        <w:footnoteReference w:id="52"/>
      </w:r>
      <w:r w:rsidR="0076711C" w:rsidRPr="00E35D84">
        <w:rPr>
          <w:sz w:val="26"/>
          <w:szCs w:val="26"/>
          <w:lang w:val="en-CA"/>
        </w:rPr>
        <w:t xml:space="preserve"> </w:t>
      </w:r>
      <w:r w:rsidRPr="00E35D84">
        <w:rPr>
          <w:rFonts w:hint="cs"/>
          <w:sz w:val="26"/>
          <w:szCs w:val="26"/>
          <w:rtl/>
          <w:lang w:val="en-CA"/>
        </w:rPr>
        <w:t xml:space="preserve"> طلبا بأن يدرج في خطة قطاع تكييف الهواء نهجا سياساتية وتقنية إزاء تحسين كفاءة استخدام الطاقة بشأن معدات تكييف الهواء لتعويض التأثير المناخي المرتبط بإدخال تكنولوجيا </w:t>
      </w:r>
      <w:r w:rsidRPr="00E35D84">
        <w:rPr>
          <w:sz w:val="26"/>
          <w:szCs w:val="26"/>
          <w:lang w:val="en-CA"/>
        </w:rPr>
        <w:t>R-410A</w:t>
      </w:r>
      <w:r w:rsidRPr="00E35D84">
        <w:rPr>
          <w:rFonts w:hint="cs"/>
          <w:sz w:val="26"/>
          <w:szCs w:val="26"/>
          <w:rtl/>
          <w:lang w:val="en-CA"/>
        </w:rPr>
        <w:t xml:space="preserve">، </w:t>
      </w:r>
      <w:r w:rsidR="008E6DBF" w:rsidRPr="00E35D84">
        <w:rPr>
          <w:rFonts w:hint="cs"/>
          <w:sz w:val="26"/>
          <w:szCs w:val="26"/>
          <w:rtl/>
          <w:lang w:val="en-CA"/>
        </w:rPr>
        <w:t>والتزام</w:t>
      </w:r>
      <w:r w:rsidRPr="00E35D84">
        <w:rPr>
          <w:rFonts w:hint="cs"/>
          <w:sz w:val="26"/>
          <w:szCs w:val="26"/>
          <w:rtl/>
          <w:lang w:val="en-CA"/>
        </w:rPr>
        <w:t xml:space="preserve"> من الحكومة بتحقيق استهلاك الطاقة لأجهزة تكييف هواء المنازل باستخدام </w:t>
      </w:r>
      <w:r w:rsidRPr="00E35D84">
        <w:rPr>
          <w:sz w:val="26"/>
          <w:szCs w:val="26"/>
          <w:lang w:val="en-CA"/>
        </w:rPr>
        <w:t>R-410A</w:t>
      </w:r>
      <w:r w:rsidRPr="00E35D84">
        <w:rPr>
          <w:rFonts w:hint="cs"/>
          <w:sz w:val="26"/>
          <w:szCs w:val="26"/>
          <w:rtl/>
          <w:lang w:val="en-CA"/>
        </w:rPr>
        <w:t xml:space="preserve"> بما </w:t>
      </w:r>
      <w:r w:rsidR="0076711C" w:rsidRPr="00E35D84">
        <w:rPr>
          <w:rFonts w:hint="cs"/>
          <w:sz w:val="26"/>
          <w:szCs w:val="26"/>
          <w:rtl/>
          <w:lang w:val="en-CA"/>
        </w:rPr>
        <w:t>يعادل أو يقل عن أجهزة تكييف الهواء العاملة بالهيدروكلوروفلوروكربون-22 التي تم استبدلوها (المقرر 65/40). وتضمنت خطة إدارة إزالة المواد الهيدروكلوروفلوروكربونية لتايلند</w:t>
      </w:r>
      <w:r w:rsidR="0076711C" w:rsidRPr="00E35D84">
        <w:rPr>
          <w:rStyle w:val="FootnoteReference"/>
          <w:sz w:val="26"/>
          <w:szCs w:val="26"/>
          <w:lang w:val="en-CA"/>
        </w:rPr>
        <w:footnoteReference w:id="53"/>
      </w:r>
      <w:r w:rsidR="0076711C" w:rsidRPr="00E35D84">
        <w:rPr>
          <w:rFonts w:hint="cs"/>
          <w:sz w:val="26"/>
          <w:szCs w:val="26"/>
          <w:rtl/>
          <w:lang w:val="en-CA"/>
        </w:rPr>
        <w:t xml:space="preserve"> مساعدات لدعم الترويج لاعتماد المنتجات التي تتسم بكفاءة استخدام الطاقة بما يتجاوز تلك التي كانت جزءا من التحويل ولدعم مساعدة مبادرات كفاءة الطاقة في المباني.</w:t>
      </w:r>
    </w:p>
    <w:p w:rsidR="005E2FC7" w:rsidRPr="00D11F69" w:rsidRDefault="0076711C" w:rsidP="00D11F69">
      <w:pPr>
        <w:pStyle w:val="Heading1"/>
        <w:numPr>
          <w:ilvl w:val="0"/>
          <w:numId w:val="0"/>
        </w:numPr>
        <w:bidi/>
        <w:spacing w:after="160"/>
        <w:rPr>
          <w:sz w:val="26"/>
          <w:szCs w:val="26"/>
          <w:u w:val="single"/>
          <w:lang w:val="en-CA"/>
        </w:rPr>
      </w:pPr>
      <w:r w:rsidRPr="00E35D84">
        <w:rPr>
          <w:rFonts w:hint="cs"/>
          <w:sz w:val="26"/>
          <w:szCs w:val="26"/>
          <w:u w:val="single"/>
          <w:rtl/>
          <w:lang w:val="en-CA"/>
        </w:rPr>
        <w:t>ممارسات التركيب والصيانة والخدمة</w:t>
      </w:r>
    </w:p>
    <w:p w:rsidR="0076711C" w:rsidRPr="00E35D84" w:rsidRDefault="003F3A6C" w:rsidP="00D11F69">
      <w:pPr>
        <w:pStyle w:val="Heading1"/>
        <w:bidi/>
        <w:spacing w:after="160"/>
        <w:rPr>
          <w:sz w:val="26"/>
          <w:szCs w:val="26"/>
        </w:rPr>
      </w:pPr>
      <w:r w:rsidRPr="00E35D84">
        <w:rPr>
          <w:rFonts w:hint="cs"/>
          <w:sz w:val="26"/>
          <w:szCs w:val="26"/>
          <w:rtl/>
        </w:rPr>
        <w:t>تضطلع ممارسات التركيب والصيانة والخدمة بدور رئيسي في ضمان التشغيل الذي يتسم بالكفاءة للمعدات التي تتجاوز عمرها الافتراضي. وتوفر السياسات والقواعد الوطنية التي تتعلق بممارسات الخدمة وكفاءة استخدام الطاقة وخاصة معايير أداء الطاقة والدعم لكفاءة استخدام الطاقة أثناء استخدام هذه المعدات.</w:t>
      </w:r>
    </w:p>
    <w:p w:rsidR="0010656A" w:rsidRPr="00E35D84" w:rsidRDefault="007C1842" w:rsidP="00D11F69">
      <w:pPr>
        <w:pStyle w:val="Heading1"/>
        <w:bidi/>
        <w:spacing w:after="160"/>
        <w:rPr>
          <w:sz w:val="26"/>
          <w:szCs w:val="26"/>
        </w:rPr>
      </w:pPr>
      <w:r w:rsidRPr="00E35D84">
        <w:rPr>
          <w:rFonts w:hint="cs"/>
          <w:sz w:val="26"/>
          <w:szCs w:val="26"/>
          <w:rtl/>
        </w:rPr>
        <w:t xml:space="preserve">ووفقا للمعهد الدولي للتبريد، فإن النهوض بترشيد ورصد وصيانة المعدات المبردة تنطوي على إمكانية وفر </w:t>
      </w:r>
      <w:r w:rsidRPr="00E35D84">
        <w:rPr>
          <w:sz w:val="26"/>
          <w:szCs w:val="26"/>
        </w:rPr>
        <w:t>30 Gt</w:t>
      </w:r>
      <w:r w:rsidRPr="00E35D84">
        <w:rPr>
          <w:rFonts w:hint="cs"/>
          <w:sz w:val="26"/>
          <w:szCs w:val="26"/>
          <w:rtl/>
        </w:rPr>
        <w:t xml:space="preserve"> من ابنعاثات ثاني أكسيد الكربون بحلول عام 2050. ويشير تقرير فريق التكنولوجيا والتقييم الاقتصادي الذي أعده فريق المهام المعني بالقضايا المتعلقة بكفاءة استخدام الطاقة مع خفض المواد الهيدروفلوروكربون الى أن ممارسات الصيانة الملائمة والخدمة يخفض حتى 50 في المائة من التدهور في الأداء والمحافظة على معدل الأداء طوال فترة عمر المعدات وجمعت وكالة الطاقة الدولية أكبر الأخطاء الشائعة المرتبطة بالتدهور في كفاءة استخدام الطاقة بالنسبة لمضخات الحرارة من هواء لهواء نتيجة لسوء التركيب والصيانة (مثل الأخطاء المرتبطة بالمراوح حددت (26 في المائة) والضوابط والالكترونيات (25 في المائة) ومسبار درجة الحرارة (16 في المائة)).</w:t>
      </w:r>
    </w:p>
    <w:p w:rsidR="00D11F69" w:rsidRDefault="007C1842" w:rsidP="00D11F69">
      <w:pPr>
        <w:pStyle w:val="Heading1"/>
        <w:bidi/>
        <w:spacing w:after="160"/>
        <w:rPr>
          <w:sz w:val="26"/>
          <w:szCs w:val="26"/>
        </w:rPr>
      </w:pPr>
      <w:r w:rsidRPr="00E35D84">
        <w:rPr>
          <w:rFonts w:hint="cs"/>
          <w:sz w:val="26"/>
          <w:szCs w:val="26"/>
          <w:rtl/>
        </w:rPr>
        <w:t xml:space="preserve">ويمكن أن يخفض استخدام غازات التبريد </w:t>
      </w:r>
      <w:r w:rsidR="00EF1B01" w:rsidRPr="00E35D84">
        <w:rPr>
          <w:rFonts w:hint="cs"/>
          <w:sz w:val="26"/>
          <w:szCs w:val="26"/>
          <w:rtl/>
        </w:rPr>
        <w:t xml:space="preserve">غير </w:t>
      </w:r>
      <w:r w:rsidRPr="00E35D84">
        <w:rPr>
          <w:rFonts w:hint="cs"/>
          <w:sz w:val="26"/>
          <w:szCs w:val="26"/>
          <w:rtl/>
        </w:rPr>
        <w:t xml:space="preserve">المتماثلة ولاسيما غازات التبريد المفاجئة غير الملائمة الى خفض الطاقة بكفاءة في المعدات العاملة. كذلك فإن إدخال غازات التبريد لموازين حرارة (أي لغازات التبريد </w:t>
      </w:r>
      <w:r w:rsidR="00EB3053" w:rsidRPr="00E35D84">
        <w:rPr>
          <w:rFonts w:hint="cs"/>
          <w:sz w:val="26"/>
          <w:szCs w:val="26"/>
          <w:rtl/>
        </w:rPr>
        <w:t>الزيتر</w:t>
      </w:r>
      <w:r w:rsidR="00EF1B01" w:rsidRPr="00E35D84">
        <w:rPr>
          <w:rFonts w:hint="cs"/>
          <w:sz w:val="26"/>
          <w:szCs w:val="26"/>
          <w:rtl/>
        </w:rPr>
        <w:t>ية</w:t>
      </w:r>
      <w:r w:rsidR="00EB3053" w:rsidRPr="00E35D84">
        <w:rPr>
          <w:rFonts w:hint="cs"/>
          <w:sz w:val="26"/>
          <w:szCs w:val="26"/>
          <w:rtl/>
        </w:rPr>
        <w:t xml:space="preserve">) يمكن أيضا أن يخفض من كفاءة الطاقة في المعدات. ويمكن أن تساعد الخدمة الفعالة النظم المركزية والخاصة بتكييف الهواء الكبيرة من خلال استخدام ممارسات الخدمة الجيدة في زيادة كفاءة العمليات الخاصة بهذه النظم وتقلل من مخاطر </w:t>
      </w:r>
      <w:r w:rsidR="00EB3053" w:rsidRPr="00E35D84">
        <w:rPr>
          <w:rFonts w:hint="cs"/>
          <w:sz w:val="26"/>
          <w:szCs w:val="26"/>
          <w:rtl/>
        </w:rPr>
        <w:lastRenderedPageBreak/>
        <w:t>السلامة والنهوض بالمحتوى الحراري للسكان، وخفض تكاليف التشغيل والعمليات التي تتسم بكفاءة الطاقة وخفض المصروفات الرأسمالية لاستبدال المعدات.</w:t>
      </w:r>
      <w:r w:rsidR="00EB3053" w:rsidRPr="00E35D84">
        <w:rPr>
          <w:rStyle w:val="FootnoteReference"/>
          <w:sz w:val="26"/>
          <w:szCs w:val="26"/>
        </w:rPr>
        <w:t xml:space="preserve"> </w:t>
      </w:r>
      <w:r w:rsidR="00EB3053" w:rsidRPr="00E35D84">
        <w:rPr>
          <w:rStyle w:val="FootnoteReference"/>
          <w:sz w:val="26"/>
          <w:szCs w:val="26"/>
        </w:rPr>
        <w:footnoteReference w:id="54"/>
      </w:r>
    </w:p>
    <w:p w:rsidR="00467460" w:rsidRDefault="00EB3053" w:rsidP="00D11F69">
      <w:pPr>
        <w:pStyle w:val="Heading1"/>
        <w:bidi/>
        <w:spacing w:after="160"/>
        <w:rPr>
          <w:sz w:val="26"/>
          <w:szCs w:val="26"/>
        </w:rPr>
      </w:pPr>
      <w:r w:rsidRPr="00E35D84">
        <w:rPr>
          <w:rFonts w:hint="cs"/>
          <w:sz w:val="26"/>
          <w:szCs w:val="26"/>
          <w:rtl/>
        </w:rPr>
        <w:t>سيحافظ العديد من ممارسات الخدمة الجيدة التي تنفذ في إطار خطط إدارة إزالة الهيدروكلوروفلوروكربون على كفاءة استخدام الطاقة الخاصة بالمعدات (الجدول 5).</w:t>
      </w:r>
      <w:r w:rsidRPr="00E35D84">
        <w:rPr>
          <w:rStyle w:val="FootnoteReference"/>
          <w:sz w:val="26"/>
          <w:szCs w:val="26"/>
        </w:rPr>
        <w:t xml:space="preserve"> </w:t>
      </w:r>
      <w:r w:rsidRPr="00E35D84">
        <w:rPr>
          <w:rStyle w:val="FootnoteReference"/>
          <w:sz w:val="26"/>
          <w:szCs w:val="26"/>
        </w:rPr>
        <w:footnoteReference w:id="55"/>
      </w:r>
      <w:r w:rsidRPr="00E35D84">
        <w:rPr>
          <w:rFonts w:hint="cs"/>
          <w:sz w:val="26"/>
          <w:szCs w:val="26"/>
          <w:rtl/>
        </w:rPr>
        <w:t xml:space="preserve"> وينبغي مواصلة اعتبار هذه التدابير عنصرا أساسيا من خطط خفض الهيدروفلوروكربون.</w:t>
      </w:r>
    </w:p>
    <w:p w:rsidR="00C85D8C" w:rsidRPr="00C85D8C" w:rsidRDefault="00C85D8C" w:rsidP="00211F7C">
      <w:pPr>
        <w:keepLines/>
        <w:bidi/>
        <w:rPr>
          <w:bCs/>
        </w:rPr>
      </w:pPr>
      <w:r w:rsidRPr="00C85D8C">
        <w:rPr>
          <w:rFonts w:hint="cs"/>
          <w:bCs/>
          <w:rtl/>
        </w:rPr>
        <w:t>الجدول 5:</w:t>
      </w:r>
      <w:r>
        <w:rPr>
          <w:rFonts w:hint="cs"/>
          <w:bCs/>
          <w:rtl/>
        </w:rPr>
        <w:t xml:space="preserve"> </w:t>
      </w:r>
      <w:r w:rsidR="0034109F">
        <w:rPr>
          <w:rFonts w:hint="cs"/>
          <w:bCs/>
          <w:rtl/>
        </w:rPr>
        <w:t>تدابير لتحقيق كفاءة واستخدام الطاقة ورصدها</w:t>
      </w:r>
    </w:p>
    <w:tbl>
      <w:tblPr>
        <w:tblStyle w:val="TableGrid"/>
        <w:bidiVisual/>
        <w:tblW w:w="9418" w:type="dxa"/>
        <w:tblLook w:val="04A0" w:firstRow="1" w:lastRow="0" w:firstColumn="1" w:lastColumn="0" w:noHBand="0" w:noVBand="1"/>
      </w:tblPr>
      <w:tblGrid>
        <w:gridCol w:w="1413"/>
        <w:gridCol w:w="8005"/>
      </w:tblGrid>
      <w:tr w:rsidR="005E2FC7" w:rsidRPr="009F78C2" w:rsidTr="00176896">
        <w:trPr>
          <w:cantSplit/>
          <w:trHeight w:val="234"/>
          <w:tblHeader/>
        </w:trPr>
        <w:tc>
          <w:tcPr>
            <w:tcW w:w="1413" w:type="dxa"/>
          </w:tcPr>
          <w:p w:rsidR="005E2FC7" w:rsidRPr="0034109F" w:rsidRDefault="0034109F" w:rsidP="009524F4">
            <w:pPr>
              <w:bidi/>
              <w:jc w:val="center"/>
              <w:rPr>
                <w:bCs/>
                <w:sz w:val="20"/>
                <w:szCs w:val="20"/>
                <w:lang w:val="en-CA"/>
              </w:rPr>
            </w:pPr>
            <w:r w:rsidRPr="0034109F">
              <w:rPr>
                <w:rFonts w:hint="cs"/>
                <w:bCs/>
                <w:sz w:val="20"/>
                <w:szCs w:val="20"/>
                <w:rtl/>
                <w:lang w:val="en-CA"/>
              </w:rPr>
              <w:t>الخصائص</w:t>
            </w:r>
          </w:p>
        </w:tc>
        <w:tc>
          <w:tcPr>
            <w:tcW w:w="8005" w:type="dxa"/>
          </w:tcPr>
          <w:p w:rsidR="005E2FC7" w:rsidRPr="0034109F" w:rsidRDefault="0034109F" w:rsidP="009524F4">
            <w:pPr>
              <w:bidi/>
              <w:jc w:val="center"/>
              <w:rPr>
                <w:bCs/>
                <w:sz w:val="20"/>
                <w:szCs w:val="20"/>
                <w:lang w:val="en-CA"/>
              </w:rPr>
            </w:pPr>
            <w:r w:rsidRPr="0034109F">
              <w:rPr>
                <w:rFonts w:hint="cs"/>
                <w:bCs/>
                <w:sz w:val="20"/>
                <w:szCs w:val="20"/>
                <w:rtl/>
                <w:lang w:val="en-CA"/>
              </w:rPr>
              <w:t>التدخلات</w:t>
            </w:r>
          </w:p>
        </w:tc>
      </w:tr>
      <w:tr w:rsidR="005E2FC7" w:rsidRPr="009F78C2" w:rsidTr="00176896">
        <w:trPr>
          <w:cantSplit/>
          <w:trHeight w:val="234"/>
        </w:trPr>
        <w:tc>
          <w:tcPr>
            <w:tcW w:w="9418" w:type="dxa"/>
            <w:gridSpan w:val="2"/>
          </w:tcPr>
          <w:p w:rsidR="005E2FC7" w:rsidRPr="0034109F" w:rsidRDefault="0034109F" w:rsidP="009524F4">
            <w:pPr>
              <w:bidi/>
              <w:jc w:val="left"/>
              <w:rPr>
                <w:bCs/>
                <w:sz w:val="20"/>
                <w:szCs w:val="20"/>
                <w:lang w:val="en-CA"/>
              </w:rPr>
            </w:pPr>
            <w:r w:rsidRPr="0034109F">
              <w:rPr>
                <w:rFonts w:hint="cs"/>
                <w:bCs/>
                <w:sz w:val="20"/>
                <w:szCs w:val="20"/>
                <w:rtl/>
                <w:lang w:val="en-CA"/>
              </w:rPr>
              <w:t>تركيب وصيانة المعدات</w:t>
            </w:r>
          </w:p>
        </w:tc>
      </w:tr>
      <w:tr w:rsidR="005E2FC7" w:rsidRPr="009F78C2" w:rsidTr="00176896">
        <w:trPr>
          <w:cantSplit/>
          <w:trHeight w:val="1469"/>
        </w:trPr>
        <w:tc>
          <w:tcPr>
            <w:tcW w:w="1413" w:type="dxa"/>
          </w:tcPr>
          <w:p w:rsidR="005E2FC7" w:rsidRPr="00BB30DF" w:rsidRDefault="0034109F" w:rsidP="009524F4">
            <w:pPr>
              <w:bidi/>
              <w:jc w:val="left"/>
              <w:rPr>
                <w:sz w:val="20"/>
                <w:szCs w:val="20"/>
              </w:rPr>
            </w:pPr>
            <w:r>
              <w:rPr>
                <w:rFonts w:hint="cs"/>
                <w:sz w:val="20"/>
                <w:szCs w:val="20"/>
                <w:rtl/>
                <w:lang w:val="en-CA"/>
              </w:rPr>
              <w:t>التدريب وبناء القدرات</w:t>
            </w:r>
          </w:p>
          <w:p w:rsidR="005E2FC7" w:rsidRPr="00730D76" w:rsidRDefault="005E2FC7" w:rsidP="009524F4">
            <w:pPr>
              <w:bidi/>
              <w:jc w:val="center"/>
              <w:rPr>
                <w:b/>
                <w:sz w:val="20"/>
                <w:szCs w:val="20"/>
                <w:lang w:val="en-CA"/>
              </w:rPr>
            </w:pPr>
          </w:p>
        </w:tc>
        <w:tc>
          <w:tcPr>
            <w:tcW w:w="8005" w:type="dxa"/>
          </w:tcPr>
          <w:p w:rsidR="0034109F" w:rsidRDefault="0034109F" w:rsidP="00501956">
            <w:pPr>
              <w:pStyle w:val="ListParagraph"/>
              <w:numPr>
                <w:ilvl w:val="0"/>
                <w:numId w:val="11"/>
              </w:numPr>
              <w:tabs>
                <w:tab w:val="left" w:pos="288"/>
              </w:tabs>
              <w:bidi/>
              <w:ind w:left="357" w:hanging="357"/>
              <w:rPr>
                <w:sz w:val="20"/>
                <w:szCs w:val="20"/>
                <w:lang w:val="en-CA"/>
              </w:rPr>
            </w:pPr>
            <w:r>
              <w:rPr>
                <w:rFonts w:hint="cs"/>
                <w:sz w:val="20"/>
                <w:szCs w:val="20"/>
                <w:rtl/>
                <w:lang w:val="en-CA"/>
              </w:rPr>
              <w:t>معدات رصد التسرب للمعدات ذات القدرات الكبيرة.</w:t>
            </w:r>
          </w:p>
          <w:p w:rsidR="0034109F" w:rsidRDefault="0034109F" w:rsidP="00EF1B01">
            <w:pPr>
              <w:pStyle w:val="ListParagraph"/>
              <w:numPr>
                <w:ilvl w:val="0"/>
                <w:numId w:val="11"/>
              </w:numPr>
              <w:tabs>
                <w:tab w:val="left" w:pos="288"/>
              </w:tabs>
              <w:bidi/>
              <w:ind w:left="288" w:hanging="288"/>
              <w:rPr>
                <w:sz w:val="20"/>
                <w:szCs w:val="20"/>
                <w:lang w:val="en-CA"/>
              </w:rPr>
            </w:pPr>
            <w:r>
              <w:rPr>
                <w:rFonts w:hint="cs"/>
                <w:sz w:val="20"/>
                <w:szCs w:val="20"/>
                <w:rtl/>
                <w:lang w:val="en-CA"/>
              </w:rPr>
              <w:t xml:space="preserve">الممارسات الجيدة في معدات التبريد وتكييف الهواء (مثل المفاصل </w:t>
            </w:r>
            <w:r w:rsidR="00EF1B01">
              <w:rPr>
                <w:rFonts w:hint="cs"/>
                <w:sz w:val="20"/>
                <w:szCs w:val="20"/>
                <w:rtl/>
                <w:lang w:val="en-CA"/>
              </w:rPr>
              <w:t>المحكمة</w:t>
            </w:r>
            <w:r>
              <w:rPr>
                <w:rFonts w:hint="cs"/>
                <w:sz w:val="20"/>
                <w:szCs w:val="20"/>
                <w:rtl/>
                <w:lang w:val="en-CA"/>
              </w:rPr>
              <w:t xml:space="preserve"> الاغلاق، وضمان شحن غازات التبريد الكامل خلال عمليات المعدات</w:t>
            </w:r>
          </w:p>
          <w:p w:rsidR="0034109F" w:rsidRDefault="0034109F" w:rsidP="00501956">
            <w:pPr>
              <w:pStyle w:val="ListParagraph"/>
              <w:numPr>
                <w:ilvl w:val="0"/>
                <w:numId w:val="11"/>
              </w:numPr>
              <w:tabs>
                <w:tab w:val="left" w:pos="288"/>
              </w:tabs>
              <w:bidi/>
              <w:ind w:left="288" w:hanging="288"/>
              <w:rPr>
                <w:sz w:val="20"/>
                <w:szCs w:val="20"/>
                <w:lang w:val="en-CA"/>
              </w:rPr>
            </w:pPr>
            <w:r>
              <w:rPr>
                <w:rFonts w:hint="cs"/>
                <w:sz w:val="20"/>
                <w:szCs w:val="20"/>
                <w:rtl/>
                <w:lang w:val="en-CA"/>
              </w:rPr>
              <w:t>الصيانة الجيدة وممارسات الخدمة (مثل التنظيف الدوري لمبادلات الحرارة)</w:t>
            </w:r>
          </w:p>
          <w:p w:rsidR="005E2FC7" w:rsidRPr="00730D76" w:rsidRDefault="0034109F" w:rsidP="00501956">
            <w:pPr>
              <w:pStyle w:val="ListParagraph"/>
              <w:numPr>
                <w:ilvl w:val="0"/>
                <w:numId w:val="11"/>
              </w:numPr>
              <w:tabs>
                <w:tab w:val="left" w:pos="288"/>
              </w:tabs>
              <w:bidi/>
              <w:ind w:left="288" w:hanging="288"/>
              <w:rPr>
                <w:sz w:val="20"/>
                <w:szCs w:val="20"/>
                <w:lang w:val="en-CA"/>
              </w:rPr>
            </w:pPr>
            <w:r>
              <w:rPr>
                <w:rFonts w:hint="cs"/>
                <w:sz w:val="20"/>
                <w:szCs w:val="20"/>
                <w:rtl/>
                <w:lang w:val="en-CA"/>
              </w:rPr>
              <w:t>المراجعات الدورية للعمليات والصيانة</w:t>
            </w:r>
          </w:p>
          <w:p w:rsidR="005E2FC7" w:rsidRPr="00730D76" w:rsidRDefault="0034109F" w:rsidP="00501956">
            <w:pPr>
              <w:pStyle w:val="ListParagraph"/>
              <w:numPr>
                <w:ilvl w:val="0"/>
                <w:numId w:val="11"/>
              </w:numPr>
              <w:tabs>
                <w:tab w:val="left" w:pos="288"/>
              </w:tabs>
              <w:bidi/>
              <w:ind w:left="288" w:hanging="288"/>
              <w:rPr>
                <w:sz w:val="20"/>
                <w:szCs w:val="20"/>
              </w:rPr>
            </w:pPr>
            <w:r>
              <w:rPr>
                <w:rFonts w:hint="cs"/>
                <w:sz w:val="20"/>
                <w:szCs w:val="20"/>
                <w:rtl/>
                <w:lang w:val="en-CA"/>
              </w:rPr>
              <w:t>خدمة المعدات من خلال الفنيين المؤهلين والمدربين.</w:t>
            </w:r>
          </w:p>
        </w:tc>
      </w:tr>
      <w:tr w:rsidR="005E2FC7" w:rsidRPr="009F78C2" w:rsidTr="00176896">
        <w:trPr>
          <w:cantSplit/>
          <w:trHeight w:val="234"/>
        </w:trPr>
        <w:tc>
          <w:tcPr>
            <w:tcW w:w="9418" w:type="dxa"/>
            <w:gridSpan w:val="2"/>
          </w:tcPr>
          <w:p w:rsidR="005E2FC7" w:rsidRPr="0034109F" w:rsidRDefault="0034109F" w:rsidP="009524F4">
            <w:pPr>
              <w:keepNext/>
              <w:keepLines/>
              <w:tabs>
                <w:tab w:val="left" w:pos="288"/>
              </w:tabs>
              <w:bidi/>
              <w:jc w:val="left"/>
              <w:rPr>
                <w:bCs/>
                <w:sz w:val="20"/>
                <w:szCs w:val="20"/>
                <w:lang w:val="en-CA"/>
              </w:rPr>
            </w:pPr>
            <w:r>
              <w:rPr>
                <w:rFonts w:hint="cs"/>
                <w:bCs/>
                <w:sz w:val="20"/>
                <w:szCs w:val="20"/>
                <w:rtl/>
                <w:lang w:val="en-CA"/>
              </w:rPr>
              <w:t>الإجراءات على المستوى القطاعي والوطني</w:t>
            </w:r>
          </w:p>
        </w:tc>
      </w:tr>
      <w:tr w:rsidR="005E2FC7" w:rsidRPr="009F78C2" w:rsidTr="003F5B10">
        <w:trPr>
          <w:cantSplit/>
          <w:trHeight w:val="847"/>
        </w:trPr>
        <w:tc>
          <w:tcPr>
            <w:tcW w:w="1413" w:type="dxa"/>
          </w:tcPr>
          <w:p w:rsidR="005E2FC7" w:rsidRPr="009F78C2" w:rsidRDefault="0034109F" w:rsidP="009524F4">
            <w:pPr>
              <w:bidi/>
              <w:jc w:val="left"/>
              <w:rPr>
                <w:sz w:val="20"/>
                <w:szCs w:val="20"/>
                <w:lang w:val="en-CA"/>
              </w:rPr>
            </w:pPr>
            <w:r>
              <w:rPr>
                <w:rFonts w:hint="cs"/>
                <w:sz w:val="20"/>
                <w:szCs w:val="20"/>
                <w:rtl/>
                <w:lang w:val="en-CA"/>
              </w:rPr>
              <w:t>تعزيز المعايير للعمليات</w:t>
            </w:r>
          </w:p>
        </w:tc>
        <w:tc>
          <w:tcPr>
            <w:tcW w:w="8005" w:type="dxa"/>
          </w:tcPr>
          <w:p w:rsidR="0034109F" w:rsidRDefault="003F5B10" w:rsidP="00501956">
            <w:pPr>
              <w:pStyle w:val="ListParagraph"/>
              <w:numPr>
                <w:ilvl w:val="0"/>
                <w:numId w:val="10"/>
              </w:numPr>
              <w:tabs>
                <w:tab w:val="left" w:pos="288"/>
              </w:tabs>
              <w:bidi/>
              <w:ind w:left="289" w:hanging="289"/>
              <w:rPr>
                <w:sz w:val="20"/>
                <w:szCs w:val="20"/>
                <w:lang w:val="en-CA"/>
              </w:rPr>
            </w:pPr>
            <w:r>
              <w:rPr>
                <w:rFonts w:hint="cs"/>
                <w:sz w:val="20"/>
                <w:szCs w:val="20"/>
                <w:rtl/>
                <w:lang w:val="en-CA"/>
              </w:rPr>
              <w:t>إدخال المعايير وبرامج التوسيم للمحافظة على أداء كفاءة الطاقة</w:t>
            </w:r>
          </w:p>
          <w:p w:rsidR="003F5B10" w:rsidRDefault="003F5B10" w:rsidP="00501956">
            <w:pPr>
              <w:pStyle w:val="ListParagraph"/>
              <w:numPr>
                <w:ilvl w:val="0"/>
                <w:numId w:val="10"/>
              </w:numPr>
              <w:tabs>
                <w:tab w:val="left" w:pos="288"/>
              </w:tabs>
              <w:bidi/>
              <w:ind w:left="289" w:hanging="289"/>
              <w:rPr>
                <w:sz w:val="20"/>
                <w:szCs w:val="20"/>
                <w:lang w:val="en-CA"/>
              </w:rPr>
            </w:pPr>
            <w:r>
              <w:rPr>
                <w:rFonts w:hint="cs"/>
                <w:sz w:val="20"/>
                <w:szCs w:val="20"/>
                <w:rtl/>
                <w:lang w:val="en-CA"/>
              </w:rPr>
              <w:t>المعايير المتكاملة لكفاءة استخدام الطاقة لأغراض تطبيقات الاستخدامات النهائية بما في ذلك ممارسات التركيب والصيانة</w:t>
            </w:r>
          </w:p>
          <w:p w:rsidR="005E2FC7" w:rsidRPr="003F5B10" w:rsidRDefault="003F5B10" w:rsidP="003F5B10">
            <w:pPr>
              <w:pStyle w:val="ListParagraph"/>
              <w:numPr>
                <w:ilvl w:val="0"/>
                <w:numId w:val="10"/>
              </w:numPr>
              <w:tabs>
                <w:tab w:val="left" w:pos="288"/>
              </w:tabs>
              <w:bidi/>
              <w:ind w:left="289" w:hanging="289"/>
              <w:rPr>
                <w:sz w:val="20"/>
                <w:szCs w:val="20"/>
                <w:lang w:val="en-CA"/>
              </w:rPr>
            </w:pPr>
            <w:r>
              <w:rPr>
                <w:rFonts w:hint="cs"/>
                <w:sz w:val="20"/>
                <w:szCs w:val="20"/>
                <w:rtl/>
                <w:lang w:val="en-CA"/>
              </w:rPr>
              <w:t>تطبيق معايير سلامة وكفاءة استخدام المعدات بما في ذلك ممارسات الصيانة الجيدة.</w:t>
            </w:r>
            <w:r w:rsidRPr="009F78C2">
              <w:rPr>
                <w:rStyle w:val="FootnoteReference"/>
                <w:sz w:val="20"/>
                <w:szCs w:val="20"/>
                <w:lang w:val="en-CA"/>
              </w:rPr>
              <w:t xml:space="preserve"> </w:t>
            </w:r>
            <w:r w:rsidRPr="009F78C2">
              <w:rPr>
                <w:rStyle w:val="FootnoteReference"/>
                <w:sz w:val="20"/>
                <w:szCs w:val="20"/>
                <w:lang w:val="en-CA"/>
              </w:rPr>
              <w:footnoteReference w:id="56"/>
            </w:r>
          </w:p>
        </w:tc>
      </w:tr>
      <w:tr w:rsidR="005E2FC7" w:rsidRPr="001E6362" w:rsidTr="003B3621">
        <w:trPr>
          <w:cantSplit/>
          <w:trHeight w:val="2675"/>
        </w:trPr>
        <w:tc>
          <w:tcPr>
            <w:tcW w:w="1413" w:type="dxa"/>
          </w:tcPr>
          <w:p w:rsidR="005E2FC7" w:rsidRPr="001E6362" w:rsidRDefault="003F5B10" w:rsidP="009524F4">
            <w:pPr>
              <w:bidi/>
              <w:jc w:val="left"/>
              <w:rPr>
                <w:sz w:val="20"/>
                <w:szCs w:val="20"/>
                <w:lang w:val="en-CA"/>
              </w:rPr>
            </w:pPr>
            <w:r>
              <w:rPr>
                <w:rFonts w:hint="cs"/>
                <w:sz w:val="20"/>
                <w:szCs w:val="20"/>
                <w:rtl/>
                <w:lang w:val="en-CA"/>
              </w:rPr>
              <w:t>المعايير والممارسات التنظيمية المتكاملة</w:t>
            </w:r>
          </w:p>
        </w:tc>
        <w:tc>
          <w:tcPr>
            <w:tcW w:w="8005" w:type="dxa"/>
          </w:tcPr>
          <w:p w:rsidR="003F5B10" w:rsidRDefault="003F5B10" w:rsidP="00501956">
            <w:pPr>
              <w:pStyle w:val="ListParagraph"/>
              <w:numPr>
                <w:ilvl w:val="0"/>
                <w:numId w:val="9"/>
              </w:numPr>
              <w:tabs>
                <w:tab w:val="left" w:pos="288"/>
              </w:tabs>
              <w:bidi/>
              <w:ind w:left="289" w:hanging="288"/>
              <w:rPr>
                <w:sz w:val="20"/>
                <w:szCs w:val="20"/>
                <w:lang w:val="en-CA"/>
              </w:rPr>
            </w:pPr>
            <w:r>
              <w:rPr>
                <w:rFonts w:hint="cs"/>
                <w:sz w:val="20"/>
                <w:szCs w:val="20"/>
                <w:rtl/>
                <w:lang w:val="en-CA"/>
              </w:rPr>
              <w:t>وضع سياسات لتعزيز كفاءة استخدام الطاقة ومعايير غازات التبريد الصديقة للمناخ.</w:t>
            </w:r>
          </w:p>
          <w:p w:rsidR="003F5B10" w:rsidRDefault="003F5B10" w:rsidP="003F5B10">
            <w:pPr>
              <w:pStyle w:val="ListParagraph"/>
              <w:numPr>
                <w:ilvl w:val="0"/>
                <w:numId w:val="9"/>
              </w:numPr>
              <w:tabs>
                <w:tab w:val="left" w:pos="288"/>
              </w:tabs>
              <w:bidi/>
              <w:ind w:left="289" w:hanging="288"/>
              <w:rPr>
                <w:sz w:val="20"/>
                <w:szCs w:val="20"/>
                <w:lang w:val="en-CA"/>
              </w:rPr>
            </w:pPr>
            <w:r>
              <w:rPr>
                <w:rFonts w:hint="cs"/>
                <w:sz w:val="20"/>
                <w:szCs w:val="20"/>
                <w:rtl/>
                <w:lang w:val="en-CA"/>
              </w:rPr>
              <w:t>برامج المشتريات التجميعية (الحكومية وغيرها) من معدات كفاءة الطاقة التي تستخدم غازات التبريد المنخفضة القدرة على الاحترار العالمي أو الخالية من هذه القدرة.</w:t>
            </w:r>
          </w:p>
          <w:p w:rsidR="003F5B10" w:rsidRDefault="003F5B10" w:rsidP="00501956">
            <w:pPr>
              <w:pStyle w:val="ListParagraph"/>
              <w:numPr>
                <w:ilvl w:val="0"/>
                <w:numId w:val="9"/>
              </w:numPr>
              <w:tabs>
                <w:tab w:val="left" w:pos="288"/>
              </w:tabs>
              <w:bidi/>
              <w:ind w:left="289" w:hanging="288"/>
              <w:rPr>
                <w:sz w:val="20"/>
                <w:szCs w:val="20"/>
                <w:lang w:val="en-CA"/>
              </w:rPr>
            </w:pPr>
            <w:r>
              <w:rPr>
                <w:rFonts w:hint="cs"/>
                <w:sz w:val="20"/>
                <w:szCs w:val="20"/>
                <w:rtl/>
                <w:lang w:val="en-CA"/>
              </w:rPr>
              <w:t>حظر استيراد المعدات التي تستخدم ما يقل عن معايير كفاءة استخدام الطاقة المحددة (مثل المعدات التي تستخدم المواد الهيدروكلوروفلوروكربون التي لا تتسم بكفاءة استخدام الطاقة والمعدات المستعملة).</w:t>
            </w:r>
          </w:p>
          <w:p w:rsidR="003F5B10" w:rsidRDefault="003F5B10" w:rsidP="00501956">
            <w:pPr>
              <w:pStyle w:val="ListParagraph"/>
              <w:numPr>
                <w:ilvl w:val="0"/>
                <w:numId w:val="9"/>
              </w:numPr>
              <w:tabs>
                <w:tab w:val="left" w:pos="288"/>
              </w:tabs>
              <w:bidi/>
              <w:ind w:left="289" w:hanging="288"/>
              <w:rPr>
                <w:sz w:val="20"/>
                <w:szCs w:val="20"/>
                <w:lang w:val="en-CA"/>
              </w:rPr>
            </w:pPr>
            <w:r>
              <w:rPr>
                <w:rFonts w:hint="cs"/>
                <w:sz w:val="20"/>
                <w:szCs w:val="20"/>
                <w:rtl/>
                <w:lang w:val="en-CA"/>
              </w:rPr>
              <w:t>السياسات المتكاملة لتمويل الإسكان لتطبيق معدات كفاءة استخدام الطاقة في المباني القائمة والجديدة.</w:t>
            </w:r>
          </w:p>
          <w:p w:rsidR="003F5B10" w:rsidRDefault="00B26105" w:rsidP="00501956">
            <w:pPr>
              <w:pStyle w:val="ListParagraph"/>
              <w:numPr>
                <w:ilvl w:val="0"/>
                <w:numId w:val="9"/>
              </w:numPr>
              <w:tabs>
                <w:tab w:val="left" w:pos="288"/>
              </w:tabs>
              <w:bidi/>
              <w:ind w:left="289" w:hanging="288"/>
              <w:rPr>
                <w:sz w:val="20"/>
                <w:szCs w:val="20"/>
                <w:lang w:val="en-CA"/>
              </w:rPr>
            </w:pPr>
            <w:r>
              <w:rPr>
                <w:rFonts w:hint="cs"/>
                <w:sz w:val="20"/>
                <w:szCs w:val="20"/>
                <w:rtl/>
                <w:lang w:val="en-CA"/>
              </w:rPr>
              <w:t>سياسات لتطبيق التكنولوجيا التي تتسم بكفاءة استخدام الطاقة والصديقة للمناخ في مختلف قطاعات الصناعة (مثل السلاسل المبردة وتطبيقات السياحة)</w:t>
            </w:r>
          </w:p>
          <w:p w:rsidR="00B26105" w:rsidRDefault="00B26105" w:rsidP="00501956">
            <w:pPr>
              <w:pStyle w:val="ListParagraph"/>
              <w:numPr>
                <w:ilvl w:val="0"/>
                <w:numId w:val="9"/>
              </w:numPr>
              <w:tabs>
                <w:tab w:val="left" w:pos="288"/>
              </w:tabs>
              <w:bidi/>
              <w:ind w:left="289" w:hanging="288"/>
              <w:rPr>
                <w:sz w:val="20"/>
                <w:szCs w:val="20"/>
                <w:lang w:val="en-CA"/>
              </w:rPr>
            </w:pPr>
            <w:r>
              <w:rPr>
                <w:rFonts w:hint="cs"/>
                <w:sz w:val="20"/>
                <w:szCs w:val="20"/>
                <w:rtl/>
                <w:lang w:val="en-CA"/>
              </w:rPr>
              <w:t>سياسات لوضع البرامج التحفيزية لشركات الخدمات للتشجيع على استخدام المعدات العاملة بكفاءة استخدام الطاقة</w:t>
            </w:r>
          </w:p>
          <w:p w:rsidR="00B26105" w:rsidRDefault="00B26105" w:rsidP="00501956">
            <w:pPr>
              <w:pStyle w:val="ListParagraph"/>
              <w:numPr>
                <w:ilvl w:val="0"/>
                <w:numId w:val="9"/>
              </w:numPr>
              <w:tabs>
                <w:tab w:val="left" w:pos="288"/>
              </w:tabs>
              <w:bidi/>
              <w:ind w:left="289" w:hanging="288"/>
              <w:rPr>
                <w:sz w:val="20"/>
                <w:szCs w:val="20"/>
                <w:lang w:val="en-CA"/>
              </w:rPr>
            </w:pPr>
            <w:r>
              <w:rPr>
                <w:rFonts w:hint="cs"/>
                <w:sz w:val="20"/>
                <w:szCs w:val="20"/>
                <w:rtl/>
                <w:lang w:val="en-CA"/>
              </w:rPr>
              <w:t>سياسات لتطبيق التكنولوجيات غير العينية حيثما يكون ذلك ممكنا.</w:t>
            </w:r>
          </w:p>
          <w:p w:rsidR="005E2FC7" w:rsidRPr="003B3621" w:rsidRDefault="005E2FC7" w:rsidP="003B3621">
            <w:pPr>
              <w:tabs>
                <w:tab w:val="left" w:pos="288"/>
              </w:tabs>
              <w:bidi/>
              <w:rPr>
                <w:sz w:val="20"/>
                <w:szCs w:val="20"/>
                <w:lang w:val="en-CA"/>
              </w:rPr>
            </w:pPr>
          </w:p>
        </w:tc>
      </w:tr>
    </w:tbl>
    <w:p w:rsidR="005E2FC7" w:rsidRDefault="00EF1B01" w:rsidP="009524F4">
      <w:pPr>
        <w:bidi/>
      </w:pPr>
      <w:r>
        <w:rPr>
          <w:rFonts w:hint="cs"/>
          <w:rtl/>
        </w:rPr>
        <w:t xml:space="preserve"> </w:t>
      </w:r>
    </w:p>
    <w:p w:rsidR="00C85D8C" w:rsidRPr="00E35D84" w:rsidRDefault="00C85D8C" w:rsidP="00EF1B01">
      <w:pPr>
        <w:bidi/>
        <w:rPr>
          <w:bCs/>
          <w:caps/>
          <w:sz w:val="26"/>
          <w:szCs w:val="26"/>
        </w:rPr>
      </w:pPr>
      <w:r>
        <w:rPr>
          <w:rFonts w:hint="cs"/>
          <w:bCs/>
          <w:caps/>
          <w:rtl/>
        </w:rPr>
        <w:t>ثالثا-</w:t>
      </w:r>
      <w:r w:rsidRPr="00E35D84">
        <w:rPr>
          <w:rFonts w:hint="cs"/>
          <w:bCs/>
          <w:caps/>
          <w:sz w:val="26"/>
          <w:szCs w:val="26"/>
          <w:rtl/>
        </w:rPr>
        <w:tab/>
      </w:r>
      <w:r w:rsidR="003B3621" w:rsidRPr="00E35D84">
        <w:rPr>
          <w:rFonts w:hint="cs"/>
          <w:bCs/>
          <w:caps/>
          <w:sz w:val="26"/>
          <w:szCs w:val="26"/>
          <w:rtl/>
        </w:rPr>
        <w:t>تحليل المعلومات الدنيا الضرورية لوضع برامج التدريب و</w:t>
      </w:r>
      <w:r w:rsidR="00EF1B01" w:rsidRPr="00E35D84">
        <w:rPr>
          <w:rFonts w:hint="cs"/>
          <w:bCs/>
          <w:caps/>
          <w:sz w:val="26"/>
          <w:szCs w:val="26"/>
          <w:rtl/>
        </w:rPr>
        <w:t xml:space="preserve">شهدات </w:t>
      </w:r>
      <w:r w:rsidR="003B3621" w:rsidRPr="00E35D84">
        <w:rPr>
          <w:rFonts w:hint="cs"/>
          <w:bCs/>
          <w:caps/>
          <w:sz w:val="26"/>
          <w:szCs w:val="26"/>
          <w:rtl/>
        </w:rPr>
        <w:t>الاعتماد على أساس القدرة ونماذج لفنيي الخدمة وموظفي الجمارك للتحول الى البدائل</w:t>
      </w:r>
    </w:p>
    <w:p w:rsidR="00B94810" w:rsidRPr="00E35D84" w:rsidRDefault="00B94810" w:rsidP="009524F4">
      <w:pPr>
        <w:bidi/>
        <w:rPr>
          <w:b/>
          <w:sz w:val="26"/>
          <w:szCs w:val="26"/>
        </w:rPr>
      </w:pPr>
    </w:p>
    <w:p w:rsidR="003B3621" w:rsidRPr="00E35D84" w:rsidRDefault="003B3621" w:rsidP="009524F4">
      <w:pPr>
        <w:pStyle w:val="Heading1"/>
        <w:bidi/>
        <w:rPr>
          <w:sz w:val="26"/>
          <w:szCs w:val="26"/>
          <w:lang w:val="en-US"/>
        </w:rPr>
      </w:pPr>
      <w:r w:rsidRPr="00E35D84">
        <w:rPr>
          <w:rFonts w:hint="cs"/>
          <w:sz w:val="26"/>
          <w:szCs w:val="26"/>
          <w:rtl/>
          <w:lang w:val="en-US"/>
        </w:rPr>
        <w:t>أصبحت بلدان المادة 5، كما سبقت الإشارة، في مراحل مختلفة من تنفيذ خططها لإدارة إزالة المواد الهيدروكلوروفلوروكربونية وفي مستوى مختلفة من القدرات التي وضعت بالفعل لمعالجة إزالة المواد الخاضعة للرقابة المتعلقة بقطاع خدمة التبريد.</w:t>
      </w:r>
    </w:p>
    <w:p w:rsidR="003B3621" w:rsidRPr="00E35D84" w:rsidRDefault="003B3621" w:rsidP="00F56B78">
      <w:pPr>
        <w:pStyle w:val="Heading1"/>
        <w:bidi/>
        <w:rPr>
          <w:sz w:val="26"/>
          <w:szCs w:val="26"/>
          <w:lang w:val="en-US"/>
        </w:rPr>
      </w:pPr>
      <w:r w:rsidRPr="00E35D84">
        <w:rPr>
          <w:rFonts w:hint="cs"/>
          <w:sz w:val="26"/>
          <w:szCs w:val="26"/>
          <w:rtl/>
          <w:lang w:val="en-US"/>
        </w:rPr>
        <w:t>وفي حين أن من الممكن استخدام العناصر الشائعة بواسطة جميع البلاد لتصميم التدريب للفنيين وموظفي الجمارك، أشارت الوكالات الثنائية والمنفذة الى أن من المهم ممارسة المرونة في تحديد الأولويات في كل بلد استنادا الى الحالة الراهنة والقطاعا</w:t>
      </w:r>
      <w:r w:rsidR="00F56B78" w:rsidRPr="00E35D84">
        <w:rPr>
          <w:rFonts w:hint="cs"/>
          <w:sz w:val="26"/>
          <w:szCs w:val="26"/>
          <w:rtl/>
          <w:lang w:val="en-US"/>
        </w:rPr>
        <w:t>ت</w:t>
      </w:r>
      <w:r w:rsidRPr="00E35D84">
        <w:rPr>
          <w:rFonts w:hint="cs"/>
          <w:sz w:val="26"/>
          <w:szCs w:val="26"/>
          <w:rtl/>
          <w:lang w:val="en-US"/>
        </w:rPr>
        <w:t xml:space="preserve"> الاستراتيجية والمؤسسات والقواعد القائمة. كذلك فإن الأطر القانونية ومتطلبات التراخيص بالواردات والصادرات تتباين من بلد لآخر. ففي بعض البلدان، توجد هيئات محددة مسؤولة عن وضع </w:t>
      </w:r>
      <w:r w:rsidRPr="00E35D84">
        <w:rPr>
          <w:rFonts w:hint="cs"/>
          <w:sz w:val="26"/>
          <w:szCs w:val="26"/>
          <w:rtl/>
          <w:lang w:val="en-US"/>
        </w:rPr>
        <w:lastRenderedPageBreak/>
        <w:t>المعايير التقنية وإصدار شهادات الاعتماد، ويحصل الفنيون على شهادات الاعتماد على أساس القدرة تصدرها الهيئات التعليمية أو الخاصة بالعمل المعنية في الحكومة، في حين يمكن الحصول على شهادات الاعتماد من اتحادات التبريد أو أنها ستنفذ بالكامل بواسطة هذه الاتحادات.</w:t>
      </w:r>
    </w:p>
    <w:p w:rsidR="003B3621" w:rsidRPr="00E35D84" w:rsidRDefault="00D00DDC" w:rsidP="009524F4">
      <w:pPr>
        <w:pStyle w:val="Heading1"/>
        <w:bidi/>
        <w:rPr>
          <w:sz w:val="26"/>
          <w:szCs w:val="26"/>
          <w:lang w:val="en-US"/>
        </w:rPr>
      </w:pPr>
      <w:r w:rsidRPr="00E35D84">
        <w:rPr>
          <w:rFonts w:hint="cs"/>
          <w:sz w:val="26"/>
          <w:szCs w:val="26"/>
          <w:rtl/>
          <w:lang w:val="en-US"/>
        </w:rPr>
        <w:t xml:space="preserve">ولذا فإنه في حين يمكن للبلدان الاستفادة من النماذج التقنية الشائعة التي يمكن استخدامها كمراجع لتدريب موظفي الجمارك والفنيين، فإن هناك أفضليات في وضع برامج تدريب </w:t>
      </w:r>
      <w:r w:rsidR="00A779A5" w:rsidRPr="00E35D84">
        <w:rPr>
          <w:rFonts w:hint="cs"/>
          <w:sz w:val="26"/>
          <w:szCs w:val="26"/>
          <w:rtl/>
          <w:lang w:val="en-US"/>
        </w:rPr>
        <w:t>موظفي الجمارك وتدريب الفنيين، وخطط إصدار شهادات الاعتماد التي تصمم وفقا للظروف النوعية السائدة في كل بلد إزاء نهج فردي أو موحد.</w:t>
      </w:r>
    </w:p>
    <w:p w:rsidR="006B6C45" w:rsidRPr="00E35D84" w:rsidRDefault="00A779A5" w:rsidP="009524F4">
      <w:pPr>
        <w:keepNext/>
        <w:keepLines/>
        <w:bidi/>
        <w:rPr>
          <w:bCs/>
          <w:sz w:val="26"/>
          <w:szCs w:val="26"/>
        </w:rPr>
      </w:pPr>
      <w:r w:rsidRPr="00E35D84">
        <w:rPr>
          <w:rFonts w:hint="cs"/>
          <w:bCs/>
          <w:sz w:val="26"/>
          <w:szCs w:val="26"/>
          <w:rtl/>
        </w:rPr>
        <w:t>المنتجات التي تستحدث لمساعدة قطاع خدمة التبريد في بلدان المادة 5</w:t>
      </w:r>
    </w:p>
    <w:p w:rsidR="00AC4B25" w:rsidRPr="00E35D84" w:rsidRDefault="00AC4B25" w:rsidP="009524F4">
      <w:pPr>
        <w:keepNext/>
        <w:keepLines/>
        <w:bidi/>
        <w:rPr>
          <w:sz w:val="26"/>
          <w:szCs w:val="26"/>
        </w:rPr>
      </w:pPr>
    </w:p>
    <w:p w:rsidR="00A779A5" w:rsidRPr="00E35D84" w:rsidRDefault="00A779A5" w:rsidP="009524F4">
      <w:pPr>
        <w:pStyle w:val="Heading1"/>
        <w:bidi/>
        <w:rPr>
          <w:sz w:val="26"/>
          <w:szCs w:val="26"/>
        </w:rPr>
      </w:pPr>
      <w:r w:rsidRPr="00E35D84">
        <w:rPr>
          <w:rFonts w:hint="cs"/>
          <w:sz w:val="26"/>
          <w:szCs w:val="26"/>
          <w:rtl/>
        </w:rPr>
        <w:t xml:space="preserve">كانت الدروس التي اكتسبتها الوكالات الثنائية والمنفذة من قطاع خدمة التبريد تدرج باستمرار في الأدلة المستخدمة كمراجع لتدريب موظفي الجمارك وفنيي التبريد، وفي </w:t>
      </w:r>
      <w:r w:rsidR="00D147B0" w:rsidRPr="00E35D84">
        <w:rPr>
          <w:rFonts w:hint="cs"/>
          <w:sz w:val="26"/>
          <w:szCs w:val="26"/>
          <w:rtl/>
        </w:rPr>
        <w:t>مدونات ممارسات الخدمة الجيدة للفنيين. وقد استخدمت هذه الخبرات أيضا في اختيار مجموعات وأدوات الخدمة الأساسية للفنيين ومجموعات أدوات للتعرف على المواد الخاضعة للرقابة التي تستخدم بصورة أساسية بواسطة سلطات الجمارك عند نقاط الدخول ووحدات الاسترجاع وإعادة التدوير التي تحقق مردودية تكاليفها.</w:t>
      </w:r>
    </w:p>
    <w:p w:rsidR="00D147B0" w:rsidRPr="00E35D84" w:rsidRDefault="00D147B0" w:rsidP="009524F4">
      <w:pPr>
        <w:pStyle w:val="Heading1"/>
        <w:bidi/>
        <w:rPr>
          <w:sz w:val="26"/>
          <w:szCs w:val="26"/>
        </w:rPr>
      </w:pPr>
      <w:r w:rsidRPr="00E35D84">
        <w:rPr>
          <w:rFonts w:hint="cs"/>
          <w:sz w:val="26"/>
          <w:szCs w:val="26"/>
          <w:rtl/>
        </w:rPr>
        <w:t>وعلاوة على ذلك، وافقت اللجنة التنفيذية، في إطار برنامج المساعدة على الامتثال لدى اليونيب على تمويل لوضع أدوات ومنتجات وخدمات يمكن أن تستخدمها جميع بلدان المادة 5 لدى تنفيذ الأنشطة في قطاع خدمة التبريد. ويتضمن الجدول 6 موجزا لهذه المنتجات، ويتضمن المرفق الثالث معلومات أكثر تفصيلا عن ذلك.</w:t>
      </w:r>
    </w:p>
    <w:p w:rsidR="00C85D8C" w:rsidRPr="00C85D8C" w:rsidRDefault="00C85D8C" w:rsidP="009524F4">
      <w:pPr>
        <w:pStyle w:val="Heading1"/>
        <w:numPr>
          <w:ilvl w:val="0"/>
          <w:numId w:val="0"/>
        </w:numPr>
        <w:bidi/>
        <w:spacing w:after="0"/>
        <w:rPr>
          <w:bCs/>
          <w:rtl/>
        </w:rPr>
      </w:pPr>
      <w:r>
        <w:rPr>
          <w:rFonts w:hint="cs"/>
          <w:bCs/>
          <w:rtl/>
        </w:rPr>
        <w:t xml:space="preserve">الجدول 6: </w:t>
      </w:r>
      <w:r w:rsidR="00D147B0">
        <w:rPr>
          <w:rFonts w:hint="cs"/>
          <w:bCs/>
          <w:rtl/>
        </w:rPr>
        <w:t>الأدوات والمنتجات والخدمات لقطاع خدمة التبريد والتي وضعها برنامج المساعدة على الامتثال لدى اليونيب</w:t>
      </w:r>
    </w:p>
    <w:tbl>
      <w:tblPr>
        <w:tblStyle w:val="TableGrid"/>
        <w:bidiVisual/>
        <w:tblW w:w="9360" w:type="dxa"/>
        <w:tblInd w:w="108" w:type="dxa"/>
        <w:tblLook w:val="04A0" w:firstRow="1" w:lastRow="0" w:firstColumn="1" w:lastColumn="0" w:noHBand="0" w:noVBand="1"/>
      </w:tblPr>
      <w:tblGrid>
        <w:gridCol w:w="4565"/>
        <w:gridCol w:w="4795"/>
      </w:tblGrid>
      <w:tr w:rsidR="006E3DDC" w:rsidRPr="00551B10" w:rsidTr="00C85D8C">
        <w:trPr>
          <w:tblHeader/>
        </w:trPr>
        <w:tc>
          <w:tcPr>
            <w:tcW w:w="4565" w:type="dxa"/>
          </w:tcPr>
          <w:p w:rsidR="006E3DDC" w:rsidRPr="00551B10" w:rsidRDefault="00D147B0" w:rsidP="009524F4">
            <w:pPr>
              <w:pStyle w:val="Heading1"/>
              <w:numPr>
                <w:ilvl w:val="0"/>
                <w:numId w:val="0"/>
              </w:numPr>
              <w:bidi/>
              <w:spacing w:after="0"/>
              <w:jc w:val="left"/>
              <w:outlineLvl w:val="0"/>
              <w:rPr>
                <w:b/>
                <w:bCs/>
                <w:color w:val="000000" w:themeColor="text1"/>
                <w:sz w:val="20"/>
                <w:szCs w:val="20"/>
              </w:rPr>
            </w:pPr>
            <w:r>
              <w:rPr>
                <w:rFonts w:hint="cs"/>
                <w:b/>
                <w:bCs/>
                <w:color w:val="000000" w:themeColor="text1"/>
                <w:sz w:val="20"/>
                <w:szCs w:val="20"/>
                <w:rtl/>
              </w:rPr>
              <w:t>المنتج</w:t>
            </w:r>
          </w:p>
        </w:tc>
        <w:tc>
          <w:tcPr>
            <w:tcW w:w="4795" w:type="dxa"/>
          </w:tcPr>
          <w:p w:rsidR="006E3DDC" w:rsidRPr="00551B10" w:rsidRDefault="00D147B0" w:rsidP="009524F4">
            <w:pPr>
              <w:pStyle w:val="Heading1"/>
              <w:numPr>
                <w:ilvl w:val="0"/>
                <w:numId w:val="0"/>
              </w:numPr>
              <w:bidi/>
              <w:spacing w:after="0"/>
              <w:jc w:val="left"/>
              <w:outlineLvl w:val="0"/>
              <w:rPr>
                <w:b/>
                <w:bCs/>
                <w:color w:val="000000" w:themeColor="text1"/>
                <w:sz w:val="20"/>
                <w:szCs w:val="20"/>
              </w:rPr>
            </w:pPr>
            <w:r>
              <w:rPr>
                <w:rFonts w:hint="cs"/>
                <w:b/>
                <w:bCs/>
                <w:color w:val="000000" w:themeColor="text1"/>
                <w:sz w:val="20"/>
                <w:szCs w:val="20"/>
                <w:rtl/>
              </w:rPr>
              <w:t>وصف موجز</w:t>
            </w:r>
          </w:p>
        </w:tc>
      </w:tr>
      <w:tr w:rsidR="006E3DDC" w:rsidRPr="00551B10" w:rsidTr="00C85D8C">
        <w:tc>
          <w:tcPr>
            <w:tcW w:w="9360" w:type="dxa"/>
            <w:gridSpan w:val="2"/>
          </w:tcPr>
          <w:p w:rsidR="006E3DDC" w:rsidRPr="00551B10" w:rsidRDefault="006E3DDC" w:rsidP="009524F4">
            <w:pPr>
              <w:pStyle w:val="Heading2"/>
              <w:numPr>
                <w:ilvl w:val="0"/>
                <w:numId w:val="0"/>
              </w:numPr>
              <w:bidi/>
              <w:spacing w:after="0"/>
              <w:jc w:val="left"/>
              <w:outlineLvl w:val="1"/>
              <w:rPr>
                <w:b/>
                <w:color w:val="000000" w:themeColor="text1"/>
                <w:sz w:val="20"/>
                <w:szCs w:val="20"/>
              </w:rPr>
            </w:pPr>
            <w:r w:rsidRPr="00551B10">
              <w:rPr>
                <w:b/>
                <w:bCs/>
                <w:noProof/>
                <w:color w:val="000000" w:themeColor="text1"/>
                <w:sz w:val="20"/>
                <w:szCs w:val="20"/>
                <w:lang w:val="en-CA" w:eastAsia="en-CA"/>
              </w:rPr>
              <w:drawing>
                <wp:anchor distT="0" distB="0" distL="114300" distR="114300" simplePos="0" relativeHeight="251666432" behindDoc="0" locked="0" layoutInCell="1" allowOverlap="1">
                  <wp:simplePos x="0" y="0"/>
                  <wp:positionH relativeFrom="column">
                    <wp:posOffset>-94040325</wp:posOffset>
                  </wp:positionH>
                  <wp:positionV relativeFrom="paragraph">
                    <wp:posOffset>-231086025</wp:posOffset>
                  </wp:positionV>
                  <wp:extent cx="1292716" cy="743244"/>
                  <wp:effectExtent l="0" t="0" r="3175" b="0"/>
                  <wp:wrapNone/>
                  <wp:docPr id="1"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793" cy="745588"/>
                          </a:xfrm>
                          <a:prstGeom prst="rect">
                            <a:avLst/>
                          </a:prstGeom>
                          <a:noFill/>
                          <a:extLst/>
                        </pic:spPr>
                      </pic:pic>
                    </a:graphicData>
                  </a:graphic>
                </wp:anchor>
              </w:drawing>
            </w:r>
            <w:r w:rsidRPr="00551B10">
              <w:rPr>
                <w:b/>
                <w:bCs/>
                <w:noProof/>
                <w:color w:val="000000" w:themeColor="text1"/>
                <w:sz w:val="20"/>
                <w:szCs w:val="20"/>
                <w:lang w:val="en-CA" w:eastAsia="en-CA"/>
              </w:rPr>
              <w:drawing>
                <wp:anchor distT="0" distB="0" distL="114300" distR="114300" simplePos="0" relativeHeight="251667456" behindDoc="1" locked="0" layoutInCell="1" allowOverlap="1">
                  <wp:simplePos x="0" y="0"/>
                  <wp:positionH relativeFrom="column">
                    <wp:posOffset>-94477840</wp:posOffset>
                  </wp:positionH>
                  <wp:positionV relativeFrom="paragraph">
                    <wp:posOffset>-230342440</wp:posOffset>
                  </wp:positionV>
                  <wp:extent cx="1663510" cy="623570"/>
                  <wp:effectExtent l="0" t="0" r="0" b="5080"/>
                  <wp:wrapNone/>
                  <wp:docPr id="6" name="Picture 6" descr="C:\Users\ayman.eltalouny\Desktop\MOP29\ozonacti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man.eltalouny\Desktop\MOP29\ozonaction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9478" cy="625807"/>
                          </a:xfrm>
                          <a:prstGeom prst="rect">
                            <a:avLst/>
                          </a:prstGeom>
                          <a:noFill/>
                          <a:ln>
                            <a:noFill/>
                          </a:ln>
                        </pic:spPr>
                      </pic:pic>
                    </a:graphicData>
                  </a:graphic>
                </wp:anchor>
              </w:drawing>
            </w:r>
            <w:r w:rsidR="00D147B0">
              <w:rPr>
                <w:rFonts w:hint="cs"/>
                <w:b/>
                <w:bCs/>
                <w:noProof/>
                <w:color w:val="000000" w:themeColor="text1"/>
                <w:sz w:val="20"/>
                <w:szCs w:val="20"/>
                <w:rtl/>
                <w:lang w:val="en-US"/>
              </w:rPr>
              <w:t>نشرات حقائق/ ملخصات</w:t>
            </w:r>
          </w:p>
        </w:tc>
      </w:tr>
      <w:tr w:rsidR="006E3DDC" w:rsidRPr="00551B10" w:rsidTr="00C85D8C">
        <w:tc>
          <w:tcPr>
            <w:tcW w:w="4565" w:type="dxa"/>
          </w:tcPr>
          <w:p w:rsidR="006E3DDC" w:rsidRPr="00551B10" w:rsidRDefault="00D147B0" w:rsidP="009524F4">
            <w:pPr>
              <w:tabs>
                <w:tab w:val="left" w:pos="2617"/>
              </w:tabs>
              <w:bidi/>
              <w:jc w:val="left"/>
              <w:rPr>
                <w:color w:val="000000" w:themeColor="text1"/>
                <w:sz w:val="20"/>
                <w:szCs w:val="20"/>
              </w:rPr>
            </w:pPr>
            <w:r>
              <w:rPr>
                <w:rFonts w:hint="cs"/>
                <w:color w:val="000000" w:themeColor="text1"/>
                <w:sz w:val="20"/>
                <w:szCs w:val="20"/>
                <w:rtl/>
              </w:rPr>
              <w:t>مجموعة أدوات كيغالي (20 نشرة حقائق وملصقات وكتيبات)</w:t>
            </w:r>
          </w:p>
        </w:tc>
        <w:tc>
          <w:tcPr>
            <w:tcW w:w="4795" w:type="dxa"/>
            <w:vMerge w:val="restart"/>
          </w:tcPr>
          <w:p w:rsidR="00D147B0" w:rsidRPr="00D147B0" w:rsidRDefault="00D147B0" w:rsidP="009524F4">
            <w:pPr>
              <w:bidi/>
              <w:jc w:val="left"/>
              <w:rPr>
                <w:b/>
                <w:color w:val="000000" w:themeColor="text1"/>
                <w:sz w:val="20"/>
                <w:szCs w:val="20"/>
                <w:rtl/>
              </w:rPr>
            </w:pPr>
            <w:r w:rsidRPr="00D147B0">
              <w:rPr>
                <w:rFonts w:hint="cs"/>
                <w:b/>
                <w:color w:val="000000" w:themeColor="text1"/>
                <w:sz w:val="20"/>
                <w:szCs w:val="20"/>
                <w:rtl/>
              </w:rPr>
              <w:t>نشرات حقائق</w:t>
            </w:r>
            <w:r>
              <w:rPr>
                <w:rFonts w:hint="cs"/>
                <w:b/>
                <w:color w:val="000000" w:themeColor="text1"/>
                <w:sz w:val="20"/>
                <w:szCs w:val="20"/>
                <w:rtl/>
              </w:rPr>
              <w:t xml:space="preserve"> وكتيبات للعمل من أجل الأوزون، وملخصات عن التكنولوجيا والسياسات لاستثارة الوعي لدى مختلف أصحاب المصلحة التي يمكن نشرها وأن تستفيد منها بلدان المادة 5 لدعم مشروعات الإزالة وأنشطة جمع البيانات.</w:t>
            </w:r>
          </w:p>
          <w:p w:rsidR="006E3DDC" w:rsidRPr="00551B10" w:rsidRDefault="006E3DDC" w:rsidP="00D147B0">
            <w:pPr>
              <w:bidi/>
              <w:jc w:val="left"/>
              <w:rPr>
                <w:color w:val="000000" w:themeColor="text1"/>
                <w:sz w:val="20"/>
                <w:szCs w:val="20"/>
              </w:rPr>
            </w:pPr>
          </w:p>
        </w:tc>
      </w:tr>
      <w:tr w:rsidR="006E3DDC" w:rsidRPr="00551B10" w:rsidTr="00C85D8C">
        <w:tc>
          <w:tcPr>
            <w:tcW w:w="4565" w:type="dxa"/>
          </w:tcPr>
          <w:p w:rsidR="006E3DDC" w:rsidRPr="00551B10" w:rsidRDefault="00CC442E" w:rsidP="009524F4">
            <w:pPr>
              <w:tabs>
                <w:tab w:val="left" w:pos="2617"/>
              </w:tabs>
              <w:bidi/>
              <w:jc w:val="left"/>
              <w:rPr>
                <w:color w:val="000000" w:themeColor="text1"/>
                <w:sz w:val="20"/>
                <w:szCs w:val="20"/>
              </w:rPr>
            </w:pPr>
            <w:r>
              <w:rPr>
                <w:rFonts w:hint="cs"/>
                <w:color w:val="000000" w:themeColor="text1"/>
                <w:sz w:val="20"/>
                <w:szCs w:val="20"/>
                <w:rtl/>
              </w:rPr>
              <w:t>نشرة حقائق عن السلامة</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4565" w:type="dxa"/>
          </w:tcPr>
          <w:p w:rsidR="006E3DDC" w:rsidRPr="00551B10" w:rsidRDefault="00CC442E" w:rsidP="009524F4">
            <w:pPr>
              <w:tabs>
                <w:tab w:val="left" w:pos="2617"/>
              </w:tabs>
              <w:bidi/>
              <w:jc w:val="left"/>
              <w:rPr>
                <w:color w:val="000000" w:themeColor="text1"/>
                <w:sz w:val="20"/>
                <w:szCs w:val="20"/>
              </w:rPr>
            </w:pPr>
            <w:r>
              <w:rPr>
                <w:rFonts w:hint="cs"/>
                <w:color w:val="000000" w:themeColor="text1"/>
                <w:sz w:val="20"/>
                <w:szCs w:val="20"/>
                <w:rtl/>
              </w:rPr>
              <w:t>تصنيف غازات التبريد (تصدر كل ستة أشهر)</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4565" w:type="dxa"/>
          </w:tcPr>
          <w:p w:rsidR="006E3DDC" w:rsidRPr="00551B10" w:rsidRDefault="00CC442E" w:rsidP="009524F4">
            <w:pPr>
              <w:tabs>
                <w:tab w:val="left" w:pos="2617"/>
              </w:tabs>
              <w:bidi/>
              <w:jc w:val="left"/>
              <w:rPr>
                <w:color w:val="000000" w:themeColor="text1"/>
                <w:sz w:val="20"/>
                <w:szCs w:val="20"/>
              </w:rPr>
            </w:pPr>
            <w:r>
              <w:rPr>
                <w:rFonts w:hint="cs"/>
                <w:color w:val="000000" w:themeColor="text1"/>
                <w:sz w:val="20"/>
                <w:szCs w:val="20"/>
                <w:rtl/>
              </w:rPr>
              <w:t>كفاءة استخدام الطاقة في قطاع خدمة التبريد وتكييف الهواء</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4565" w:type="dxa"/>
          </w:tcPr>
          <w:p w:rsidR="006E3DDC" w:rsidRPr="00551B10" w:rsidRDefault="00CC442E" w:rsidP="009524F4">
            <w:pPr>
              <w:tabs>
                <w:tab w:val="left" w:pos="2617"/>
              </w:tabs>
              <w:bidi/>
              <w:jc w:val="left"/>
              <w:rPr>
                <w:color w:val="000000" w:themeColor="text1"/>
                <w:sz w:val="20"/>
                <w:szCs w:val="20"/>
              </w:rPr>
            </w:pPr>
            <w:r>
              <w:rPr>
                <w:rFonts w:hint="cs"/>
                <w:color w:val="000000" w:themeColor="text1"/>
                <w:sz w:val="20"/>
                <w:szCs w:val="20"/>
                <w:rtl/>
              </w:rPr>
              <w:t>ملخصات تكنولوجيا السلاسل المبردة</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9360" w:type="dxa"/>
            <w:gridSpan w:val="2"/>
          </w:tcPr>
          <w:p w:rsidR="006E3DDC" w:rsidRPr="00551B10" w:rsidRDefault="00CC442E" w:rsidP="009524F4">
            <w:pPr>
              <w:bidi/>
              <w:jc w:val="left"/>
              <w:rPr>
                <w:b/>
                <w:color w:val="000000" w:themeColor="text1"/>
                <w:sz w:val="20"/>
                <w:szCs w:val="20"/>
              </w:rPr>
            </w:pPr>
            <w:r>
              <w:rPr>
                <w:rFonts w:hint="cs"/>
                <w:b/>
                <w:bCs/>
                <w:color w:val="000000" w:themeColor="text1"/>
                <w:sz w:val="20"/>
                <w:szCs w:val="20"/>
                <w:rtl/>
              </w:rPr>
              <w:t>تطبيقات متنقلة</w:t>
            </w:r>
          </w:p>
        </w:tc>
      </w:tr>
      <w:tr w:rsidR="006E3DDC" w:rsidRPr="00551B10" w:rsidTr="00C85D8C">
        <w:tc>
          <w:tcPr>
            <w:tcW w:w="4565" w:type="dxa"/>
          </w:tcPr>
          <w:p w:rsidR="006E3DDC" w:rsidRPr="00551B10" w:rsidRDefault="00CC442E" w:rsidP="009524F4">
            <w:pPr>
              <w:tabs>
                <w:tab w:val="left" w:pos="2617"/>
              </w:tabs>
              <w:bidi/>
              <w:jc w:val="left"/>
              <w:rPr>
                <w:color w:val="000000" w:themeColor="text1"/>
                <w:sz w:val="20"/>
                <w:szCs w:val="20"/>
              </w:rPr>
            </w:pPr>
            <w:r>
              <w:rPr>
                <w:rFonts w:hint="cs"/>
                <w:color w:val="000000" w:themeColor="text1"/>
                <w:sz w:val="20"/>
                <w:szCs w:val="20"/>
                <w:rtl/>
              </w:rPr>
              <w:t>ما هو الغاز؟</w:t>
            </w:r>
          </w:p>
        </w:tc>
        <w:tc>
          <w:tcPr>
            <w:tcW w:w="4795" w:type="dxa"/>
            <w:vMerge w:val="restart"/>
          </w:tcPr>
          <w:p w:rsidR="00E9082E" w:rsidRPr="00AE52A8" w:rsidRDefault="00E9082E" w:rsidP="009524F4">
            <w:pPr>
              <w:bidi/>
              <w:jc w:val="left"/>
              <w:rPr>
                <w:b/>
                <w:color w:val="000000" w:themeColor="text1"/>
                <w:sz w:val="20"/>
                <w:szCs w:val="20"/>
                <w:rtl/>
              </w:rPr>
            </w:pPr>
            <w:r w:rsidRPr="00AE52A8">
              <w:rPr>
                <w:rFonts w:hint="cs"/>
                <w:b/>
                <w:color w:val="000000" w:themeColor="text1"/>
                <w:sz w:val="20"/>
                <w:szCs w:val="20"/>
                <w:rtl/>
              </w:rPr>
              <w:t xml:space="preserve">تتوافر هذه المطبوعات </w:t>
            </w:r>
            <w:r w:rsidR="00AE52A8">
              <w:rPr>
                <w:rFonts w:hint="cs"/>
                <w:b/>
                <w:color w:val="000000" w:themeColor="text1"/>
                <w:sz w:val="20"/>
                <w:szCs w:val="20"/>
                <w:rtl/>
              </w:rPr>
              <w:t>المتنقلة للعمل من أجل الأوزون لبلدان المادة 5 للمساعدة في تحديد خصائص وتفاصيل عن المواد الخاضعة للرقابة، وحساب قيم المواد المستنفدة للأوزون/ قدرات الاحترار العالمي، وفي دعم تدريب فنيي التبريد.</w:t>
            </w:r>
          </w:p>
          <w:p w:rsidR="006E3DDC" w:rsidRPr="00551B10" w:rsidRDefault="006E3DDC" w:rsidP="00E9082E">
            <w:pPr>
              <w:bidi/>
              <w:jc w:val="left"/>
              <w:rPr>
                <w:color w:val="000000" w:themeColor="text1"/>
                <w:sz w:val="20"/>
                <w:szCs w:val="20"/>
              </w:rPr>
            </w:pPr>
          </w:p>
        </w:tc>
      </w:tr>
      <w:tr w:rsidR="006E3DDC" w:rsidRPr="00551B10" w:rsidTr="00C85D8C">
        <w:tc>
          <w:tcPr>
            <w:tcW w:w="4565" w:type="dxa"/>
          </w:tcPr>
          <w:p w:rsidR="006E3DDC" w:rsidRPr="00551B10" w:rsidRDefault="00CC442E" w:rsidP="009524F4">
            <w:pPr>
              <w:tabs>
                <w:tab w:val="left" w:pos="2617"/>
              </w:tabs>
              <w:bidi/>
              <w:jc w:val="left"/>
              <w:rPr>
                <w:color w:val="000000" w:themeColor="text1"/>
                <w:sz w:val="20"/>
                <w:szCs w:val="20"/>
              </w:rPr>
            </w:pPr>
            <w:r>
              <w:rPr>
                <w:rFonts w:hint="cs"/>
                <w:color w:val="000000" w:themeColor="text1"/>
                <w:sz w:val="20"/>
                <w:szCs w:val="20"/>
                <w:rtl/>
              </w:rPr>
              <w:t>حساب المواد المستنفدة للأوزون- قدرات الاحترار العالمي</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4565" w:type="dxa"/>
          </w:tcPr>
          <w:p w:rsidR="006E3DDC" w:rsidRPr="00551B10" w:rsidRDefault="00E9082E" w:rsidP="009524F4">
            <w:pPr>
              <w:tabs>
                <w:tab w:val="left" w:pos="2617"/>
              </w:tabs>
              <w:bidi/>
              <w:jc w:val="left"/>
              <w:rPr>
                <w:color w:val="000000" w:themeColor="text1"/>
                <w:sz w:val="20"/>
                <w:szCs w:val="20"/>
              </w:rPr>
            </w:pPr>
            <w:r>
              <w:rPr>
                <w:rFonts w:hint="cs"/>
                <w:color w:val="000000" w:themeColor="text1"/>
                <w:sz w:val="20"/>
                <w:szCs w:val="20"/>
                <w:rtl/>
              </w:rPr>
              <w:t>شرائط فيديو عن التبريد وتكييف الهواء</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4565" w:type="dxa"/>
          </w:tcPr>
          <w:p w:rsidR="006E3DDC" w:rsidRPr="00551B10" w:rsidRDefault="00E9082E" w:rsidP="009524F4">
            <w:pPr>
              <w:tabs>
                <w:tab w:val="left" w:pos="2617"/>
              </w:tabs>
              <w:bidi/>
              <w:jc w:val="left"/>
              <w:rPr>
                <w:color w:val="000000" w:themeColor="text1"/>
                <w:sz w:val="20"/>
                <w:szCs w:val="20"/>
              </w:rPr>
            </w:pPr>
            <w:r>
              <w:rPr>
                <w:rFonts w:hint="cs"/>
                <w:color w:val="000000" w:themeColor="text1"/>
                <w:sz w:val="20"/>
                <w:szCs w:val="20"/>
                <w:rtl/>
              </w:rPr>
              <w:t>دليل سريع (دليل الخدمة الجيدة للغازات القابلة للاشتعال، دليل إلكتروني)</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4565" w:type="dxa"/>
          </w:tcPr>
          <w:p w:rsidR="006E3DDC" w:rsidRPr="00551B10" w:rsidRDefault="00AE52A8" w:rsidP="009524F4">
            <w:pPr>
              <w:tabs>
                <w:tab w:val="left" w:pos="2617"/>
              </w:tabs>
              <w:bidi/>
              <w:jc w:val="left"/>
              <w:rPr>
                <w:color w:val="000000" w:themeColor="text1"/>
                <w:sz w:val="20"/>
                <w:szCs w:val="20"/>
              </w:rPr>
            </w:pPr>
            <w:r>
              <w:rPr>
                <w:rFonts w:hint="cs"/>
                <w:color w:val="000000" w:themeColor="text1"/>
                <w:sz w:val="20"/>
                <w:szCs w:val="20"/>
                <w:rtl/>
              </w:rPr>
              <w:t>سلسلة شرائط فيديو عن أجهزة التعرف عن غازات التبريد</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4565" w:type="dxa"/>
          </w:tcPr>
          <w:p w:rsidR="006E3DDC" w:rsidRPr="00551B10" w:rsidRDefault="00AE52A8" w:rsidP="009524F4">
            <w:pPr>
              <w:tabs>
                <w:tab w:val="left" w:pos="2617"/>
              </w:tabs>
              <w:bidi/>
              <w:jc w:val="left"/>
              <w:rPr>
                <w:color w:val="000000" w:themeColor="text1"/>
                <w:sz w:val="20"/>
                <w:szCs w:val="20"/>
              </w:rPr>
            </w:pPr>
            <w:r>
              <w:rPr>
                <w:rFonts w:hint="cs"/>
                <w:color w:val="000000" w:themeColor="text1"/>
                <w:sz w:val="20"/>
                <w:szCs w:val="20"/>
                <w:rtl/>
              </w:rPr>
              <w:t>حساب حجم شحن أجهزة تكييف الهواء</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9360" w:type="dxa"/>
            <w:gridSpan w:val="2"/>
          </w:tcPr>
          <w:p w:rsidR="006E3DDC" w:rsidRPr="00551B10" w:rsidRDefault="00AE52A8" w:rsidP="009524F4">
            <w:pPr>
              <w:bidi/>
              <w:jc w:val="left"/>
              <w:rPr>
                <w:b/>
                <w:color w:val="000000" w:themeColor="text1"/>
                <w:sz w:val="20"/>
                <w:szCs w:val="20"/>
              </w:rPr>
            </w:pPr>
            <w:r>
              <w:rPr>
                <w:rFonts w:hint="cs"/>
                <w:b/>
                <w:bCs/>
                <w:color w:val="000000" w:themeColor="text1"/>
                <w:sz w:val="20"/>
                <w:szCs w:val="20"/>
                <w:rtl/>
              </w:rPr>
              <w:t>أدوات على الويب</w:t>
            </w:r>
          </w:p>
        </w:tc>
      </w:tr>
      <w:tr w:rsidR="006E3DDC" w:rsidRPr="00551B10" w:rsidTr="00C85D8C">
        <w:tc>
          <w:tcPr>
            <w:tcW w:w="4565" w:type="dxa"/>
          </w:tcPr>
          <w:p w:rsidR="006E3DDC" w:rsidRPr="00551B10" w:rsidRDefault="00AE52A8" w:rsidP="009524F4">
            <w:pPr>
              <w:tabs>
                <w:tab w:val="left" w:pos="2617"/>
              </w:tabs>
              <w:bidi/>
              <w:jc w:val="left"/>
              <w:rPr>
                <w:color w:val="000000" w:themeColor="text1"/>
                <w:sz w:val="20"/>
                <w:szCs w:val="20"/>
              </w:rPr>
            </w:pPr>
            <w:r>
              <w:rPr>
                <w:rFonts w:hint="cs"/>
                <w:color w:val="000000" w:themeColor="text1"/>
                <w:sz w:val="20"/>
                <w:szCs w:val="20"/>
                <w:rtl/>
              </w:rPr>
              <w:t xml:space="preserve">محو الأمية بشأن التبريد </w:t>
            </w:r>
            <w:r w:rsidR="006E3DDC" w:rsidRPr="00551B10">
              <w:rPr>
                <w:color w:val="000000" w:themeColor="text1"/>
                <w:sz w:val="20"/>
                <w:szCs w:val="20"/>
              </w:rPr>
              <w:t xml:space="preserve"> (ASHRAE)</w:t>
            </w:r>
          </w:p>
        </w:tc>
        <w:tc>
          <w:tcPr>
            <w:tcW w:w="4795" w:type="dxa"/>
            <w:vMerge w:val="restart"/>
          </w:tcPr>
          <w:p w:rsidR="00AE52A8" w:rsidRDefault="00AE52A8" w:rsidP="00AE52A8">
            <w:pPr>
              <w:bidi/>
              <w:jc w:val="left"/>
              <w:rPr>
                <w:color w:val="000000" w:themeColor="text1"/>
                <w:sz w:val="20"/>
                <w:szCs w:val="20"/>
                <w:rtl/>
              </w:rPr>
            </w:pPr>
            <w:r>
              <w:rPr>
                <w:rFonts w:hint="cs"/>
                <w:color w:val="000000" w:themeColor="text1"/>
                <w:sz w:val="20"/>
                <w:szCs w:val="20"/>
                <w:rtl/>
              </w:rPr>
              <w:t>يمكن لبلدان المادة 5 تعزيز استخدام نشرة العمل من أجل الأوزون، وأنشطة المدونات الإلكترونية لدعم أنشطة التدريب لوحدات الأوزون الوطنية، وأصحاب المصلحة، وفنيي التبريد وتكييف الهواء سواء في إطا</w:t>
            </w:r>
            <w:r w:rsidR="007A4798">
              <w:rPr>
                <w:rFonts w:hint="cs"/>
                <w:color w:val="000000" w:themeColor="text1"/>
                <w:sz w:val="20"/>
                <w:szCs w:val="20"/>
                <w:rtl/>
              </w:rPr>
              <w:t>ر</w:t>
            </w:r>
            <w:r>
              <w:rPr>
                <w:rFonts w:hint="cs"/>
                <w:color w:val="000000" w:themeColor="text1"/>
                <w:sz w:val="20"/>
                <w:szCs w:val="20"/>
                <w:rtl/>
              </w:rPr>
              <w:t xml:space="preserve"> برامج تدريب في إطار خطط إدارة إزالة المواد الهيدروكلوروفلوروكربونية أو من خلال مختلف لأصحاب المصلحة</w:t>
            </w:r>
            <w:r w:rsidR="00651533">
              <w:rPr>
                <w:rFonts w:hint="cs"/>
                <w:color w:val="000000" w:themeColor="text1"/>
                <w:sz w:val="20"/>
                <w:szCs w:val="20"/>
                <w:rtl/>
              </w:rPr>
              <w:t xml:space="preserve"> مثل معاهد التدريب الالكتروني واتحادات التبريد المحلية.</w:t>
            </w:r>
          </w:p>
          <w:p w:rsidR="006E3DDC" w:rsidRPr="00551B10" w:rsidRDefault="006E3DDC" w:rsidP="00AE52A8">
            <w:pPr>
              <w:bidi/>
              <w:jc w:val="left"/>
              <w:rPr>
                <w:color w:val="000000" w:themeColor="text1"/>
                <w:sz w:val="20"/>
                <w:szCs w:val="20"/>
              </w:rPr>
            </w:pPr>
          </w:p>
        </w:tc>
      </w:tr>
      <w:tr w:rsidR="006E3DDC" w:rsidRPr="00551B10" w:rsidTr="00C85D8C">
        <w:tc>
          <w:tcPr>
            <w:tcW w:w="4565" w:type="dxa"/>
          </w:tcPr>
          <w:p w:rsidR="006E3DDC" w:rsidRPr="00551B10" w:rsidRDefault="00AE52A8" w:rsidP="009524F4">
            <w:pPr>
              <w:tabs>
                <w:tab w:val="left" w:pos="2617"/>
              </w:tabs>
              <w:bidi/>
              <w:jc w:val="left"/>
              <w:rPr>
                <w:color w:val="000000" w:themeColor="text1"/>
                <w:sz w:val="20"/>
                <w:szCs w:val="20"/>
              </w:rPr>
            </w:pPr>
            <w:r>
              <w:rPr>
                <w:rFonts w:hint="cs"/>
                <w:color w:val="000000" w:themeColor="text1"/>
                <w:sz w:val="20"/>
                <w:szCs w:val="20"/>
                <w:rtl/>
              </w:rPr>
              <w:t xml:space="preserve">إدارة التبريد </w:t>
            </w:r>
            <w:r w:rsidR="006E3DDC" w:rsidRPr="00551B10">
              <w:rPr>
                <w:color w:val="000000" w:themeColor="text1"/>
                <w:sz w:val="20"/>
                <w:szCs w:val="20"/>
              </w:rPr>
              <w:t xml:space="preserve"> (ASHRAE)</w:t>
            </w:r>
          </w:p>
        </w:tc>
        <w:tc>
          <w:tcPr>
            <w:tcW w:w="4795" w:type="dxa"/>
            <w:vMerge/>
          </w:tcPr>
          <w:p w:rsidR="006E3DDC" w:rsidRPr="00551B10" w:rsidRDefault="006E3DDC" w:rsidP="009524F4">
            <w:pPr>
              <w:bidi/>
              <w:jc w:val="left"/>
              <w:rPr>
                <w:color w:val="000000" w:themeColor="text1"/>
                <w:sz w:val="20"/>
                <w:szCs w:val="20"/>
              </w:rPr>
            </w:pPr>
          </w:p>
        </w:tc>
      </w:tr>
      <w:tr w:rsidR="006E3DDC" w:rsidRPr="00551B10" w:rsidTr="00C85D8C">
        <w:tc>
          <w:tcPr>
            <w:tcW w:w="9360" w:type="dxa"/>
            <w:gridSpan w:val="2"/>
          </w:tcPr>
          <w:p w:rsidR="006E3DDC" w:rsidRPr="00551B10" w:rsidRDefault="00F56B78" w:rsidP="009524F4">
            <w:pPr>
              <w:bidi/>
              <w:jc w:val="left"/>
              <w:rPr>
                <w:b/>
                <w:color w:val="000000" w:themeColor="text1"/>
                <w:sz w:val="20"/>
                <w:szCs w:val="20"/>
              </w:rPr>
            </w:pPr>
            <w:r>
              <w:rPr>
                <w:rFonts w:hint="cs"/>
                <w:b/>
                <w:bCs/>
                <w:color w:val="000000" w:themeColor="text1"/>
                <w:sz w:val="20"/>
                <w:szCs w:val="20"/>
                <w:rtl/>
              </w:rPr>
              <w:t>أدوات التدريب لفني</w:t>
            </w:r>
            <w:r w:rsidR="00651533">
              <w:rPr>
                <w:rFonts w:hint="cs"/>
                <w:b/>
                <w:bCs/>
                <w:color w:val="000000" w:themeColor="text1"/>
                <w:sz w:val="20"/>
                <w:szCs w:val="20"/>
                <w:rtl/>
              </w:rPr>
              <w:t>ي التبريد وتكييف الهواء</w:t>
            </w:r>
          </w:p>
        </w:tc>
      </w:tr>
      <w:tr w:rsidR="006E3DDC" w:rsidRPr="00551B10" w:rsidTr="00C85D8C">
        <w:tc>
          <w:tcPr>
            <w:tcW w:w="4565" w:type="dxa"/>
          </w:tcPr>
          <w:p w:rsidR="007A4798" w:rsidRDefault="007A4798" w:rsidP="009524F4">
            <w:pPr>
              <w:tabs>
                <w:tab w:val="left" w:pos="2617"/>
              </w:tabs>
              <w:bidi/>
              <w:jc w:val="left"/>
              <w:rPr>
                <w:color w:val="000000" w:themeColor="text1"/>
                <w:sz w:val="20"/>
                <w:szCs w:val="20"/>
                <w:rtl/>
              </w:rPr>
            </w:pPr>
            <w:r>
              <w:rPr>
                <w:rFonts w:hint="cs"/>
                <w:color w:val="000000" w:themeColor="text1"/>
                <w:sz w:val="20"/>
                <w:szCs w:val="20"/>
                <w:rtl/>
              </w:rPr>
              <w:t>أشرطة فيديو من الممارسات الجيدة (جديد: شرائط فيديو عن النظرية والممارسات الجيدة وشرائط فيديو تصدر في 2019)</w:t>
            </w:r>
          </w:p>
          <w:p w:rsidR="006E3DDC" w:rsidRPr="00551B10" w:rsidRDefault="006E3DDC" w:rsidP="007A4798">
            <w:pPr>
              <w:tabs>
                <w:tab w:val="left" w:pos="2617"/>
              </w:tabs>
              <w:bidi/>
              <w:jc w:val="left"/>
              <w:rPr>
                <w:color w:val="000000" w:themeColor="text1"/>
                <w:sz w:val="20"/>
                <w:szCs w:val="20"/>
              </w:rPr>
            </w:pPr>
          </w:p>
        </w:tc>
        <w:tc>
          <w:tcPr>
            <w:tcW w:w="4795" w:type="dxa"/>
          </w:tcPr>
          <w:p w:rsidR="006E3DDC" w:rsidRDefault="007A4798" w:rsidP="007A4798">
            <w:pPr>
              <w:bidi/>
              <w:jc w:val="left"/>
              <w:rPr>
                <w:color w:val="000000" w:themeColor="text1"/>
                <w:sz w:val="20"/>
                <w:szCs w:val="20"/>
                <w:rtl/>
              </w:rPr>
            </w:pPr>
            <w:r>
              <w:rPr>
                <w:rFonts w:hint="cs"/>
                <w:color w:val="000000" w:themeColor="text1"/>
                <w:sz w:val="20"/>
                <w:szCs w:val="20"/>
                <w:rtl/>
              </w:rPr>
              <w:t>يمكن لبلدان المادة 5 استخدام شرائط الفيديو الخاصة بالممارسات الجيدة للعمل من أجل الأوزون في دعم التدريب وبناء القدرات الخاصة بالفنيين سواء في برامج التدريب في إطار خطط إدارة إزالة المواد الهيدروكلوروفلوروكربونية و/أو من خلال مختلف أصحاب المصلحة مثل معاهد التدريب اتحادات التبريد المحلية.</w:t>
            </w:r>
          </w:p>
          <w:p w:rsidR="00E37C15" w:rsidRPr="00551B10" w:rsidRDefault="00E37C15" w:rsidP="00E37C15">
            <w:pPr>
              <w:bidi/>
              <w:jc w:val="left"/>
              <w:rPr>
                <w:color w:val="000000" w:themeColor="text1"/>
                <w:sz w:val="20"/>
                <w:szCs w:val="20"/>
              </w:rPr>
            </w:pPr>
          </w:p>
        </w:tc>
      </w:tr>
      <w:tr w:rsidR="006E3DDC" w:rsidRPr="00551B10" w:rsidTr="00C85D8C">
        <w:tc>
          <w:tcPr>
            <w:tcW w:w="4565" w:type="dxa"/>
          </w:tcPr>
          <w:p w:rsidR="006E3DDC" w:rsidRPr="00551B10" w:rsidRDefault="007A4798" w:rsidP="009524F4">
            <w:pPr>
              <w:tabs>
                <w:tab w:val="left" w:pos="2617"/>
              </w:tabs>
              <w:bidi/>
              <w:jc w:val="left"/>
              <w:rPr>
                <w:color w:val="000000" w:themeColor="text1"/>
                <w:sz w:val="20"/>
                <w:szCs w:val="20"/>
              </w:rPr>
            </w:pPr>
            <w:r>
              <w:rPr>
                <w:rFonts w:hint="cs"/>
                <w:color w:val="000000" w:themeColor="text1"/>
                <w:sz w:val="20"/>
                <w:szCs w:val="20"/>
                <w:rtl/>
              </w:rPr>
              <w:lastRenderedPageBreak/>
              <w:t>مجموعة تدريب عالمية</w:t>
            </w:r>
          </w:p>
        </w:tc>
        <w:tc>
          <w:tcPr>
            <w:tcW w:w="4795" w:type="dxa"/>
          </w:tcPr>
          <w:p w:rsidR="006E3DDC" w:rsidRDefault="007A4798" w:rsidP="007A4798">
            <w:pPr>
              <w:bidi/>
              <w:jc w:val="left"/>
              <w:rPr>
                <w:color w:val="000000" w:themeColor="text1"/>
                <w:sz w:val="20"/>
                <w:szCs w:val="20"/>
                <w:rtl/>
              </w:rPr>
            </w:pPr>
            <w:r>
              <w:rPr>
                <w:rFonts w:hint="cs"/>
                <w:color w:val="000000" w:themeColor="text1"/>
                <w:sz w:val="20"/>
                <w:szCs w:val="20"/>
                <w:rtl/>
              </w:rPr>
              <w:t>يمكن لبلدان المادة 5 استخدام مجموعة التدريب العالمية للعمل من أجل الأوزون (حزم نموذجية شاملة) في دعم أنشطة التدريب لفنيين التبريد في معاهد/ مراكز التدريب المحلية سواء في إطار خطط إدارة إزالة المواد الهيدروكلوروفلوروكربونية أو برامج أخرى.</w:t>
            </w:r>
          </w:p>
          <w:p w:rsidR="00E37C15" w:rsidRPr="00551B10" w:rsidRDefault="00E37C15" w:rsidP="00E37C15">
            <w:pPr>
              <w:bidi/>
              <w:jc w:val="left"/>
              <w:rPr>
                <w:color w:val="000000" w:themeColor="text1"/>
                <w:sz w:val="20"/>
                <w:szCs w:val="20"/>
              </w:rPr>
            </w:pPr>
          </w:p>
        </w:tc>
      </w:tr>
      <w:tr w:rsidR="006E3DDC" w:rsidRPr="00551B10" w:rsidTr="00C85D8C">
        <w:tc>
          <w:tcPr>
            <w:tcW w:w="4565" w:type="dxa"/>
          </w:tcPr>
          <w:p w:rsidR="007A4798" w:rsidRDefault="007A4798" w:rsidP="009524F4">
            <w:pPr>
              <w:keepNext/>
              <w:tabs>
                <w:tab w:val="left" w:pos="2617"/>
              </w:tabs>
              <w:bidi/>
              <w:jc w:val="left"/>
              <w:rPr>
                <w:color w:val="000000" w:themeColor="text1"/>
                <w:sz w:val="20"/>
                <w:szCs w:val="20"/>
                <w:rtl/>
              </w:rPr>
            </w:pPr>
            <w:r>
              <w:rPr>
                <w:rFonts w:hint="cs"/>
                <w:color w:val="000000" w:themeColor="text1"/>
                <w:sz w:val="20"/>
                <w:szCs w:val="20"/>
                <w:rtl/>
              </w:rPr>
              <w:t>تراخيص العمل بغازات التبريد (وهو برنامج عالمي للتأهيل بشأن الإدارة السليمة لغازات التبريد بدعم من اتحادات الصناعة الدولية)</w:t>
            </w:r>
          </w:p>
          <w:p w:rsidR="006E3DDC" w:rsidRPr="00551B10" w:rsidRDefault="006E3DDC" w:rsidP="007A4798">
            <w:pPr>
              <w:keepNext/>
              <w:tabs>
                <w:tab w:val="left" w:pos="2617"/>
              </w:tabs>
              <w:bidi/>
              <w:jc w:val="left"/>
              <w:rPr>
                <w:color w:val="000000" w:themeColor="text1"/>
                <w:sz w:val="20"/>
                <w:szCs w:val="20"/>
              </w:rPr>
            </w:pPr>
          </w:p>
        </w:tc>
        <w:tc>
          <w:tcPr>
            <w:tcW w:w="4795" w:type="dxa"/>
          </w:tcPr>
          <w:p w:rsidR="006E3DDC" w:rsidRDefault="007A4798" w:rsidP="007A4798">
            <w:pPr>
              <w:keepNext/>
              <w:bidi/>
              <w:jc w:val="left"/>
              <w:rPr>
                <w:color w:val="000000" w:themeColor="text1"/>
                <w:sz w:val="20"/>
                <w:szCs w:val="20"/>
                <w:rtl/>
              </w:rPr>
            </w:pPr>
            <w:r>
              <w:rPr>
                <w:rFonts w:hint="cs"/>
                <w:color w:val="000000" w:themeColor="text1"/>
                <w:sz w:val="20"/>
                <w:szCs w:val="20"/>
                <w:rtl/>
              </w:rPr>
              <w:t>يمكن أن تستخدم بلدان المادة 5 تراخيص استخدام غازات التبريد في ضمان المستوى الأدنى من القدرات والمهارات التي يكتسبها قطاع الخدمة في غير العمل في سلسلة الإمدادات بغازات التبريد.</w:t>
            </w:r>
          </w:p>
          <w:p w:rsidR="00E37C15" w:rsidRPr="00551B10" w:rsidRDefault="00E37C15" w:rsidP="00E37C15">
            <w:pPr>
              <w:keepNext/>
              <w:bidi/>
              <w:jc w:val="left"/>
              <w:rPr>
                <w:color w:val="000000" w:themeColor="text1"/>
                <w:sz w:val="20"/>
                <w:szCs w:val="20"/>
              </w:rPr>
            </w:pPr>
          </w:p>
        </w:tc>
      </w:tr>
      <w:tr w:rsidR="006E3DDC" w:rsidRPr="00571128" w:rsidTr="00C85D8C">
        <w:tc>
          <w:tcPr>
            <w:tcW w:w="4565" w:type="dxa"/>
          </w:tcPr>
          <w:p w:rsidR="007A4798" w:rsidRDefault="00D01ED7" w:rsidP="009524F4">
            <w:pPr>
              <w:tabs>
                <w:tab w:val="left" w:pos="2617"/>
              </w:tabs>
              <w:bidi/>
              <w:jc w:val="left"/>
              <w:rPr>
                <w:color w:val="000000" w:themeColor="text1"/>
                <w:sz w:val="20"/>
                <w:szCs w:val="20"/>
                <w:rtl/>
              </w:rPr>
            </w:pPr>
            <w:r>
              <w:rPr>
                <w:rFonts w:hint="cs"/>
                <w:color w:val="000000" w:themeColor="text1"/>
                <w:sz w:val="20"/>
                <w:szCs w:val="20"/>
                <w:rtl/>
              </w:rPr>
              <w:t>دورة جامعية لإدارة غازات التبريد (قبل التخرج مختارة لطلبة الهندسة الميكانيكية حسب المتطلبات الأكاديمية)</w:t>
            </w:r>
          </w:p>
          <w:p w:rsidR="006E3DDC" w:rsidRPr="00551B10" w:rsidRDefault="006E3DDC" w:rsidP="007A4798">
            <w:pPr>
              <w:tabs>
                <w:tab w:val="left" w:pos="2617"/>
              </w:tabs>
              <w:bidi/>
              <w:jc w:val="left"/>
              <w:rPr>
                <w:color w:val="000000" w:themeColor="text1"/>
                <w:sz w:val="20"/>
                <w:szCs w:val="20"/>
              </w:rPr>
            </w:pPr>
          </w:p>
        </w:tc>
        <w:tc>
          <w:tcPr>
            <w:tcW w:w="4795" w:type="dxa"/>
          </w:tcPr>
          <w:p w:rsidR="00D01ED7" w:rsidRDefault="00D01ED7" w:rsidP="009524F4">
            <w:pPr>
              <w:bidi/>
              <w:jc w:val="left"/>
              <w:rPr>
                <w:color w:val="000000" w:themeColor="text1"/>
                <w:sz w:val="20"/>
                <w:szCs w:val="20"/>
                <w:rtl/>
              </w:rPr>
            </w:pPr>
            <w:r>
              <w:rPr>
                <w:rFonts w:hint="cs"/>
                <w:color w:val="000000" w:themeColor="text1"/>
                <w:sz w:val="20"/>
                <w:szCs w:val="20"/>
                <w:rtl/>
              </w:rPr>
              <w:t>يمكن لبلدان المادة 5 الاستفادة الدورة الجامعية لإدارة غازات التبريد للعمل من أجل الأوزون وضعت جامعات الهندسة الوطنية والكليات التقنية.</w:t>
            </w:r>
          </w:p>
          <w:p w:rsidR="006E3DDC" w:rsidRPr="00571128" w:rsidRDefault="006E3DDC" w:rsidP="00D01ED7">
            <w:pPr>
              <w:bidi/>
              <w:jc w:val="left"/>
              <w:rPr>
                <w:color w:val="000000" w:themeColor="text1"/>
                <w:sz w:val="20"/>
                <w:szCs w:val="20"/>
              </w:rPr>
            </w:pPr>
          </w:p>
        </w:tc>
      </w:tr>
    </w:tbl>
    <w:p w:rsidR="006E3DDC" w:rsidRDefault="006E3DDC" w:rsidP="009524F4">
      <w:pPr>
        <w:bidi/>
      </w:pPr>
    </w:p>
    <w:p w:rsidR="00C85D8C" w:rsidRPr="00E35D84" w:rsidRDefault="00C85D8C" w:rsidP="00C85D8C">
      <w:pPr>
        <w:bidi/>
        <w:rPr>
          <w:bCs/>
          <w:caps/>
          <w:sz w:val="26"/>
          <w:szCs w:val="26"/>
        </w:rPr>
      </w:pPr>
      <w:r w:rsidRPr="00E35D84">
        <w:rPr>
          <w:rFonts w:hint="cs"/>
          <w:bCs/>
          <w:caps/>
          <w:sz w:val="26"/>
          <w:szCs w:val="26"/>
          <w:rtl/>
        </w:rPr>
        <w:t>رابعا:</w:t>
      </w:r>
      <w:r w:rsidRPr="00E35D84">
        <w:rPr>
          <w:rFonts w:hint="cs"/>
          <w:bCs/>
          <w:caps/>
          <w:sz w:val="26"/>
          <w:szCs w:val="26"/>
          <w:rtl/>
        </w:rPr>
        <w:tab/>
      </w:r>
      <w:r w:rsidR="00D01ED7" w:rsidRPr="00E35D84">
        <w:rPr>
          <w:rFonts w:hint="cs"/>
          <w:bCs/>
          <w:caps/>
          <w:sz w:val="26"/>
          <w:szCs w:val="26"/>
          <w:rtl/>
        </w:rPr>
        <w:t>اعتبارات لتمويل خفض الهيدروفلوروكربون</w:t>
      </w:r>
    </w:p>
    <w:p w:rsidR="00FB2392" w:rsidRPr="00E35D84" w:rsidRDefault="00FB2392" w:rsidP="009524F4">
      <w:pPr>
        <w:bidi/>
        <w:rPr>
          <w:sz w:val="26"/>
          <w:szCs w:val="26"/>
        </w:rPr>
      </w:pPr>
    </w:p>
    <w:p w:rsidR="00DE5E62" w:rsidRPr="00E35D84" w:rsidRDefault="00DE5E62" w:rsidP="00D01ED7">
      <w:pPr>
        <w:pStyle w:val="Heading1"/>
        <w:bidi/>
        <w:rPr>
          <w:sz w:val="26"/>
          <w:szCs w:val="26"/>
        </w:rPr>
      </w:pPr>
      <w:r w:rsidRPr="00E35D84">
        <w:rPr>
          <w:rFonts w:hint="cs"/>
          <w:sz w:val="26"/>
          <w:szCs w:val="26"/>
          <w:rtl/>
          <w:lang w:bidi="ar-EG"/>
        </w:rPr>
        <w:t>إن الارتفاع المستمر في عدد سكان العالم ونظرا للزيادة الشديدة في معدات التبريد وتكييف الهواء نتيجة للتوسع في السلسلة المبردة للأغذية، سيصبح قطاع خدمة التبريد مفيدا بصورة متزايدة لبلدان المادة 5 إلى أن يتحقق أهداف الخفض لأغراض الامتثال بموجب تعديل كيغالي.</w:t>
      </w:r>
    </w:p>
    <w:p w:rsidR="004264C0" w:rsidRPr="00211F7C" w:rsidRDefault="004264C0" w:rsidP="00211F7C">
      <w:pPr>
        <w:bidi/>
        <w:rPr>
          <w:bCs/>
          <w:sz w:val="26"/>
          <w:szCs w:val="26"/>
          <w:rtl/>
        </w:rPr>
      </w:pPr>
      <w:r w:rsidRPr="00211F7C">
        <w:rPr>
          <w:rFonts w:hint="cs"/>
          <w:bCs/>
          <w:sz w:val="26"/>
          <w:szCs w:val="26"/>
          <w:rtl/>
        </w:rPr>
        <w:t xml:space="preserve">التنفيذ المشترك للمقررين </w:t>
      </w:r>
      <w:r w:rsidR="00211F7C" w:rsidRPr="00211F7C">
        <w:rPr>
          <w:bCs/>
          <w:sz w:val="26"/>
          <w:szCs w:val="26"/>
        </w:rPr>
        <w:t>6/XIX</w:t>
      </w:r>
      <w:r w:rsidRPr="00211F7C">
        <w:rPr>
          <w:rFonts w:hint="cs"/>
          <w:bCs/>
          <w:sz w:val="26"/>
          <w:szCs w:val="26"/>
          <w:rtl/>
        </w:rPr>
        <w:t xml:space="preserve"> و</w:t>
      </w:r>
      <w:r w:rsidR="00211F7C" w:rsidRPr="00211F7C">
        <w:rPr>
          <w:bCs/>
          <w:sz w:val="26"/>
          <w:szCs w:val="26"/>
        </w:rPr>
        <w:t xml:space="preserve"> 2/XXVIII</w:t>
      </w:r>
      <w:r w:rsidRPr="00211F7C">
        <w:rPr>
          <w:rFonts w:hint="cs"/>
          <w:bCs/>
          <w:sz w:val="26"/>
          <w:szCs w:val="26"/>
          <w:rtl/>
        </w:rPr>
        <w:t xml:space="preserve"> بشأن قطاع خدمة التبريد: الجدول الزمني للتداخل بين إزالة المواد الهيدروكلوروفلوروكربون وخفض الهيدروفلوروكربون</w:t>
      </w:r>
    </w:p>
    <w:p w:rsidR="003379AD" w:rsidRPr="00E35D84" w:rsidRDefault="003379AD" w:rsidP="009524F4">
      <w:pPr>
        <w:bidi/>
        <w:rPr>
          <w:sz w:val="26"/>
          <w:szCs w:val="26"/>
        </w:rPr>
      </w:pPr>
    </w:p>
    <w:p w:rsidR="00D01ED7" w:rsidRPr="00E35D84" w:rsidRDefault="00D01ED7" w:rsidP="009524F4">
      <w:pPr>
        <w:pStyle w:val="Heading1"/>
        <w:bidi/>
        <w:rPr>
          <w:sz w:val="26"/>
          <w:szCs w:val="26"/>
        </w:rPr>
      </w:pPr>
      <w:r w:rsidRPr="00E35D84">
        <w:rPr>
          <w:rFonts w:hint="cs"/>
          <w:sz w:val="26"/>
          <w:szCs w:val="26"/>
          <w:rtl/>
        </w:rPr>
        <w:t>سوف تتداخل السنوات الأولى من خفض المواد الهيدروفلوروكربون مع إزالة الاستهلاك المتبقي من المواد الهيدروكلوروفلوروكربون التي سوف تستخدم بالنسبة لمعظم بلدان المادة 5 في قطاع خدمة التبريد. وعلاوة على ذلك واستنادا الى المسح الخاص ببدائل المواد المستنفدة للأوزون الذي قدمه 119 بلدا من بلدان المادة 5. ومن المتوقع أن يستخدم أكثر من 70 في المائة من استهلاك المواد الهيدروفلوروكربون في البلدان التي لا ينخفض فيها حجم الاستهلاك وأكثر من 95 في المائة من الاستهلاك في البلدان التي ينخفض فيها حجم الاستهلاك في قطاع خدمة التبريد.</w:t>
      </w:r>
      <w:r w:rsidRPr="00E35D84">
        <w:rPr>
          <w:rStyle w:val="FootnoteReference"/>
          <w:sz w:val="26"/>
          <w:szCs w:val="26"/>
        </w:rPr>
        <w:t xml:space="preserve"> </w:t>
      </w:r>
      <w:r w:rsidRPr="00E35D84">
        <w:rPr>
          <w:rStyle w:val="FootnoteReference"/>
          <w:sz w:val="26"/>
          <w:szCs w:val="26"/>
        </w:rPr>
        <w:footnoteReference w:id="57"/>
      </w:r>
    </w:p>
    <w:p w:rsidR="00D01ED7" w:rsidRPr="00E35D84" w:rsidRDefault="00D01ED7" w:rsidP="009524F4">
      <w:pPr>
        <w:pStyle w:val="Heading1"/>
        <w:bidi/>
        <w:rPr>
          <w:sz w:val="26"/>
          <w:szCs w:val="26"/>
        </w:rPr>
      </w:pPr>
      <w:r w:rsidRPr="00E35D84">
        <w:rPr>
          <w:rFonts w:hint="cs"/>
          <w:sz w:val="26"/>
          <w:szCs w:val="26"/>
          <w:rtl/>
        </w:rPr>
        <w:t>ولذا فإن الجدول الزمني المتداخل بشأن إزالة الهيدروكلوروفلوروكربون وخفض الهيدروفلوروكربون قد يمثل فرصة لبلدان المادة 5 لوضع استراتيجيات شاملة طويلة الأجل تحقق مردودية تكاليفها لقطاع خدمة التبريد الخاصة بها مع مراعاة الإدارة السليمة لجميع غازات التبريد المستخدمة (بما في ذلك كلا من المواد الخاضعة للرقابة وتتلك غير الخاضعة)، والحاجة الى تعزيز المؤسسات وأصحاب المصلحة المعنيين، وضمان الاستبدال السليم والمدعم لغازات التبريد المستنفدة للأوزون و/أو المرتفعة القدرة على الاحترار العالمي بغازات التبريد المنخفضة القدرة على الاحترار العالمي. وسوف ينطوي ذلك عل استراتيجية شاملة جامعة</w:t>
      </w:r>
      <w:r w:rsidR="00605D45" w:rsidRPr="00E35D84">
        <w:rPr>
          <w:rFonts w:hint="cs"/>
          <w:sz w:val="26"/>
          <w:szCs w:val="26"/>
          <w:rtl/>
        </w:rPr>
        <w:t xml:space="preserve"> لإدارة غازات التبريد لقطاع الخدمة، وتدعيم وتعزيز البني التحتية والمؤسسات العاملة مع وضع الصيغة الرسمية لقطاعات خدمة التبريد.</w:t>
      </w:r>
    </w:p>
    <w:p w:rsidR="00F42B5C" w:rsidRPr="00E35D84" w:rsidRDefault="00605D45" w:rsidP="009524F4">
      <w:pPr>
        <w:pStyle w:val="Heading1"/>
        <w:bidi/>
        <w:rPr>
          <w:sz w:val="26"/>
          <w:szCs w:val="26"/>
        </w:rPr>
      </w:pPr>
      <w:r w:rsidRPr="00E35D84">
        <w:rPr>
          <w:rFonts w:hint="cs"/>
          <w:sz w:val="26"/>
          <w:szCs w:val="26"/>
          <w:rtl/>
        </w:rPr>
        <w:t>وعلى وجه الخصوص:</w:t>
      </w:r>
    </w:p>
    <w:p w:rsidR="00605D45" w:rsidRPr="00E35D84" w:rsidRDefault="00605D45" w:rsidP="009524F4">
      <w:pPr>
        <w:pStyle w:val="Heading2"/>
        <w:bidi/>
        <w:rPr>
          <w:sz w:val="26"/>
          <w:szCs w:val="26"/>
        </w:rPr>
      </w:pPr>
      <w:r w:rsidRPr="00E35D84">
        <w:rPr>
          <w:rFonts w:hint="cs"/>
          <w:sz w:val="26"/>
          <w:szCs w:val="26"/>
          <w:rtl/>
        </w:rPr>
        <w:t>وضع استراتيجية جامعة للإدخال في المراحل الأولى، واعتماد أو ترشيد التكنولوجيات البديلة المنخفضة القدرة على الاحترار العالمي في قطاع التبريد في الأسواق المحلية السائدة في بلدان المادة 5، وتجنب قدر المستطاع استبدال التكنولوجيات المعتمدة على الهيدروكلوروفلوروكربون بالتكنولوجيات المعتمدة على الهيدروفلوروكربون المرتفعة القدرة على الاحترار العالمي ومن ثم خفض الحاجة الى خدمة المواد الهيدروفلوروكربون المرتفعة القدرة على الاحترار العالمي؛</w:t>
      </w:r>
    </w:p>
    <w:p w:rsidR="00605D45" w:rsidRPr="00E35D84" w:rsidRDefault="00605D45" w:rsidP="009524F4">
      <w:pPr>
        <w:pStyle w:val="Heading2"/>
        <w:bidi/>
        <w:rPr>
          <w:sz w:val="26"/>
          <w:szCs w:val="26"/>
        </w:rPr>
      </w:pPr>
      <w:r w:rsidRPr="00E35D84">
        <w:rPr>
          <w:rFonts w:hint="cs"/>
          <w:sz w:val="26"/>
          <w:szCs w:val="26"/>
          <w:rtl/>
        </w:rPr>
        <w:lastRenderedPageBreak/>
        <w:t>تعزيز إدخال المعايير والمدونات والقواعد ذات الصلة التي تيسر التطبيق الآمن، والتشغيل والخدمة لغازات التبريد/ التكنولوجيات المنخفضة القدرة على الاحترار العالمي؛</w:t>
      </w:r>
    </w:p>
    <w:p w:rsidR="00605D45" w:rsidRPr="00E35D84" w:rsidRDefault="00605D45" w:rsidP="009524F4">
      <w:pPr>
        <w:pStyle w:val="Heading2"/>
        <w:bidi/>
        <w:rPr>
          <w:sz w:val="26"/>
          <w:szCs w:val="26"/>
        </w:rPr>
      </w:pPr>
      <w:r w:rsidRPr="00E35D84">
        <w:rPr>
          <w:rFonts w:hint="cs"/>
          <w:sz w:val="26"/>
          <w:szCs w:val="26"/>
          <w:rtl/>
        </w:rPr>
        <w:t xml:space="preserve">دعم عملية وضع أطر تنظيمية شاملة لإدارة غازات التبريد بما في ذلك </w:t>
      </w:r>
      <w:r w:rsidRPr="00E35D84">
        <w:rPr>
          <w:rFonts w:hint="cs"/>
          <w:i/>
          <w:iCs/>
          <w:sz w:val="26"/>
          <w:szCs w:val="26"/>
          <w:rtl/>
        </w:rPr>
        <w:t>ضمن جملة أمور</w:t>
      </w:r>
      <w:r w:rsidRPr="00E35D84">
        <w:rPr>
          <w:rFonts w:hint="cs"/>
          <w:sz w:val="26"/>
          <w:szCs w:val="26"/>
          <w:rtl/>
        </w:rPr>
        <w:t>، اعتماد الفنيين، والترخيص للمنشئات والورش، والتوسيم، ومسك السجلات، والإبلاغ، والقابلة للوصول الى بيع وشراء غازات التبريد، وأدوات الإنفاذ والرصد وبرامج بناء القدرات للسلطات وأصحاب المصلحة وتقييم الاحتياجات الناشئة ودعم الإنفاذ والآليات؛</w:t>
      </w:r>
    </w:p>
    <w:p w:rsidR="00605D45" w:rsidRPr="00E35D84" w:rsidRDefault="00605D45" w:rsidP="009524F4">
      <w:pPr>
        <w:pStyle w:val="Heading2"/>
        <w:bidi/>
        <w:rPr>
          <w:sz w:val="26"/>
          <w:szCs w:val="26"/>
        </w:rPr>
      </w:pPr>
      <w:r w:rsidRPr="00E35D84">
        <w:rPr>
          <w:rFonts w:hint="cs"/>
          <w:sz w:val="26"/>
          <w:szCs w:val="26"/>
          <w:rtl/>
        </w:rPr>
        <w:t>استعراض المناهج الدراسية لبرامج التدريب لموظفي الجمارك والإنفاذ، ومعالجة الإلتزامات بمقتضى بروتوكول مونتريال بما في ذلك تعديل كيغالي التابع له، ووضع منهج دراسي مشترك وبرامج التدريب التي يمكن استخدامها من جانب الوكالات الثنائية والمنفذة مع تحديثها كل عامين لتبين التطورات في التكنولوجيا؛</w:t>
      </w:r>
    </w:p>
    <w:p w:rsidR="00DE5E62" w:rsidRPr="00E35D84" w:rsidRDefault="00DE5E62" w:rsidP="009524F4">
      <w:pPr>
        <w:pStyle w:val="Heading2"/>
        <w:bidi/>
        <w:rPr>
          <w:sz w:val="26"/>
          <w:szCs w:val="26"/>
        </w:rPr>
      </w:pPr>
      <w:r w:rsidRPr="00E35D84">
        <w:rPr>
          <w:rFonts w:hint="cs"/>
          <w:sz w:val="26"/>
          <w:szCs w:val="26"/>
          <w:rtl/>
        </w:rPr>
        <w:t>تعزيز قدرة نظام التدريب المهني الوطني، وهيئات اعتماد الفنيين الوطنية من خلال استعراض المناهج الدراسية لبرامج التدريب لفنيي التدريب لمعالجة القضايا ذات الصلة بخفض انبعاثات غازات التبريد في الغلاف الجوي، وخفض استهلاك الطاقة استنادا الى المعدات حسنة الرعاية وحسنة الخدمة، ومعالجة قضايا السلامة ذات الصلة بالقابلية للاشتعال و/أو السمية الخاصة بغازات التبريد التي يجري إدخالها؛</w:t>
      </w:r>
    </w:p>
    <w:p w:rsidR="00DE5E62" w:rsidRPr="00E35D84" w:rsidRDefault="00DE5E62" w:rsidP="009524F4">
      <w:pPr>
        <w:pStyle w:val="Heading2"/>
        <w:bidi/>
        <w:rPr>
          <w:sz w:val="26"/>
          <w:szCs w:val="26"/>
        </w:rPr>
      </w:pPr>
      <w:r w:rsidRPr="00E35D84">
        <w:rPr>
          <w:rFonts w:hint="cs"/>
          <w:sz w:val="26"/>
          <w:szCs w:val="26"/>
          <w:rtl/>
        </w:rPr>
        <w:t xml:space="preserve">وضع (أو تعزيز إذا كانت موجودة) استراتيجية قوية ذاتية التمويل لاحتواء غازات التبريد لضمان إمكانية استمرار المعدات  المركبة في الوقت الحاضر في العمل الى أن ينتهي عمرها الاقتراض، والنظر، </w:t>
      </w:r>
      <w:r w:rsidRPr="00E35D84">
        <w:rPr>
          <w:rFonts w:hint="cs"/>
          <w:i/>
          <w:iCs/>
          <w:sz w:val="26"/>
          <w:szCs w:val="26"/>
          <w:rtl/>
        </w:rPr>
        <w:t>ضمن جملة أمور</w:t>
      </w:r>
      <w:r w:rsidRPr="00E35D84">
        <w:rPr>
          <w:rFonts w:hint="cs"/>
          <w:sz w:val="26"/>
          <w:szCs w:val="26"/>
          <w:rtl/>
        </w:rPr>
        <w:t xml:space="preserve"> في قدرة المعدات وعناصرها المساعدة (مثل السلندرات وأجهزة التعرف على غازات التبريد) لاسترجاع وإعادة تدوير وإعادة استخدام كلا من المواد الهيدروكلوروفلوروكربون والهيدروفلوروكربون بما في ذلك الخلائط، وإمكانية إعادة استخدام خلائط الزيتربك بالنظر الى أن هذه الخلائط قد تفقد، بعد التسرب تكوينها الغازي الأصلي، والإدارة السليمة للكميات المتزايدة من الغازات المستر</w:t>
      </w:r>
      <w:r w:rsidR="00F358E1" w:rsidRPr="00E35D84">
        <w:rPr>
          <w:rFonts w:hint="cs"/>
          <w:sz w:val="26"/>
          <w:szCs w:val="26"/>
          <w:rtl/>
        </w:rPr>
        <w:t>جعة غير القابلة لإعادة الاستعمال (نتيجة لتوافر كميات كبيرة من الخلائك الزيتروبك في السوق)، وتحليل لمنافع وتحديات إعادة الاسترجاع وإعادة التدوير وإصلاح غازات التبريد القابلة للاشتعال، وتقييم للجدوى الاقتصادية لمرافق الإصلاح وخاصة لخلائط الزيتروبك ومكوناتها؛</w:t>
      </w:r>
    </w:p>
    <w:p w:rsidR="00F358E1" w:rsidRPr="00E35D84" w:rsidRDefault="00F358E1" w:rsidP="009524F4">
      <w:pPr>
        <w:pStyle w:val="Heading2"/>
        <w:bidi/>
        <w:rPr>
          <w:sz w:val="26"/>
          <w:szCs w:val="26"/>
        </w:rPr>
      </w:pPr>
      <w:r w:rsidRPr="00E35D84">
        <w:rPr>
          <w:rFonts w:hint="cs"/>
          <w:sz w:val="26"/>
          <w:szCs w:val="26"/>
          <w:rtl/>
        </w:rPr>
        <w:t>تعزيز الدعم التقني للقطاع الفرعي للتجميع والتركيب والشحن الأولي حيث يمكنه أن يؤثر في إدخال تكنولوجيات التبريد في بلدان المادة 5؛</w:t>
      </w:r>
    </w:p>
    <w:p w:rsidR="00F358E1" w:rsidRPr="00E35D84" w:rsidRDefault="00F358E1" w:rsidP="009524F4">
      <w:pPr>
        <w:pStyle w:val="Heading2"/>
        <w:bidi/>
        <w:rPr>
          <w:sz w:val="26"/>
          <w:szCs w:val="26"/>
        </w:rPr>
      </w:pPr>
      <w:r w:rsidRPr="00E35D84">
        <w:rPr>
          <w:rFonts w:hint="cs"/>
          <w:sz w:val="26"/>
          <w:szCs w:val="26"/>
          <w:rtl/>
        </w:rPr>
        <w:t>إدخال أدوات الرصد والإبلاغ التي يمكن أن تقيس آثار الأنشطة والبرامج في قطاع الخدمة؛</w:t>
      </w:r>
    </w:p>
    <w:p w:rsidR="00F358E1" w:rsidRPr="00E35D84" w:rsidRDefault="00F358E1" w:rsidP="009524F4">
      <w:pPr>
        <w:pStyle w:val="Heading2"/>
        <w:bidi/>
        <w:rPr>
          <w:sz w:val="26"/>
          <w:szCs w:val="26"/>
        </w:rPr>
      </w:pPr>
      <w:r w:rsidRPr="00E35D84">
        <w:rPr>
          <w:rFonts w:hint="cs"/>
          <w:sz w:val="26"/>
          <w:szCs w:val="26"/>
          <w:rtl/>
        </w:rPr>
        <w:t>تقييم الاستدامة الطويلة الأجل للأنشطة التي تنفذ في قطاع خدمة التبريد من خلال نماذج الأعمال و/أو الموارد الإضافية؛</w:t>
      </w:r>
    </w:p>
    <w:p w:rsidR="00F358E1" w:rsidRPr="00E35D84" w:rsidRDefault="00F358E1" w:rsidP="009524F4">
      <w:pPr>
        <w:pStyle w:val="Heading2"/>
        <w:bidi/>
        <w:rPr>
          <w:sz w:val="26"/>
          <w:szCs w:val="26"/>
        </w:rPr>
      </w:pPr>
      <w:r w:rsidRPr="00E35D84">
        <w:rPr>
          <w:rFonts w:hint="cs"/>
          <w:sz w:val="26"/>
          <w:szCs w:val="26"/>
          <w:rtl/>
        </w:rPr>
        <w:t>تدعيم اتحادات التبريد وتكييف الهواء وضمان مشاركتها في تنفيذ الأنشطة وفي تعزيز الممارسات السليمة في الأسواق المحلية؛</w:t>
      </w:r>
    </w:p>
    <w:p w:rsidR="00F358E1" w:rsidRPr="00E35D84" w:rsidRDefault="00F358E1" w:rsidP="009524F4">
      <w:pPr>
        <w:pStyle w:val="Heading2"/>
        <w:bidi/>
        <w:rPr>
          <w:sz w:val="26"/>
          <w:szCs w:val="26"/>
        </w:rPr>
      </w:pPr>
      <w:r w:rsidRPr="00E35D84">
        <w:rPr>
          <w:rFonts w:hint="cs"/>
          <w:sz w:val="26"/>
          <w:szCs w:val="26"/>
          <w:rtl/>
        </w:rPr>
        <w:t>إقامة قاعدة بيانات/ دليل لقطاع الخدمة يتضمن الفنيين المرخصين والمعتمدين والمنشئات ومراكز التدريب والموزعين لغازات التبريد والمعدات؛</w:t>
      </w:r>
    </w:p>
    <w:p w:rsidR="00F358E1" w:rsidRPr="00E35D84" w:rsidRDefault="00F358E1" w:rsidP="00AC3A77">
      <w:pPr>
        <w:pStyle w:val="Heading2"/>
        <w:keepNext/>
        <w:keepLines/>
        <w:bidi/>
        <w:rPr>
          <w:sz w:val="26"/>
          <w:szCs w:val="26"/>
        </w:rPr>
      </w:pPr>
      <w:r w:rsidRPr="00E35D84">
        <w:rPr>
          <w:rFonts w:hint="cs"/>
          <w:sz w:val="26"/>
          <w:szCs w:val="26"/>
          <w:rtl/>
        </w:rPr>
        <w:lastRenderedPageBreak/>
        <w:t>الاستفادة من المنتجات العالمية التي استحدثها برنامج المساعدة على الامتثال في اليونيب وغيرها من المنظمات الدولية الم</w:t>
      </w:r>
      <w:r w:rsidR="004426B7" w:rsidRPr="00E35D84">
        <w:rPr>
          <w:rFonts w:hint="cs"/>
          <w:sz w:val="26"/>
          <w:szCs w:val="26"/>
          <w:rtl/>
        </w:rPr>
        <w:t>درجة في المرفق الثالث لمساعدة قطاع خدمة التبريد.</w:t>
      </w:r>
    </w:p>
    <w:p w:rsidR="00FB2392" w:rsidRPr="00E35D84" w:rsidRDefault="004426B7" w:rsidP="00C85D8C">
      <w:pPr>
        <w:keepNext/>
        <w:bidi/>
        <w:rPr>
          <w:bCs/>
          <w:sz w:val="26"/>
          <w:szCs w:val="26"/>
        </w:rPr>
      </w:pPr>
      <w:r w:rsidRPr="00E35D84">
        <w:rPr>
          <w:rFonts w:hint="cs"/>
          <w:bCs/>
          <w:sz w:val="26"/>
          <w:szCs w:val="26"/>
          <w:rtl/>
        </w:rPr>
        <w:t>اعتبارات لتمويل خفض الهيدروفلوروكربون</w:t>
      </w:r>
    </w:p>
    <w:p w:rsidR="00FB2392" w:rsidRPr="00E35D84" w:rsidRDefault="00FB2392" w:rsidP="00C85D8C">
      <w:pPr>
        <w:keepNext/>
        <w:bidi/>
        <w:rPr>
          <w:sz w:val="26"/>
          <w:szCs w:val="26"/>
          <w:u w:val="single"/>
        </w:rPr>
      </w:pPr>
    </w:p>
    <w:p w:rsidR="004426B7" w:rsidRPr="00E35D84" w:rsidRDefault="008D6A71" w:rsidP="00C85D8C">
      <w:pPr>
        <w:pStyle w:val="Heading1"/>
        <w:keepNext/>
        <w:bidi/>
        <w:rPr>
          <w:sz w:val="26"/>
          <w:szCs w:val="26"/>
        </w:rPr>
      </w:pPr>
      <w:r w:rsidRPr="00E35D84">
        <w:rPr>
          <w:rFonts w:hint="cs"/>
          <w:sz w:val="26"/>
          <w:szCs w:val="26"/>
          <w:rtl/>
        </w:rPr>
        <w:t>حتى الموافقة على المبادئ التوجيهية لإعداد خطط إدارة غازات التبريد والمجموعة الأولى من مقترحات خطط إدارة غازات التبريد خلال الاجتماع الثالث والعشرين، كان يوافق الأنشطة في قطاع خدمة التبريد كمشروعات منفصلة، وتمول على أساس كل حالة على حدة مع مراعاة الظروف السائدة على مستوى البلد مثل حجم السكان والتوزيع الجغرافي للأنشطة الاقتصادي ومستوى استهلاك المواد الخاضعة للرقابة في نظم التبريد وتكييف الهواء العاملة، وخصائص ورش الخدمة، والمهارات التقنية لفنيي الخدمة.</w:t>
      </w:r>
    </w:p>
    <w:p w:rsidR="008D6A71" w:rsidRPr="00E35D84" w:rsidRDefault="008D6A71" w:rsidP="009524F4">
      <w:pPr>
        <w:pStyle w:val="Heading1"/>
        <w:bidi/>
        <w:rPr>
          <w:sz w:val="26"/>
          <w:szCs w:val="26"/>
        </w:rPr>
      </w:pPr>
      <w:r w:rsidRPr="00E35D84">
        <w:rPr>
          <w:rFonts w:hint="cs"/>
          <w:sz w:val="26"/>
          <w:szCs w:val="26"/>
          <w:rtl/>
        </w:rPr>
        <w:t xml:space="preserve">وكانت خطط إدارة غازات التبريد تشكل خطة إزالة متعددة السنوات حيث تلزم البلدان التي ينخفض فيها حجم الاستهلاك بتحقيق خفض بنسبة 50 في المائة من خط أساسها للكلوروفلوروكربون للامتثال في 2005 مع التمويل الموافق عليه لها، وخلال الاجتماع الخامس والثلاثين (ديسمبر/ كانون الأول 2001)، قررت اللجنة التنفيذية تزويد البلدان التي ينخفض فيها حجم الاستهلاك بتمويل إضافي لتحديث خططها الخاصة بإدارة غازات التبريد، محسوبة على أساس 50 في المائة من التمويل المقدم لخططها الخاصة بإدارة غازات التبريد (المقرر 35/57) بالنسبة لتلك البلدان التي ينخفض فيها حجم الاستهلاك والتي التزمت بخفض بنسبة 85 في المائة من خط أساسها للكلوروفلوروكربون للامتثال في 2007. وفيما بعد، قدمت خلال الاجتماع الخامس والأربعين (أبريل/ نيسان 2005) المزيد من المساعدات للبلدان التي ينخفض فيها حجم الاستهلاك لفترة ما بعد 2007 لتحقيق الإزالة الكاملة للمواد الكلوروفلوروكربونية من خلال مقترحات خطط إدارة إدارة إزالة المواد الهيدروكلوروفلوروكربونية. وكان التمويل لخطط إدارة إزالة المواد الهيدروكلوروفلوروكربونية مشروطا بمستوى خط أساس الاستهلاك من الكلوروفلوروكربون المحدد في </w:t>
      </w:r>
      <w:r w:rsidR="004254F9" w:rsidRPr="00E35D84">
        <w:rPr>
          <w:rFonts w:hint="cs"/>
          <w:sz w:val="26"/>
          <w:szCs w:val="26"/>
          <w:rtl/>
        </w:rPr>
        <w:t>جدول متفق عليه،</w:t>
      </w:r>
      <w:r w:rsidR="004254F9" w:rsidRPr="00E35D84">
        <w:rPr>
          <w:rStyle w:val="FootnoteReference"/>
          <w:sz w:val="26"/>
          <w:szCs w:val="26"/>
        </w:rPr>
        <w:footnoteReference w:id="58"/>
      </w:r>
      <w:r w:rsidR="004254F9" w:rsidRPr="00E35D84">
        <w:rPr>
          <w:rFonts w:hint="cs"/>
          <w:sz w:val="26"/>
          <w:szCs w:val="26"/>
          <w:rtl/>
        </w:rPr>
        <w:t xml:space="preserve"> وتلقت البلدان التي لا ينخفض فيها حجم الاستهلاك في قطاع خدمة التبريد مساعدات لخفض استهلاك الكلوروفلوروكربون كجزء من خططها الوطنية للخفض استنادا الى مردودية تكاليف بمبلغ </w:t>
      </w:r>
      <w:r w:rsidR="004254F9" w:rsidRPr="00E35D84">
        <w:rPr>
          <w:sz w:val="26"/>
          <w:szCs w:val="26"/>
        </w:rPr>
        <w:t>5.00</w:t>
      </w:r>
      <w:r w:rsidR="004254F9" w:rsidRPr="00E35D84">
        <w:rPr>
          <w:rFonts w:hint="cs"/>
          <w:sz w:val="26"/>
          <w:szCs w:val="26"/>
          <w:rtl/>
        </w:rPr>
        <w:t xml:space="preserve"> دولار أمريكية للكيلوغرام.</w:t>
      </w:r>
    </w:p>
    <w:p w:rsidR="004254F9" w:rsidRPr="00E35D84" w:rsidRDefault="004254F9" w:rsidP="008B48C3">
      <w:pPr>
        <w:pStyle w:val="Heading1"/>
        <w:bidi/>
        <w:rPr>
          <w:sz w:val="26"/>
          <w:szCs w:val="26"/>
        </w:rPr>
      </w:pPr>
      <w:r w:rsidRPr="00E35D84">
        <w:rPr>
          <w:rFonts w:hint="cs"/>
          <w:sz w:val="26"/>
          <w:szCs w:val="26"/>
          <w:rtl/>
        </w:rPr>
        <w:t xml:space="preserve">وبالنسبة لإزالة المواد الهيدروكلوروفلوروكربونية، أدرجت الأنشطة في قطاع خدمة التبريد في خطط إدارة إزالة المواد الهيدروكلوروفلوروكربونية لكل من البلدان التي ينخفض فيها حجم الاستهلاك وتلك التي لا ينخفض فيها. وكان التمويل لهذه الأنشطة، يعتمد على الخبرات المكتسبة خلال تنفيذ خطط إدارة التبريد، وخطط إدارة إزالة المواد الهيدروكلوروفلوروكربونية والخطط الوطنية </w:t>
      </w:r>
      <w:r w:rsidR="008B48C3" w:rsidRPr="00E35D84">
        <w:rPr>
          <w:rFonts w:hint="cs"/>
          <w:sz w:val="26"/>
          <w:szCs w:val="26"/>
          <w:rtl/>
        </w:rPr>
        <w:t>للتبريد</w:t>
      </w:r>
      <w:r w:rsidRPr="00E35D84">
        <w:rPr>
          <w:rFonts w:hint="cs"/>
          <w:sz w:val="26"/>
          <w:szCs w:val="26"/>
          <w:rtl/>
        </w:rPr>
        <w:t xml:space="preserve">. وبالنسبة للبلدان التي لا ينخفض فيها حجم الاستهلاك، ووفق على التمويل، على أساس </w:t>
      </w:r>
      <w:r w:rsidRPr="00E35D84">
        <w:rPr>
          <w:sz w:val="26"/>
          <w:szCs w:val="26"/>
        </w:rPr>
        <w:t>4.50</w:t>
      </w:r>
      <w:r w:rsidRPr="00E35D84">
        <w:rPr>
          <w:rFonts w:hint="cs"/>
          <w:sz w:val="26"/>
          <w:szCs w:val="26"/>
          <w:rtl/>
        </w:rPr>
        <w:t xml:space="preserve"> دولار أمريكي للكيل</w:t>
      </w:r>
      <w:r w:rsidR="00E37C15" w:rsidRPr="00E35D84">
        <w:rPr>
          <w:rFonts w:hint="cs"/>
          <w:sz w:val="26"/>
          <w:szCs w:val="26"/>
          <w:rtl/>
        </w:rPr>
        <w:t>وغرام للمرحلة الأو</w:t>
      </w:r>
      <w:r w:rsidRPr="00E35D84">
        <w:rPr>
          <w:rFonts w:hint="cs"/>
          <w:sz w:val="26"/>
          <w:szCs w:val="26"/>
          <w:rtl/>
        </w:rPr>
        <w:t xml:space="preserve">لى من خطط إدارة إزالة المواد الهيدروكلوروفلوروكربونية وعلى أساس </w:t>
      </w:r>
      <w:r w:rsidRPr="00E35D84">
        <w:rPr>
          <w:sz w:val="26"/>
          <w:szCs w:val="26"/>
        </w:rPr>
        <w:t>4.80</w:t>
      </w:r>
      <w:r w:rsidRPr="00E35D84">
        <w:rPr>
          <w:rFonts w:hint="cs"/>
          <w:sz w:val="26"/>
          <w:szCs w:val="26"/>
          <w:rtl/>
        </w:rPr>
        <w:t xml:space="preserve"> دولار أمريكي للكيلوغرام  للمرحلة الثانية من هذه الخطط في حين اعتمد التمويل للبلدان التي ينخفض فيها حجم الاستهلاك على مستوى استهلاك الهيدروكلوروفلوروكربون في قطاع الخدمة حسب ما هو مبين في الجدول 7.</w:t>
      </w:r>
    </w:p>
    <w:p w:rsidR="00C85D8C" w:rsidRPr="00C85D8C" w:rsidRDefault="00C85D8C" w:rsidP="009524F4">
      <w:pPr>
        <w:bidi/>
        <w:rPr>
          <w:bCs/>
          <w:rtl/>
        </w:rPr>
      </w:pPr>
      <w:r>
        <w:rPr>
          <w:rFonts w:hint="cs"/>
          <w:bCs/>
          <w:rtl/>
        </w:rPr>
        <w:t xml:space="preserve">الجدول 7: </w:t>
      </w:r>
      <w:r w:rsidR="004254F9">
        <w:rPr>
          <w:rFonts w:hint="cs"/>
          <w:bCs/>
          <w:rtl/>
        </w:rPr>
        <w:t>مستوى الأموال الموافق عليها للبلدان التي سينخفض فيها حجم الاستهلاك بموجب خطط إدارة إزالة المواد الهيدروكلوروفلوروكربونية، (المرحلة الثانية) (المقرر 74/50(ج)(7)</w:t>
      </w:r>
    </w:p>
    <w:tbl>
      <w:tblPr>
        <w:bidiVisual/>
        <w:tblW w:w="5000" w:type="pct"/>
        <w:tblInd w:w="-5" w:type="dxa"/>
        <w:tblLayout w:type="fixed"/>
        <w:tblLook w:val="04A0" w:firstRow="1" w:lastRow="0" w:firstColumn="1" w:lastColumn="0" w:noHBand="0" w:noVBand="1"/>
      </w:tblPr>
      <w:tblGrid>
        <w:gridCol w:w="2968"/>
        <w:gridCol w:w="2126"/>
        <w:gridCol w:w="2128"/>
        <w:gridCol w:w="2128"/>
      </w:tblGrid>
      <w:tr w:rsidR="00C54F6D" w:rsidRPr="00F91329" w:rsidTr="00C85D8C">
        <w:trPr>
          <w:tblHeader/>
        </w:trPr>
        <w:tc>
          <w:tcPr>
            <w:tcW w:w="1587" w:type="pct"/>
            <w:vMerge w:val="restart"/>
            <w:tcBorders>
              <w:top w:val="single" w:sz="4" w:space="0" w:color="auto"/>
              <w:left w:val="single" w:sz="4" w:space="0" w:color="auto"/>
              <w:bottom w:val="single" w:sz="4" w:space="0" w:color="auto"/>
              <w:right w:val="single" w:sz="4" w:space="0" w:color="auto"/>
            </w:tcBorders>
            <w:noWrap/>
            <w:vAlign w:val="center"/>
          </w:tcPr>
          <w:p w:rsidR="00C54F6D" w:rsidRPr="004254F9" w:rsidRDefault="004254F9" w:rsidP="009524F4">
            <w:pPr>
              <w:widowControl w:val="0"/>
              <w:bidi/>
              <w:jc w:val="center"/>
              <w:rPr>
                <w:bCs/>
                <w:color w:val="000000" w:themeColor="text1"/>
                <w:sz w:val="21"/>
                <w:szCs w:val="21"/>
              </w:rPr>
            </w:pPr>
            <w:r>
              <w:rPr>
                <w:rFonts w:hint="cs"/>
                <w:bCs/>
                <w:color w:val="000000" w:themeColor="text1"/>
                <w:sz w:val="21"/>
                <w:szCs w:val="21"/>
                <w:rtl/>
              </w:rPr>
              <w:t>الاستهلاك في قطاع الخدمة (طن متري)</w:t>
            </w:r>
          </w:p>
        </w:tc>
        <w:tc>
          <w:tcPr>
            <w:tcW w:w="3413" w:type="pct"/>
            <w:gridSpan w:val="3"/>
            <w:tcBorders>
              <w:top w:val="single" w:sz="4" w:space="0" w:color="auto"/>
              <w:left w:val="nil"/>
              <w:bottom w:val="single" w:sz="4" w:space="0" w:color="auto"/>
              <w:right w:val="single" w:sz="4" w:space="0" w:color="auto"/>
            </w:tcBorders>
            <w:noWrap/>
            <w:vAlign w:val="center"/>
            <w:hideMark/>
          </w:tcPr>
          <w:p w:rsidR="00C54F6D" w:rsidRPr="004254F9" w:rsidRDefault="004254F9" w:rsidP="009524F4">
            <w:pPr>
              <w:keepNext/>
              <w:bidi/>
              <w:jc w:val="center"/>
              <w:rPr>
                <w:bCs/>
                <w:color w:val="000000" w:themeColor="text1"/>
                <w:sz w:val="21"/>
                <w:szCs w:val="21"/>
              </w:rPr>
            </w:pPr>
            <w:r>
              <w:rPr>
                <w:rFonts w:hint="cs"/>
                <w:bCs/>
                <w:color w:val="000000" w:themeColor="text1"/>
                <w:sz w:val="21"/>
                <w:szCs w:val="21"/>
                <w:rtl/>
              </w:rPr>
              <w:t>الحد الأقصى للتمويل المؤهل (بالدولار الأمريكي)</w:t>
            </w:r>
          </w:p>
        </w:tc>
      </w:tr>
      <w:tr w:rsidR="00C54F6D" w:rsidRPr="00F91329" w:rsidTr="00C85D8C">
        <w:trPr>
          <w:tblHeader/>
        </w:trPr>
        <w:tc>
          <w:tcPr>
            <w:tcW w:w="1587" w:type="pct"/>
            <w:vMerge/>
            <w:tcBorders>
              <w:top w:val="single" w:sz="4" w:space="0" w:color="auto"/>
              <w:left w:val="single" w:sz="4" w:space="0" w:color="auto"/>
              <w:bottom w:val="single" w:sz="4" w:space="0" w:color="auto"/>
              <w:right w:val="single" w:sz="4" w:space="0" w:color="auto"/>
            </w:tcBorders>
            <w:vAlign w:val="center"/>
            <w:hideMark/>
          </w:tcPr>
          <w:p w:rsidR="00C54F6D" w:rsidRPr="00CD3E4D" w:rsidRDefault="00C54F6D" w:rsidP="009524F4">
            <w:pPr>
              <w:widowControl w:val="0"/>
              <w:bidi/>
              <w:jc w:val="left"/>
              <w:rPr>
                <w:b/>
                <w:color w:val="000000" w:themeColor="text1"/>
                <w:sz w:val="21"/>
                <w:szCs w:val="21"/>
              </w:rPr>
            </w:pPr>
          </w:p>
        </w:tc>
        <w:tc>
          <w:tcPr>
            <w:tcW w:w="1137" w:type="pct"/>
            <w:tcBorders>
              <w:top w:val="single" w:sz="4" w:space="0" w:color="auto"/>
              <w:left w:val="nil"/>
              <w:bottom w:val="single" w:sz="4" w:space="0" w:color="auto"/>
              <w:right w:val="single" w:sz="4" w:space="0" w:color="auto"/>
            </w:tcBorders>
            <w:noWrap/>
            <w:vAlign w:val="center"/>
            <w:hideMark/>
          </w:tcPr>
          <w:p w:rsidR="00C54F6D" w:rsidRPr="00CD3E4D" w:rsidRDefault="004254F9" w:rsidP="009524F4">
            <w:pPr>
              <w:keepNext/>
              <w:bidi/>
              <w:jc w:val="center"/>
              <w:rPr>
                <w:b/>
                <w:color w:val="000000" w:themeColor="text1"/>
                <w:sz w:val="21"/>
                <w:szCs w:val="21"/>
              </w:rPr>
            </w:pPr>
            <w:r w:rsidRPr="004254F9">
              <w:rPr>
                <w:rFonts w:hint="cs"/>
                <w:bCs/>
                <w:color w:val="000000" w:themeColor="text1"/>
                <w:sz w:val="21"/>
                <w:szCs w:val="21"/>
                <w:rtl/>
              </w:rPr>
              <w:t>حتي</w:t>
            </w:r>
            <w:r>
              <w:rPr>
                <w:rFonts w:hint="cs"/>
                <w:b/>
                <w:color w:val="000000" w:themeColor="text1"/>
                <w:sz w:val="21"/>
                <w:szCs w:val="21"/>
                <w:rtl/>
              </w:rPr>
              <w:t xml:space="preserve"> </w:t>
            </w:r>
            <w:r w:rsidR="00C54F6D" w:rsidRPr="00CD3E4D">
              <w:rPr>
                <w:b/>
                <w:color w:val="000000" w:themeColor="text1"/>
                <w:sz w:val="21"/>
                <w:szCs w:val="21"/>
              </w:rPr>
              <w:t xml:space="preserve"> 2020</w:t>
            </w:r>
          </w:p>
        </w:tc>
        <w:tc>
          <w:tcPr>
            <w:tcW w:w="1138" w:type="pct"/>
            <w:tcBorders>
              <w:top w:val="single" w:sz="4" w:space="0" w:color="auto"/>
              <w:left w:val="nil"/>
              <w:bottom w:val="single" w:sz="4" w:space="0" w:color="auto"/>
              <w:right w:val="single" w:sz="4" w:space="0" w:color="auto"/>
            </w:tcBorders>
            <w:noWrap/>
            <w:vAlign w:val="center"/>
            <w:hideMark/>
          </w:tcPr>
          <w:p w:rsidR="00C54F6D" w:rsidRPr="00CD3E4D" w:rsidRDefault="004254F9" w:rsidP="009524F4">
            <w:pPr>
              <w:keepNext/>
              <w:bidi/>
              <w:jc w:val="center"/>
              <w:rPr>
                <w:b/>
                <w:color w:val="000000" w:themeColor="text1"/>
                <w:sz w:val="21"/>
                <w:szCs w:val="21"/>
              </w:rPr>
            </w:pPr>
            <w:r w:rsidRPr="004254F9">
              <w:rPr>
                <w:rFonts w:hint="cs"/>
                <w:bCs/>
                <w:color w:val="000000" w:themeColor="text1"/>
                <w:sz w:val="21"/>
                <w:szCs w:val="21"/>
                <w:rtl/>
              </w:rPr>
              <w:t>حتى</w:t>
            </w:r>
            <w:r>
              <w:rPr>
                <w:rFonts w:hint="cs"/>
                <w:b/>
                <w:color w:val="000000" w:themeColor="text1"/>
                <w:sz w:val="21"/>
                <w:szCs w:val="21"/>
                <w:rtl/>
              </w:rPr>
              <w:t xml:space="preserve"> </w:t>
            </w:r>
            <w:r w:rsidR="00C54F6D" w:rsidRPr="00CD3E4D">
              <w:rPr>
                <w:b/>
                <w:color w:val="000000" w:themeColor="text1"/>
                <w:sz w:val="21"/>
                <w:szCs w:val="21"/>
              </w:rPr>
              <w:t xml:space="preserve"> 2025</w:t>
            </w:r>
          </w:p>
        </w:tc>
        <w:tc>
          <w:tcPr>
            <w:tcW w:w="1138" w:type="pct"/>
            <w:tcBorders>
              <w:top w:val="single" w:sz="4" w:space="0" w:color="auto"/>
              <w:left w:val="nil"/>
              <w:bottom w:val="single" w:sz="4" w:space="0" w:color="auto"/>
              <w:right w:val="single" w:sz="4" w:space="0" w:color="auto"/>
            </w:tcBorders>
            <w:noWrap/>
            <w:vAlign w:val="center"/>
            <w:hideMark/>
          </w:tcPr>
          <w:p w:rsidR="00C54F6D" w:rsidRPr="004254F9" w:rsidRDefault="004254F9" w:rsidP="009524F4">
            <w:pPr>
              <w:keepNext/>
              <w:bidi/>
              <w:jc w:val="center"/>
              <w:rPr>
                <w:bCs/>
                <w:color w:val="000000" w:themeColor="text1"/>
                <w:sz w:val="21"/>
                <w:szCs w:val="21"/>
              </w:rPr>
            </w:pPr>
            <w:r w:rsidRPr="004254F9">
              <w:rPr>
                <w:rFonts w:hint="cs"/>
                <w:bCs/>
                <w:color w:val="000000" w:themeColor="text1"/>
                <w:sz w:val="21"/>
                <w:szCs w:val="21"/>
                <w:rtl/>
              </w:rPr>
              <w:t>مجموع الإزالة</w:t>
            </w:r>
          </w:p>
        </w:tc>
      </w:tr>
      <w:tr w:rsidR="00C54F6D" w:rsidRPr="00F91329" w:rsidTr="00C85D8C">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C54F6D" w:rsidRPr="00CD3E4D" w:rsidRDefault="00C54F6D" w:rsidP="009524F4">
            <w:pPr>
              <w:widowControl w:val="0"/>
              <w:bidi/>
              <w:jc w:val="left"/>
              <w:rPr>
                <w:color w:val="000000" w:themeColor="text1"/>
                <w:sz w:val="21"/>
                <w:szCs w:val="21"/>
              </w:rPr>
            </w:pPr>
            <w:r w:rsidRPr="00CD3E4D">
              <w:rPr>
                <w:color w:val="000000" w:themeColor="text1"/>
                <w:sz w:val="21"/>
                <w:szCs w:val="21"/>
              </w:rPr>
              <w:t>&gt;0 &lt;15</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205,625(*)</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396,500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587,500</w:t>
            </w:r>
          </w:p>
        </w:tc>
      </w:tr>
      <w:tr w:rsidR="00C54F6D" w:rsidRPr="00F91329" w:rsidTr="00C85D8C">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C54F6D" w:rsidRPr="00CD3E4D" w:rsidRDefault="00C54F6D" w:rsidP="009524F4">
            <w:pPr>
              <w:widowControl w:val="0"/>
              <w:bidi/>
              <w:jc w:val="left"/>
              <w:rPr>
                <w:color w:val="000000" w:themeColor="text1"/>
                <w:sz w:val="21"/>
                <w:szCs w:val="21"/>
              </w:rPr>
            </w:pPr>
            <w:r w:rsidRPr="00CD3E4D">
              <w:rPr>
                <w:color w:val="000000" w:themeColor="text1"/>
                <w:sz w:val="21"/>
                <w:szCs w:val="21"/>
              </w:rPr>
              <w:t>15 &lt;40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262,500(**)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506,250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750,000</w:t>
            </w:r>
          </w:p>
        </w:tc>
      </w:tr>
      <w:tr w:rsidR="00C54F6D" w:rsidRPr="00F91329" w:rsidTr="00C85D8C">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C54F6D" w:rsidRPr="00CD3E4D" w:rsidRDefault="00C54F6D" w:rsidP="009524F4">
            <w:pPr>
              <w:widowControl w:val="0"/>
              <w:bidi/>
              <w:jc w:val="left"/>
              <w:rPr>
                <w:color w:val="000000" w:themeColor="text1"/>
                <w:sz w:val="21"/>
                <w:szCs w:val="21"/>
              </w:rPr>
            </w:pPr>
            <w:r w:rsidRPr="00CD3E4D">
              <w:rPr>
                <w:color w:val="000000" w:themeColor="text1"/>
                <w:sz w:val="21"/>
                <w:szCs w:val="21"/>
              </w:rPr>
              <w:t>40 &lt;80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280,000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540,000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800,000</w:t>
            </w:r>
          </w:p>
        </w:tc>
      </w:tr>
      <w:tr w:rsidR="00C54F6D" w:rsidRPr="00F91329" w:rsidTr="00C85D8C">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C54F6D" w:rsidRPr="00CD3E4D" w:rsidRDefault="00C54F6D" w:rsidP="009524F4">
            <w:pPr>
              <w:widowControl w:val="0"/>
              <w:bidi/>
              <w:jc w:val="left"/>
              <w:rPr>
                <w:color w:val="000000" w:themeColor="text1"/>
                <w:sz w:val="21"/>
                <w:szCs w:val="21"/>
              </w:rPr>
            </w:pPr>
            <w:r w:rsidRPr="00CD3E4D">
              <w:rPr>
                <w:color w:val="000000" w:themeColor="text1"/>
                <w:sz w:val="21"/>
                <w:szCs w:val="21"/>
              </w:rPr>
              <w:lastRenderedPageBreak/>
              <w:t>80 &lt;120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315,000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607,500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keepNext/>
              <w:bidi/>
              <w:jc w:val="left"/>
              <w:rPr>
                <w:color w:val="000000" w:themeColor="text1"/>
                <w:sz w:val="21"/>
                <w:szCs w:val="21"/>
              </w:rPr>
            </w:pPr>
            <w:r w:rsidRPr="00CD3E4D">
              <w:rPr>
                <w:color w:val="000000" w:themeColor="text1"/>
                <w:sz w:val="21"/>
                <w:szCs w:val="21"/>
              </w:rPr>
              <w:t>900,000</w:t>
            </w:r>
          </w:p>
        </w:tc>
      </w:tr>
      <w:tr w:rsidR="00C54F6D" w:rsidRPr="00F91329" w:rsidTr="00C85D8C">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C54F6D" w:rsidRPr="00CD3E4D" w:rsidRDefault="00C54F6D" w:rsidP="009524F4">
            <w:pPr>
              <w:widowControl w:val="0"/>
              <w:bidi/>
              <w:jc w:val="left"/>
              <w:rPr>
                <w:color w:val="000000" w:themeColor="text1"/>
                <w:sz w:val="21"/>
                <w:szCs w:val="21"/>
              </w:rPr>
            </w:pPr>
            <w:r w:rsidRPr="00CD3E4D">
              <w:rPr>
                <w:color w:val="000000" w:themeColor="text1"/>
                <w:sz w:val="21"/>
                <w:szCs w:val="21"/>
              </w:rPr>
              <w:t>120 &lt;160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332,500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641,250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950,000</w:t>
            </w:r>
          </w:p>
        </w:tc>
      </w:tr>
      <w:tr w:rsidR="00C54F6D" w:rsidRPr="00F91329" w:rsidTr="00C85D8C">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C54F6D" w:rsidRPr="00CD3E4D" w:rsidRDefault="00C54F6D" w:rsidP="009524F4">
            <w:pPr>
              <w:widowControl w:val="0"/>
              <w:bidi/>
              <w:jc w:val="left"/>
              <w:rPr>
                <w:color w:val="000000" w:themeColor="text1"/>
                <w:sz w:val="21"/>
                <w:szCs w:val="21"/>
              </w:rPr>
            </w:pPr>
            <w:r w:rsidRPr="00CD3E4D">
              <w:rPr>
                <w:color w:val="000000" w:themeColor="text1"/>
                <w:sz w:val="21"/>
                <w:szCs w:val="21"/>
              </w:rPr>
              <w:t>160 &lt;200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350,000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675,000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1,000,000</w:t>
            </w:r>
          </w:p>
        </w:tc>
      </w:tr>
      <w:tr w:rsidR="00C54F6D" w:rsidRPr="00F91329" w:rsidTr="00C85D8C">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C54F6D" w:rsidRPr="00CD3E4D" w:rsidRDefault="00C54F6D" w:rsidP="009524F4">
            <w:pPr>
              <w:widowControl w:val="0"/>
              <w:bidi/>
              <w:jc w:val="left"/>
              <w:rPr>
                <w:color w:val="000000" w:themeColor="text1"/>
                <w:sz w:val="21"/>
                <w:szCs w:val="21"/>
              </w:rPr>
            </w:pPr>
            <w:r w:rsidRPr="00CD3E4D">
              <w:rPr>
                <w:color w:val="000000" w:themeColor="text1"/>
                <w:sz w:val="21"/>
                <w:szCs w:val="21"/>
              </w:rPr>
              <w:t>200 &lt;320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560,000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1,080,000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1,600,000</w:t>
            </w:r>
          </w:p>
        </w:tc>
      </w:tr>
      <w:tr w:rsidR="00C54F6D" w:rsidRPr="00F91329" w:rsidTr="00C85D8C">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rsidR="00C54F6D" w:rsidRPr="00CD3E4D" w:rsidRDefault="00C54F6D" w:rsidP="009524F4">
            <w:pPr>
              <w:widowControl w:val="0"/>
              <w:bidi/>
              <w:jc w:val="left"/>
              <w:rPr>
                <w:color w:val="000000" w:themeColor="text1"/>
                <w:sz w:val="21"/>
                <w:szCs w:val="21"/>
              </w:rPr>
            </w:pPr>
            <w:r w:rsidRPr="00CD3E4D">
              <w:rPr>
                <w:color w:val="000000" w:themeColor="text1"/>
                <w:sz w:val="21"/>
                <w:szCs w:val="21"/>
              </w:rPr>
              <w:t>320 &lt;360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630,000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1,215,000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rsidR="00C54F6D" w:rsidRPr="00CD3E4D" w:rsidRDefault="00C54F6D" w:rsidP="00C85D8C">
            <w:pPr>
              <w:widowControl w:val="0"/>
              <w:bidi/>
              <w:jc w:val="left"/>
              <w:rPr>
                <w:color w:val="000000" w:themeColor="text1"/>
                <w:sz w:val="21"/>
                <w:szCs w:val="21"/>
              </w:rPr>
            </w:pPr>
            <w:r w:rsidRPr="00CD3E4D">
              <w:rPr>
                <w:color w:val="000000" w:themeColor="text1"/>
                <w:sz w:val="21"/>
                <w:szCs w:val="21"/>
              </w:rPr>
              <w:t>1,800,000</w:t>
            </w:r>
          </w:p>
        </w:tc>
      </w:tr>
    </w:tbl>
    <w:p w:rsidR="004254F9" w:rsidRPr="004254F9" w:rsidRDefault="00C54F6D" w:rsidP="009524F4">
      <w:pPr>
        <w:widowControl w:val="0"/>
        <w:bidi/>
        <w:rPr>
          <w:sz w:val="20"/>
          <w:szCs w:val="20"/>
          <w:rtl/>
        </w:rPr>
      </w:pPr>
      <w:r w:rsidRPr="004254F9">
        <w:rPr>
          <w:sz w:val="20"/>
          <w:szCs w:val="20"/>
        </w:rPr>
        <w:t>(*</w:t>
      </w:r>
      <w:proofErr w:type="gramStart"/>
      <w:r w:rsidRPr="004254F9">
        <w:rPr>
          <w:sz w:val="20"/>
          <w:szCs w:val="20"/>
        </w:rPr>
        <w:t xml:space="preserve">) </w:t>
      </w:r>
      <w:r w:rsidR="004254F9" w:rsidRPr="004254F9">
        <w:rPr>
          <w:rFonts w:hint="cs"/>
          <w:sz w:val="20"/>
          <w:szCs w:val="20"/>
          <w:rtl/>
        </w:rPr>
        <w:t xml:space="preserve"> مبلغ</w:t>
      </w:r>
      <w:proofErr w:type="gramEnd"/>
      <w:r w:rsidR="004254F9">
        <w:rPr>
          <w:rFonts w:hint="cs"/>
          <w:sz w:val="20"/>
          <w:szCs w:val="20"/>
          <w:rtl/>
        </w:rPr>
        <w:t xml:space="preserve"> </w:t>
      </w:r>
      <w:r w:rsidR="004254F9">
        <w:rPr>
          <w:sz w:val="20"/>
        </w:rPr>
        <w:t xml:space="preserve">164,500 </w:t>
      </w:r>
      <w:r w:rsidR="004254F9" w:rsidRPr="004254F9">
        <w:rPr>
          <w:rFonts w:hint="cs"/>
          <w:sz w:val="20"/>
          <w:szCs w:val="20"/>
          <w:rtl/>
        </w:rPr>
        <w:t xml:space="preserve"> دولار أمريكي</w:t>
      </w:r>
      <w:r w:rsidR="004254F9">
        <w:rPr>
          <w:rFonts w:hint="cs"/>
          <w:sz w:val="20"/>
          <w:szCs w:val="20"/>
          <w:rtl/>
        </w:rPr>
        <w:t xml:space="preserve"> للمرحلة الأولى (المقرر 60/44) وزيد بالنسبة للمرحلة الثانية في المقرر 74/50.</w:t>
      </w:r>
    </w:p>
    <w:p w:rsidR="004254F9" w:rsidRDefault="00D73ECC" w:rsidP="00D73ECC">
      <w:pPr>
        <w:widowControl w:val="0"/>
        <w:bidi/>
        <w:rPr>
          <w:sz w:val="20"/>
          <w:rtl/>
        </w:rPr>
      </w:pPr>
      <w:r>
        <w:rPr>
          <w:rFonts w:hint="cs"/>
          <w:sz w:val="20"/>
          <w:rtl/>
        </w:rPr>
        <w:t xml:space="preserve"> </w:t>
      </w:r>
      <w:r w:rsidR="00C54F6D">
        <w:rPr>
          <w:sz w:val="20"/>
        </w:rPr>
        <w:t>(**)</w:t>
      </w:r>
      <w:r>
        <w:rPr>
          <w:rFonts w:hint="cs"/>
          <w:sz w:val="20"/>
          <w:szCs w:val="20"/>
          <w:rtl/>
        </w:rPr>
        <w:t xml:space="preserve">  </w:t>
      </w:r>
      <w:r>
        <w:rPr>
          <w:sz w:val="20"/>
        </w:rPr>
        <w:t>210,000</w:t>
      </w:r>
      <w:r w:rsidR="004254F9">
        <w:rPr>
          <w:rFonts w:hint="cs"/>
          <w:sz w:val="20"/>
          <w:szCs w:val="20"/>
          <w:rtl/>
        </w:rPr>
        <w:t xml:space="preserve"> </w:t>
      </w:r>
      <w:r>
        <w:rPr>
          <w:rFonts w:hint="cs"/>
          <w:sz w:val="20"/>
          <w:szCs w:val="20"/>
          <w:rtl/>
        </w:rPr>
        <w:t>دولار</w:t>
      </w:r>
      <w:r w:rsidR="004254F9" w:rsidRPr="004254F9">
        <w:rPr>
          <w:rFonts w:hint="cs"/>
          <w:sz w:val="20"/>
          <w:szCs w:val="20"/>
          <w:rtl/>
        </w:rPr>
        <w:t xml:space="preserve"> أمريكي</w:t>
      </w:r>
      <w:r w:rsidR="004254F9">
        <w:rPr>
          <w:rFonts w:hint="cs"/>
          <w:sz w:val="20"/>
          <w:szCs w:val="20"/>
          <w:rtl/>
        </w:rPr>
        <w:t xml:space="preserve"> للمرحلة الأولى (المقرر 60/44) وزيد بالنسبة للمرحلة الثانية في المقرر 74/50.</w:t>
      </w:r>
    </w:p>
    <w:p w:rsidR="00C54F6D" w:rsidRPr="008F3B6D" w:rsidRDefault="00C54F6D" w:rsidP="009524F4">
      <w:pPr>
        <w:widowControl w:val="0"/>
        <w:bidi/>
        <w:rPr>
          <w:sz w:val="20"/>
        </w:rPr>
      </w:pPr>
    </w:p>
    <w:p w:rsidR="00C54F6D" w:rsidRPr="00E35D84" w:rsidRDefault="00D73ECC" w:rsidP="009524F4">
      <w:pPr>
        <w:bidi/>
        <w:rPr>
          <w:sz w:val="26"/>
          <w:szCs w:val="26"/>
          <w:u w:val="single"/>
        </w:rPr>
      </w:pPr>
      <w:r w:rsidRPr="00E35D84">
        <w:rPr>
          <w:rFonts w:hint="cs"/>
          <w:sz w:val="26"/>
          <w:szCs w:val="26"/>
          <w:u w:val="single"/>
          <w:rtl/>
        </w:rPr>
        <w:t>اعتبارات لتحديد المساعدة لخفض الهيدروفلوروكربون</w:t>
      </w:r>
    </w:p>
    <w:p w:rsidR="00C54F6D" w:rsidRPr="00E35D84" w:rsidRDefault="00C54F6D" w:rsidP="009524F4">
      <w:pPr>
        <w:bidi/>
        <w:rPr>
          <w:sz w:val="26"/>
          <w:szCs w:val="26"/>
        </w:rPr>
      </w:pPr>
    </w:p>
    <w:p w:rsidR="00D73ECC" w:rsidRPr="00E35D84" w:rsidRDefault="00D73ECC" w:rsidP="009524F4">
      <w:pPr>
        <w:pStyle w:val="Heading1"/>
        <w:bidi/>
        <w:rPr>
          <w:sz w:val="26"/>
          <w:szCs w:val="26"/>
        </w:rPr>
      </w:pPr>
      <w:r w:rsidRPr="00E35D84">
        <w:rPr>
          <w:rFonts w:hint="cs"/>
          <w:sz w:val="26"/>
          <w:szCs w:val="26"/>
          <w:rtl/>
        </w:rPr>
        <w:t>مثلما جاء في هذه الوثيقة، وافقت اللجنة التنفيذية على جميع فئات التكاليف المؤهلة لقطاع الخدمة، على أن تدرج</w:t>
      </w:r>
      <w:r w:rsidR="00F37C73" w:rsidRPr="00E35D84">
        <w:rPr>
          <w:rFonts w:hint="cs"/>
          <w:sz w:val="26"/>
          <w:szCs w:val="26"/>
          <w:rtl/>
        </w:rPr>
        <w:t xml:space="preserve"> في حساب التكاليف الخاص بخفض الهيدروفلوروكربون الذي كان قد تم تمويله في السابق كجزء من المساعدات لقطاع خدمة التبريد، وتتمثل هذه الفئات في أنشطة التوعية العامة، ووضع السياسات وتنفيذها، وبرامج اعتماد الفنيين، وتدريب الفنيين على المناولة الآمنة والممارسات الجيدة والسلامة فيما يتعلق بالبدائل بما في ذلك معدات التدريب، وتدريب موظفي الجمارك ومنع الاتجار غير الشرعي، بالمواد الهيدروفلوروكربون، وأدوات الخدمة، ومعدات اختبار غازات التبريد في قطاع التبريد وتكييف الهواء وإعادة التدوير واسترجاع المواد الهيدروفلوروكربون.</w:t>
      </w:r>
    </w:p>
    <w:p w:rsidR="00F37C73" w:rsidRPr="00E35D84" w:rsidRDefault="00F37C73" w:rsidP="009524F4">
      <w:pPr>
        <w:pStyle w:val="Heading1"/>
        <w:bidi/>
        <w:rPr>
          <w:sz w:val="26"/>
          <w:szCs w:val="26"/>
        </w:rPr>
      </w:pPr>
      <w:r w:rsidRPr="00E35D84">
        <w:rPr>
          <w:rFonts w:hint="cs"/>
          <w:sz w:val="26"/>
          <w:szCs w:val="26"/>
          <w:rtl/>
        </w:rPr>
        <w:t>وتتضمن الاعتبارات الأولية لتحديد مستوى وطرق التمويل اللازم لخفض الهيدروفلوروكربون في قطاع خدمة التبريد مايلي:</w:t>
      </w:r>
    </w:p>
    <w:p w:rsidR="00F37C73" w:rsidRPr="00E35D84" w:rsidRDefault="00F37C73" w:rsidP="00EA1462">
      <w:pPr>
        <w:pStyle w:val="Heading2"/>
        <w:bidi/>
        <w:rPr>
          <w:sz w:val="26"/>
          <w:szCs w:val="26"/>
          <w:lang w:val="en-CA"/>
        </w:rPr>
      </w:pPr>
      <w:r w:rsidRPr="00E35D84">
        <w:rPr>
          <w:rFonts w:hint="cs"/>
          <w:sz w:val="26"/>
          <w:szCs w:val="26"/>
          <w:rtl/>
          <w:lang w:val="en-CA"/>
        </w:rPr>
        <w:t xml:space="preserve">وفقا للفقرة 16 من المقرر </w:t>
      </w:r>
      <w:r w:rsidR="00EA1462">
        <w:rPr>
          <w:sz w:val="26"/>
          <w:szCs w:val="26"/>
          <w:lang w:val="en-CA"/>
        </w:rPr>
        <w:t>2/XXVIII</w:t>
      </w:r>
      <w:r w:rsidRPr="00E35D84">
        <w:rPr>
          <w:rFonts w:hint="cs"/>
          <w:sz w:val="26"/>
          <w:szCs w:val="26"/>
          <w:rtl/>
          <w:lang w:val="en-CA"/>
        </w:rPr>
        <w:t xml:space="preserve"> ما إذا كان يجري فيما يتعلق بقطاع الخدمة، زيادة التمويل المتوافر في إطار المقرر 74/50 للبلدان التي ينخفض فيها حجم الاستهلاك (الجدول 7) لدى الحاجة إليه لإدخال بدائل المواد الهيدروكلوروفلوروكربون بغازات تبريد تنخفض فيه القدرة على الاحترار العالمي أو تنعدم والمحافظة على كفاءة استخدام الطاقة في قطاع الخدمة أو المستخدمين النهائيين؛</w:t>
      </w:r>
    </w:p>
    <w:p w:rsidR="00F37C73" w:rsidRPr="00E35D84" w:rsidRDefault="00F37C73" w:rsidP="00EA1462">
      <w:pPr>
        <w:pStyle w:val="Heading2"/>
        <w:bidi/>
        <w:rPr>
          <w:sz w:val="26"/>
          <w:szCs w:val="26"/>
          <w:lang w:val="en-CA"/>
        </w:rPr>
      </w:pPr>
      <w:r w:rsidRPr="00E35D84">
        <w:rPr>
          <w:rFonts w:hint="cs"/>
          <w:sz w:val="26"/>
          <w:szCs w:val="26"/>
          <w:rtl/>
          <w:lang w:val="en-CA"/>
        </w:rPr>
        <w:t xml:space="preserve">إعمالا للفقرة 23 من المقرر </w:t>
      </w:r>
      <w:r w:rsidR="00EA1462">
        <w:rPr>
          <w:sz w:val="26"/>
          <w:szCs w:val="26"/>
          <w:lang w:val="en-CA"/>
        </w:rPr>
        <w:t>2/XXVIII</w:t>
      </w:r>
      <w:r w:rsidRPr="00E35D84">
        <w:rPr>
          <w:rFonts w:hint="cs"/>
          <w:sz w:val="26"/>
          <w:szCs w:val="26"/>
          <w:rtl/>
          <w:lang w:val="en-CA"/>
        </w:rPr>
        <w:t xml:space="preserve"> ما إذا كان ينبغي النظر في الموافقة المبكرة على المساعدات التقنية وبناء القدرات لتيسير التطبيق الآمن على البدائل المنخفضة القدرة على الاحترار العالمي أو خالية منها؛</w:t>
      </w:r>
    </w:p>
    <w:p w:rsidR="00F37C73" w:rsidRPr="00E35D84" w:rsidRDefault="00F37C73" w:rsidP="009524F4">
      <w:pPr>
        <w:pStyle w:val="Heading2"/>
        <w:bidi/>
        <w:rPr>
          <w:sz w:val="26"/>
          <w:szCs w:val="26"/>
        </w:rPr>
      </w:pPr>
      <w:r w:rsidRPr="00E35D84">
        <w:rPr>
          <w:rFonts w:hint="cs"/>
          <w:sz w:val="26"/>
          <w:szCs w:val="26"/>
          <w:rtl/>
        </w:rPr>
        <w:t>تتمثل التحديات الإضافية التي ورد ملخص لها في هذه الوثيقة فضلا عن حالات التآزر من الأنشطة المنفذة التي أفادت كل من إزالة الهيدروكلوروفلوروكربون وخفضت الهيدروفلوروكربون مع مراعاة مستويات التمويل لضمان الامتثال لخطوات الخفض وليس مجرد تحديد حجم معين يجري إزالته. وسوف يتيح هذا النهج لبلدان المادة 5 المرونة في تخصيص التمويل للأولويات الاستراتيجية استنادا الى استهلاكها (أي دعم إدخال تكنولوجيات نوعية في قطاعات معينة، ومعالجة المجمعين، وترتيب أولويات غازات تبريد معينة لكي يجري تخفيضها)؛</w:t>
      </w:r>
    </w:p>
    <w:p w:rsidR="00F37C73" w:rsidRPr="00E35D84" w:rsidRDefault="00F37C73" w:rsidP="009524F4">
      <w:pPr>
        <w:pStyle w:val="Heading2"/>
        <w:bidi/>
        <w:rPr>
          <w:sz w:val="26"/>
          <w:szCs w:val="26"/>
        </w:rPr>
      </w:pPr>
      <w:r w:rsidRPr="00E35D84">
        <w:rPr>
          <w:rFonts w:hint="cs"/>
          <w:sz w:val="26"/>
          <w:szCs w:val="26"/>
          <w:rtl/>
        </w:rPr>
        <w:t>ما إذا كان ينبغي النظر الى كفاءة استخدام الطاقة والتخلص من غازات التبريد غير المطلوبة بصورة مفصلة في إطار المبادئ التوجيهية لتكاليف الهيدروفلوروكربون.</w:t>
      </w:r>
    </w:p>
    <w:p w:rsidR="005B64DC" w:rsidRPr="00E35D84" w:rsidRDefault="00F56B78" w:rsidP="00AC3A77">
      <w:pPr>
        <w:keepNext/>
        <w:keepLines/>
        <w:bidi/>
        <w:rPr>
          <w:bCs/>
          <w:sz w:val="26"/>
          <w:szCs w:val="26"/>
          <w:lang w:val="en-CA"/>
        </w:rPr>
      </w:pPr>
      <w:r w:rsidRPr="00E35D84">
        <w:rPr>
          <w:rFonts w:hint="cs"/>
          <w:bCs/>
          <w:sz w:val="26"/>
          <w:szCs w:val="26"/>
          <w:rtl/>
          <w:lang w:val="en-CA"/>
        </w:rPr>
        <w:lastRenderedPageBreak/>
        <w:t>التوصية</w:t>
      </w:r>
    </w:p>
    <w:p w:rsidR="005B64DC" w:rsidRPr="00E35D84" w:rsidRDefault="005B64DC" w:rsidP="00AC3A77">
      <w:pPr>
        <w:keepNext/>
        <w:keepLines/>
        <w:bidi/>
        <w:rPr>
          <w:sz w:val="26"/>
          <w:szCs w:val="26"/>
          <w:lang w:val="en-CA"/>
        </w:rPr>
      </w:pPr>
    </w:p>
    <w:p w:rsidR="005B64DC" w:rsidRPr="00E35D84" w:rsidRDefault="00F56B78" w:rsidP="00AC3A77">
      <w:pPr>
        <w:pStyle w:val="Heading1"/>
        <w:keepNext/>
        <w:keepLines/>
        <w:bidi/>
        <w:rPr>
          <w:sz w:val="26"/>
          <w:szCs w:val="26"/>
          <w:lang w:val="en-CA"/>
        </w:rPr>
      </w:pPr>
      <w:r w:rsidRPr="00E35D84">
        <w:rPr>
          <w:rFonts w:hint="cs"/>
          <w:sz w:val="26"/>
          <w:szCs w:val="26"/>
          <w:rtl/>
          <w:lang w:val="en-CA"/>
        </w:rPr>
        <w:t>قد ترغب اللجنة التنفيذية فيمايلي:</w:t>
      </w:r>
    </w:p>
    <w:p w:rsidR="00F56B78" w:rsidRPr="00E35D84" w:rsidRDefault="00F56B78" w:rsidP="00AC3A77">
      <w:pPr>
        <w:pStyle w:val="Heading2"/>
        <w:keepNext/>
        <w:keepLines/>
        <w:bidi/>
        <w:rPr>
          <w:sz w:val="26"/>
          <w:szCs w:val="26"/>
          <w:lang w:val="en-CA"/>
        </w:rPr>
      </w:pPr>
      <w:r w:rsidRPr="00E35D84">
        <w:rPr>
          <w:rFonts w:hint="cs"/>
          <w:sz w:val="26"/>
          <w:szCs w:val="26"/>
          <w:rtl/>
          <w:lang w:val="en-CA"/>
        </w:rPr>
        <w:t xml:space="preserve">أن تحاط علما بالوثيقة الأولية </w:t>
      </w:r>
      <w:r w:rsidRPr="00E35D84">
        <w:rPr>
          <w:sz w:val="26"/>
          <w:szCs w:val="26"/>
          <w:lang w:val="en-CA"/>
        </w:rPr>
        <w:t>UNEP/</w:t>
      </w:r>
      <w:proofErr w:type="spellStart"/>
      <w:r w:rsidRPr="00E35D84">
        <w:rPr>
          <w:sz w:val="26"/>
          <w:szCs w:val="26"/>
          <w:lang w:val="en-CA"/>
        </w:rPr>
        <w:t>OzL.Pro</w:t>
      </w:r>
      <w:proofErr w:type="spellEnd"/>
      <w:r w:rsidRPr="00E35D84">
        <w:rPr>
          <w:sz w:val="26"/>
          <w:szCs w:val="26"/>
          <w:lang w:val="en-CA"/>
        </w:rPr>
        <w:t>/</w:t>
      </w:r>
      <w:proofErr w:type="spellStart"/>
      <w:r w:rsidRPr="00E35D84">
        <w:rPr>
          <w:sz w:val="26"/>
          <w:szCs w:val="26"/>
          <w:lang w:val="en-CA"/>
        </w:rPr>
        <w:t>ExCom</w:t>
      </w:r>
      <w:proofErr w:type="spellEnd"/>
      <w:r w:rsidRPr="00E35D84">
        <w:rPr>
          <w:sz w:val="26"/>
          <w:szCs w:val="26"/>
          <w:lang w:val="en-CA"/>
        </w:rPr>
        <w:t>/82/64</w:t>
      </w:r>
      <w:r w:rsidRPr="00E35D84">
        <w:rPr>
          <w:rFonts w:hint="cs"/>
          <w:sz w:val="26"/>
          <w:szCs w:val="26"/>
          <w:rtl/>
          <w:lang w:val="en-CA"/>
        </w:rPr>
        <w:t xml:space="preserve"> عن جميع الجوانب المتعلقة بقطاع خدمة التبريد التي تدعم خفض الهيدروفلوروكربون؛</w:t>
      </w:r>
    </w:p>
    <w:p w:rsidR="00F56B78" w:rsidRPr="00E35D84" w:rsidRDefault="00F56B78" w:rsidP="00AC3A77">
      <w:pPr>
        <w:pStyle w:val="Heading2"/>
        <w:keepNext/>
        <w:keepLines/>
        <w:bidi/>
        <w:rPr>
          <w:sz w:val="26"/>
          <w:szCs w:val="26"/>
          <w:lang w:val="en-CA"/>
        </w:rPr>
      </w:pPr>
      <w:r w:rsidRPr="00E35D84">
        <w:rPr>
          <w:rFonts w:hint="cs"/>
          <w:sz w:val="26"/>
          <w:szCs w:val="26"/>
          <w:rtl/>
          <w:lang w:val="en-CA"/>
        </w:rPr>
        <w:t>أن تأخذ في الاعتبار الوثيقة لدى تحديد مستوى وطريقة المساعدات اللازمة لخفض الهيدروفلوروكربون في قطاع خدمة التبريد؛</w:t>
      </w:r>
    </w:p>
    <w:p w:rsidR="00F46115" w:rsidRDefault="001C3BF4">
      <w:pPr>
        <w:jc w:val="left"/>
        <w:sectPr w:rsidR="00F46115" w:rsidSect="00D11F69">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568" w:right="1440" w:bottom="1276" w:left="1440" w:header="720" w:footer="475" w:gutter="0"/>
          <w:cols w:space="720"/>
          <w:titlePg/>
        </w:sectPr>
      </w:pPr>
      <w:r>
        <w:br w:type="page"/>
      </w:r>
    </w:p>
    <w:p w:rsidR="00603C4E" w:rsidRPr="000B0E6A" w:rsidRDefault="00603C4E" w:rsidP="00B44FB0">
      <w:pPr>
        <w:jc w:val="center"/>
        <w:rPr>
          <w:b/>
        </w:rPr>
      </w:pPr>
    </w:p>
    <w:sectPr w:rsidR="00603C4E" w:rsidRPr="000B0E6A" w:rsidSect="00B44FB0">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1B0" w:rsidRDefault="000441B0" w:rsidP="004A504B">
      <w:r>
        <w:separator/>
      </w:r>
    </w:p>
  </w:endnote>
  <w:endnote w:type="continuationSeparator" w:id="0">
    <w:p w:rsidR="000441B0" w:rsidRDefault="000441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Pr="0033525D" w:rsidRDefault="000441B0">
    <w:pPr>
      <w:jc w:val="center"/>
    </w:pPr>
    <w:r>
      <w:rPr>
        <w:noProof/>
      </w:rPr>
      <w:fldChar w:fldCharType="begin"/>
    </w:r>
    <w:r>
      <w:rPr>
        <w:noProof/>
      </w:rPr>
      <w:instrText xml:space="preserve"> PAGE </w:instrText>
    </w:r>
    <w:r>
      <w:rPr>
        <w:noProof/>
      </w:rPr>
      <w:fldChar w:fldCharType="separate"/>
    </w:r>
    <w:r w:rsidR="00A518E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709850"/>
      <w:docPartObj>
        <w:docPartGallery w:val="Page Numbers (Bottom of Page)"/>
        <w:docPartUnique/>
      </w:docPartObj>
    </w:sdtPr>
    <w:sdtEndPr>
      <w:rPr>
        <w:noProof/>
      </w:rPr>
    </w:sdtEndPr>
    <w:sdtContent>
      <w:p w:rsidR="000441B0" w:rsidRDefault="000441B0">
        <w:pPr>
          <w:pStyle w:val="Footer"/>
          <w:jc w:val="center"/>
        </w:pPr>
        <w:r>
          <w:rPr>
            <w:noProof/>
          </w:rPr>
          <w:fldChar w:fldCharType="begin"/>
        </w:r>
        <w:r>
          <w:rPr>
            <w:noProof/>
          </w:rPr>
          <w:instrText xml:space="preserve"> PAGE   \* MERGEFORMAT </w:instrText>
        </w:r>
        <w:r>
          <w:rPr>
            <w:noProof/>
          </w:rPr>
          <w:fldChar w:fldCharType="separate"/>
        </w:r>
        <w:r w:rsidR="00A518E1">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Default="000441B0" w:rsidP="009524F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0441B0" w:rsidRDefault="000441B0" w:rsidP="009524F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0441B0" w:rsidRPr="009524F4" w:rsidRDefault="000441B0" w:rsidP="009524F4">
    <w:pPr>
      <w:pStyle w:val="Footer"/>
      <w:rPr>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Default="000441B0">
    <w:pPr>
      <w:jc w:val="center"/>
    </w:pPr>
  </w:p>
  <w:p w:rsidR="000441B0" w:rsidRPr="0033525D" w:rsidRDefault="000441B0">
    <w:pPr>
      <w:jc w:val="center"/>
    </w:pPr>
    <w:r>
      <w:rPr>
        <w:noProof/>
      </w:rPr>
      <w:fldChar w:fldCharType="begin"/>
    </w:r>
    <w:r>
      <w:rPr>
        <w:noProof/>
      </w:rPr>
      <w:instrText xml:space="preserve"> PAGE </w:instrText>
    </w:r>
    <w:r>
      <w:rPr>
        <w:noProof/>
      </w:rP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Default="000441B0">
    <w:pPr>
      <w:jc w:val="center"/>
    </w:pPr>
  </w:p>
  <w:p w:rsidR="000441B0" w:rsidRPr="0033525D" w:rsidRDefault="000441B0">
    <w:pPr>
      <w:jc w:val="center"/>
    </w:pPr>
    <w:r>
      <w:rPr>
        <w:noProof/>
      </w:rPr>
      <w:fldChar w:fldCharType="begin"/>
    </w:r>
    <w:r>
      <w:rPr>
        <w:noProof/>
      </w:rPr>
      <w:instrText xml:space="preserve"> PAGE </w:instrText>
    </w:r>
    <w:r>
      <w:rPr>
        <w:noProof/>
      </w:rPr>
      <w:fldChar w:fldCharType="separate"/>
    </w:r>
    <w:r w:rsidR="00A518E1">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863872"/>
      <w:docPartObj>
        <w:docPartGallery w:val="Page Numbers (Bottom of Page)"/>
        <w:docPartUnique/>
      </w:docPartObj>
    </w:sdtPr>
    <w:sdtEndPr>
      <w:rPr>
        <w:noProof/>
      </w:rPr>
    </w:sdtEndPr>
    <w:sdtContent>
      <w:p w:rsidR="000441B0" w:rsidRDefault="000441B0">
        <w:pPr>
          <w:pStyle w:val="Footer"/>
          <w:jc w:val="center"/>
        </w:pPr>
      </w:p>
      <w:p w:rsidR="000441B0" w:rsidRPr="00C1001C" w:rsidRDefault="000441B0" w:rsidP="00B44FB0">
        <w:pPr>
          <w:pStyle w:val="Footer"/>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1B0" w:rsidRDefault="000441B0" w:rsidP="00D75170">
      <w:pPr>
        <w:bidi/>
      </w:pPr>
      <w:r>
        <w:separator/>
      </w:r>
    </w:p>
  </w:footnote>
  <w:footnote w:type="continuationSeparator" w:id="0">
    <w:p w:rsidR="000441B0" w:rsidRDefault="000441B0" w:rsidP="004A504B">
      <w:r>
        <w:continuationSeparator/>
      </w:r>
    </w:p>
  </w:footnote>
  <w:footnote w:id="1">
    <w:p w:rsidR="000441B0" w:rsidRDefault="000441B0" w:rsidP="00D75170">
      <w:pPr>
        <w:pStyle w:val="FootnoteText"/>
        <w:bidi/>
        <w:rPr>
          <w:rtl/>
          <w:lang w:val="en-CA"/>
        </w:rPr>
      </w:pPr>
      <w:r>
        <w:rPr>
          <w:rStyle w:val="FootnoteReference"/>
        </w:rPr>
        <w:footnoteRef/>
      </w:r>
      <w:r>
        <w:t xml:space="preserve"> </w:t>
      </w:r>
      <w:r>
        <w:rPr>
          <w:rFonts w:hint="cs"/>
          <w:rtl/>
          <w:lang w:val="en-CA"/>
        </w:rPr>
        <w:t xml:space="preserve"> المقرر المتعلق بتعديل خفض المواد الهيدروفلوروكربون.</w:t>
      </w:r>
    </w:p>
    <w:p w:rsidR="000441B0" w:rsidRPr="00BA486C" w:rsidRDefault="000441B0" w:rsidP="00D75170">
      <w:pPr>
        <w:pStyle w:val="FootnoteText"/>
        <w:bidi/>
        <w:rPr>
          <w:lang w:val="en-CA"/>
        </w:rPr>
      </w:pPr>
    </w:p>
  </w:footnote>
  <w:footnote w:id="2">
    <w:p w:rsidR="000441B0" w:rsidRPr="00D80604" w:rsidRDefault="000441B0" w:rsidP="00AC3F9F">
      <w:pPr>
        <w:pStyle w:val="FootnoteText"/>
        <w:bidi/>
      </w:pPr>
      <w:r w:rsidRPr="005E5F60">
        <w:rPr>
          <w:rStyle w:val="FootnoteReference"/>
        </w:rPr>
        <w:footnoteRef/>
      </w:r>
      <w:r w:rsidRPr="00B000DF">
        <w:t xml:space="preserve"> </w:t>
      </w:r>
      <w:r>
        <w:rPr>
          <w:rFonts w:hint="cs"/>
          <w:rtl/>
        </w:rPr>
        <w:t xml:space="preserve"> بما في ذلك برامج التدريب لفنيي التبريد وموظفي الجمارك، ومخططات الاسترجاع وإعادة التدوير، وإعادة تهيئة معدات التبريد الموافق عليها منذ الاجتماع الرابع للجنة التنفيذية (يونيه/ حزيران 1991).</w:t>
      </w:r>
    </w:p>
  </w:footnote>
  <w:footnote w:id="3">
    <w:p w:rsidR="000441B0" w:rsidRPr="00D80604" w:rsidRDefault="000441B0" w:rsidP="00AC3F9F">
      <w:pPr>
        <w:pStyle w:val="FootnoteText"/>
        <w:bidi/>
      </w:pPr>
      <w:r w:rsidRPr="005E5F60">
        <w:rPr>
          <w:rStyle w:val="FootnoteReference"/>
        </w:rPr>
        <w:footnoteRef/>
      </w:r>
      <w:r w:rsidRPr="00B000DF">
        <w:t xml:space="preserve"> </w:t>
      </w:r>
      <w:r>
        <w:rPr>
          <w:rFonts w:hint="cs"/>
          <w:rtl/>
        </w:rPr>
        <w:t xml:space="preserve"> بما في ذلك خطط إدارة التبريد، وخطط إدارة الإزالة النهائية، وخطط الإزالة الوطنية للبلدان التي لا ينخفض فيها حجم الاستهلاك، وخلال فترة قصيرة خطط إدارة إزالة المواد الهيدروكلوروفلوروكربونية.</w:t>
      </w:r>
    </w:p>
  </w:footnote>
  <w:footnote w:id="4">
    <w:p w:rsidR="000441B0" w:rsidRPr="00A372C4" w:rsidRDefault="000441B0" w:rsidP="00AC3F9F">
      <w:pPr>
        <w:pStyle w:val="FootnoteText"/>
        <w:bidi/>
      </w:pPr>
      <w:r>
        <w:rPr>
          <w:rStyle w:val="FootnoteReference"/>
        </w:rPr>
        <w:footnoteRef/>
      </w:r>
      <w:r>
        <w:t xml:space="preserve"> </w:t>
      </w:r>
      <w:r>
        <w:rPr>
          <w:rFonts w:hint="cs"/>
          <w:rtl/>
        </w:rPr>
        <w:t xml:space="preserve"> عقد الاجتماع الأول للتنسيق المشترك بين الوكالات في الفترة 6-8 مارس/ آذار 2018 والاجتماع الثاني في 4-6 سبتمبر/ أيلول 2018.</w:t>
      </w:r>
    </w:p>
  </w:footnote>
  <w:footnote w:id="5">
    <w:p w:rsidR="000441B0" w:rsidRPr="006C7B71" w:rsidRDefault="000441B0" w:rsidP="00AC3F9F">
      <w:pPr>
        <w:pStyle w:val="FootnoteText"/>
        <w:bidi/>
      </w:pPr>
      <w:r>
        <w:rPr>
          <w:rStyle w:val="FootnoteReference"/>
        </w:rPr>
        <w:footnoteRef/>
      </w:r>
      <w:r>
        <w:t xml:space="preserve"> </w:t>
      </w:r>
      <w:r>
        <w:rPr>
          <w:rFonts w:hint="cs"/>
          <w:rtl/>
        </w:rPr>
        <w:t xml:space="preserve"> تتوافر وثائق الاجتماع في </w:t>
      </w:r>
      <w:r w:rsidRPr="006C7B71">
        <w:t>www. ozonactionmeetings.org</w:t>
      </w:r>
      <w:r>
        <w:rPr>
          <w:rFonts w:hint="cs"/>
          <w:rtl/>
        </w:rPr>
        <w:t>.</w:t>
      </w:r>
    </w:p>
  </w:footnote>
  <w:footnote w:id="6">
    <w:p w:rsidR="000441B0" w:rsidRPr="00D80604" w:rsidRDefault="000441B0" w:rsidP="0052003B">
      <w:pPr>
        <w:pStyle w:val="FootnoteText"/>
        <w:bidi/>
      </w:pPr>
      <w:r w:rsidRPr="005E5F60">
        <w:rPr>
          <w:rStyle w:val="FootnoteReference"/>
        </w:rPr>
        <w:footnoteRef/>
      </w:r>
      <w:r w:rsidRPr="00B000DF">
        <w:t xml:space="preserve"> </w:t>
      </w:r>
      <w:r>
        <w:rPr>
          <w:rFonts w:hint="cs"/>
          <w:rtl/>
        </w:rPr>
        <w:t xml:space="preserve"> بما في ذلك وكالة الطاقة الدولية والمعهد الدولي للتبريد.</w:t>
      </w:r>
    </w:p>
  </w:footnote>
  <w:footnote w:id="7">
    <w:p w:rsidR="000441B0" w:rsidRPr="00B56A3B" w:rsidRDefault="000441B0" w:rsidP="002163C8">
      <w:pPr>
        <w:pStyle w:val="FootnoteText"/>
        <w:bidi/>
      </w:pPr>
      <w:r w:rsidRPr="00B56A3B">
        <w:rPr>
          <w:rStyle w:val="FootnoteReference"/>
        </w:rPr>
        <w:footnoteRef/>
      </w:r>
      <w:r w:rsidRPr="00B56A3B">
        <w:t xml:space="preserve"> </w:t>
      </w:r>
      <w:r>
        <w:rPr>
          <w:rFonts w:hint="cs"/>
          <w:rtl/>
        </w:rPr>
        <w:t xml:space="preserve"> كانت جميع المواد الخاضعة للرقابة بموجب بروتوكول مونتريال، قبل الموافقة على تعديل كيغالي موادا مستنفدة للأوزون.</w:t>
      </w:r>
    </w:p>
  </w:footnote>
  <w:footnote w:id="8">
    <w:p w:rsidR="000441B0" w:rsidRPr="00176235" w:rsidRDefault="000441B0" w:rsidP="002163C8">
      <w:pPr>
        <w:pStyle w:val="FootnoteText"/>
        <w:bidi/>
        <w:rPr>
          <w:lang w:val="en-CA"/>
        </w:rPr>
      </w:pPr>
      <w:r w:rsidRPr="00B56A3B">
        <w:rPr>
          <w:rStyle w:val="FootnoteReference"/>
        </w:rPr>
        <w:footnoteRef/>
      </w:r>
      <w:r w:rsidRPr="00B56A3B">
        <w:t xml:space="preserve"> </w:t>
      </w:r>
      <w:r>
        <w:rPr>
          <w:rFonts w:hint="cs"/>
          <w:rtl/>
        </w:rPr>
        <w:t xml:space="preserve"> لأغراض هذه الوثيقة، سيشير مصطلح "قطاع خدمة التبريد" الى كل من التبريد وتكييف الهواء.</w:t>
      </w:r>
    </w:p>
  </w:footnote>
  <w:footnote w:id="9">
    <w:p w:rsidR="000441B0" w:rsidRPr="00A71422" w:rsidRDefault="000441B0" w:rsidP="00555C9E">
      <w:pPr>
        <w:pStyle w:val="FootnoteText"/>
        <w:bidi/>
      </w:pPr>
      <w:r w:rsidRPr="005E5F60">
        <w:rPr>
          <w:rStyle w:val="FootnoteReference"/>
        </w:rPr>
        <w:footnoteRef/>
      </w:r>
      <w:r w:rsidRPr="00B000DF">
        <w:t xml:space="preserve"> </w:t>
      </w:r>
      <w:r>
        <w:rPr>
          <w:rFonts w:hint="cs"/>
          <w:rtl/>
        </w:rPr>
        <w:t xml:space="preserve"> تنص المادة 4 باء على أن ينشىء كل طرف وينفذ نظاما لتراخيص استيراد وتصدير المواد الخاضعة للرقابة الجديدة والتي أعيد تدويرها وإصلاحها الواردة في المرفقات ألف وباء وجيم وهاء من بروتوكول مونتريال. ومنذ إنشاء البروتوكول اعتمدت الأطراف واللجنة التنفيذية سلسلة من المقررات لتمويل الأنشطة التي تمكن بلدان المادة 5 من الامتثال للالتزامات ذات الصلة بالمادة 4 باء.</w:t>
      </w:r>
      <w:r w:rsidRPr="00A71422">
        <w:t xml:space="preserve"> </w:t>
      </w:r>
    </w:p>
  </w:footnote>
  <w:footnote w:id="10">
    <w:p w:rsidR="000441B0" w:rsidRPr="00871330" w:rsidRDefault="000441B0" w:rsidP="008D3DD8">
      <w:pPr>
        <w:pStyle w:val="FootnoteText"/>
        <w:bidi/>
      </w:pPr>
      <w:r>
        <w:rPr>
          <w:rStyle w:val="FootnoteReference"/>
        </w:rPr>
        <w:footnoteRef/>
      </w:r>
      <w:r>
        <w:t xml:space="preserve"> </w:t>
      </w:r>
      <w:r>
        <w:rPr>
          <w:rFonts w:hint="cs"/>
          <w:rtl/>
        </w:rPr>
        <w:t xml:space="preserve"> يمكن أن تتضمن الاستراتيجية </w:t>
      </w:r>
      <w:r w:rsidRPr="00555C9E">
        <w:rPr>
          <w:rFonts w:hint="cs"/>
          <w:i/>
          <w:iCs/>
          <w:rtl/>
        </w:rPr>
        <w:t>ضمن جملة أمور</w:t>
      </w:r>
      <w:r>
        <w:rPr>
          <w:rFonts w:hint="cs"/>
          <w:rtl/>
        </w:rPr>
        <w:t xml:space="preserve"> تدابير مثل الحوافز والمثبطات القانونية والاقتصادية تستهدف الموردين وفنيي الخدمة وملاك المعدات وتدريب الفنيين وأنشطة التوعية العامة وأعمال المراقبة الجمركية للمعدات والمركبات الجديدة المعتمدة على المواد الكلوروفلوروكربونية، وحظر إدخال نظم تكييف الهواء المتنقلة المعتمدة على الكلوروفلوروكربون بعد التسويق، ووقف المعدات والمركبات المعتمدة على الكلوروفلوروكربون العاملة وإجراء زيادة ترويجية في توفير المواد الكلوروفلوروكربونية المعاد تدويرها.</w:t>
      </w:r>
    </w:p>
  </w:footnote>
  <w:footnote w:id="11">
    <w:p w:rsidR="000441B0" w:rsidRPr="00D80604" w:rsidRDefault="000441B0" w:rsidP="008D3DD8">
      <w:pPr>
        <w:pStyle w:val="FootnoteText"/>
        <w:bidi/>
      </w:pPr>
      <w:r w:rsidRPr="00A71422">
        <w:rPr>
          <w:rStyle w:val="FootnoteReference"/>
        </w:rPr>
        <w:footnoteRef/>
      </w:r>
      <w:r w:rsidRPr="00D80604">
        <w:t xml:space="preserve"> </w:t>
      </w:r>
      <w:r>
        <w:rPr>
          <w:rFonts w:hint="cs"/>
          <w:rtl/>
        </w:rPr>
        <w:t xml:space="preserve"> ووفق على خطط إدارة غازات التبريد لكل من جزر البهاما وجورجيا وغويانا وسنت لوشيا، وترينداد وتوباغو.</w:t>
      </w:r>
    </w:p>
  </w:footnote>
  <w:footnote w:id="12">
    <w:p w:rsidR="000441B0" w:rsidRPr="00882244" w:rsidRDefault="000441B0" w:rsidP="008D3DD8">
      <w:pPr>
        <w:pStyle w:val="FootnoteText"/>
        <w:bidi/>
        <w:rPr>
          <w:lang w:val="en-CA"/>
        </w:rPr>
      </w:pPr>
      <w:r>
        <w:rPr>
          <w:rStyle w:val="FootnoteReference"/>
        </w:rPr>
        <w:footnoteRef/>
      </w:r>
      <w:r>
        <w:t xml:space="preserve"> </w:t>
      </w:r>
      <w:r>
        <w:rPr>
          <w:rFonts w:hint="cs"/>
          <w:rtl/>
        </w:rPr>
        <w:t xml:space="preserve"> ستقدم للبلدان المنخفضة حجم الاستهلاك التي طبقت خطط إدارة غازات التبريد 50 في المائة من التمويل المقدم لوضع خططها الخاصة بإدارة غازات التبريد الأصلية لتحديث هذه الخطط (المقرر 35/57).</w:t>
      </w:r>
    </w:p>
  </w:footnote>
  <w:footnote w:id="13">
    <w:p w:rsidR="000441B0" w:rsidRPr="005E5F60" w:rsidRDefault="000441B0" w:rsidP="008D3DD8">
      <w:pPr>
        <w:pStyle w:val="FootnoteText"/>
        <w:bidi/>
      </w:pPr>
      <w:r w:rsidRPr="005E5F60">
        <w:rPr>
          <w:rStyle w:val="FootnoteReference"/>
        </w:rPr>
        <w:footnoteRef/>
      </w:r>
      <w:r w:rsidRPr="005E5F60">
        <w:t xml:space="preserve"> </w:t>
      </w:r>
      <w:r>
        <w:rPr>
          <w:rFonts w:hint="cs"/>
          <w:rtl/>
        </w:rPr>
        <w:t xml:space="preserve"> </w:t>
      </w:r>
      <w:r w:rsidRPr="005E5F60">
        <w:t>UNEP/</w:t>
      </w:r>
      <w:proofErr w:type="spellStart"/>
      <w:r w:rsidRPr="005E5F60">
        <w:t>OzL.Pro</w:t>
      </w:r>
      <w:proofErr w:type="spellEnd"/>
      <w:r w:rsidRPr="005E5F60">
        <w:t>/</w:t>
      </w:r>
      <w:proofErr w:type="spellStart"/>
      <w:r w:rsidRPr="005E5F60">
        <w:t>ExCom</w:t>
      </w:r>
      <w:proofErr w:type="spellEnd"/>
      <w:r w:rsidRPr="005E5F60">
        <w:t>/53/</w:t>
      </w:r>
      <w:proofErr w:type="gramStart"/>
      <w:r w:rsidRPr="005E5F60">
        <w:t>60.</w:t>
      </w:r>
      <w:r>
        <w:rPr>
          <w:rFonts w:hint="cs"/>
          <w:rtl/>
        </w:rPr>
        <w:t>.</w:t>
      </w:r>
      <w:proofErr w:type="gramEnd"/>
    </w:p>
  </w:footnote>
  <w:footnote w:id="14">
    <w:p w:rsidR="000441B0" w:rsidRPr="005E5F60" w:rsidRDefault="000441B0" w:rsidP="001965C6">
      <w:pPr>
        <w:pStyle w:val="FootnoteText"/>
        <w:bidi/>
      </w:pPr>
      <w:r w:rsidRPr="005E5F60">
        <w:rPr>
          <w:rStyle w:val="FootnoteReference"/>
        </w:rPr>
        <w:footnoteRef/>
      </w:r>
      <w:r w:rsidRPr="005E5F60">
        <w:t xml:space="preserve"> </w:t>
      </w:r>
      <w:r>
        <w:rPr>
          <w:rFonts w:hint="cs"/>
          <w:rtl/>
        </w:rPr>
        <w:t xml:space="preserve"> ووفق على خطط إدارة إزالة المواد الهيدروكلوروفلوروكربونية لكل من جمهورية مقدونيا اليوغسلافية السابقة وجزر المالديف.</w:t>
      </w:r>
    </w:p>
  </w:footnote>
  <w:footnote w:id="15">
    <w:p w:rsidR="000441B0" w:rsidRPr="00AD032C" w:rsidRDefault="000441B0" w:rsidP="001965C6">
      <w:pPr>
        <w:pStyle w:val="FootnoteText"/>
        <w:bidi/>
      </w:pPr>
      <w:r w:rsidRPr="00AD032C">
        <w:rPr>
          <w:rStyle w:val="FootnoteReference"/>
        </w:rPr>
        <w:footnoteRef/>
      </w:r>
      <w:r w:rsidRPr="00AD032C">
        <w:t xml:space="preserve"> </w:t>
      </w:r>
      <w:r>
        <w:rPr>
          <w:rFonts w:hint="cs"/>
          <w:rtl/>
        </w:rPr>
        <w:t xml:space="preserve"> أدرج تقديم المرحلة الأولى من خطة إدارة إزالة المواد الهيدروكلوروفلوروكربونية للجمهورية العربية السورية في خطة أعمال 2019.</w:t>
      </w:r>
      <w:r w:rsidRPr="00AD032C">
        <w:t xml:space="preserve"> </w:t>
      </w:r>
    </w:p>
  </w:footnote>
  <w:footnote w:id="16">
    <w:p w:rsidR="000441B0" w:rsidRPr="00E01A8C" w:rsidRDefault="000441B0" w:rsidP="001965C6">
      <w:pPr>
        <w:pStyle w:val="FootnoteText"/>
        <w:bidi/>
      </w:pPr>
      <w:r w:rsidRPr="00B000DF">
        <w:rPr>
          <w:rStyle w:val="FootnoteReference"/>
        </w:rPr>
        <w:footnoteRef/>
      </w:r>
      <w:r w:rsidRPr="000268D1">
        <w:t xml:space="preserve"> </w:t>
      </w:r>
      <w:r>
        <w:rPr>
          <w:rFonts w:hint="cs"/>
          <w:rtl/>
        </w:rPr>
        <w:t xml:space="preserve"> </w:t>
      </w:r>
      <w:r>
        <w:rPr>
          <w:rFonts w:hint="cs"/>
          <w:rtl/>
        </w:rPr>
        <w:t xml:space="preserve">تظهر في الوثيقة </w:t>
      </w:r>
      <w:r w:rsidRPr="00E01A8C">
        <w:t>UNEP/</w:t>
      </w:r>
      <w:proofErr w:type="spellStart"/>
      <w:r w:rsidRPr="00E01A8C">
        <w:t>OzL.Pro</w:t>
      </w:r>
      <w:proofErr w:type="spellEnd"/>
      <w:r w:rsidRPr="00E01A8C">
        <w:t>/</w:t>
      </w:r>
      <w:proofErr w:type="spellStart"/>
      <w:r w:rsidRPr="00E01A8C">
        <w:t>ExCom</w:t>
      </w:r>
      <w:proofErr w:type="spellEnd"/>
      <w:r w:rsidRPr="00E01A8C">
        <w:t>/70/53</w:t>
      </w:r>
      <w:r>
        <w:rPr>
          <w:rFonts w:hint="cs"/>
          <w:rtl/>
        </w:rPr>
        <w:t xml:space="preserve"> بشأن التقليل الى أدنى حد من الآثار البيئية من إزالة المواد الهيدروكلوروفلوروكربونية في قطاع خدمة التبريد.</w:t>
      </w:r>
    </w:p>
  </w:footnote>
  <w:footnote w:id="17">
    <w:p w:rsidR="000441B0" w:rsidRPr="005E5F60" w:rsidRDefault="000441B0" w:rsidP="00DF5FD4">
      <w:pPr>
        <w:pStyle w:val="FootnoteText"/>
        <w:bidi/>
      </w:pPr>
      <w:r w:rsidRPr="005E5F60">
        <w:rPr>
          <w:rStyle w:val="FootnoteReference"/>
        </w:rPr>
        <w:footnoteRef/>
      </w:r>
      <w:r w:rsidRPr="00B000DF">
        <w:t xml:space="preserve"> </w:t>
      </w:r>
      <w:r>
        <w:rPr>
          <w:rFonts w:hint="cs"/>
          <w:rtl/>
        </w:rPr>
        <w:t xml:space="preserve"> على سبيل المثال تقدر وكالة الطاقة الدولية بأنه من بين السكان البالغ عددهم </w:t>
      </w:r>
      <w:r w:rsidRPr="00A71422">
        <w:t>2.8</w:t>
      </w:r>
      <w:r>
        <w:rPr>
          <w:rFonts w:hint="cs"/>
          <w:rtl/>
        </w:rPr>
        <w:t xml:space="preserve"> مليار نسمة تعيش في أعلى مناطق العالم، لا يملك سوى 8 في المائة منهم أجهزة تكييف هواء. وفيما بين 1990 و2016 زاد استخدام الصين للطاقة من </w:t>
      </w:r>
      <w:r w:rsidRPr="005E5F60">
        <w:t>6.6</w:t>
      </w:r>
      <w:r>
        <w:rPr>
          <w:rFonts w:hint="cs"/>
          <w:rtl/>
        </w:rPr>
        <w:t xml:space="preserve"> كيلووات ساعة الى </w:t>
      </w:r>
      <w:r w:rsidRPr="005E5F60">
        <w:t>450</w:t>
      </w:r>
      <w:r>
        <w:rPr>
          <w:rFonts w:hint="cs"/>
          <w:rtl/>
        </w:rPr>
        <w:t xml:space="preserve"> كيلووات ساعة لتبريد الأماكن وزاد الطلب في البلدان الأخرى بمعدل 15 صنفا منذ 1990 (مستقبل التبريد- فرص أجهزة تكييف الهواء التي تحقق كفاءة استخدام الطاقة في 2018).</w:t>
      </w:r>
    </w:p>
  </w:footnote>
  <w:footnote w:id="18">
    <w:p w:rsidR="000441B0" w:rsidRPr="00D84DD3" w:rsidRDefault="000441B0" w:rsidP="00DF5FD4">
      <w:pPr>
        <w:pStyle w:val="FootnoteText"/>
        <w:bidi/>
      </w:pPr>
      <w:r>
        <w:rPr>
          <w:rStyle w:val="FootnoteReference"/>
        </w:rPr>
        <w:footnoteRef/>
      </w:r>
      <w:r>
        <w:t xml:space="preserve"> </w:t>
      </w:r>
      <w:r>
        <w:rPr>
          <w:rFonts w:hint="cs"/>
          <w:rtl/>
        </w:rPr>
        <w:t xml:space="preserve"> يقدم الباحثون في مختبر لورانس باركلي الوطني المخزون العالمي من أجهزة تكييف الهواء سوف يزيد بمقدار </w:t>
      </w:r>
      <w:r w:rsidRPr="00D84DD3">
        <w:t>700</w:t>
      </w:r>
      <w:r>
        <w:rPr>
          <w:rFonts w:hint="cs"/>
          <w:rtl/>
        </w:rPr>
        <w:t xml:space="preserve"> مليون جهاز إضافي ومقدار </w:t>
      </w:r>
      <w:r w:rsidRPr="00D84DD3">
        <w:t>1.6</w:t>
      </w:r>
      <w:r>
        <w:rPr>
          <w:rFonts w:hint="cs"/>
          <w:rtl/>
        </w:rPr>
        <w:t xml:space="preserve"> مليار في 2059.</w:t>
      </w:r>
      <w:r w:rsidRPr="00D84DD3">
        <w:t xml:space="preserve"> </w:t>
      </w:r>
    </w:p>
  </w:footnote>
  <w:footnote w:id="19">
    <w:p w:rsidR="000441B0" w:rsidRPr="005E5F60" w:rsidRDefault="000441B0" w:rsidP="0062616D">
      <w:pPr>
        <w:pStyle w:val="FootnoteText"/>
        <w:bidi/>
      </w:pPr>
      <w:r w:rsidRPr="005E5F60">
        <w:rPr>
          <w:rStyle w:val="FootnoteReference"/>
        </w:rPr>
        <w:footnoteRef/>
      </w:r>
      <w:r w:rsidRPr="005E5F60">
        <w:t xml:space="preserve"> </w:t>
      </w:r>
      <w:r>
        <w:rPr>
          <w:rFonts w:hint="cs"/>
          <w:rtl/>
        </w:rPr>
        <w:t xml:space="preserve"> يتوقع أن يزيد عدد سكان العالم البالغ </w:t>
      </w:r>
      <w:r w:rsidRPr="005E5F60">
        <w:t>7.0</w:t>
      </w:r>
      <w:r>
        <w:rPr>
          <w:rFonts w:hint="cs"/>
          <w:rtl/>
        </w:rPr>
        <w:t xml:space="preserve"> مليار نسمة 2012 الى </w:t>
      </w:r>
      <w:r w:rsidRPr="005E5F60">
        <w:t>9.3</w:t>
      </w:r>
      <w:r>
        <w:rPr>
          <w:rFonts w:hint="cs"/>
          <w:rtl/>
        </w:rPr>
        <w:t xml:space="preserve"> مليار نسمة بحلول عام 2050 مع مليار نسمة أخرى بحلول 2025.</w:t>
      </w:r>
    </w:p>
  </w:footnote>
  <w:footnote w:id="20">
    <w:p w:rsidR="000441B0" w:rsidRPr="00655364" w:rsidRDefault="000441B0" w:rsidP="00BC04C4">
      <w:pPr>
        <w:pStyle w:val="FootnoteText"/>
        <w:bidi/>
      </w:pPr>
      <w:r>
        <w:rPr>
          <w:rStyle w:val="FootnoteReference"/>
        </w:rPr>
        <w:footnoteRef/>
      </w:r>
      <w:r>
        <w:t xml:space="preserve"> </w:t>
      </w:r>
      <w:r>
        <w:rPr>
          <w:rFonts w:hint="cs"/>
          <w:rtl/>
        </w:rPr>
        <w:t xml:space="preserve"> تتضمن تقارير فريق المهام التابع لفريق التكنولوجيا والتقييم الاقتصادي بيانات استهلاك وإنتاج الهيدروفلوروكربون وتوقعاتها لكل فترة خمس سنوات فيما بين 2010 و2030. ويقدم تقرير فيلدر وآخرين (2015) معلومات عن وكثرة انبعاثات الهيدروفلوروكربون في الغلاف الجوي والقوى الدافعة المناخية من السيناريوهات المتعلقة بالانبعاثات الإقليمية والعالمية للهيدروفلوروكربون.</w:t>
      </w:r>
    </w:p>
  </w:footnote>
  <w:footnote w:id="21">
    <w:p w:rsidR="000441B0" w:rsidRPr="00E6612A" w:rsidRDefault="000441B0" w:rsidP="00AF4202">
      <w:pPr>
        <w:pStyle w:val="FootnoteText"/>
        <w:bidi/>
      </w:pPr>
      <w:r>
        <w:rPr>
          <w:rStyle w:val="FootnoteReference"/>
        </w:rPr>
        <w:footnoteRef/>
      </w:r>
      <w:r>
        <w:t xml:space="preserve"> </w:t>
      </w:r>
      <w:r>
        <w:rPr>
          <w:rFonts w:hint="cs"/>
          <w:rtl/>
        </w:rPr>
        <w:t xml:space="preserve"> ووفق على التمويل لعدد 127 خلال الاجتماع الرابع والسبعين (مايو/ أيار 2015) والاجتماع الخامس والسبعين (نوفمبر/ تشرين الثاني 2015).</w:t>
      </w:r>
      <w:r>
        <w:t xml:space="preserve"> </w:t>
      </w:r>
    </w:p>
  </w:footnote>
  <w:footnote w:id="22">
    <w:p w:rsidR="000441B0" w:rsidRPr="006438B7" w:rsidRDefault="000441B0" w:rsidP="00AF4202">
      <w:pPr>
        <w:pStyle w:val="FootnoteText"/>
        <w:bidi/>
      </w:pPr>
      <w:r>
        <w:rPr>
          <w:rStyle w:val="FootnoteReference"/>
        </w:rPr>
        <w:footnoteRef/>
      </w:r>
      <w:r>
        <w:t xml:space="preserve"> </w:t>
      </w:r>
      <w:r>
        <w:rPr>
          <w:rFonts w:hint="cs"/>
          <w:rtl/>
        </w:rPr>
        <w:t xml:space="preserve"> أن تطلب من اللجنة التنفيذية النظر في توفير تمويل إضافي لإجراء علميات حصر أو مسوحات عن بدائل المواد المستنفدة للأوزون في بلدان المادة 5 المعنية حسب الطلب.</w:t>
      </w:r>
      <w:r>
        <w:t xml:space="preserve"> </w:t>
      </w:r>
    </w:p>
  </w:footnote>
  <w:footnote w:id="23">
    <w:p w:rsidR="000441B0" w:rsidRPr="00B31F67" w:rsidRDefault="000441B0" w:rsidP="00AF4202">
      <w:pPr>
        <w:pStyle w:val="FootnoteText"/>
        <w:bidi/>
      </w:pPr>
      <w:r>
        <w:rPr>
          <w:rStyle w:val="FootnoteReference"/>
        </w:rPr>
        <w:footnoteRef/>
      </w:r>
      <w:r>
        <w:t xml:space="preserve"> </w:t>
      </w:r>
      <w:r>
        <w:rPr>
          <w:rFonts w:hint="cs"/>
          <w:rtl/>
        </w:rPr>
        <w:t xml:space="preserve"> </w:t>
      </w:r>
      <w:r>
        <w:rPr>
          <w:rFonts w:hint="cs"/>
          <w:rtl/>
        </w:rPr>
        <w:t xml:space="preserve">تتضمن الوثيقة </w:t>
      </w:r>
      <w:r w:rsidRPr="00B31F67">
        <w:t>UNEP/</w:t>
      </w:r>
      <w:proofErr w:type="spellStart"/>
      <w:r w:rsidRPr="00B31F67">
        <w:t>OzL.Pro</w:t>
      </w:r>
      <w:proofErr w:type="spellEnd"/>
      <w:r w:rsidRPr="00B31F67">
        <w:t>/</w:t>
      </w:r>
      <w:proofErr w:type="spellStart"/>
      <w:r w:rsidRPr="00B31F67">
        <w:t>ExCom</w:t>
      </w:r>
      <w:proofErr w:type="spellEnd"/>
      <w:r w:rsidRPr="00B31F67">
        <w:t>/80/54</w:t>
      </w:r>
      <w:r>
        <w:rPr>
          <w:rFonts w:hint="cs"/>
          <w:rtl/>
        </w:rPr>
        <w:t xml:space="preserve"> نتائج المسوحات في 119 بلدا تتألف من 42 بلد من البلدان التي لا ينخفض فيها حجم الاستهلاك و77 بلدا من تلك التي ينخفض فيها حجم الاستهلاك.</w:t>
      </w:r>
    </w:p>
  </w:footnote>
  <w:footnote w:id="24">
    <w:p w:rsidR="000441B0" w:rsidRPr="00C06D65" w:rsidRDefault="000441B0" w:rsidP="00B66B88">
      <w:pPr>
        <w:pStyle w:val="FootnoteText"/>
        <w:bidi/>
      </w:pPr>
      <w:r>
        <w:rPr>
          <w:rStyle w:val="FootnoteReference"/>
        </w:rPr>
        <w:footnoteRef/>
      </w:r>
      <w:r>
        <w:t xml:space="preserve"> </w:t>
      </w:r>
      <w:r>
        <w:rPr>
          <w:rFonts w:hint="cs"/>
          <w:rtl/>
        </w:rPr>
        <w:t xml:space="preserve"> على الرغم من أن المسوحات قد أجريت في 82 في المائة من بلدان المادة 5 (119 بلدا من 145 بلدا)، يمثل خط الأساس المجمع للهيدروكلوروفلوروكربون لهذه البلدان ما لايتجاوز 25 في المائة من خط أساس المجمع للهيدروكلوروفلوروكربون لجميع بلدان المادة 5. ولا يمثل خط الأساس المجمع هذا للبلدان التي ينخفض فيها حجم الاستهلاك البالغة 42 سوى 24 في المائة من خط الأساس التجميعي للبلدان التي لا ينخفض فيها حجم الاستهلاك في حين يمثل هذا الخط بالنسبة للبلدان التي ينخفض فيها حجم الاستهلاك البالغ عددها 77 نسبة 91 في المائة من خط الأساس المجمع لجميع البلدان التي ينخفض فيها حجم الاستهلاك. وينبغي ملاحظة بأن هذه المسوحات لم تقدم من البلدان الأكبر استهلاكها بما في ذلك البرازيل والصين والهند.</w:t>
      </w:r>
    </w:p>
  </w:footnote>
  <w:footnote w:id="25">
    <w:p w:rsidR="000441B0" w:rsidRPr="005E5F60" w:rsidRDefault="000441B0" w:rsidP="00916BA4">
      <w:pPr>
        <w:pStyle w:val="FootnoteText"/>
        <w:bidi/>
      </w:pPr>
      <w:r w:rsidRPr="005E5F60">
        <w:rPr>
          <w:rStyle w:val="FootnoteReference"/>
        </w:rPr>
        <w:footnoteRef/>
      </w:r>
      <w:r w:rsidRPr="005E5F60">
        <w:t xml:space="preserve"> </w:t>
      </w:r>
      <w:r>
        <w:rPr>
          <w:rFonts w:hint="cs"/>
          <w:rtl/>
        </w:rPr>
        <w:t xml:space="preserve"> وكمرجع، زاد خط أساس الهيدروكلوروفلوروكربون للاستهلاك في بلدان المادة 5 الى </w:t>
      </w:r>
      <w:r w:rsidRPr="005E5F60">
        <w:t>538,749</w:t>
      </w:r>
      <w:r>
        <w:rPr>
          <w:rFonts w:hint="cs"/>
          <w:rtl/>
        </w:rPr>
        <w:t xml:space="preserve"> طنا متريا وتتألف بالدرجة الأولى من ثلاثة أنواع من المواد الهيدروكلوروفلوروكربونية: الهيدروكلوروفلوروكربون-22 يشكل النوع الوحيد من الهيدروكلوروفلوروكربون الذي تستخدمه جميع بلدان المادة 5 (</w:t>
      </w:r>
      <w:r w:rsidRPr="00D80604">
        <w:t>395,413</w:t>
      </w:r>
      <w:r>
        <w:rPr>
          <w:rFonts w:hint="cs"/>
          <w:rtl/>
        </w:rPr>
        <w:t xml:space="preserve"> طنا متريا) والهيدروكلوروفلوروكربون-141ب (</w:t>
      </w:r>
      <w:r w:rsidRPr="00D80604">
        <w:t>107,971</w:t>
      </w:r>
      <w:r>
        <w:rPr>
          <w:rFonts w:hint="cs"/>
          <w:rtl/>
        </w:rPr>
        <w:t xml:space="preserve"> طنا متريا) والهيدروكلوروفلوروكربون-142ب (</w:t>
      </w:r>
      <w:r w:rsidRPr="00D80604">
        <w:t xml:space="preserve">31,580 </w:t>
      </w:r>
      <w:proofErr w:type="spellStart"/>
      <w:r w:rsidRPr="00D80604">
        <w:t>mt</w:t>
      </w:r>
      <w:proofErr w:type="spellEnd"/>
      <w:r>
        <w:rPr>
          <w:rFonts w:hint="cs"/>
          <w:rtl/>
        </w:rPr>
        <w:t xml:space="preserve"> طنا متريا).</w:t>
      </w:r>
    </w:p>
  </w:footnote>
  <w:footnote w:id="26">
    <w:p w:rsidR="000441B0" w:rsidRPr="006C7B71" w:rsidRDefault="000441B0" w:rsidP="00916BA4">
      <w:pPr>
        <w:pStyle w:val="FootnoteText"/>
        <w:bidi/>
      </w:pPr>
      <w:r>
        <w:rPr>
          <w:rStyle w:val="FootnoteReference"/>
        </w:rPr>
        <w:footnoteRef/>
      </w:r>
      <w:r>
        <w:t xml:space="preserve"> </w:t>
      </w:r>
      <w:r>
        <w:rPr>
          <w:rFonts w:hint="cs"/>
          <w:rtl/>
        </w:rPr>
        <w:t xml:space="preserve"> تمثل مسوحات بدائل المواد المستنفدة للأوزون أول محاولة لجمع بيانات استهلاك المواد التي لم تخضع بعد للرقابة من جانب بروتوكول مونتريال، كما أن المنهجية المستخدمة في جمع وتحليل البيانات لم تكن موحدة. ولذا ينبغي النظر الى العرض العام الناشئ عن المسوحات على أنه "أحسن التقديرات".</w:t>
      </w:r>
    </w:p>
  </w:footnote>
  <w:footnote w:id="27">
    <w:p w:rsidR="000441B0" w:rsidRPr="005E5F60" w:rsidRDefault="000441B0" w:rsidP="00073D9D">
      <w:pPr>
        <w:pStyle w:val="FootnoteText"/>
        <w:bidi/>
        <w:jc w:val="left"/>
      </w:pPr>
      <w:r w:rsidRPr="005E5F60">
        <w:rPr>
          <w:rStyle w:val="FootnoteReference"/>
        </w:rPr>
        <w:footnoteRef/>
      </w:r>
      <w:r w:rsidRPr="00B000DF">
        <w:t xml:space="preserve"> </w:t>
      </w:r>
      <w:r>
        <w:rPr>
          <w:rFonts w:hint="cs"/>
          <w:rtl/>
        </w:rPr>
        <w:t xml:space="preserve"> </w:t>
      </w:r>
      <w:hyperlink r:id="rId1" w:history="1">
        <w:r w:rsidRPr="005E5F60">
          <w:rPr>
            <w:rStyle w:val="Hyperlink"/>
          </w:rPr>
          <w:t>http://www.asme.org/engineering-topics/articles/technology-and-society/global-cooling-the-history-of-air-conditioning</w:t>
        </w:r>
      </w:hyperlink>
      <w:r>
        <w:rPr>
          <w:rFonts w:hint="cs"/>
          <w:rtl/>
        </w:rPr>
        <w:t>.</w:t>
      </w:r>
    </w:p>
  </w:footnote>
  <w:footnote w:id="28">
    <w:p w:rsidR="000441B0" w:rsidRPr="00FA1504" w:rsidRDefault="000441B0" w:rsidP="006628D0">
      <w:pPr>
        <w:pStyle w:val="FootnoteText"/>
        <w:bidi/>
      </w:pPr>
      <w:r w:rsidRPr="005E5F60">
        <w:rPr>
          <w:rStyle w:val="FootnoteReference"/>
        </w:rPr>
        <w:footnoteRef/>
      </w:r>
      <w:r w:rsidRPr="005E5F60">
        <w:t xml:space="preserve"> </w:t>
      </w:r>
      <w:r>
        <w:rPr>
          <w:rFonts w:hint="cs"/>
          <w:rtl/>
        </w:rPr>
        <w:t xml:space="preserve"> تقرير فريق المهام التابع لفريق التكنولوجيا والتقييم الاقتصادي بموجب المقررين 25/5 و26/9</w:t>
      </w:r>
      <w:r w:rsidRPr="005E5F60">
        <w:t>.</w:t>
      </w:r>
    </w:p>
  </w:footnote>
  <w:footnote w:id="29">
    <w:p w:rsidR="000441B0" w:rsidRPr="0089351C" w:rsidRDefault="000441B0" w:rsidP="005A472B">
      <w:pPr>
        <w:pStyle w:val="FootnoteText"/>
        <w:bidi/>
      </w:pPr>
      <w:r w:rsidRPr="005E5F60">
        <w:rPr>
          <w:rStyle w:val="FootnoteReference"/>
        </w:rPr>
        <w:footnoteRef/>
      </w:r>
      <w:r w:rsidRPr="00B000DF">
        <w:t xml:space="preserve"> </w:t>
      </w:r>
      <w:r>
        <w:rPr>
          <w:rFonts w:hint="cs"/>
          <w:rtl/>
        </w:rPr>
        <w:t xml:space="preserve"> </w:t>
      </w:r>
      <w:r>
        <w:rPr>
          <w:rFonts w:hint="cs"/>
          <w:rtl/>
        </w:rPr>
        <w:t xml:space="preserve">فعلى سبيل المثال نظرت اللجنة التنفيذية خلال الاجتماع التاسع والأربعين (يوليه/ تموز 2006) الوثيقة </w:t>
      </w:r>
      <w:r w:rsidRPr="00B000DF">
        <w:t>UNEP/</w:t>
      </w:r>
      <w:proofErr w:type="spellStart"/>
      <w:r w:rsidRPr="00B000DF">
        <w:t>Oz</w:t>
      </w:r>
      <w:r w:rsidRPr="000268D1">
        <w:t>L.Pro</w:t>
      </w:r>
      <w:proofErr w:type="spellEnd"/>
      <w:r w:rsidRPr="000268D1">
        <w:t>/</w:t>
      </w:r>
      <w:proofErr w:type="spellStart"/>
      <w:r w:rsidRPr="000268D1">
        <w:t>ExCom</w:t>
      </w:r>
      <w:proofErr w:type="spellEnd"/>
      <w:r w:rsidRPr="000268D1">
        <w:t>/49/7</w:t>
      </w:r>
      <w:r>
        <w:rPr>
          <w:rFonts w:hint="cs"/>
          <w:rtl/>
        </w:rPr>
        <w:t xml:space="preserve"> التي تتضمن تجميعا للتوصيات المتعلقة بتقييم خطط إدارة غازات التبريد وخطط </w:t>
      </w:r>
      <w:r w:rsidRPr="000268D1">
        <w:t>NPP</w:t>
      </w:r>
      <w:r>
        <w:rPr>
          <w:rFonts w:hint="cs"/>
          <w:rtl/>
        </w:rPr>
        <w:t xml:space="preserve"> التي أعدت إعمالا للمقرر 48/10. ونتيجة لذلك،قدمت توجيهات إضافية لدى تخطيط وتنفيذ هذه الخطط، وتضمنت </w:t>
      </w:r>
      <w:r w:rsidRPr="00284E33">
        <w:rPr>
          <w:rFonts w:hint="cs"/>
          <w:i/>
          <w:iCs/>
          <w:rtl/>
        </w:rPr>
        <w:t>ضمن جملة أمور</w:t>
      </w:r>
      <w:r>
        <w:rPr>
          <w:rFonts w:hint="cs"/>
          <w:rtl/>
        </w:rPr>
        <w:t>، التعاون مع الوكالات الحكومية، وتحديث التدابير التشريعية، وتحديث برامج التدريب للفنيين لإدراج المعلومات عن تطبيق الممارسات الجيدة لخفض استخدام المواد الخاضعة للاشتعال، والترويج لاستخدام غازات التبريد البديلة مع إيلاء أقصى اهتمام للجوانب المتعلقة بالسلامة في البلدان التي نفذ فيها التدريب على استخدام غازات التبريد القابلة للاشتعال، وإصدار شهادات اعتماد الفنيين الاجبارية ومراعاة المقرر 41/100 عن مخططات الاسترجاع وإعادة تدوير.</w:t>
      </w:r>
      <w:r w:rsidRPr="005E5F60">
        <w:t xml:space="preserve"> </w:t>
      </w:r>
    </w:p>
  </w:footnote>
  <w:footnote w:id="30">
    <w:p w:rsidR="000441B0" w:rsidRPr="00A71422" w:rsidRDefault="000441B0" w:rsidP="00D621D0">
      <w:pPr>
        <w:pStyle w:val="FootnoteText"/>
        <w:bidi/>
      </w:pPr>
      <w:r w:rsidRPr="000D7645">
        <w:rPr>
          <w:rStyle w:val="FootnoteReference"/>
        </w:rPr>
        <w:footnoteRef/>
      </w:r>
      <w:r w:rsidRPr="000D7645">
        <w:t xml:space="preserve"> </w:t>
      </w:r>
      <w:r>
        <w:rPr>
          <w:rFonts w:hint="cs"/>
          <w:rtl/>
        </w:rPr>
        <w:t xml:space="preserve"> يقدم مطبوع اليونيب عن خيارات السياسات والتشريعات للهيدركلوروفلوروكربون تحليلا شاملا للخيارات التشريعية والتنظيمية التي استخدمتها وحدات الأوزون الوطنية في تصميم وتنفيذ خططها الخاصة بالإزالة في قطاع خدمة التبريد.</w:t>
      </w:r>
    </w:p>
  </w:footnote>
  <w:footnote w:id="31">
    <w:p w:rsidR="000441B0" w:rsidRPr="005E5F60" w:rsidRDefault="000441B0" w:rsidP="001C5B3E">
      <w:pPr>
        <w:pStyle w:val="FootnoteText"/>
        <w:bidi/>
      </w:pPr>
      <w:r w:rsidRPr="00FF428B">
        <w:rPr>
          <w:rStyle w:val="FootnoteReference"/>
        </w:rPr>
        <w:footnoteRef/>
      </w:r>
      <w:r w:rsidRPr="00C6466D">
        <w:t xml:space="preserve"> </w:t>
      </w:r>
      <w:r>
        <w:rPr>
          <w:rFonts w:hint="cs"/>
          <w:rtl/>
        </w:rPr>
        <w:t xml:space="preserve"> طلب الاجتماع السادس والعشرين للأطراف (نوفمبر/ تشرين الثاني 2014) من أمانة الأوزون الاتصال بمنظمة الجمارك العالمية لدراسة إمكانية لتعيين مدونات نظم موحدة لأكثر البدائل شيوعا في التجارة للمواد الهيدروكلوروفلوروكربونية، والمواد الكلوروفلوروكربونية المصنفة تحت مدونة النظم الموحدة  </w:t>
      </w:r>
      <w:r w:rsidRPr="0089351C">
        <w:t>2903.39</w:t>
      </w:r>
      <w:r>
        <w:rPr>
          <w:rFonts w:hint="cs"/>
          <w:rtl/>
        </w:rPr>
        <w:t>، وشجع الأطراف على اتخاذ الخطوات اللازمة للتوصية بتصنيفات الجمارك الدولية والنظر في إنشاء مدونات جمارك محلية للبدائل المعنية (المقرر 16/8). ويجري تحديث مدونات النظم الدولية للبدائل المفيدة المقرر 26/8. ولذا فإن أقرب تاريخ لتحديث هذه المداولات سيسكون 2022.</w:t>
      </w:r>
    </w:p>
  </w:footnote>
  <w:footnote w:id="32">
    <w:p w:rsidR="000441B0" w:rsidRPr="00EB0C0F" w:rsidRDefault="000441B0" w:rsidP="004601CD">
      <w:pPr>
        <w:pStyle w:val="FootnoteText"/>
        <w:bidi/>
        <w:rPr>
          <w:lang w:val="en-CA"/>
        </w:rPr>
      </w:pPr>
      <w:r>
        <w:rPr>
          <w:rStyle w:val="FootnoteReference"/>
        </w:rPr>
        <w:footnoteRef/>
      </w:r>
      <w:r>
        <w:t xml:space="preserve"> </w:t>
      </w:r>
      <w:r>
        <w:rPr>
          <w:rFonts w:hint="cs"/>
          <w:rtl/>
        </w:rPr>
        <w:t xml:space="preserve"> يقدم مطبوع اليونيب عن الخيارات التشريعية والسياساتية للرقابة على المواد الهيدروفلوروكربون مجموعة شاملة من الخيارات السياساتية والتنظيمية يمكن نظرها لدى تنفيذ خطط خفض الهيدروفلوروكربون.</w:t>
      </w:r>
      <w:r>
        <w:rPr>
          <w:lang w:val="en-CA"/>
        </w:rPr>
        <w:t xml:space="preserve"> </w:t>
      </w:r>
    </w:p>
  </w:footnote>
  <w:footnote w:id="33">
    <w:p w:rsidR="000441B0" w:rsidRPr="0007301A" w:rsidRDefault="000441B0" w:rsidP="004601CD">
      <w:pPr>
        <w:pStyle w:val="FootnoteText"/>
        <w:bidi/>
      </w:pPr>
      <w:r>
        <w:rPr>
          <w:rStyle w:val="FootnoteReference"/>
        </w:rPr>
        <w:footnoteRef/>
      </w:r>
      <w:r>
        <w:t xml:space="preserve"> </w:t>
      </w:r>
      <w:r>
        <w:rPr>
          <w:rFonts w:hint="cs"/>
          <w:rtl/>
        </w:rPr>
        <w:t xml:space="preserve"> بالنسبة للمواد والمعدات ولحاويات غازات التبريد، وعلى المخازن، والنقل، وتصميم النظم والمكونات والحد الأقصى من شحن غازات التبريد والتركيب والخدمة والتخلص من المعدات ضمن جملة أمور.</w:t>
      </w:r>
    </w:p>
  </w:footnote>
  <w:footnote w:id="34">
    <w:p w:rsidR="000441B0" w:rsidRPr="00286094" w:rsidRDefault="000441B0" w:rsidP="004601CD">
      <w:pPr>
        <w:pStyle w:val="FootnoteText"/>
        <w:bidi/>
        <w:rPr>
          <w:sz w:val="18"/>
          <w:szCs w:val="18"/>
          <w:lang w:val="en-CA"/>
        </w:rPr>
      </w:pPr>
      <w:r w:rsidRPr="00286094">
        <w:rPr>
          <w:rStyle w:val="FootnoteReference"/>
          <w:sz w:val="18"/>
          <w:szCs w:val="18"/>
        </w:rPr>
        <w:footnoteRef/>
      </w:r>
      <w:r>
        <w:rPr>
          <w:rFonts w:hint="cs"/>
          <w:sz w:val="18"/>
          <w:szCs w:val="18"/>
          <w:rtl/>
        </w:rPr>
        <w:t xml:space="preserve"> مطبوع اليونيب عن المعايير الدولية في التبريد وتكييف الهواء يقدم تطبيقا لدور المعايير في سياق إزالة الهيدروكلوروفلوروكربون في البلدان النامية (2014).</w:t>
      </w:r>
    </w:p>
  </w:footnote>
  <w:footnote w:id="35">
    <w:p w:rsidR="000441B0" w:rsidRPr="00B000DF" w:rsidRDefault="000441B0" w:rsidP="00F85493">
      <w:pPr>
        <w:pStyle w:val="FootnoteText"/>
        <w:bidi/>
      </w:pPr>
      <w:r w:rsidRPr="005E5F60">
        <w:rPr>
          <w:rStyle w:val="FootnoteReference"/>
        </w:rPr>
        <w:footnoteRef/>
      </w:r>
      <w:r w:rsidRPr="00B000DF">
        <w:t xml:space="preserve"> </w:t>
      </w:r>
      <w:r>
        <w:rPr>
          <w:rFonts w:hint="cs"/>
          <w:rtl/>
        </w:rPr>
        <w:t xml:space="preserve"> </w:t>
      </w:r>
      <w:r>
        <w:rPr>
          <w:rFonts w:hint="cs"/>
          <w:rtl/>
        </w:rPr>
        <w:t>التقرير النهائي لتقييم تنفيذ خطط إدارة إزالة المواد الهيدروكاوروفلوروكربونية (</w:t>
      </w:r>
      <w:r w:rsidRPr="00B000DF">
        <w:t>UNEP/</w:t>
      </w:r>
      <w:proofErr w:type="spellStart"/>
      <w:r w:rsidRPr="00B000DF">
        <w:t>OzL.Pro</w:t>
      </w:r>
      <w:proofErr w:type="spellEnd"/>
      <w:r w:rsidRPr="00B000DF">
        <w:t>/</w:t>
      </w:r>
      <w:proofErr w:type="spellStart"/>
      <w:r w:rsidRPr="00B000DF">
        <w:t>ExCom</w:t>
      </w:r>
      <w:proofErr w:type="spellEnd"/>
      <w:r w:rsidRPr="00B000DF">
        <w:t>/41/7</w:t>
      </w:r>
      <w:r>
        <w:rPr>
          <w:rFonts w:hint="cs"/>
          <w:rtl/>
        </w:rPr>
        <w:t>).</w:t>
      </w:r>
    </w:p>
  </w:footnote>
  <w:footnote w:id="36">
    <w:p w:rsidR="000441B0" w:rsidRPr="00E01A8C" w:rsidRDefault="000441B0" w:rsidP="00AC0102">
      <w:pPr>
        <w:pStyle w:val="FootnoteText"/>
        <w:bidi/>
      </w:pPr>
      <w:r w:rsidRPr="005E5F60">
        <w:rPr>
          <w:rStyle w:val="FootnoteReference"/>
        </w:rPr>
        <w:footnoteRef/>
      </w:r>
      <w:r w:rsidRPr="00B000DF">
        <w:t xml:space="preserve"> </w:t>
      </w:r>
      <w:r>
        <w:rPr>
          <w:rFonts w:hint="cs"/>
          <w:rtl/>
        </w:rPr>
        <w:t xml:space="preserve"> الوثيقة </w:t>
      </w:r>
      <w:r>
        <w:t>UNEP/</w:t>
      </w:r>
      <w:proofErr w:type="spellStart"/>
      <w:r>
        <w:t>OzL.Pro</w:t>
      </w:r>
      <w:proofErr w:type="spellEnd"/>
      <w:r>
        <w:t>/</w:t>
      </w:r>
      <w:proofErr w:type="spellStart"/>
      <w:r>
        <w:t>ExCom</w:t>
      </w:r>
      <w:proofErr w:type="spellEnd"/>
      <w:r>
        <w:t>/31/20</w:t>
      </w:r>
      <w:r>
        <w:rPr>
          <w:rFonts w:hint="cs"/>
          <w:rtl/>
        </w:rPr>
        <w:t>.</w:t>
      </w:r>
    </w:p>
  </w:footnote>
  <w:footnote w:id="37">
    <w:p w:rsidR="000441B0" w:rsidRPr="004E6D13" w:rsidRDefault="000441B0" w:rsidP="0025501C">
      <w:pPr>
        <w:pStyle w:val="FootnoteText"/>
        <w:bidi/>
      </w:pPr>
      <w:r>
        <w:rPr>
          <w:rStyle w:val="FootnoteReference"/>
        </w:rPr>
        <w:footnoteRef/>
      </w:r>
      <w:r>
        <w:t xml:space="preserve"> </w:t>
      </w:r>
      <w:r>
        <w:rPr>
          <w:rFonts w:hint="cs"/>
          <w:rtl/>
        </w:rPr>
        <w:t xml:space="preserve"> </w:t>
      </w:r>
      <w:r>
        <w:t>UNEP/</w:t>
      </w:r>
      <w:proofErr w:type="spellStart"/>
      <w:r>
        <w:t>OzL.Pro</w:t>
      </w:r>
      <w:proofErr w:type="spellEnd"/>
      <w:r>
        <w:t>/</w:t>
      </w:r>
      <w:proofErr w:type="spellStart"/>
      <w:r>
        <w:t>ExCom</w:t>
      </w:r>
      <w:proofErr w:type="spellEnd"/>
      <w:r>
        <w:t>/</w:t>
      </w:r>
      <w:r w:rsidRPr="004E6D13">
        <w:t>81/7</w:t>
      </w:r>
      <w:r>
        <w:rPr>
          <w:rFonts w:hint="cs"/>
          <w:rtl/>
        </w:rPr>
        <w:t xml:space="preserve"> (تقرير أولي) و</w:t>
      </w:r>
      <w:r w:rsidRPr="0025501C">
        <w:t xml:space="preserve"> </w:t>
      </w:r>
      <w:r>
        <w:t>UNEP/</w:t>
      </w:r>
      <w:proofErr w:type="spellStart"/>
      <w:r>
        <w:t>OzL.Pro</w:t>
      </w:r>
      <w:proofErr w:type="spellEnd"/>
      <w:r>
        <w:t>/</w:t>
      </w:r>
      <w:proofErr w:type="spellStart"/>
      <w:r>
        <w:t>ExCom</w:t>
      </w:r>
      <w:proofErr w:type="spellEnd"/>
      <w:r>
        <w:t>/82/11</w:t>
      </w:r>
      <w:r>
        <w:rPr>
          <w:rFonts w:hint="cs"/>
          <w:rtl/>
        </w:rPr>
        <w:t>(تقرير تجميعي).</w:t>
      </w:r>
    </w:p>
  </w:footnote>
  <w:footnote w:id="38">
    <w:p w:rsidR="000441B0" w:rsidRPr="007B2F17" w:rsidRDefault="000441B0" w:rsidP="00467460">
      <w:pPr>
        <w:pStyle w:val="FootnoteText"/>
        <w:bidi/>
        <w:rPr>
          <w:lang w:bidi="ar-AE"/>
        </w:rPr>
      </w:pPr>
      <w:r>
        <w:rPr>
          <w:rStyle w:val="FootnoteReference"/>
        </w:rPr>
        <w:footnoteRef/>
      </w:r>
      <w:r>
        <w:t xml:space="preserve"> </w:t>
      </w:r>
      <w:r>
        <w:rPr>
          <w:rFonts w:hint="cs"/>
          <w:rtl/>
        </w:rPr>
        <w:t xml:space="preserve"> تشمل القائمة الإشارية وإن لم تكن الكاملة، </w:t>
      </w:r>
      <w:r w:rsidRPr="0095148A">
        <w:rPr>
          <w:rFonts w:hint="cs"/>
          <w:i/>
          <w:iCs/>
          <w:rtl/>
        </w:rPr>
        <w:t>ضمن جملة أمور</w:t>
      </w:r>
      <w:r>
        <w:rPr>
          <w:rFonts w:hint="cs"/>
          <w:rtl/>
        </w:rPr>
        <w:t>، معدات تقطيع الأنابيب النحاسية، ميزان الوزن وأدواتوقف الحفر ، وادوات توسيع فوهات الأنابيب، ومنصات غير معدنية وسبابكلحامفوسفورية وسبائك لحام فضية ، وأدوات معابرة الأنابيب، وأدوات ثنى الأنابيب، وأدوات إلكترونية لرصد التسرب و،ومقيلس هوائى ، وادوات تمديد الأنابيب ,غختبار معايرة التسربن وأدوات لتوسيع الأنابيب ، وزجاجة رش ( لرصد التسرب) وولعة ، ودواسة مطاطية ، ومعدات للرقابة، ومقياس متعدد الدرجات، ، وخراطيم و، ومعداتى وقاية للأفراد( تشمل البنود العادية مثل القفازات وطفايات الحرائق</w:t>
      </w:r>
      <w:r>
        <w:rPr>
          <w:rFonts w:hint="cs"/>
          <w:rtl/>
          <w:lang w:bidi="ar-AE"/>
        </w:rPr>
        <w:t>.</w:t>
      </w:r>
    </w:p>
  </w:footnote>
  <w:footnote w:id="39">
    <w:p w:rsidR="000441B0" w:rsidRPr="00DA53D8" w:rsidRDefault="000441B0" w:rsidP="0095148A">
      <w:pPr>
        <w:pStyle w:val="FootnoteText"/>
        <w:bidi/>
      </w:pPr>
      <w:r>
        <w:rPr>
          <w:rStyle w:val="FootnoteReference"/>
        </w:rPr>
        <w:footnoteRef/>
      </w:r>
      <w:r>
        <w:t xml:space="preserve"> </w:t>
      </w:r>
      <w:r>
        <w:rPr>
          <w:rFonts w:hint="cs"/>
          <w:rtl/>
        </w:rPr>
        <w:t xml:space="preserve"> تشمل قائمة إشارية وإن لم تكن كاملة </w:t>
      </w:r>
      <w:r w:rsidRPr="0095148A">
        <w:rPr>
          <w:rFonts w:hint="cs"/>
          <w:i/>
          <w:iCs/>
          <w:rtl/>
        </w:rPr>
        <w:t>ضمن جملة أمور</w:t>
      </w:r>
      <w:r>
        <w:rPr>
          <w:rFonts w:hint="cs"/>
          <w:rtl/>
        </w:rPr>
        <w:t>، أجهزة رصد الغازات، مقاييس وخراطيم إلكترونية ومتعددة الجوانب، ونشادر وثاني أكسيد الكربون. وبحسب نوع غاز التبريد، قد تتضمن معدات الوقاية أجهزة وقاية خاصة للتفتيش (مثل الأنواع المجمعة من أجهزة الاستنشاق المحكمة أو أجهزة التنفس) والملابس الوقائية.</w:t>
      </w:r>
    </w:p>
  </w:footnote>
  <w:footnote w:id="40">
    <w:p w:rsidR="000441B0" w:rsidRPr="00E202BB" w:rsidRDefault="000441B0" w:rsidP="009F79A1">
      <w:pPr>
        <w:pStyle w:val="FootnoteText"/>
        <w:bidi/>
      </w:pPr>
      <w:r w:rsidRPr="005E5F60">
        <w:rPr>
          <w:rStyle w:val="FootnoteReference"/>
        </w:rPr>
        <w:footnoteRef/>
      </w:r>
      <w:r w:rsidRPr="00E202BB">
        <w:t xml:space="preserve"> </w:t>
      </w:r>
      <w:r>
        <w:rPr>
          <w:rFonts w:hint="cs"/>
          <w:rtl/>
        </w:rPr>
        <w:t xml:space="preserve"> </w:t>
      </w:r>
      <w:r>
        <w:rPr>
          <w:rFonts w:hint="cs"/>
          <w:rtl/>
        </w:rPr>
        <w:t xml:space="preserve">الفقرات 31 الى 33 من الوثيقة </w:t>
      </w:r>
      <w:r w:rsidRPr="00E202BB">
        <w:t>UNEP/</w:t>
      </w:r>
      <w:proofErr w:type="spellStart"/>
      <w:r w:rsidRPr="00E202BB">
        <w:t>OzL.Pro</w:t>
      </w:r>
      <w:proofErr w:type="spellEnd"/>
      <w:r w:rsidRPr="00E202BB">
        <w:t>/</w:t>
      </w:r>
      <w:proofErr w:type="spellStart"/>
      <w:r w:rsidRPr="00E202BB">
        <w:t>ExCom</w:t>
      </w:r>
      <w:proofErr w:type="spellEnd"/>
      <w:r w:rsidRPr="00E202BB">
        <w:t>/31/18</w:t>
      </w:r>
      <w:r>
        <w:rPr>
          <w:rFonts w:hint="cs"/>
          <w:rtl/>
        </w:rPr>
        <w:t>.</w:t>
      </w:r>
    </w:p>
  </w:footnote>
  <w:footnote w:id="41">
    <w:p w:rsidR="000441B0" w:rsidRPr="00B000DF" w:rsidRDefault="000441B0" w:rsidP="00585625">
      <w:pPr>
        <w:pStyle w:val="FootnoteText"/>
        <w:bidi/>
        <w:spacing w:after="60"/>
      </w:pPr>
      <w:r w:rsidRPr="005E5F60">
        <w:rPr>
          <w:rStyle w:val="FootnoteReference"/>
        </w:rPr>
        <w:footnoteRef/>
      </w:r>
      <w:r w:rsidRPr="00B000DF">
        <w:t xml:space="preserve"> </w:t>
      </w:r>
      <w:r>
        <w:rPr>
          <w:rFonts w:hint="cs"/>
          <w:rtl/>
        </w:rPr>
        <w:t xml:space="preserve"> </w:t>
      </w:r>
      <w:r w:rsidRPr="00B000DF">
        <w:t xml:space="preserve">AHRI Standard </w:t>
      </w:r>
      <w:proofErr w:type="gramStart"/>
      <w:r w:rsidRPr="00B000DF">
        <w:t>700.</w:t>
      </w:r>
      <w:r>
        <w:rPr>
          <w:rFonts w:hint="cs"/>
          <w:rtl/>
        </w:rPr>
        <w:t>.</w:t>
      </w:r>
      <w:proofErr w:type="gramEnd"/>
    </w:p>
  </w:footnote>
  <w:footnote w:id="42">
    <w:p w:rsidR="000441B0" w:rsidRPr="005E5F60" w:rsidRDefault="000441B0" w:rsidP="00585625">
      <w:pPr>
        <w:pStyle w:val="FootnoteText"/>
        <w:bidi/>
        <w:spacing w:after="60"/>
      </w:pPr>
      <w:r w:rsidRPr="005E5F60">
        <w:rPr>
          <w:rStyle w:val="FootnoteReference"/>
        </w:rPr>
        <w:footnoteRef/>
      </w:r>
      <w:r w:rsidRPr="00B000DF">
        <w:t xml:space="preserve"> </w:t>
      </w:r>
      <w:r>
        <w:rPr>
          <w:rFonts w:hint="cs"/>
          <w:rtl/>
        </w:rPr>
        <w:t xml:space="preserve"> المبادئ التوجيهية التي حددت الظروف التي يتعين أن تسود قبل منح الأولوية لتمويل المستخدمين النهائيين هي (أ) توفر الرقابة على إنتاج واردات الكلوروفلوروكربون والمعدات المعتمدة على الكلوروفلوروكربون وإنفاذها بفعالية، وتقييد وضع عناصر جديدة من الكلوروفلوروكربون (ب) الاىستهلاك المتبقي الكبير من الكلوروفلوروكربون في البلد لخدمة معدات التبريد وتكييف الهواء (ج) تحديد بيانات شاملة عن طبيعة الاستهلاك المتبقي وإتاحته للجنة التنفيذية و(د) لن تتيح أي أنشطة محتملة تنتج للبلد تحقيق التزاماته بالرقابة على الكلوروفلوروكربون وأسعار المستهلك المقارنة للمواد للكلوروفلوروكربون مقابل ببدائل غازات التبريد أعلى لمدة لا تقل عن 9 أشهر ويتوقع أن تواصل ارتفاعها (المقرر 28/44).</w:t>
      </w:r>
    </w:p>
  </w:footnote>
  <w:footnote w:id="43">
    <w:p w:rsidR="000441B0" w:rsidRPr="005E5F60" w:rsidRDefault="000441B0" w:rsidP="00585625">
      <w:pPr>
        <w:pStyle w:val="FootnoteText"/>
        <w:bidi/>
        <w:spacing w:after="60"/>
      </w:pPr>
      <w:r w:rsidRPr="005E5F60">
        <w:rPr>
          <w:rStyle w:val="FootnoteReference"/>
        </w:rPr>
        <w:footnoteRef/>
      </w:r>
      <w:r w:rsidRPr="005E5F60">
        <w:t xml:space="preserve"> </w:t>
      </w:r>
      <w:r>
        <w:rPr>
          <w:rFonts w:hint="cs"/>
          <w:rtl/>
        </w:rPr>
        <w:t xml:space="preserve"> كانت البدائل الوحيدة للهيدروكلوروفلوروكربون-22 المتاحة لإعادة التهيئة مرتفعة القدرة على الاحترار العالمي (مثل الهيدروفلوروكربون-</w:t>
      </w:r>
      <w:r w:rsidRPr="005E5F60">
        <w:t>407C/F</w:t>
      </w:r>
      <w:r>
        <w:rPr>
          <w:rFonts w:hint="cs"/>
          <w:rtl/>
        </w:rPr>
        <w:t>، والهيدروفلوروكربون-</w:t>
      </w:r>
      <w:r w:rsidRPr="002424F8">
        <w:t xml:space="preserve"> </w:t>
      </w:r>
      <w:r w:rsidRPr="005E5F60">
        <w:t>HFC-404A</w:t>
      </w:r>
      <w:r>
        <w:rPr>
          <w:rFonts w:hint="cs"/>
          <w:rtl/>
        </w:rPr>
        <w:t>). ولم يكن الهيدروكلوروفلوروكربون-22 مؤهلا كمرشح لإعادة التهيئة نتيجة لارتفاع ضغوط التشغيل. البديل الوحيد المنخفض القدرة على الاحترار العالمي من الهيدروكلوروفلوروكربون-22 والهيدروكربونات-290. غير أن تطبيقها كان محدودة نتيجة لقابليته للاشتعال. ويبدو أن الهيدروكربونات-1270 (البروبلين) لدية قدرة أفضل إلاّ أن القلق إزاء القدرة على الاشتعال ومبادلات الحرارة مازال قائما.</w:t>
      </w:r>
    </w:p>
  </w:footnote>
  <w:footnote w:id="44">
    <w:p w:rsidR="000441B0" w:rsidRPr="006E24FD" w:rsidRDefault="000441B0" w:rsidP="00B12D24">
      <w:pPr>
        <w:pStyle w:val="FootnoteText"/>
        <w:bidi/>
        <w:spacing w:after="60"/>
      </w:pPr>
      <w:r w:rsidRPr="005E5F60">
        <w:rPr>
          <w:rStyle w:val="FootnoteReference"/>
        </w:rPr>
        <w:footnoteRef/>
      </w:r>
      <w:r w:rsidRPr="005E5F60">
        <w:t xml:space="preserve"> </w:t>
      </w:r>
      <w:r>
        <w:rPr>
          <w:rFonts w:hint="cs"/>
          <w:rtl/>
        </w:rPr>
        <w:t xml:space="preserve"> يشمل ذلك مؤهلات الفنيين الذين يقومون بعمليات إعادة التهيئة، والحاجة الى تركيب أجهزة استشعار لرصد التسرب، والحاجة الى سمات واضحة تبين غازات التبريد وحجم المعدات التي يجري إعادة تهيئتها.</w:t>
      </w:r>
    </w:p>
  </w:footnote>
  <w:footnote w:id="45">
    <w:p w:rsidR="000441B0" w:rsidRPr="00BF57E4" w:rsidRDefault="000441B0" w:rsidP="00B12D24">
      <w:pPr>
        <w:pStyle w:val="FootnoteText"/>
        <w:bidi/>
        <w:spacing w:after="60"/>
      </w:pPr>
      <w:r>
        <w:rPr>
          <w:rStyle w:val="FootnoteReference"/>
        </w:rPr>
        <w:footnoteRef/>
      </w:r>
      <w:r>
        <w:t xml:space="preserve"> </w:t>
      </w:r>
      <w:r>
        <w:rPr>
          <w:rFonts w:hint="cs"/>
          <w:rtl/>
        </w:rPr>
        <w:t xml:space="preserve"> طلبت اللجنة التنفيذية من الوكالات أن توضح، لدى تقديم القطاع الفرعي المشروعات المتعلقة بالتركيب والتجميع والشحن، أن كل منشأة من المنشئات المشاركة في المشروع قد استثمرت في المعدات وتطوير المنتجات أو قامت بتدريب موظفين بصورة محددة لتكنولوجيا الهديروكلوروفلوروكربون تتجاوز بكثير مستوى الاستثمارات السائدة في قطاع الخدمة، وأن الأنشطة المتوقعة لهذه المنشئات يمثل تكاليف إضافية.</w:t>
      </w:r>
    </w:p>
  </w:footnote>
  <w:footnote w:id="46">
    <w:p w:rsidR="000441B0" w:rsidRPr="00603E75" w:rsidRDefault="000441B0" w:rsidP="00B12D24">
      <w:pPr>
        <w:pStyle w:val="FootnoteText"/>
        <w:bidi/>
        <w:spacing w:after="60"/>
      </w:pPr>
      <w:r>
        <w:rPr>
          <w:rStyle w:val="FootnoteReference"/>
        </w:rPr>
        <w:footnoteRef/>
      </w:r>
      <w:r>
        <w:t xml:space="preserve"> </w:t>
      </w:r>
      <w:r>
        <w:rPr>
          <w:rFonts w:hint="cs"/>
          <w:rtl/>
        </w:rPr>
        <w:t xml:space="preserve"> كمثال قام مؤخرا أحد البلدان المتوسطة الحجم بتقدير أن ما يصل الى 25 في المائة من مصارف غازات التبريد قام القطاع الفرعي بتركيبها.</w:t>
      </w:r>
    </w:p>
  </w:footnote>
  <w:footnote w:id="47">
    <w:p w:rsidR="000441B0" w:rsidRPr="003D02C5" w:rsidRDefault="000441B0" w:rsidP="007C1842">
      <w:pPr>
        <w:pStyle w:val="FootnoteText"/>
        <w:bidi/>
        <w:rPr>
          <w:lang w:val="en-CA"/>
        </w:rPr>
      </w:pPr>
      <w:r w:rsidRPr="00B000DF">
        <w:rPr>
          <w:rStyle w:val="FootnoteReference"/>
        </w:rPr>
        <w:footnoteRef/>
      </w:r>
      <w:r w:rsidRPr="00B000DF">
        <w:t xml:space="preserve"> </w:t>
      </w:r>
      <w:r>
        <w:rPr>
          <w:rFonts w:hint="cs"/>
          <w:rtl/>
        </w:rPr>
        <w:t xml:space="preserve"> كان أدنى سعر لغازات التبريد الجديدة في أحد البلدان الذي أتاح الإصلاح يبلغ </w:t>
      </w:r>
      <w:r w:rsidRPr="003D02C5">
        <w:rPr>
          <w:lang w:val="en-CA"/>
        </w:rPr>
        <w:t>7.00</w:t>
      </w:r>
      <w:r>
        <w:rPr>
          <w:rFonts w:hint="cs"/>
          <w:rtl/>
        </w:rPr>
        <w:t xml:space="preserve"> دولارات أمريكية للكيلوغرام. ولدى تقدير الكميات التي سيجري إصلاحها، كان من المهم النظر في أن كميات كبيرة لم تسجل من غازات التبريد استرجعت وأعيد تدويرها بفلاتر في مواقعها الطبيعية وأعيد استخدامها دون المرور من خلال أي مركز للإصلاح.</w:t>
      </w:r>
    </w:p>
  </w:footnote>
  <w:footnote w:id="48">
    <w:p w:rsidR="000441B0" w:rsidRPr="00F95C54" w:rsidRDefault="000441B0" w:rsidP="007C1842">
      <w:pPr>
        <w:pStyle w:val="FootnoteText"/>
        <w:bidi/>
        <w:rPr>
          <w:lang w:val="en-CA"/>
        </w:rPr>
      </w:pPr>
      <w:r>
        <w:rPr>
          <w:rStyle w:val="FootnoteReference"/>
        </w:rPr>
        <w:footnoteRef/>
      </w:r>
      <w:r>
        <w:t xml:space="preserve"> </w:t>
      </w:r>
      <w:r>
        <w:rPr>
          <w:rFonts w:hint="cs"/>
          <w:rtl/>
        </w:rPr>
        <w:t xml:space="preserve"> بما في لك </w:t>
      </w:r>
      <w:r w:rsidRPr="006D6B0F">
        <w:rPr>
          <w:rFonts w:hint="cs"/>
          <w:i/>
          <w:iCs/>
          <w:rtl/>
        </w:rPr>
        <w:t>ضمن جملة أمور</w:t>
      </w:r>
      <w:r>
        <w:rPr>
          <w:rFonts w:hint="cs"/>
          <w:rtl/>
        </w:rPr>
        <w:t>، حظر أو فرض رقابة على ضغط متعمد على غازات التبريد خلال الخدمة، والأقساط الاقتصادية التي يمكن أن تساعد في الجدوي الاقتصادية للعملية (مثل الزيادة في تكاليف غاز التبريد)، والحظر على استخدام السلندرات غير القابلة لإعادة الاستخدام والاختبار الإلزامي للتسرب لجميع المعدات التي بحجم معين من شحن غازات التبريد، وفحص وتسجيل المستخدمين النهائيين أو الإجراءات الناشئة عن القواعد السائدة (مثل المواد الصيدلانية أو السوقية وتنتج برامج المسؤولية).</w:t>
      </w:r>
    </w:p>
  </w:footnote>
  <w:footnote w:id="49">
    <w:p w:rsidR="000441B0" w:rsidRPr="00F466F4" w:rsidRDefault="000441B0" w:rsidP="00467460">
      <w:pPr>
        <w:pStyle w:val="FootnoteText"/>
        <w:bidi/>
        <w:rPr>
          <w:lang w:val="en-CA"/>
        </w:rPr>
      </w:pPr>
      <w:r>
        <w:rPr>
          <w:rStyle w:val="FootnoteReference"/>
        </w:rPr>
        <w:footnoteRef/>
      </w:r>
      <w:r>
        <w:t xml:space="preserve"> </w:t>
      </w:r>
      <w:r>
        <w:rPr>
          <w:rFonts w:hint="cs"/>
          <w:rtl/>
        </w:rPr>
        <w:t xml:space="preserve"> </w:t>
      </w:r>
      <w:r>
        <w:rPr>
          <w:rFonts w:hint="cs"/>
          <w:rtl/>
          <w:lang w:val="en-CA"/>
        </w:rPr>
        <w:t xml:space="preserve">الفقرة 11(ب) من المقرر </w:t>
      </w:r>
      <w:r>
        <w:rPr>
          <w:lang w:val="en-CA"/>
        </w:rPr>
        <w:t>6/XIX</w:t>
      </w:r>
      <w:r>
        <w:rPr>
          <w:rFonts w:hint="cs"/>
          <w:rtl/>
          <w:lang w:val="en-CA"/>
        </w:rPr>
        <w:t>.</w:t>
      </w:r>
    </w:p>
  </w:footnote>
  <w:footnote w:id="50">
    <w:p w:rsidR="000441B0" w:rsidRPr="00B36E75" w:rsidRDefault="000441B0" w:rsidP="00493EA7">
      <w:pPr>
        <w:pStyle w:val="FootnoteText"/>
        <w:bidi/>
        <w:rPr>
          <w:lang w:val="en-CA"/>
        </w:rPr>
      </w:pPr>
      <w:r>
        <w:rPr>
          <w:rStyle w:val="FootnoteReference"/>
        </w:rPr>
        <w:footnoteRef/>
      </w:r>
      <w:r>
        <w:t xml:space="preserve"> </w:t>
      </w:r>
      <w:r>
        <w:rPr>
          <w:rFonts w:hint="cs"/>
          <w:rtl/>
        </w:rP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/80/9</w:t>
      </w:r>
      <w:r>
        <w:rPr>
          <w:rFonts w:hint="cs"/>
          <w:rtl/>
        </w:rPr>
        <w:t>.</w:t>
      </w:r>
    </w:p>
  </w:footnote>
  <w:footnote w:id="51">
    <w:p w:rsidR="000441B0" w:rsidRPr="0051549C" w:rsidRDefault="000441B0" w:rsidP="003F3A6C">
      <w:pPr>
        <w:pStyle w:val="FootnoteText"/>
        <w:bidi/>
      </w:pPr>
      <w:r>
        <w:rPr>
          <w:rStyle w:val="FootnoteReference"/>
        </w:rPr>
        <w:footnoteRef/>
      </w:r>
      <w:r>
        <w:t xml:space="preserve"> </w:t>
      </w:r>
      <w:r>
        <w:rPr>
          <w:rFonts w:hint="cs"/>
          <w:rtl/>
        </w:rPr>
        <w:t xml:space="preserve"> </w:t>
      </w:r>
      <w:r>
        <w:rPr>
          <w:rFonts w:hint="cs"/>
          <w:rtl/>
        </w:rPr>
        <w:t xml:space="preserve">معلومات مفصلة عن المشروعات الإيضاحية تتوافر في </w:t>
      </w:r>
      <w:r w:rsidRPr="0051549C">
        <w:t>UNEP/</w:t>
      </w:r>
      <w:proofErr w:type="spellStart"/>
      <w:r w:rsidRPr="0051549C">
        <w:t>OzL.Pro</w:t>
      </w:r>
      <w:proofErr w:type="spellEnd"/>
      <w:r w:rsidRPr="0051549C">
        <w:t>/</w:t>
      </w:r>
      <w:proofErr w:type="spellStart"/>
      <w:r w:rsidRPr="0051549C">
        <w:t>ExCom</w:t>
      </w:r>
      <w:proofErr w:type="spellEnd"/>
      <w:r w:rsidRPr="0051549C">
        <w:t>/78/6.</w:t>
      </w:r>
      <w:r>
        <w:rPr>
          <w:rFonts w:hint="cs"/>
          <w:rtl/>
        </w:rPr>
        <w:t>.</w:t>
      </w:r>
      <w:r w:rsidRPr="0051549C">
        <w:t xml:space="preserve"> </w:t>
      </w:r>
    </w:p>
  </w:footnote>
  <w:footnote w:id="52">
    <w:p w:rsidR="000441B0" w:rsidRPr="0051549C" w:rsidRDefault="000441B0" w:rsidP="0076711C">
      <w:pPr>
        <w:pStyle w:val="FootnoteText"/>
        <w:bidi/>
      </w:pPr>
      <w:r>
        <w:rPr>
          <w:rStyle w:val="FootnoteReference"/>
        </w:rPr>
        <w:footnoteRef/>
      </w:r>
      <w:r>
        <w:t xml:space="preserve"> </w:t>
      </w:r>
      <w:r>
        <w:rPr>
          <w:rFonts w:hint="cs"/>
          <w:rtl/>
        </w:rPr>
        <w:t xml:space="preserve"> </w:t>
      </w:r>
      <w:r>
        <w:t>UNEP/</w:t>
      </w:r>
      <w:proofErr w:type="spellStart"/>
      <w:r>
        <w:t>OzL.Pro</w:t>
      </w:r>
      <w:proofErr w:type="spellEnd"/>
      <w:r>
        <w:t>/</w:t>
      </w:r>
      <w:proofErr w:type="spellStart"/>
      <w:r>
        <w:t>ExCom</w:t>
      </w:r>
      <w:proofErr w:type="spellEnd"/>
      <w:r w:rsidRPr="0051549C">
        <w:t>/65/</w:t>
      </w:r>
      <w:r>
        <w:t>39/Rev.1.</w:t>
      </w:r>
    </w:p>
  </w:footnote>
  <w:footnote w:id="53">
    <w:p w:rsidR="000441B0" w:rsidRPr="0051549C" w:rsidRDefault="000441B0" w:rsidP="003F3A6C">
      <w:pPr>
        <w:pStyle w:val="FootnoteText"/>
        <w:bidi/>
      </w:pPr>
      <w:r>
        <w:rPr>
          <w:rStyle w:val="FootnoteReference"/>
        </w:rPr>
        <w:footnoteRef/>
      </w:r>
      <w:r>
        <w:t xml:space="preserve"> </w:t>
      </w:r>
      <w:r>
        <w:rPr>
          <w:rFonts w:hint="cs"/>
          <w:rtl/>
        </w:rPr>
        <w:t xml:space="preserve"> </w:t>
      </w:r>
      <w:r w:rsidRPr="0051549C">
        <w:t>UNEP/</w:t>
      </w:r>
      <w:proofErr w:type="spellStart"/>
      <w:r w:rsidRPr="0051549C">
        <w:t>OzL.Pro</w:t>
      </w:r>
      <w:proofErr w:type="spellEnd"/>
      <w:r w:rsidRPr="0051549C">
        <w:t>/</w:t>
      </w:r>
      <w:proofErr w:type="spellStart"/>
      <w:r w:rsidRPr="0051549C">
        <w:t>ExCom</w:t>
      </w:r>
      <w:proofErr w:type="spellEnd"/>
      <w:r w:rsidRPr="0051549C">
        <w:t>/</w:t>
      </w:r>
      <w:r>
        <w:t>68/</w:t>
      </w:r>
      <w:proofErr w:type="gramStart"/>
      <w:r>
        <w:t>41</w:t>
      </w:r>
      <w:r w:rsidRPr="0051549C">
        <w:t>.</w:t>
      </w:r>
      <w:r>
        <w:rPr>
          <w:rFonts w:hint="cs"/>
          <w:rtl/>
        </w:rPr>
        <w:t>.</w:t>
      </w:r>
      <w:proofErr w:type="gramEnd"/>
    </w:p>
  </w:footnote>
  <w:footnote w:id="54">
    <w:p w:rsidR="000441B0" w:rsidRPr="00BB30DF" w:rsidRDefault="000441B0" w:rsidP="00467460">
      <w:pPr>
        <w:pStyle w:val="FootnoteText"/>
        <w:bidi/>
        <w:rPr>
          <w:lang w:val="en-CA"/>
        </w:rPr>
      </w:pPr>
      <w:r>
        <w:rPr>
          <w:rStyle w:val="FootnoteReference"/>
        </w:rPr>
        <w:footnoteRef/>
      </w:r>
      <w:r>
        <w:t xml:space="preserve"> </w:t>
      </w:r>
      <w:r>
        <w:rPr>
          <w:rFonts w:hint="cs"/>
          <w:rtl/>
        </w:rPr>
        <w:t xml:space="preserve"> المجلد 5 من تقرير هيئة التكنولوجيا والتقييم الاقتصادي والمقرر </w:t>
      </w:r>
      <w:r>
        <w:t>10/XXIX</w:t>
      </w:r>
      <w:r>
        <w:rPr>
          <w:rFonts w:hint="cs"/>
          <w:rtl/>
        </w:rPr>
        <w:t xml:space="preserve"> وفريق المهام المعني بالقضايا ذات الصلة بكفاءة استخدام الطاقة خلال إزالة الهيدروفلوروكربون (التقرير النهائي غير مؤرخ).</w:t>
      </w:r>
    </w:p>
  </w:footnote>
  <w:footnote w:id="55">
    <w:p w:rsidR="000441B0" w:rsidRPr="00B2731E" w:rsidRDefault="000441B0" w:rsidP="00176896">
      <w:pPr>
        <w:pStyle w:val="FootnoteText"/>
        <w:bidi/>
        <w:rPr>
          <w:lang w:val="en-CA"/>
        </w:rPr>
      </w:pPr>
      <w:r w:rsidRPr="00B2731E">
        <w:rPr>
          <w:rStyle w:val="FootnoteReference"/>
        </w:rPr>
        <w:footnoteRef/>
      </w:r>
      <w:r w:rsidRPr="00B2731E">
        <w:t xml:space="preserve"> </w:t>
      </w:r>
      <w:r>
        <w:rPr>
          <w:rFonts w:hint="cs"/>
          <w:rtl/>
        </w:rPr>
        <w:t xml:space="preserve"> .</w:t>
      </w:r>
      <w:r w:rsidRPr="00176896">
        <w:t xml:space="preserve"> </w:t>
      </w:r>
      <w:r w:rsidRPr="00B2731E">
        <w:t>UNEP/</w:t>
      </w:r>
      <w:proofErr w:type="spellStart"/>
      <w:r w:rsidRPr="00B2731E">
        <w:t>OzL.Pro</w:t>
      </w:r>
      <w:proofErr w:type="spellEnd"/>
      <w:r w:rsidRPr="00B2731E">
        <w:t>/</w:t>
      </w:r>
      <w:proofErr w:type="spellStart"/>
      <w:r w:rsidRPr="00B2731E">
        <w:t>ExCom</w:t>
      </w:r>
      <w:proofErr w:type="spellEnd"/>
      <w:r w:rsidRPr="00B2731E">
        <w:t>/77/70</w:t>
      </w:r>
      <w:r>
        <w:rPr>
          <w:rFonts w:hint="cs"/>
          <w:rtl/>
        </w:rPr>
        <w:t xml:space="preserve"> ينبغي ملاحظة أن هناك العديد من الدراسات توضح الصلات بين الممارسات الجيدة في الخدمة والصيانة، وتشغيل المعدات بما يتسم بكفاءة استخدام الطاقة.</w:t>
      </w:r>
    </w:p>
  </w:footnote>
  <w:footnote w:id="56">
    <w:p w:rsidR="000441B0" w:rsidRPr="00A76E71" w:rsidRDefault="000441B0" w:rsidP="00A779A5">
      <w:pPr>
        <w:pStyle w:val="FootnoteText"/>
        <w:bidi/>
        <w:rPr>
          <w:lang w:val="en-CA"/>
        </w:rPr>
      </w:pPr>
      <w:r w:rsidRPr="00B2731E">
        <w:rPr>
          <w:rStyle w:val="FootnoteReference"/>
        </w:rPr>
        <w:footnoteRef/>
      </w:r>
      <w:r w:rsidRPr="00B2731E">
        <w:t xml:space="preserve"> </w:t>
      </w:r>
      <w:r>
        <w:rPr>
          <w:rFonts w:hint="cs"/>
          <w:rtl/>
        </w:rPr>
        <w:t xml:space="preserve"> على الرغم من أن ذلك لا يتعلق بصورة مباشرة بكفاءة استخدام الطاقة، فانه يمكن تعزيز كفاءة الطاقة من خلال الاعتماد الآمن لغازات التبريد المنخفضة القدرة على الاحترار العالمي أو الخالية من هذه القدرة.</w:t>
      </w:r>
    </w:p>
  </w:footnote>
  <w:footnote w:id="57">
    <w:p w:rsidR="000441B0" w:rsidRPr="00081717" w:rsidRDefault="000441B0" w:rsidP="00605D45">
      <w:pPr>
        <w:pStyle w:val="FootnoteText"/>
        <w:bidi/>
      </w:pPr>
      <w:r>
        <w:rPr>
          <w:rStyle w:val="FootnoteReference"/>
        </w:rPr>
        <w:footnoteRef/>
      </w:r>
      <w:r>
        <w:t xml:space="preserve"> </w:t>
      </w:r>
      <w:r>
        <w:rPr>
          <w:rFonts w:hint="cs"/>
          <w:rtl/>
        </w:rPr>
        <w:t xml:space="preserve"> يلاحظ أن المسوحات بشأن بدائل المواد المستنفدة للأوزون لم تقدم بواسطة أكبر البلدان المستهلكة بما في ذلك البرازيل والصين والهند.</w:t>
      </w:r>
      <w:r>
        <w:t xml:space="preserve"> </w:t>
      </w:r>
    </w:p>
  </w:footnote>
  <w:footnote w:id="58">
    <w:p w:rsidR="000441B0" w:rsidRPr="00C060B0" w:rsidRDefault="000441B0" w:rsidP="00D73ECC">
      <w:pPr>
        <w:pStyle w:val="FootnoteText"/>
        <w:bidi/>
      </w:pPr>
      <w:r>
        <w:rPr>
          <w:rStyle w:val="FootnoteReference"/>
        </w:rPr>
        <w:footnoteRef/>
      </w:r>
      <w:r>
        <w:t xml:space="preserve"> </w:t>
      </w:r>
      <w:r>
        <w:rPr>
          <w:rFonts w:hint="cs"/>
          <w:rtl/>
        </w:rPr>
        <w:t xml:space="preserve">  </w:t>
      </w:r>
      <w:r>
        <w:t>205,000</w:t>
      </w:r>
      <w:r>
        <w:rPr>
          <w:rFonts w:hint="cs"/>
          <w:rtl/>
        </w:rPr>
        <w:t xml:space="preserve"> دولار أمريكي للبلدان التي ينخفض فيها خط الأساس عن 15 طنا بقدرات استنفاد الأوزون، و</w:t>
      </w:r>
      <w:r>
        <w:t>295,000</w:t>
      </w:r>
      <w:r>
        <w:rPr>
          <w:rFonts w:hint="cs"/>
          <w:rtl/>
        </w:rPr>
        <w:t xml:space="preserve"> دولار أمريكي للبلدان التي يتراوح خط الأساس فيها بين 15 و30 طنا بقدرات استنفاد الأوزون و</w:t>
      </w:r>
      <w:r>
        <w:t>345,000</w:t>
      </w:r>
      <w:r>
        <w:rPr>
          <w:rFonts w:hint="cs"/>
          <w:rtl/>
        </w:rPr>
        <w:t xml:space="preserve"> دولار أمريكي للبلدان التي يتراوح فيها خط الأساس بين 30 و60 طنا بقدرات استنفاد الأوزون و</w:t>
      </w:r>
      <w:r>
        <w:t>520,000</w:t>
      </w:r>
      <w:r>
        <w:rPr>
          <w:rFonts w:hint="cs"/>
          <w:rtl/>
        </w:rPr>
        <w:t xml:space="preserve"> دولار أمريكي للبلدان التي يتراوح فيها خط الأساس بين 60 و120 طنا بقدرات استنفاد الأوزون و</w:t>
      </w:r>
      <w:r>
        <w:t>565,000</w:t>
      </w:r>
      <w:r>
        <w:rPr>
          <w:rFonts w:hint="cs"/>
          <w:rtl/>
        </w:rPr>
        <w:t xml:space="preserve"> دولار أمريكي للبلدان التي يزيد فيها خط الأساس عن 120 طنا بقدرات استنفاد الأوزون.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Pr="0033525D" w:rsidRDefault="000441B0" w:rsidP="00311FD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/82/64</w:t>
    </w:r>
    <w:r>
      <w:fldChar w:fldCharType="end"/>
    </w:r>
  </w:p>
  <w:p w:rsidR="000441B0" w:rsidRDefault="000441B0" w:rsidP="00311FD8">
    <w:pPr>
      <w:jc w:val="right"/>
    </w:pPr>
  </w:p>
  <w:p w:rsidR="000441B0" w:rsidRPr="0033525D" w:rsidRDefault="000441B0" w:rsidP="00311FD8">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Default="000441B0" w:rsidP="00311FD8">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/82/64</w:t>
    </w:r>
    <w:r>
      <w:fldChar w:fldCharType="end"/>
    </w:r>
  </w:p>
  <w:p w:rsidR="000441B0" w:rsidRDefault="000441B0">
    <w:pPr>
      <w:rPr>
        <w:rtl/>
      </w:rPr>
    </w:pPr>
  </w:p>
  <w:p w:rsidR="000441B0" w:rsidRPr="0033525D" w:rsidRDefault="000441B0"/>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Default="000441B0">
    <w:pPr>
      <w:pStyle w:val="Header"/>
      <w:rPr>
        <w:rtl/>
      </w:rPr>
    </w:pPr>
  </w:p>
  <w:p w:rsidR="000441B0" w:rsidRDefault="000441B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Pr="00136D11" w:rsidRDefault="000441B0" w:rsidP="00B44FB0">
    <w:pPr>
      <w:contextualSpacing/>
      <w:jc w:val="left"/>
    </w:pPr>
    <w:r>
      <w:t>UNEP/</w:t>
    </w:r>
    <w:proofErr w:type="spellStart"/>
    <w:r>
      <w:t>OzL.Pro</w:t>
    </w:r>
    <w:proofErr w:type="spellEnd"/>
    <w:r>
      <w:t>/</w:t>
    </w:r>
    <w:proofErr w:type="spellStart"/>
    <w:r>
      <w:t>ExCom</w:t>
    </w:r>
    <w:proofErr w:type="spellEnd"/>
    <w:r>
      <w:t>/82/64</w:t>
    </w:r>
  </w:p>
  <w:p w:rsidR="000441B0" w:rsidRDefault="000441B0" w:rsidP="00B44FB0">
    <w:pPr>
      <w:pStyle w:val="Header"/>
      <w:contextualSpacing/>
      <w:jc w:val="left"/>
    </w:pPr>
    <w:r w:rsidRPr="00136D11">
      <w:t>Annex II</w:t>
    </w:r>
    <w:r>
      <w:t>I</w:t>
    </w:r>
  </w:p>
  <w:p w:rsidR="000441B0" w:rsidRPr="00136D11" w:rsidRDefault="000441B0" w:rsidP="00B44FB0">
    <w:pPr>
      <w:pStyle w:val="Header"/>
      <w:contextualSpacing/>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Default="000441B0" w:rsidP="00B44FB0">
    <w:pPr>
      <w:contextualSpacing/>
      <w:jc w:val="right"/>
    </w:pPr>
    <w:r>
      <w:t>UNEP/</w:t>
    </w:r>
    <w:proofErr w:type="spellStart"/>
    <w:r>
      <w:t>OzL.Pro</w:t>
    </w:r>
    <w:proofErr w:type="spellEnd"/>
    <w:r>
      <w:t>/</w:t>
    </w:r>
    <w:proofErr w:type="spellStart"/>
    <w:r>
      <w:t>ExCom</w:t>
    </w:r>
    <w:proofErr w:type="spellEnd"/>
    <w:r>
      <w:t>/82/64</w:t>
    </w:r>
  </w:p>
  <w:p w:rsidR="000441B0" w:rsidRDefault="000441B0" w:rsidP="00B44FB0">
    <w:pPr>
      <w:contextualSpacing/>
      <w:jc w:val="right"/>
    </w:pPr>
    <w:r>
      <w:t>Annex III</w:t>
    </w:r>
  </w:p>
  <w:p w:rsidR="000441B0" w:rsidRPr="0033525D" w:rsidRDefault="000441B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B0" w:rsidRPr="00136D11" w:rsidRDefault="000441B0" w:rsidP="00B44FB0">
    <w:pPr>
      <w:contextualSpacing/>
      <w:jc w:val="right"/>
    </w:pPr>
    <w:r>
      <w:t>UNEP/</w:t>
    </w:r>
    <w:proofErr w:type="spellStart"/>
    <w:r>
      <w:t>OzL.Pro</w:t>
    </w:r>
    <w:proofErr w:type="spellEnd"/>
    <w:r>
      <w:t>/</w:t>
    </w:r>
    <w:proofErr w:type="spellStart"/>
    <w:r>
      <w:t>ExCom</w:t>
    </w:r>
    <w:proofErr w:type="spellEnd"/>
    <w:r>
      <w:t>/82/64</w:t>
    </w:r>
  </w:p>
  <w:p w:rsidR="000441B0" w:rsidRDefault="000441B0" w:rsidP="00B44FB0">
    <w:pPr>
      <w:pStyle w:val="Header"/>
      <w:contextualSpacing/>
      <w:jc w:val="right"/>
    </w:pPr>
    <w:r w:rsidRPr="00136D11">
      <w:t>Annex II</w:t>
    </w:r>
    <w:r>
      <w:t>I</w:t>
    </w:r>
  </w:p>
  <w:p w:rsidR="000441B0" w:rsidRDefault="000441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A525428"/>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12672DA2"/>
    <w:multiLevelType w:val="multilevel"/>
    <w:tmpl w:val="F2FEB91E"/>
    <w:lvl w:ilvl="0">
      <w:start w:val="1"/>
      <w:numFmt w:val="decimal"/>
      <w:pStyle w:val="Heading1"/>
      <w:lvlText w:val="%1."/>
      <w:lvlJc w:val="left"/>
      <w:pPr>
        <w:tabs>
          <w:tab w:val="num" w:pos="180"/>
        </w:tabs>
        <w:ind w:left="18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11B490F"/>
    <w:multiLevelType w:val="hybridMultilevel"/>
    <w:tmpl w:val="2626FA56"/>
    <w:lvl w:ilvl="0" w:tplc="3140A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751564C"/>
    <w:multiLevelType w:val="hybridMultilevel"/>
    <w:tmpl w:val="CE7E7838"/>
    <w:lvl w:ilvl="0" w:tplc="23B408C2">
      <w:start w:val="1"/>
      <w:numFmt w:val="arabicAbjad"/>
      <w:pStyle w:val="StyleHeading2SubParaaHeading2Char3Heading2CharChar2H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4533072"/>
    <w:multiLevelType w:val="hybridMultilevel"/>
    <w:tmpl w:val="36E443BE"/>
    <w:lvl w:ilvl="0" w:tplc="D676E4CE">
      <w:start w:val="3"/>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7D3F24B3"/>
    <w:multiLevelType w:val="multilevel"/>
    <w:tmpl w:val="C6B8311E"/>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decimal"/>
      <w:lvlText w:val="(%3)"/>
      <w:lvlJc w:val="left"/>
      <w:pPr>
        <w:tabs>
          <w:tab w:val="num" w:pos="90"/>
        </w:tabs>
        <w:ind w:left="225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5"/>
  </w:num>
  <w:num w:numId="3">
    <w:abstractNumId w:val="9"/>
  </w:num>
  <w:num w:numId="4">
    <w:abstractNumId w:val="10"/>
  </w:num>
  <w:num w:numId="5">
    <w:abstractNumId w:val="14"/>
  </w:num>
  <w:num w:numId="6">
    <w:abstractNumId w:val="7"/>
  </w:num>
  <w:num w:numId="7">
    <w:abstractNumId w:val="2"/>
  </w:num>
  <w:num w:numId="8">
    <w:abstractNumId w:val="11"/>
  </w:num>
  <w:num w:numId="9">
    <w:abstractNumId w:val="12"/>
  </w:num>
  <w:num w:numId="10">
    <w:abstractNumId w:val="6"/>
  </w:num>
  <w:num w:numId="11">
    <w:abstractNumId w:val="1"/>
  </w:num>
  <w:num w:numId="12">
    <w:abstractNumId w:val="3"/>
  </w:num>
  <w:num w:numId="13">
    <w:abstractNumId w:val="2"/>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3"/>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434E"/>
    <w:rsid w:val="000043BE"/>
    <w:rsid w:val="000054BD"/>
    <w:rsid w:val="00005CE3"/>
    <w:rsid w:val="0000645A"/>
    <w:rsid w:val="00014739"/>
    <w:rsid w:val="0001508E"/>
    <w:rsid w:val="00017BF2"/>
    <w:rsid w:val="000211A9"/>
    <w:rsid w:val="000219E1"/>
    <w:rsid w:val="00023A26"/>
    <w:rsid w:val="00023A2A"/>
    <w:rsid w:val="00024A6D"/>
    <w:rsid w:val="000268D1"/>
    <w:rsid w:val="00031260"/>
    <w:rsid w:val="00034CA2"/>
    <w:rsid w:val="00035059"/>
    <w:rsid w:val="0003620A"/>
    <w:rsid w:val="0003681A"/>
    <w:rsid w:val="0004077C"/>
    <w:rsid w:val="00041697"/>
    <w:rsid w:val="00043A8C"/>
    <w:rsid w:val="000441B0"/>
    <w:rsid w:val="00045E26"/>
    <w:rsid w:val="00046D1A"/>
    <w:rsid w:val="00047489"/>
    <w:rsid w:val="000565AB"/>
    <w:rsid w:val="00056BD5"/>
    <w:rsid w:val="000571CC"/>
    <w:rsid w:val="000579E7"/>
    <w:rsid w:val="00061788"/>
    <w:rsid w:val="00061EC2"/>
    <w:rsid w:val="00062BEA"/>
    <w:rsid w:val="00066C0A"/>
    <w:rsid w:val="00067A3C"/>
    <w:rsid w:val="0007301A"/>
    <w:rsid w:val="00073D9D"/>
    <w:rsid w:val="00074D15"/>
    <w:rsid w:val="0007596E"/>
    <w:rsid w:val="00077B80"/>
    <w:rsid w:val="00080ED0"/>
    <w:rsid w:val="000836D7"/>
    <w:rsid w:val="0008504A"/>
    <w:rsid w:val="00085B8F"/>
    <w:rsid w:val="00086CC0"/>
    <w:rsid w:val="00090481"/>
    <w:rsid w:val="0009141C"/>
    <w:rsid w:val="00095FF7"/>
    <w:rsid w:val="000A1E5F"/>
    <w:rsid w:val="000A364B"/>
    <w:rsid w:val="000A3A86"/>
    <w:rsid w:val="000A6C26"/>
    <w:rsid w:val="000A6DE9"/>
    <w:rsid w:val="000B0DA1"/>
    <w:rsid w:val="000B3CA9"/>
    <w:rsid w:val="000B5B1A"/>
    <w:rsid w:val="000D476D"/>
    <w:rsid w:val="000D4B60"/>
    <w:rsid w:val="000D52A4"/>
    <w:rsid w:val="000D54E6"/>
    <w:rsid w:val="000D7645"/>
    <w:rsid w:val="000E025D"/>
    <w:rsid w:val="000E07BC"/>
    <w:rsid w:val="000E2E64"/>
    <w:rsid w:val="000E58C0"/>
    <w:rsid w:val="000E5DF9"/>
    <w:rsid w:val="000E7B4E"/>
    <w:rsid w:val="000F08ED"/>
    <w:rsid w:val="000F1CD4"/>
    <w:rsid w:val="000F255C"/>
    <w:rsid w:val="000F4103"/>
    <w:rsid w:val="000F70A7"/>
    <w:rsid w:val="000F7194"/>
    <w:rsid w:val="00100EDF"/>
    <w:rsid w:val="001011BD"/>
    <w:rsid w:val="0010656A"/>
    <w:rsid w:val="00106A7C"/>
    <w:rsid w:val="00113CCA"/>
    <w:rsid w:val="00114D5B"/>
    <w:rsid w:val="00117E66"/>
    <w:rsid w:val="00120A8E"/>
    <w:rsid w:val="00122D93"/>
    <w:rsid w:val="00122F25"/>
    <w:rsid w:val="00125EC8"/>
    <w:rsid w:val="00135980"/>
    <w:rsid w:val="001376EF"/>
    <w:rsid w:val="0014310E"/>
    <w:rsid w:val="001439CC"/>
    <w:rsid w:val="001504E5"/>
    <w:rsid w:val="00152AE0"/>
    <w:rsid w:val="00154BF3"/>
    <w:rsid w:val="00160F9F"/>
    <w:rsid w:val="00162E04"/>
    <w:rsid w:val="00163E11"/>
    <w:rsid w:val="00164719"/>
    <w:rsid w:val="001664BD"/>
    <w:rsid w:val="00166FC4"/>
    <w:rsid w:val="0016730E"/>
    <w:rsid w:val="001677AC"/>
    <w:rsid w:val="00171C1C"/>
    <w:rsid w:val="00176235"/>
    <w:rsid w:val="00176896"/>
    <w:rsid w:val="001804EA"/>
    <w:rsid w:val="001840B1"/>
    <w:rsid w:val="0018546C"/>
    <w:rsid w:val="00187443"/>
    <w:rsid w:val="00190A61"/>
    <w:rsid w:val="00192E3D"/>
    <w:rsid w:val="00193A50"/>
    <w:rsid w:val="00193D48"/>
    <w:rsid w:val="00194A13"/>
    <w:rsid w:val="001965C6"/>
    <w:rsid w:val="001A1163"/>
    <w:rsid w:val="001A3342"/>
    <w:rsid w:val="001A3E3D"/>
    <w:rsid w:val="001A63FB"/>
    <w:rsid w:val="001A7049"/>
    <w:rsid w:val="001A7647"/>
    <w:rsid w:val="001A7C7C"/>
    <w:rsid w:val="001B088E"/>
    <w:rsid w:val="001B1E40"/>
    <w:rsid w:val="001B4D90"/>
    <w:rsid w:val="001B5A9B"/>
    <w:rsid w:val="001B68E7"/>
    <w:rsid w:val="001B7F04"/>
    <w:rsid w:val="001C1AC4"/>
    <w:rsid w:val="001C2699"/>
    <w:rsid w:val="001C337F"/>
    <w:rsid w:val="001C3BF4"/>
    <w:rsid w:val="001C4D93"/>
    <w:rsid w:val="001C5B3E"/>
    <w:rsid w:val="001C5C9E"/>
    <w:rsid w:val="001C5E78"/>
    <w:rsid w:val="001C764E"/>
    <w:rsid w:val="001D074D"/>
    <w:rsid w:val="001D0F43"/>
    <w:rsid w:val="001D4357"/>
    <w:rsid w:val="001D4B5B"/>
    <w:rsid w:val="001D51C0"/>
    <w:rsid w:val="001D7B2F"/>
    <w:rsid w:val="001E1052"/>
    <w:rsid w:val="001E19B0"/>
    <w:rsid w:val="001E21B1"/>
    <w:rsid w:val="001E2F93"/>
    <w:rsid w:val="001E36DB"/>
    <w:rsid w:val="001E3A54"/>
    <w:rsid w:val="001E3C3C"/>
    <w:rsid w:val="001E61E5"/>
    <w:rsid w:val="001E6362"/>
    <w:rsid w:val="001E7DC2"/>
    <w:rsid w:val="001F0499"/>
    <w:rsid w:val="001F158B"/>
    <w:rsid w:val="001F2159"/>
    <w:rsid w:val="001F26C6"/>
    <w:rsid w:val="001F3DEF"/>
    <w:rsid w:val="001F3EDC"/>
    <w:rsid w:val="001F708A"/>
    <w:rsid w:val="002002D4"/>
    <w:rsid w:val="00202301"/>
    <w:rsid w:val="002026A7"/>
    <w:rsid w:val="002026D4"/>
    <w:rsid w:val="00206290"/>
    <w:rsid w:val="00210EF9"/>
    <w:rsid w:val="00211F7C"/>
    <w:rsid w:val="00212DBC"/>
    <w:rsid w:val="00213975"/>
    <w:rsid w:val="00214863"/>
    <w:rsid w:val="002156B4"/>
    <w:rsid w:val="002163C8"/>
    <w:rsid w:val="002174F7"/>
    <w:rsid w:val="002206A0"/>
    <w:rsid w:val="00220AFF"/>
    <w:rsid w:val="002257EC"/>
    <w:rsid w:val="00226B68"/>
    <w:rsid w:val="002307A2"/>
    <w:rsid w:val="00234DA4"/>
    <w:rsid w:val="0024162B"/>
    <w:rsid w:val="002424F8"/>
    <w:rsid w:val="00244A7F"/>
    <w:rsid w:val="00246DEE"/>
    <w:rsid w:val="002471D2"/>
    <w:rsid w:val="002479DC"/>
    <w:rsid w:val="00253113"/>
    <w:rsid w:val="00253222"/>
    <w:rsid w:val="0025501C"/>
    <w:rsid w:val="00255F6C"/>
    <w:rsid w:val="0026036D"/>
    <w:rsid w:val="00261C15"/>
    <w:rsid w:val="00262847"/>
    <w:rsid w:val="002629E1"/>
    <w:rsid w:val="00264B7C"/>
    <w:rsid w:val="002742AD"/>
    <w:rsid w:val="00274F24"/>
    <w:rsid w:val="0027538A"/>
    <w:rsid w:val="0027568C"/>
    <w:rsid w:val="002760A3"/>
    <w:rsid w:val="00276100"/>
    <w:rsid w:val="00281BB2"/>
    <w:rsid w:val="00284E33"/>
    <w:rsid w:val="00290D59"/>
    <w:rsid w:val="00292300"/>
    <w:rsid w:val="00294ACF"/>
    <w:rsid w:val="0029767D"/>
    <w:rsid w:val="002977E4"/>
    <w:rsid w:val="002B0E46"/>
    <w:rsid w:val="002B1F7E"/>
    <w:rsid w:val="002B3377"/>
    <w:rsid w:val="002B5559"/>
    <w:rsid w:val="002B5DAC"/>
    <w:rsid w:val="002B72E9"/>
    <w:rsid w:val="002B75C8"/>
    <w:rsid w:val="002C7998"/>
    <w:rsid w:val="002D07CC"/>
    <w:rsid w:val="002D22C3"/>
    <w:rsid w:val="002D2678"/>
    <w:rsid w:val="002D36F5"/>
    <w:rsid w:val="002D47EC"/>
    <w:rsid w:val="002F0067"/>
    <w:rsid w:val="002F01DF"/>
    <w:rsid w:val="002F1E53"/>
    <w:rsid w:val="002F2623"/>
    <w:rsid w:val="002F2CAA"/>
    <w:rsid w:val="002F4A57"/>
    <w:rsid w:val="002F5DA8"/>
    <w:rsid w:val="002F7B75"/>
    <w:rsid w:val="0030052C"/>
    <w:rsid w:val="00303D33"/>
    <w:rsid w:val="003049F8"/>
    <w:rsid w:val="00304B16"/>
    <w:rsid w:val="00305C66"/>
    <w:rsid w:val="00311FD8"/>
    <w:rsid w:val="00325A15"/>
    <w:rsid w:val="003260D5"/>
    <w:rsid w:val="00327F0C"/>
    <w:rsid w:val="003306E1"/>
    <w:rsid w:val="003320E4"/>
    <w:rsid w:val="0033525D"/>
    <w:rsid w:val="003379AD"/>
    <w:rsid w:val="003405B4"/>
    <w:rsid w:val="0034109F"/>
    <w:rsid w:val="003414F3"/>
    <w:rsid w:val="00350A0C"/>
    <w:rsid w:val="00351C26"/>
    <w:rsid w:val="00352262"/>
    <w:rsid w:val="00355DAD"/>
    <w:rsid w:val="0035613E"/>
    <w:rsid w:val="00357ACB"/>
    <w:rsid w:val="00362A0F"/>
    <w:rsid w:val="00363EE9"/>
    <w:rsid w:val="003739AC"/>
    <w:rsid w:val="00374896"/>
    <w:rsid w:val="003760C7"/>
    <w:rsid w:val="00376128"/>
    <w:rsid w:val="0037742E"/>
    <w:rsid w:val="00380B17"/>
    <w:rsid w:val="00381A38"/>
    <w:rsid w:val="0038245A"/>
    <w:rsid w:val="00385CFC"/>
    <w:rsid w:val="00387E8E"/>
    <w:rsid w:val="0039337A"/>
    <w:rsid w:val="00395545"/>
    <w:rsid w:val="00395D78"/>
    <w:rsid w:val="003A2396"/>
    <w:rsid w:val="003A3189"/>
    <w:rsid w:val="003A320F"/>
    <w:rsid w:val="003A394B"/>
    <w:rsid w:val="003B33BD"/>
    <w:rsid w:val="003B3621"/>
    <w:rsid w:val="003B42A6"/>
    <w:rsid w:val="003B569D"/>
    <w:rsid w:val="003B5C17"/>
    <w:rsid w:val="003C3C0E"/>
    <w:rsid w:val="003C3C1D"/>
    <w:rsid w:val="003D1739"/>
    <w:rsid w:val="003D1D4D"/>
    <w:rsid w:val="003D4041"/>
    <w:rsid w:val="003D4FAC"/>
    <w:rsid w:val="003D640A"/>
    <w:rsid w:val="003E18D7"/>
    <w:rsid w:val="003E3402"/>
    <w:rsid w:val="003E516C"/>
    <w:rsid w:val="003E7906"/>
    <w:rsid w:val="003F0173"/>
    <w:rsid w:val="003F3A6C"/>
    <w:rsid w:val="003F3C50"/>
    <w:rsid w:val="003F5B10"/>
    <w:rsid w:val="00400B1F"/>
    <w:rsid w:val="00400D0C"/>
    <w:rsid w:val="0040462F"/>
    <w:rsid w:val="00405A4A"/>
    <w:rsid w:val="004064D5"/>
    <w:rsid w:val="00406A6A"/>
    <w:rsid w:val="00406B22"/>
    <w:rsid w:val="00407FA1"/>
    <w:rsid w:val="00412D4C"/>
    <w:rsid w:val="00422103"/>
    <w:rsid w:val="004254F9"/>
    <w:rsid w:val="004264C0"/>
    <w:rsid w:val="0042656D"/>
    <w:rsid w:val="00426A50"/>
    <w:rsid w:val="00426FCE"/>
    <w:rsid w:val="00431B86"/>
    <w:rsid w:val="004328A7"/>
    <w:rsid w:val="00432F1B"/>
    <w:rsid w:val="00433B24"/>
    <w:rsid w:val="00433BA2"/>
    <w:rsid w:val="004344C1"/>
    <w:rsid w:val="00434C74"/>
    <w:rsid w:val="00437A4C"/>
    <w:rsid w:val="00442531"/>
    <w:rsid w:val="004426B7"/>
    <w:rsid w:val="0045009C"/>
    <w:rsid w:val="004539DE"/>
    <w:rsid w:val="00456EB4"/>
    <w:rsid w:val="004601CD"/>
    <w:rsid w:val="004616B0"/>
    <w:rsid w:val="00464C22"/>
    <w:rsid w:val="00465A3E"/>
    <w:rsid w:val="00466B87"/>
    <w:rsid w:val="00467460"/>
    <w:rsid w:val="004675D2"/>
    <w:rsid w:val="004718F3"/>
    <w:rsid w:val="00475040"/>
    <w:rsid w:val="00485933"/>
    <w:rsid w:val="004917D0"/>
    <w:rsid w:val="00492DD3"/>
    <w:rsid w:val="0049391A"/>
    <w:rsid w:val="00493D40"/>
    <w:rsid w:val="00493EA7"/>
    <w:rsid w:val="004967B6"/>
    <w:rsid w:val="00497296"/>
    <w:rsid w:val="00497708"/>
    <w:rsid w:val="004A3EB7"/>
    <w:rsid w:val="004A427D"/>
    <w:rsid w:val="004A504B"/>
    <w:rsid w:val="004A6911"/>
    <w:rsid w:val="004B54E0"/>
    <w:rsid w:val="004B7384"/>
    <w:rsid w:val="004C0689"/>
    <w:rsid w:val="004C4269"/>
    <w:rsid w:val="004C6489"/>
    <w:rsid w:val="004C77FF"/>
    <w:rsid w:val="004D0700"/>
    <w:rsid w:val="004D1A9E"/>
    <w:rsid w:val="004D2D73"/>
    <w:rsid w:val="004D4302"/>
    <w:rsid w:val="004D561C"/>
    <w:rsid w:val="004D6236"/>
    <w:rsid w:val="004D69E1"/>
    <w:rsid w:val="004D7929"/>
    <w:rsid w:val="004D7F90"/>
    <w:rsid w:val="004E0F23"/>
    <w:rsid w:val="004E0FEB"/>
    <w:rsid w:val="004E3DF0"/>
    <w:rsid w:val="004E4DBB"/>
    <w:rsid w:val="004E4E41"/>
    <w:rsid w:val="004E51A2"/>
    <w:rsid w:val="004E64CA"/>
    <w:rsid w:val="004E6D13"/>
    <w:rsid w:val="004E7F9C"/>
    <w:rsid w:val="004F00C6"/>
    <w:rsid w:val="004F129E"/>
    <w:rsid w:val="004F1E9E"/>
    <w:rsid w:val="004F3493"/>
    <w:rsid w:val="004F3654"/>
    <w:rsid w:val="004F4FF8"/>
    <w:rsid w:val="004F5143"/>
    <w:rsid w:val="00501956"/>
    <w:rsid w:val="00502A9A"/>
    <w:rsid w:val="005034FF"/>
    <w:rsid w:val="00505666"/>
    <w:rsid w:val="0050632E"/>
    <w:rsid w:val="00506808"/>
    <w:rsid w:val="00512A38"/>
    <w:rsid w:val="00512B09"/>
    <w:rsid w:val="005152E2"/>
    <w:rsid w:val="00515EB2"/>
    <w:rsid w:val="0052003B"/>
    <w:rsid w:val="005206E2"/>
    <w:rsid w:val="005216DB"/>
    <w:rsid w:val="005246D4"/>
    <w:rsid w:val="005268E0"/>
    <w:rsid w:val="00532424"/>
    <w:rsid w:val="00533796"/>
    <w:rsid w:val="00534029"/>
    <w:rsid w:val="005344C7"/>
    <w:rsid w:val="00547006"/>
    <w:rsid w:val="00551B10"/>
    <w:rsid w:val="00552ECF"/>
    <w:rsid w:val="00553724"/>
    <w:rsid w:val="00553A2D"/>
    <w:rsid w:val="00555AC1"/>
    <w:rsid w:val="00555C9E"/>
    <w:rsid w:val="00555D75"/>
    <w:rsid w:val="005567E7"/>
    <w:rsid w:val="00560DF0"/>
    <w:rsid w:val="00561BFA"/>
    <w:rsid w:val="00562CD0"/>
    <w:rsid w:val="005638B9"/>
    <w:rsid w:val="00565C41"/>
    <w:rsid w:val="0056747C"/>
    <w:rsid w:val="0056759C"/>
    <w:rsid w:val="00567C13"/>
    <w:rsid w:val="00567DA3"/>
    <w:rsid w:val="00570388"/>
    <w:rsid w:val="00571128"/>
    <w:rsid w:val="00574524"/>
    <w:rsid w:val="00577CC3"/>
    <w:rsid w:val="00577E30"/>
    <w:rsid w:val="00582B5F"/>
    <w:rsid w:val="0058385E"/>
    <w:rsid w:val="00585032"/>
    <w:rsid w:val="00585625"/>
    <w:rsid w:val="00586581"/>
    <w:rsid w:val="00593074"/>
    <w:rsid w:val="0059409A"/>
    <w:rsid w:val="0059513E"/>
    <w:rsid w:val="005A2370"/>
    <w:rsid w:val="005A3467"/>
    <w:rsid w:val="005A389C"/>
    <w:rsid w:val="005A472B"/>
    <w:rsid w:val="005B0C0B"/>
    <w:rsid w:val="005B48FF"/>
    <w:rsid w:val="005B4D21"/>
    <w:rsid w:val="005B5914"/>
    <w:rsid w:val="005B64DC"/>
    <w:rsid w:val="005B6900"/>
    <w:rsid w:val="005C3754"/>
    <w:rsid w:val="005C427D"/>
    <w:rsid w:val="005C625E"/>
    <w:rsid w:val="005C679F"/>
    <w:rsid w:val="005D6894"/>
    <w:rsid w:val="005D7A72"/>
    <w:rsid w:val="005E0B81"/>
    <w:rsid w:val="005E25CA"/>
    <w:rsid w:val="005E2FC7"/>
    <w:rsid w:val="005E38E5"/>
    <w:rsid w:val="005E5B49"/>
    <w:rsid w:val="005E5F60"/>
    <w:rsid w:val="005E68AF"/>
    <w:rsid w:val="005E7F21"/>
    <w:rsid w:val="005F489B"/>
    <w:rsid w:val="005F4968"/>
    <w:rsid w:val="005F5198"/>
    <w:rsid w:val="00600DD4"/>
    <w:rsid w:val="00600E58"/>
    <w:rsid w:val="006010E5"/>
    <w:rsid w:val="00603C4E"/>
    <w:rsid w:val="00603E75"/>
    <w:rsid w:val="00604C15"/>
    <w:rsid w:val="00605D45"/>
    <w:rsid w:val="00614002"/>
    <w:rsid w:val="006158D5"/>
    <w:rsid w:val="006171C7"/>
    <w:rsid w:val="00625D83"/>
    <w:rsid w:val="0062616D"/>
    <w:rsid w:val="0063016C"/>
    <w:rsid w:val="0063219C"/>
    <w:rsid w:val="006333C8"/>
    <w:rsid w:val="0063542A"/>
    <w:rsid w:val="006372AF"/>
    <w:rsid w:val="00637667"/>
    <w:rsid w:val="00643C15"/>
    <w:rsid w:val="0064419B"/>
    <w:rsid w:val="00645F36"/>
    <w:rsid w:val="006502D8"/>
    <w:rsid w:val="00651533"/>
    <w:rsid w:val="00652869"/>
    <w:rsid w:val="00652A35"/>
    <w:rsid w:val="006534E7"/>
    <w:rsid w:val="006566A3"/>
    <w:rsid w:val="00660E2B"/>
    <w:rsid w:val="00662306"/>
    <w:rsid w:val="006623E7"/>
    <w:rsid w:val="006628D0"/>
    <w:rsid w:val="00662B80"/>
    <w:rsid w:val="006658F6"/>
    <w:rsid w:val="006703AC"/>
    <w:rsid w:val="00670F6C"/>
    <w:rsid w:val="00676A4B"/>
    <w:rsid w:val="00684164"/>
    <w:rsid w:val="006852C7"/>
    <w:rsid w:val="006862F2"/>
    <w:rsid w:val="006A3349"/>
    <w:rsid w:val="006A3DC2"/>
    <w:rsid w:val="006A4DE3"/>
    <w:rsid w:val="006A67CE"/>
    <w:rsid w:val="006A78A4"/>
    <w:rsid w:val="006B0ACE"/>
    <w:rsid w:val="006B0D86"/>
    <w:rsid w:val="006B1556"/>
    <w:rsid w:val="006B55FD"/>
    <w:rsid w:val="006B6C45"/>
    <w:rsid w:val="006B7E5D"/>
    <w:rsid w:val="006C0310"/>
    <w:rsid w:val="006C1727"/>
    <w:rsid w:val="006C2957"/>
    <w:rsid w:val="006C32FD"/>
    <w:rsid w:val="006C39CE"/>
    <w:rsid w:val="006C44A9"/>
    <w:rsid w:val="006C7B71"/>
    <w:rsid w:val="006D0FCC"/>
    <w:rsid w:val="006D184F"/>
    <w:rsid w:val="006D31D5"/>
    <w:rsid w:val="006D481B"/>
    <w:rsid w:val="006D6B0F"/>
    <w:rsid w:val="006D7E6B"/>
    <w:rsid w:val="006D7F4C"/>
    <w:rsid w:val="006E1C37"/>
    <w:rsid w:val="006E1FC3"/>
    <w:rsid w:val="006E24FD"/>
    <w:rsid w:val="006E35EE"/>
    <w:rsid w:val="006E3DDC"/>
    <w:rsid w:val="006E6412"/>
    <w:rsid w:val="006E6FE9"/>
    <w:rsid w:val="006F1686"/>
    <w:rsid w:val="006F3665"/>
    <w:rsid w:val="00702341"/>
    <w:rsid w:val="007027AB"/>
    <w:rsid w:val="00702C0C"/>
    <w:rsid w:val="0070490C"/>
    <w:rsid w:val="00705570"/>
    <w:rsid w:val="0070616B"/>
    <w:rsid w:val="00706FDA"/>
    <w:rsid w:val="00707CB0"/>
    <w:rsid w:val="00711F9A"/>
    <w:rsid w:val="00712FF5"/>
    <w:rsid w:val="00713810"/>
    <w:rsid w:val="00714A90"/>
    <w:rsid w:val="00714CE0"/>
    <w:rsid w:val="0071622B"/>
    <w:rsid w:val="007163BF"/>
    <w:rsid w:val="00717049"/>
    <w:rsid w:val="007173CC"/>
    <w:rsid w:val="0072026B"/>
    <w:rsid w:val="00721366"/>
    <w:rsid w:val="0072219F"/>
    <w:rsid w:val="00722271"/>
    <w:rsid w:val="00724629"/>
    <w:rsid w:val="007303A5"/>
    <w:rsid w:val="00730B3E"/>
    <w:rsid w:val="00730D76"/>
    <w:rsid w:val="00732161"/>
    <w:rsid w:val="007334EC"/>
    <w:rsid w:val="0073420B"/>
    <w:rsid w:val="00734F46"/>
    <w:rsid w:val="00735EED"/>
    <w:rsid w:val="00736E0B"/>
    <w:rsid w:val="00737CF7"/>
    <w:rsid w:val="007444A1"/>
    <w:rsid w:val="007445B5"/>
    <w:rsid w:val="007461B2"/>
    <w:rsid w:val="007471CE"/>
    <w:rsid w:val="0074760E"/>
    <w:rsid w:val="00751285"/>
    <w:rsid w:val="00754ABA"/>
    <w:rsid w:val="0076063D"/>
    <w:rsid w:val="00761FD8"/>
    <w:rsid w:val="0076711C"/>
    <w:rsid w:val="0077604E"/>
    <w:rsid w:val="00780F27"/>
    <w:rsid w:val="007827FB"/>
    <w:rsid w:val="00783B3D"/>
    <w:rsid w:val="007844D5"/>
    <w:rsid w:val="00787544"/>
    <w:rsid w:val="007906E2"/>
    <w:rsid w:val="00790F08"/>
    <w:rsid w:val="007935C9"/>
    <w:rsid w:val="007938B4"/>
    <w:rsid w:val="00797671"/>
    <w:rsid w:val="007A1546"/>
    <w:rsid w:val="007A228C"/>
    <w:rsid w:val="007A368E"/>
    <w:rsid w:val="007A4798"/>
    <w:rsid w:val="007A521B"/>
    <w:rsid w:val="007A5868"/>
    <w:rsid w:val="007A6E8C"/>
    <w:rsid w:val="007A72B9"/>
    <w:rsid w:val="007A761F"/>
    <w:rsid w:val="007A7E60"/>
    <w:rsid w:val="007B04CE"/>
    <w:rsid w:val="007B1F65"/>
    <w:rsid w:val="007B2F17"/>
    <w:rsid w:val="007B30D3"/>
    <w:rsid w:val="007B337C"/>
    <w:rsid w:val="007B6871"/>
    <w:rsid w:val="007B7A2F"/>
    <w:rsid w:val="007C1842"/>
    <w:rsid w:val="007C1AAC"/>
    <w:rsid w:val="007C1F4F"/>
    <w:rsid w:val="007C28B1"/>
    <w:rsid w:val="007C2AD7"/>
    <w:rsid w:val="007C3A3D"/>
    <w:rsid w:val="007C3D33"/>
    <w:rsid w:val="007C4B60"/>
    <w:rsid w:val="007C7FA4"/>
    <w:rsid w:val="007D294A"/>
    <w:rsid w:val="007D341A"/>
    <w:rsid w:val="007D47D2"/>
    <w:rsid w:val="007D5457"/>
    <w:rsid w:val="007D6EC0"/>
    <w:rsid w:val="007D6EE7"/>
    <w:rsid w:val="007D7E1D"/>
    <w:rsid w:val="007E1ECB"/>
    <w:rsid w:val="007E3DE6"/>
    <w:rsid w:val="007E4B0D"/>
    <w:rsid w:val="007E4C98"/>
    <w:rsid w:val="007E5119"/>
    <w:rsid w:val="007E7210"/>
    <w:rsid w:val="007E74B6"/>
    <w:rsid w:val="007E7758"/>
    <w:rsid w:val="008102F3"/>
    <w:rsid w:val="008111AB"/>
    <w:rsid w:val="00811949"/>
    <w:rsid w:val="00812E76"/>
    <w:rsid w:val="00820EE1"/>
    <w:rsid w:val="00821B42"/>
    <w:rsid w:val="00823D41"/>
    <w:rsid w:val="00824E62"/>
    <w:rsid w:val="00824F74"/>
    <w:rsid w:val="00825BF3"/>
    <w:rsid w:val="00826EBE"/>
    <w:rsid w:val="00831979"/>
    <w:rsid w:val="0083422F"/>
    <w:rsid w:val="00834553"/>
    <w:rsid w:val="00847B48"/>
    <w:rsid w:val="00851352"/>
    <w:rsid w:val="0085140E"/>
    <w:rsid w:val="00852D00"/>
    <w:rsid w:val="0085650D"/>
    <w:rsid w:val="00857504"/>
    <w:rsid w:val="0086042D"/>
    <w:rsid w:val="0086136F"/>
    <w:rsid w:val="00863230"/>
    <w:rsid w:val="008640AA"/>
    <w:rsid w:val="00864AE5"/>
    <w:rsid w:val="008707FD"/>
    <w:rsid w:val="008708AF"/>
    <w:rsid w:val="00871330"/>
    <w:rsid w:val="008717D8"/>
    <w:rsid w:val="0087215C"/>
    <w:rsid w:val="00876229"/>
    <w:rsid w:val="00880E35"/>
    <w:rsid w:val="00882244"/>
    <w:rsid w:val="00885CF0"/>
    <w:rsid w:val="008875FE"/>
    <w:rsid w:val="00887F8E"/>
    <w:rsid w:val="008908D7"/>
    <w:rsid w:val="0089351C"/>
    <w:rsid w:val="00894EDF"/>
    <w:rsid w:val="00896234"/>
    <w:rsid w:val="00897E43"/>
    <w:rsid w:val="008A45DA"/>
    <w:rsid w:val="008A486C"/>
    <w:rsid w:val="008B110E"/>
    <w:rsid w:val="008B1D03"/>
    <w:rsid w:val="008B46FD"/>
    <w:rsid w:val="008B48C3"/>
    <w:rsid w:val="008C207D"/>
    <w:rsid w:val="008C28BF"/>
    <w:rsid w:val="008C366D"/>
    <w:rsid w:val="008C5738"/>
    <w:rsid w:val="008C6C3A"/>
    <w:rsid w:val="008C7990"/>
    <w:rsid w:val="008C7EAD"/>
    <w:rsid w:val="008D0CFE"/>
    <w:rsid w:val="008D1B34"/>
    <w:rsid w:val="008D3DD8"/>
    <w:rsid w:val="008D410F"/>
    <w:rsid w:val="008D52DD"/>
    <w:rsid w:val="008D6152"/>
    <w:rsid w:val="008D6518"/>
    <w:rsid w:val="008D6A71"/>
    <w:rsid w:val="008E2072"/>
    <w:rsid w:val="008E59EA"/>
    <w:rsid w:val="008E5A99"/>
    <w:rsid w:val="008E6DBF"/>
    <w:rsid w:val="008E7529"/>
    <w:rsid w:val="008F0F81"/>
    <w:rsid w:val="008F27BF"/>
    <w:rsid w:val="008F2D26"/>
    <w:rsid w:val="008F3D9A"/>
    <w:rsid w:val="008F5327"/>
    <w:rsid w:val="008F79AD"/>
    <w:rsid w:val="00904118"/>
    <w:rsid w:val="00904BE7"/>
    <w:rsid w:val="009069B2"/>
    <w:rsid w:val="00906BA4"/>
    <w:rsid w:val="0090782D"/>
    <w:rsid w:val="009128AA"/>
    <w:rsid w:val="009142EC"/>
    <w:rsid w:val="009154C3"/>
    <w:rsid w:val="00916BA4"/>
    <w:rsid w:val="00923540"/>
    <w:rsid w:val="00923C07"/>
    <w:rsid w:val="00923FC0"/>
    <w:rsid w:val="00924689"/>
    <w:rsid w:val="00925675"/>
    <w:rsid w:val="00926767"/>
    <w:rsid w:val="00930CF1"/>
    <w:rsid w:val="009323FC"/>
    <w:rsid w:val="00933143"/>
    <w:rsid w:val="00934FFC"/>
    <w:rsid w:val="009357ED"/>
    <w:rsid w:val="00935B28"/>
    <w:rsid w:val="009361D5"/>
    <w:rsid w:val="00941A96"/>
    <w:rsid w:val="00942860"/>
    <w:rsid w:val="009428A4"/>
    <w:rsid w:val="009430EC"/>
    <w:rsid w:val="009447D9"/>
    <w:rsid w:val="00944BCF"/>
    <w:rsid w:val="0095148A"/>
    <w:rsid w:val="009524F4"/>
    <w:rsid w:val="0095657D"/>
    <w:rsid w:val="00960F21"/>
    <w:rsid w:val="00962935"/>
    <w:rsid w:val="009637BA"/>
    <w:rsid w:val="00963F80"/>
    <w:rsid w:val="009659F4"/>
    <w:rsid w:val="00966185"/>
    <w:rsid w:val="00966837"/>
    <w:rsid w:val="00970D60"/>
    <w:rsid w:val="00972DA9"/>
    <w:rsid w:val="00974485"/>
    <w:rsid w:val="009812D0"/>
    <w:rsid w:val="009842AA"/>
    <w:rsid w:val="009876E5"/>
    <w:rsid w:val="00987F48"/>
    <w:rsid w:val="00990DEE"/>
    <w:rsid w:val="009960E5"/>
    <w:rsid w:val="00996D06"/>
    <w:rsid w:val="00997AAB"/>
    <w:rsid w:val="00997D1B"/>
    <w:rsid w:val="009A5553"/>
    <w:rsid w:val="009A7ADC"/>
    <w:rsid w:val="009B008B"/>
    <w:rsid w:val="009B4838"/>
    <w:rsid w:val="009B6503"/>
    <w:rsid w:val="009C19B7"/>
    <w:rsid w:val="009C3AAD"/>
    <w:rsid w:val="009C3F54"/>
    <w:rsid w:val="009C5D28"/>
    <w:rsid w:val="009C7664"/>
    <w:rsid w:val="009D0F2A"/>
    <w:rsid w:val="009D358E"/>
    <w:rsid w:val="009D7660"/>
    <w:rsid w:val="009D7C51"/>
    <w:rsid w:val="009D7D08"/>
    <w:rsid w:val="009E06ED"/>
    <w:rsid w:val="009E0822"/>
    <w:rsid w:val="009E1451"/>
    <w:rsid w:val="009E1920"/>
    <w:rsid w:val="009E196C"/>
    <w:rsid w:val="009E5A64"/>
    <w:rsid w:val="009F0025"/>
    <w:rsid w:val="009F2784"/>
    <w:rsid w:val="009F36BF"/>
    <w:rsid w:val="009F6C6B"/>
    <w:rsid w:val="009F78C2"/>
    <w:rsid w:val="009F79A1"/>
    <w:rsid w:val="009F7C61"/>
    <w:rsid w:val="00A048AE"/>
    <w:rsid w:val="00A072B2"/>
    <w:rsid w:val="00A10A7C"/>
    <w:rsid w:val="00A111B6"/>
    <w:rsid w:val="00A114C8"/>
    <w:rsid w:val="00A11D88"/>
    <w:rsid w:val="00A130DB"/>
    <w:rsid w:val="00A13666"/>
    <w:rsid w:val="00A14EAF"/>
    <w:rsid w:val="00A24A69"/>
    <w:rsid w:val="00A26D27"/>
    <w:rsid w:val="00A27F12"/>
    <w:rsid w:val="00A303A3"/>
    <w:rsid w:val="00A32145"/>
    <w:rsid w:val="00A32533"/>
    <w:rsid w:val="00A33821"/>
    <w:rsid w:val="00A372C4"/>
    <w:rsid w:val="00A376EE"/>
    <w:rsid w:val="00A40134"/>
    <w:rsid w:val="00A42A99"/>
    <w:rsid w:val="00A42A9C"/>
    <w:rsid w:val="00A449E8"/>
    <w:rsid w:val="00A464F5"/>
    <w:rsid w:val="00A470DE"/>
    <w:rsid w:val="00A4712D"/>
    <w:rsid w:val="00A477A5"/>
    <w:rsid w:val="00A50F43"/>
    <w:rsid w:val="00A513C9"/>
    <w:rsid w:val="00A5151A"/>
    <w:rsid w:val="00A518E1"/>
    <w:rsid w:val="00A523F1"/>
    <w:rsid w:val="00A557B9"/>
    <w:rsid w:val="00A568DB"/>
    <w:rsid w:val="00A57E0A"/>
    <w:rsid w:val="00A605E6"/>
    <w:rsid w:val="00A6060E"/>
    <w:rsid w:val="00A65434"/>
    <w:rsid w:val="00A670D6"/>
    <w:rsid w:val="00A71422"/>
    <w:rsid w:val="00A728B6"/>
    <w:rsid w:val="00A72E66"/>
    <w:rsid w:val="00A737F8"/>
    <w:rsid w:val="00A779A5"/>
    <w:rsid w:val="00A8103E"/>
    <w:rsid w:val="00A8117B"/>
    <w:rsid w:val="00A823F6"/>
    <w:rsid w:val="00A82821"/>
    <w:rsid w:val="00A832A7"/>
    <w:rsid w:val="00A85BCD"/>
    <w:rsid w:val="00A86AA9"/>
    <w:rsid w:val="00A923AD"/>
    <w:rsid w:val="00A94388"/>
    <w:rsid w:val="00A94A6E"/>
    <w:rsid w:val="00AA051F"/>
    <w:rsid w:val="00AA0A89"/>
    <w:rsid w:val="00AA1B37"/>
    <w:rsid w:val="00AA1F2D"/>
    <w:rsid w:val="00AA51F0"/>
    <w:rsid w:val="00AA6429"/>
    <w:rsid w:val="00AB0E1E"/>
    <w:rsid w:val="00AB1092"/>
    <w:rsid w:val="00AB10D8"/>
    <w:rsid w:val="00AB12A9"/>
    <w:rsid w:val="00AB3A59"/>
    <w:rsid w:val="00AB3B17"/>
    <w:rsid w:val="00AB5699"/>
    <w:rsid w:val="00AB6223"/>
    <w:rsid w:val="00AB7386"/>
    <w:rsid w:val="00AB7D5A"/>
    <w:rsid w:val="00AC0102"/>
    <w:rsid w:val="00AC01AA"/>
    <w:rsid w:val="00AC1EB1"/>
    <w:rsid w:val="00AC3866"/>
    <w:rsid w:val="00AC3A77"/>
    <w:rsid w:val="00AC3F9F"/>
    <w:rsid w:val="00AC4117"/>
    <w:rsid w:val="00AC4B25"/>
    <w:rsid w:val="00AC4CF2"/>
    <w:rsid w:val="00AC4F72"/>
    <w:rsid w:val="00AC7685"/>
    <w:rsid w:val="00AD1509"/>
    <w:rsid w:val="00AD392F"/>
    <w:rsid w:val="00AD4793"/>
    <w:rsid w:val="00AD4BEF"/>
    <w:rsid w:val="00AD74A6"/>
    <w:rsid w:val="00AE356F"/>
    <w:rsid w:val="00AE370E"/>
    <w:rsid w:val="00AE3FEC"/>
    <w:rsid w:val="00AE52A8"/>
    <w:rsid w:val="00AE60C5"/>
    <w:rsid w:val="00AE688E"/>
    <w:rsid w:val="00AF3484"/>
    <w:rsid w:val="00AF3B66"/>
    <w:rsid w:val="00AF4202"/>
    <w:rsid w:val="00AF4799"/>
    <w:rsid w:val="00AF54D8"/>
    <w:rsid w:val="00AF6B07"/>
    <w:rsid w:val="00AF741A"/>
    <w:rsid w:val="00B000DF"/>
    <w:rsid w:val="00B015D5"/>
    <w:rsid w:val="00B01ADB"/>
    <w:rsid w:val="00B02D01"/>
    <w:rsid w:val="00B03868"/>
    <w:rsid w:val="00B04161"/>
    <w:rsid w:val="00B04FF6"/>
    <w:rsid w:val="00B056F9"/>
    <w:rsid w:val="00B05859"/>
    <w:rsid w:val="00B06100"/>
    <w:rsid w:val="00B11E3D"/>
    <w:rsid w:val="00B12D24"/>
    <w:rsid w:val="00B138D5"/>
    <w:rsid w:val="00B16407"/>
    <w:rsid w:val="00B1701F"/>
    <w:rsid w:val="00B17E82"/>
    <w:rsid w:val="00B20264"/>
    <w:rsid w:val="00B2107C"/>
    <w:rsid w:val="00B26105"/>
    <w:rsid w:val="00B31DD4"/>
    <w:rsid w:val="00B33B2B"/>
    <w:rsid w:val="00B34C29"/>
    <w:rsid w:val="00B4157B"/>
    <w:rsid w:val="00B44FB0"/>
    <w:rsid w:val="00B4575A"/>
    <w:rsid w:val="00B46699"/>
    <w:rsid w:val="00B47904"/>
    <w:rsid w:val="00B53E75"/>
    <w:rsid w:val="00B5592A"/>
    <w:rsid w:val="00B56A3B"/>
    <w:rsid w:val="00B575BA"/>
    <w:rsid w:val="00B606BC"/>
    <w:rsid w:val="00B63576"/>
    <w:rsid w:val="00B65C00"/>
    <w:rsid w:val="00B66B88"/>
    <w:rsid w:val="00B71CB1"/>
    <w:rsid w:val="00B757D4"/>
    <w:rsid w:val="00B76429"/>
    <w:rsid w:val="00B819B7"/>
    <w:rsid w:val="00B83CFD"/>
    <w:rsid w:val="00B87EA0"/>
    <w:rsid w:val="00B94810"/>
    <w:rsid w:val="00B956D4"/>
    <w:rsid w:val="00B97446"/>
    <w:rsid w:val="00BA1D63"/>
    <w:rsid w:val="00BA7432"/>
    <w:rsid w:val="00BB07EA"/>
    <w:rsid w:val="00BB1154"/>
    <w:rsid w:val="00BB133D"/>
    <w:rsid w:val="00BB17E4"/>
    <w:rsid w:val="00BB30DF"/>
    <w:rsid w:val="00BB3A47"/>
    <w:rsid w:val="00BC04C4"/>
    <w:rsid w:val="00BC056D"/>
    <w:rsid w:val="00BC1AA0"/>
    <w:rsid w:val="00BC2495"/>
    <w:rsid w:val="00BC46BB"/>
    <w:rsid w:val="00BC5261"/>
    <w:rsid w:val="00BC7EB9"/>
    <w:rsid w:val="00BD04BC"/>
    <w:rsid w:val="00BD2643"/>
    <w:rsid w:val="00BD56B1"/>
    <w:rsid w:val="00BD6558"/>
    <w:rsid w:val="00BE0923"/>
    <w:rsid w:val="00BE45A5"/>
    <w:rsid w:val="00BE56C8"/>
    <w:rsid w:val="00BF3022"/>
    <w:rsid w:val="00BF3214"/>
    <w:rsid w:val="00BF3BF7"/>
    <w:rsid w:val="00BF471D"/>
    <w:rsid w:val="00BF5573"/>
    <w:rsid w:val="00BF638D"/>
    <w:rsid w:val="00C05066"/>
    <w:rsid w:val="00C076F3"/>
    <w:rsid w:val="00C10196"/>
    <w:rsid w:val="00C11400"/>
    <w:rsid w:val="00C12A5D"/>
    <w:rsid w:val="00C1381F"/>
    <w:rsid w:val="00C15867"/>
    <w:rsid w:val="00C2296D"/>
    <w:rsid w:val="00C23155"/>
    <w:rsid w:val="00C33DA5"/>
    <w:rsid w:val="00C34E33"/>
    <w:rsid w:val="00C35527"/>
    <w:rsid w:val="00C3574B"/>
    <w:rsid w:val="00C357A0"/>
    <w:rsid w:val="00C35BFF"/>
    <w:rsid w:val="00C35C5B"/>
    <w:rsid w:val="00C408E4"/>
    <w:rsid w:val="00C40C41"/>
    <w:rsid w:val="00C414AD"/>
    <w:rsid w:val="00C41BF0"/>
    <w:rsid w:val="00C45885"/>
    <w:rsid w:val="00C460B0"/>
    <w:rsid w:val="00C46BA4"/>
    <w:rsid w:val="00C50F22"/>
    <w:rsid w:val="00C5329B"/>
    <w:rsid w:val="00C54F6D"/>
    <w:rsid w:val="00C57971"/>
    <w:rsid w:val="00C62C6C"/>
    <w:rsid w:val="00C6416C"/>
    <w:rsid w:val="00C6466D"/>
    <w:rsid w:val="00C65BD7"/>
    <w:rsid w:val="00C7440F"/>
    <w:rsid w:val="00C76B8C"/>
    <w:rsid w:val="00C76BA4"/>
    <w:rsid w:val="00C803A9"/>
    <w:rsid w:val="00C80E9B"/>
    <w:rsid w:val="00C83A48"/>
    <w:rsid w:val="00C84A1E"/>
    <w:rsid w:val="00C85865"/>
    <w:rsid w:val="00C85D8C"/>
    <w:rsid w:val="00C85E85"/>
    <w:rsid w:val="00C90045"/>
    <w:rsid w:val="00C9111C"/>
    <w:rsid w:val="00C92FB8"/>
    <w:rsid w:val="00C95D45"/>
    <w:rsid w:val="00C970A4"/>
    <w:rsid w:val="00CA2EAE"/>
    <w:rsid w:val="00CA4777"/>
    <w:rsid w:val="00CA4AB7"/>
    <w:rsid w:val="00CA4AC1"/>
    <w:rsid w:val="00CA5CF8"/>
    <w:rsid w:val="00CB0316"/>
    <w:rsid w:val="00CB0B11"/>
    <w:rsid w:val="00CB5167"/>
    <w:rsid w:val="00CB5354"/>
    <w:rsid w:val="00CB6E67"/>
    <w:rsid w:val="00CC0271"/>
    <w:rsid w:val="00CC0A47"/>
    <w:rsid w:val="00CC442E"/>
    <w:rsid w:val="00CC5033"/>
    <w:rsid w:val="00CC5B09"/>
    <w:rsid w:val="00CC6A14"/>
    <w:rsid w:val="00CC6FBF"/>
    <w:rsid w:val="00CC70A3"/>
    <w:rsid w:val="00CD14B0"/>
    <w:rsid w:val="00CD1F0A"/>
    <w:rsid w:val="00CD1FBB"/>
    <w:rsid w:val="00CD3E4D"/>
    <w:rsid w:val="00CD4442"/>
    <w:rsid w:val="00CD46B4"/>
    <w:rsid w:val="00CD53C3"/>
    <w:rsid w:val="00CD574E"/>
    <w:rsid w:val="00CE170A"/>
    <w:rsid w:val="00CE2844"/>
    <w:rsid w:val="00CE4C22"/>
    <w:rsid w:val="00CE4FE1"/>
    <w:rsid w:val="00CE5768"/>
    <w:rsid w:val="00CF05FF"/>
    <w:rsid w:val="00CF0871"/>
    <w:rsid w:val="00CF41EC"/>
    <w:rsid w:val="00CF5D04"/>
    <w:rsid w:val="00CF61D0"/>
    <w:rsid w:val="00CF7E3B"/>
    <w:rsid w:val="00D00DDC"/>
    <w:rsid w:val="00D017D7"/>
    <w:rsid w:val="00D01ED7"/>
    <w:rsid w:val="00D03D33"/>
    <w:rsid w:val="00D04DE4"/>
    <w:rsid w:val="00D063F1"/>
    <w:rsid w:val="00D06DD8"/>
    <w:rsid w:val="00D10EF9"/>
    <w:rsid w:val="00D117BE"/>
    <w:rsid w:val="00D11F69"/>
    <w:rsid w:val="00D147B0"/>
    <w:rsid w:val="00D14F22"/>
    <w:rsid w:val="00D16FCB"/>
    <w:rsid w:val="00D243A0"/>
    <w:rsid w:val="00D2509E"/>
    <w:rsid w:val="00D26F8B"/>
    <w:rsid w:val="00D31065"/>
    <w:rsid w:val="00D33CDA"/>
    <w:rsid w:val="00D35FD4"/>
    <w:rsid w:val="00D42117"/>
    <w:rsid w:val="00D4741C"/>
    <w:rsid w:val="00D52313"/>
    <w:rsid w:val="00D52ABB"/>
    <w:rsid w:val="00D57918"/>
    <w:rsid w:val="00D621D0"/>
    <w:rsid w:val="00D6621E"/>
    <w:rsid w:val="00D73DC6"/>
    <w:rsid w:val="00D73ECC"/>
    <w:rsid w:val="00D74C1A"/>
    <w:rsid w:val="00D75170"/>
    <w:rsid w:val="00D754C1"/>
    <w:rsid w:val="00D75947"/>
    <w:rsid w:val="00D762D0"/>
    <w:rsid w:val="00D77393"/>
    <w:rsid w:val="00D77A35"/>
    <w:rsid w:val="00D8052F"/>
    <w:rsid w:val="00D80604"/>
    <w:rsid w:val="00D80A5D"/>
    <w:rsid w:val="00D818B6"/>
    <w:rsid w:val="00D81B3E"/>
    <w:rsid w:val="00D841F0"/>
    <w:rsid w:val="00D84DD3"/>
    <w:rsid w:val="00D87490"/>
    <w:rsid w:val="00D90650"/>
    <w:rsid w:val="00D90C70"/>
    <w:rsid w:val="00D90E49"/>
    <w:rsid w:val="00D93A71"/>
    <w:rsid w:val="00D96ADE"/>
    <w:rsid w:val="00DA0CE2"/>
    <w:rsid w:val="00DA4163"/>
    <w:rsid w:val="00DA53D8"/>
    <w:rsid w:val="00DB0036"/>
    <w:rsid w:val="00DB0E83"/>
    <w:rsid w:val="00DB7C8D"/>
    <w:rsid w:val="00DC2C69"/>
    <w:rsid w:val="00DC3ED2"/>
    <w:rsid w:val="00DC4210"/>
    <w:rsid w:val="00DC64DD"/>
    <w:rsid w:val="00DC6A10"/>
    <w:rsid w:val="00DD182F"/>
    <w:rsid w:val="00DD2114"/>
    <w:rsid w:val="00DD2652"/>
    <w:rsid w:val="00DD4B05"/>
    <w:rsid w:val="00DD7954"/>
    <w:rsid w:val="00DE1FB3"/>
    <w:rsid w:val="00DE2C77"/>
    <w:rsid w:val="00DE43EF"/>
    <w:rsid w:val="00DE5E62"/>
    <w:rsid w:val="00DE657E"/>
    <w:rsid w:val="00DF0E62"/>
    <w:rsid w:val="00DF2037"/>
    <w:rsid w:val="00DF4704"/>
    <w:rsid w:val="00DF5FD4"/>
    <w:rsid w:val="00DF77C4"/>
    <w:rsid w:val="00E01A8C"/>
    <w:rsid w:val="00E0215B"/>
    <w:rsid w:val="00E024AA"/>
    <w:rsid w:val="00E03F05"/>
    <w:rsid w:val="00E04B6B"/>
    <w:rsid w:val="00E0552A"/>
    <w:rsid w:val="00E06DB7"/>
    <w:rsid w:val="00E07376"/>
    <w:rsid w:val="00E078E8"/>
    <w:rsid w:val="00E10862"/>
    <w:rsid w:val="00E202BB"/>
    <w:rsid w:val="00E250F1"/>
    <w:rsid w:val="00E25642"/>
    <w:rsid w:val="00E27275"/>
    <w:rsid w:val="00E323AA"/>
    <w:rsid w:val="00E33E92"/>
    <w:rsid w:val="00E3550D"/>
    <w:rsid w:val="00E35D02"/>
    <w:rsid w:val="00E35D84"/>
    <w:rsid w:val="00E36ABA"/>
    <w:rsid w:val="00E37405"/>
    <w:rsid w:val="00E37C15"/>
    <w:rsid w:val="00E407B4"/>
    <w:rsid w:val="00E4214D"/>
    <w:rsid w:val="00E431E3"/>
    <w:rsid w:val="00E45A36"/>
    <w:rsid w:val="00E46C7A"/>
    <w:rsid w:val="00E475E2"/>
    <w:rsid w:val="00E476C3"/>
    <w:rsid w:val="00E47FAF"/>
    <w:rsid w:val="00E5284C"/>
    <w:rsid w:val="00E52A46"/>
    <w:rsid w:val="00E53893"/>
    <w:rsid w:val="00E53F98"/>
    <w:rsid w:val="00E54F1D"/>
    <w:rsid w:val="00E57FF8"/>
    <w:rsid w:val="00E614E0"/>
    <w:rsid w:val="00E63B27"/>
    <w:rsid w:val="00E67C38"/>
    <w:rsid w:val="00E70009"/>
    <w:rsid w:val="00E71004"/>
    <w:rsid w:val="00E73F7F"/>
    <w:rsid w:val="00E8096F"/>
    <w:rsid w:val="00E81E25"/>
    <w:rsid w:val="00E85245"/>
    <w:rsid w:val="00E85409"/>
    <w:rsid w:val="00E85C1E"/>
    <w:rsid w:val="00E85F7B"/>
    <w:rsid w:val="00E862A6"/>
    <w:rsid w:val="00E8769C"/>
    <w:rsid w:val="00E905D0"/>
    <w:rsid w:val="00E9082E"/>
    <w:rsid w:val="00E92DB0"/>
    <w:rsid w:val="00E9677A"/>
    <w:rsid w:val="00EA115C"/>
    <w:rsid w:val="00EA1462"/>
    <w:rsid w:val="00EA17A6"/>
    <w:rsid w:val="00EA38B7"/>
    <w:rsid w:val="00EA3E19"/>
    <w:rsid w:val="00EA429F"/>
    <w:rsid w:val="00EA4BC1"/>
    <w:rsid w:val="00EA4F9E"/>
    <w:rsid w:val="00EA63CA"/>
    <w:rsid w:val="00EA6D3B"/>
    <w:rsid w:val="00EB00AD"/>
    <w:rsid w:val="00EB0C0F"/>
    <w:rsid w:val="00EB136C"/>
    <w:rsid w:val="00EB3053"/>
    <w:rsid w:val="00EB480E"/>
    <w:rsid w:val="00EB5EC6"/>
    <w:rsid w:val="00EB5F26"/>
    <w:rsid w:val="00EB7FC9"/>
    <w:rsid w:val="00EC0159"/>
    <w:rsid w:val="00EC2DEE"/>
    <w:rsid w:val="00EC504C"/>
    <w:rsid w:val="00EC75F4"/>
    <w:rsid w:val="00ED0596"/>
    <w:rsid w:val="00ED1C83"/>
    <w:rsid w:val="00ED27E8"/>
    <w:rsid w:val="00ED7137"/>
    <w:rsid w:val="00EE3B03"/>
    <w:rsid w:val="00EE50AA"/>
    <w:rsid w:val="00EE6234"/>
    <w:rsid w:val="00EE669C"/>
    <w:rsid w:val="00EF0EE9"/>
    <w:rsid w:val="00EF0F05"/>
    <w:rsid w:val="00EF1B01"/>
    <w:rsid w:val="00EF720B"/>
    <w:rsid w:val="00F0408A"/>
    <w:rsid w:val="00F17864"/>
    <w:rsid w:val="00F21088"/>
    <w:rsid w:val="00F21ABB"/>
    <w:rsid w:val="00F221BB"/>
    <w:rsid w:val="00F222D5"/>
    <w:rsid w:val="00F239B7"/>
    <w:rsid w:val="00F2535E"/>
    <w:rsid w:val="00F26C17"/>
    <w:rsid w:val="00F32136"/>
    <w:rsid w:val="00F327E7"/>
    <w:rsid w:val="00F32EDC"/>
    <w:rsid w:val="00F330E4"/>
    <w:rsid w:val="00F353F7"/>
    <w:rsid w:val="00F35746"/>
    <w:rsid w:val="00F358E1"/>
    <w:rsid w:val="00F37C73"/>
    <w:rsid w:val="00F37EF5"/>
    <w:rsid w:val="00F37FCA"/>
    <w:rsid w:val="00F40E7F"/>
    <w:rsid w:val="00F42B5C"/>
    <w:rsid w:val="00F447C7"/>
    <w:rsid w:val="00F46115"/>
    <w:rsid w:val="00F5211B"/>
    <w:rsid w:val="00F554A9"/>
    <w:rsid w:val="00F56B78"/>
    <w:rsid w:val="00F578FE"/>
    <w:rsid w:val="00F6477A"/>
    <w:rsid w:val="00F716FD"/>
    <w:rsid w:val="00F80355"/>
    <w:rsid w:val="00F83C7C"/>
    <w:rsid w:val="00F84E15"/>
    <w:rsid w:val="00F85493"/>
    <w:rsid w:val="00F86EB0"/>
    <w:rsid w:val="00F87C43"/>
    <w:rsid w:val="00F908B3"/>
    <w:rsid w:val="00F92A6C"/>
    <w:rsid w:val="00F95C54"/>
    <w:rsid w:val="00FA1504"/>
    <w:rsid w:val="00FA1FED"/>
    <w:rsid w:val="00FA224A"/>
    <w:rsid w:val="00FA7ECA"/>
    <w:rsid w:val="00FB0C81"/>
    <w:rsid w:val="00FB0CCE"/>
    <w:rsid w:val="00FB1EB0"/>
    <w:rsid w:val="00FB2392"/>
    <w:rsid w:val="00FB325A"/>
    <w:rsid w:val="00FB362C"/>
    <w:rsid w:val="00FB3E86"/>
    <w:rsid w:val="00FB5D02"/>
    <w:rsid w:val="00FC0FED"/>
    <w:rsid w:val="00FC2200"/>
    <w:rsid w:val="00FC2540"/>
    <w:rsid w:val="00FC2900"/>
    <w:rsid w:val="00FC413E"/>
    <w:rsid w:val="00FC4309"/>
    <w:rsid w:val="00FC5F64"/>
    <w:rsid w:val="00FC612D"/>
    <w:rsid w:val="00FC6F26"/>
    <w:rsid w:val="00FD1311"/>
    <w:rsid w:val="00FD14CE"/>
    <w:rsid w:val="00FD7AD5"/>
    <w:rsid w:val="00FE01AA"/>
    <w:rsid w:val="00FE3B1B"/>
    <w:rsid w:val="00FE75E1"/>
    <w:rsid w:val="00FF00B4"/>
    <w:rsid w:val="00FF0204"/>
    <w:rsid w:val="00FF0DF1"/>
    <w:rsid w:val="00FF3767"/>
    <w:rsid w:val="00FF3AED"/>
    <w:rsid w:val="00FF3D70"/>
    <w:rsid w:val="00FF402D"/>
    <w:rsid w:val="00FF42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3"/>
    <o:shapelayout v:ext="edit">
      <o:idmap v:ext="edit" data="1"/>
    </o:shapelayout>
  </w:shapeDefaults>
  <w:decimalSymbol w:val="."/>
  <w:listSeparator w:val=","/>
  <w15:docId w15:val="{92E14D99-1812-488E-B740-BF7032F66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7"/>
      </w:numPr>
      <w:tabs>
        <w:tab w:val="clear" w:pos="18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7"/>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7"/>
      </w:numPr>
      <w:spacing w:before="240" w:after="60"/>
      <w:outlineLvl w:val="5"/>
    </w:pPr>
    <w:rPr>
      <w:rFonts w:ascii="Arial" w:hAnsi="Arial"/>
      <w:i/>
    </w:rPr>
  </w:style>
  <w:style w:type="paragraph" w:styleId="Heading7">
    <w:name w:val="heading 7"/>
    <w:basedOn w:val="Normal"/>
    <w:next w:val="Normal"/>
    <w:qFormat/>
    <w:rsid w:val="00A5151A"/>
    <w:pPr>
      <w:numPr>
        <w:ilvl w:val="6"/>
        <w:numId w:val="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B64DC"/>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5B64DC"/>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5B64DC"/>
    <w:rPr>
      <w:lang w:val="en-GB"/>
    </w:rPr>
  </w:style>
  <w:style w:type="character" w:styleId="FootnoteReference">
    <w:name w:val="footnote reference"/>
    <w:aliases w:val="16 Point,Superscript 6 Point,Footnote text,Footnote Text1,Footnote Text2"/>
    <w:basedOn w:val="DefaultParagraphFont"/>
    <w:uiPriority w:val="99"/>
    <w:unhideWhenUsed/>
    <w:rsid w:val="005B64DC"/>
    <w:rPr>
      <w:vertAlign w:val="superscript"/>
    </w:rPr>
  </w:style>
  <w:style w:type="character" w:styleId="Hyperlink">
    <w:name w:val="Hyperlink"/>
    <w:basedOn w:val="DefaultParagraphFont"/>
    <w:uiPriority w:val="99"/>
    <w:unhideWhenUsed/>
    <w:rsid w:val="005B64DC"/>
    <w:rPr>
      <w:color w:val="0000FF" w:themeColor="hyperlink"/>
      <w:u w:val="single"/>
    </w:rPr>
  </w:style>
  <w:style w:type="character" w:customStyle="1" w:styleId="0Heading0Char2">
    <w:name w:val="0 Heading 0 Char2"/>
    <w:link w:val="0Heading0"/>
    <w:uiPriority w:val="99"/>
    <w:rsid w:val="00FE3B1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3767"/>
    <w:rPr>
      <w:sz w:val="22"/>
      <w:szCs w:val="22"/>
      <w:lang w:val="en-GB"/>
    </w:rPr>
  </w:style>
  <w:style w:type="character" w:customStyle="1" w:styleId="HeaderChar">
    <w:name w:val="Header Char"/>
    <w:basedOn w:val="DefaultParagraphFont"/>
    <w:link w:val="Header"/>
    <w:uiPriority w:val="99"/>
    <w:rsid w:val="00192E3D"/>
    <w:rPr>
      <w:sz w:val="22"/>
      <w:szCs w:val="22"/>
      <w:lang w:val="en-GB"/>
    </w:rPr>
  </w:style>
  <w:style w:type="table" w:customStyle="1" w:styleId="GridTable1Light-Accent51">
    <w:name w:val="Grid Table 1 Light - Accent 51"/>
    <w:basedOn w:val="TableNormal"/>
    <w:uiPriority w:val="46"/>
    <w:rsid w:val="00E8096F"/>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Caption">
    <w:name w:val="caption"/>
    <w:basedOn w:val="Normal"/>
    <w:next w:val="Normal"/>
    <w:qFormat/>
    <w:rsid w:val="009524F4"/>
    <w:pPr>
      <w:bidi/>
      <w:ind w:left="180" w:hanging="180"/>
      <w:jc w:val="lowKashida"/>
    </w:pPr>
    <w:rPr>
      <w:rFonts w:cs="Simplified Arabic"/>
      <w:sz w:val="24"/>
      <w:szCs w:val="32"/>
      <w:lang w:val="en-US" w:eastAsia="en-CA" w:bidi="ar-DZ"/>
    </w:rPr>
  </w:style>
  <w:style w:type="paragraph" w:customStyle="1" w:styleId="StyleHeading2SubParaaHeading2Char3Heading2CharChar2He">
    <w:name w:val="Style Heading 2SubPara (a)Heading 2 Char3Heading 2 Char Char2He..."/>
    <w:basedOn w:val="Heading2"/>
    <w:rsid w:val="009524F4"/>
    <w:pPr>
      <w:numPr>
        <w:ilvl w:val="0"/>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jpe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asme.org/engineering-topics/articles/technology-and-society/global-cooling-the-history-of-air-conditi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A1E463BCABDC47903B6A08781A4F66" ma:contentTypeVersion="5" ma:contentTypeDescription="Create a new document." ma:contentTypeScope="" ma:versionID="a12b9c2c466b2c490a51214301e7ec4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3876BB0-4FEA-4739-B1C9-EA91A42C6B5B}"/>
</file>

<file path=customXml/itemProps2.xml><?xml version="1.0" encoding="utf-8"?>
<ds:datastoreItem xmlns:ds="http://schemas.openxmlformats.org/officeDocument/2006/customXml" ds:itemID="{05E82995-5E3E-4C66-9836-D07B11AEDB67}"/>
</file>

<file path=customXml/itemProps3.xml><?xml version="1.0" encoding="utf-8"?>
<ds:datastoreItem xmlns:ds="http://schemas.openxmlformats.org/officeDocument/2006/customXml" ds:itemID="{B743BF1B-855D-4A37-8AB5-BEBA52CAAE79}"/>
</file>

<file path=customXml/itemProps4.xml><?xml version="1.0" encoding="utf-8"?>
<ds:datastoreItem xmlns:ds="http://schemas.openxmlformats.org/officeDocument/2006/customXml" ds:itemID="{97B1FB64-8C59-451D-95E7-F44EE56FBFCE}"/>
</file>

<file path=docProps/app.xml><?xml version="1.0" encoding="utf-8"?>
<Properties xmlns="http://schemas.openxmlformats.org/officeDocument/2006/extended-properties" xmlns:vt="http://schemas.openxmlformats.org/officeDocument/2006/docPropsVTypes">
  <Template>normal</Template>
  <TotalTime>1933</TotalTime>
  <Pages>29</Pages>
  <Words>11308</Words>
  <Characters>64461</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جميع الجوانب المتعلقة بقطاع خدمة التبريد التي تدعم التخفيض التدريجي للمواد الكلوروفلوروكربونية  \  </vt:lpstr>
    </vt:vector>
  </TitlesOfParts>
  <Company>UNMFS</Company>
  <LinksUpToDate>false</LinksUpToDate>
  <CharactersWithSpaces>75618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جميع الجوانب المتعلقة بقطاع خدمة التبريد التي تدعم التخفيض التدريجي للمواد الكلوروفلوروكربونية  \                                                                                                  .  </dc:title>
  <dc:subject/>
  <dc:creator>Bouthena Bendahmane</dc:creator>
  <cp:keywords/>
  <dc:description/>
  <cp:lastModifiedBy>HBE</cp:lastModifiedBy>
  <cp:revision>29</cp:revision>
  <cp:lastPrinted>2018-11-12T16:12:00Z</cp:lastPrinted>
  <dcterms:created xsi:type="dcterms:W3CDTF">2018-11-08T06:13:00Z</dcterms:created>
  <dcterms:modified xsi:type="dcterms:W3CDTF">2018-11-20T20:41:00Z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UNEP/OzL.Pro/ExCom/82/64</vt:lpwstr>
  </property>
  <property fmtid="{D5CDD505-2E9C-101B-9397-08002B2CF9AE}" pid="3" name="Revision date">
    <vt:lpwstr>11/02/2018</vt:lpwstr>
  </property>
  <property fmtid="{D5CDD505-2E9C-101B-9397-08002B2CF9AE}" pid="4" name="ContentTypeId">
    <vt:lpwstr>0x01010065A1E463BCABDC47903B6A08781A4F66</vt:lpwstr>
  </property>
</Properties>
</file>