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FF5C68" w:rsidRPr="00FF5C68" w14:paraId="05902D7D" w14:textId="77777777" w:rsidTr="007A7BEB">
        <w:trPr>
          <w:trHeight w:val="720"/>
        </w:trPr>
        <w:tc>
          <w:tcPr>
            <w:tcW w:w="6012" w:type="dxa"/>
            <w:gridSpan w:val="2"/>
            <w:tcBorders>
              <w:bottom w:val="single" w:sz="18" w:space="0" w:color="auto"/>
            </w:tcBorders>
            <w:vAlign w:val="center"/>
          </w:tcPr>
          <w:p w14:paraId="62539CC5" w14:textId="77777777" w:rsidR="00FF5C68" w:rsidRPr="00FF5C68" w:rsidRDefault="00FF5C68" w:rsidP="00FF5C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n-CA" w:eastAsia="en-US"/>
              </w:rPr>
            </w:pPr>
            <w:r w:rsidRPr="00FF5C68">
              <w:rPr>
                <w:rFonts w:ascii="Univers" w:hAnsi="Univers"/>
                <w:b/>
                <w:sz w:val="28"/>
                <w:szCs w:val="28"/>
                <w:lang w:val="en-CA" w:eastAsia="en-US"/>
              </w:rPr>
              <w:t>NATIONS</w:t>
            </w:r>
          </w:p>
          <w:p w14:paraId="3CB22F12" w14:textId="77777777" w:rsidR="00FF5C68" w:rsidRPr="00FF5C68" w:rsidRDefault="00FF5C68" w:rsidP="00FF5C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eastAsia="en-US"/>
              </w:rPr>
            </w:pPr>
            <w:r w:rsidRPr="00FF5C68">
              <w:rPr>
                <w:rFonts w:ascii="Univers" w:hAnsi="Univers"/>
                <w:b/>
                <w:sz w:val="28"/>
                <w:szCs w:val="28"/>
                <w:lang w:val="en-CA" w:eastAsia="en-US"/>
              </w:rPr>
              <w:t xml:space="preserve">UNIES </w:t>
            </w:r>
          </w:p>
        </w:tc>
        <w:tc>
          <w:tcPr>
            <w:tcW w:w="4140" w:type="dxa"/>
            <w:tcBorders>
              <w:bottom w:val="single" w:sz="18" w:space="0" w:color="auto"/>
            </w:tcBorders>
          </w:tcPr>
          <w:p w14:paraId="1AC4A8E6" w14:textId="77777777" w:rsidR="00FF5C68" w:rsidRPr="00FF5C68" w:rsidRDefault="00FF5C68" w:rsidP="00FF5C68">
            <w:pPr>
              <w:tabs>
                <w:tab w:val="left" w:pos="3010"/>
              </w:tabs>
              <w:jc w:val="center"/>
              <w:rPr>
                <w:sz w:val="52"/>
                <w:szCs w:val="52"/>
                <w:lang w:val="en-CA" w:eastAsia="en-US"/>
              </w:rPr>
            </w:pPr>
            <w:r w:rsidRPr="00FF5C68">
              <w:rPr>
                <w:rFonts w:ascii="Univers Bold" w:hAnsi="Univers Bold"/>
                <w:b/>
                <w:sz w:val="72"/>
                <w:lang w:eastAsia="en-US"/>
              </w:rPr>
              <w:t xml:space="preserve">             EP</w:t>
            </w:r>
          </w:p>
        </w:tc>
      </w:tr>
      <w:tr w:rsidR="00FF5C68" w:rsidRPr="00FF5C68" w14:paraId="0518B71D" w14:textId="77777777" w:rsidTr="0067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142" w:type="dxa"/>
            <w:tcBorders>
              <w:top w:val="nil"/>
              <w:left w:val="nil"/>
              <w:bottom w:val="single" w:sz="36" w:space="0" w:color="auto"/>
              <w:right w:val="nil"/>
            </w:tcBorders>
          </w:tcPr>
          <w:p w14:paraId="072DD527" w14:textId="77777777" w:rsidR="00FF5C68" w:rsidRPr="00FF5C68" w:rsidRDefault="00FF5C68" w:rsidP="00FF5C68">
            <w:pPr>
              <w:spacing w:before="120"/>
              <w:rPr>
                <w:lang w:val="en-CA" w:eastAsia="en-US"/>
              </w:rPr>
            </w:pPr>
            <w:r w:rsidRPr="00FF5C68">
              <w:rPr>
                <w:noProof/>
                <w:lang w:val="en-CA" w:eastAsia="en-CA"/>
              </w:rPr>
              <w:drawing>
                <wp:anchor distT="0" distB="0" distL="114300" distR="114300" simplePos="0" relativeHeight="251660290" behindDoc="0" locked="0" layoutInCell="1" allowOverlap="1" wp14:anchorId="534B8096" wp14:editId="1290DCBA">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FF5C68">
              <w:rPr>
                <w:noProof/>
                <w:lang w:val="en-CA" w:eastAsia="en-CA"/>
              </w:rPr>
              <w:drawing>
                <wp:anchor distT="0" distB="0" distL="114300" distR="114300" simplePos="0" relativeHeight="251661314" behindDoc="1" locked="0" layoutInCell="0" allowOverlap="1" wp14:anchorId="5A708411" wp14:editId="2987585E">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456EA40" w14:textId="77777777" w:rsidR="00FF5C68" w:rsidRPr="00FF5C68" w:rsidRDefault="00FF5C68" w:rsidP="00FF5C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eastAsia="en-US"/>
              </w:rPr>
            </w:pPr>
          </w:p>
          <w:p w14:paraId="15654BC1" w14:textId="77777777" w:rsidR="00FF5C68" w:rsidRPr="00FF5C68" w:rsidRDefault="00FF5C68" w:rsidP="00FF5C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eastAsia="en-US"/>
              </w:rPr>
            </w:pPr>
            <w:r w:rsidRPr="00FF5C68">
              <w:rPr>
                <w:rFonts w:ascii="Univers" w:hAnsi="Univers"/>
                <w:b/>
                <w:sz w:val="32"/>
                <w:lang w:eastAsia="en-US"/>
              </w:rPr>
              <w:t>Programme des</w:t>
            </w:r>
          </w:p>
          <w:p w14:paraId="6A17EEEC" w14:textId="77777777" w:rsidR="00FF5C68" w:rsidRPr="00FF5C68" w:rsidRDefault="00FF5C68" w:rsidP="00FF5C68">
            <w:pPr>
              <w:rPr>
                <w:rFonts w:ascii="Univers" w:hAnsi="Univers"/>
                <w:b/>
                <w:sz w:val="32"/>
                <w:lang w:eastAsia="en-US"/>
              </w:rPr>
            </w:pPr>
            <w:r w:rsidRPr="00FF5C68">
              <w:rPr>
                <w:rFonts w:ascii="Univers" w:hAnsi="Univers"/>
                <w:b/>
                <w:sz w:val="32"/>
                <w:lang w:eastAsia="en-US"/>
              </w:rPr>
              <w:t>Nations Unies pour</w:t>
            </w:r>
          </w:p>
          <w:p w14:paraId="3335BC56" w14:textId="77777777" w:rsidR="00FF5C68" w:rsidRPr="00FF5C68" w:rsidRDefault="00FF5C68" w:rsidP="00FF5C68">
            <w:pPr>
              <w:rPr>
                <w:rFonts w:ascii="Univers" w:hAnsi="Univers"/>
                <w:b/>
                <w:sz w:val="32"/>
                <w:lang w:eastAsia="en-US"/>
              </w:rPr>
            </w:pPr>
            <w:r w:rsidRPr="00FF5C68">
              <w:rPr>
                <w:rFonts w:ascii="Univers" w:hAnsi="Univers"/>
                <w:b/>
                <w:sz w:val="32"/>
                <w:lang w:eastAsia="en-US"/>
              </w:rPr>
              <w:t>l’environnement</w:t>
            </w:r>
          </w:p>
        </w:tc>
        <w:tc>
          <w:tcPr>
            <w:tcW w:w="4140" w:type="dxa"/>
            <w:tcBorders>
              <w:top w:val="nil"/>
              <w:left w:val="nil"/>
              <w:bottom w:val="single" w:sz="36" w:space="0" w:color="auto"/>
              <w:right w:val="nil"/>
            </w:tcBorders>
          </w:tcPr>
          <w:p w14:paraId="2F86F899" w14:textId="77777777" w:rsidR="00FF5C68" w:rsidRPr="00FF5C68" w:rsidRDefault="00FF5C68" w:rsidP="00FF5C68">
            <w:pPr>
              <w:rPr>
                <w:lang w:val="fr-FR" w:eastAsia="en-US"/>
              </w:rPr>
            </w:pPr>
          </w:p>
          <w:p w14:paraId="67FBD8C0" w14:textId="77777777" w:rsidR="00FF5C68" w:rsidRPr="00FF5C68" w:rsidRDefault="00FF5C68" w:rsidP="00FF5C68">
            <w:pPr>
              <w:rPr>
                <w:lang w:val="fr-FR" w:eastAsia="en-US"/>
              </w:rPr>
            </w:pPr>
            <w:r w:rsidRPr="00FF5C68">
              <w:rPr>
                <w:lang w:val="fr-FR" w:eastAsia="en-US"/>
              </w:rPr>
              <w:t>Distr.</w:t>
            </w:r>
          </w:p>
          <w:p w14:paraId="43B72F6B" w14:textId="77777777" w:rsidR="00FF5C68" w:rsidRPr="00FF5C68" w:rsidRDefault="00FF5C68" w:rsidP="00FF5C68">
            <w:pPr>
              <w:rPr>
                <w:lang w:val="fr-FR" w:eastAsia="en-US"/>
              </w:rPr>
            </w:pPr>
            <w:r w:rsidRPr="00FF5C68">
              <w:rPr>
                <w:lang w:val="fr-FR" w:eastAsia="en-US"/>
              </w:rPr>
              <w:t>GÉNÉRALE</w:t>
            </w:r>
          </w:p>
          <w:p w14:paraId="65A2E466" w14:textId="77777777" w:rsidR="00FF5C68" w:rsidRPr="00FF5C68" w:rsidRDefault="00FF5C68" w:rsidP="00FF5C68">
            <w:pPr>
              <w:rPr>
                <w:lang w:val="fr-FR" w:eastAsia="en-US"/>
              </w:rPr>
            </w:pPr>
          </w:p>
          <w:p w14:paraId="352116AA" w14:textId="5111B62D" w:rsidR="00FF5C68" w:rsidRPr="00FF5C68" w:rsidRDefault="00FF5C68" w:rsidP="00FF5C68">
            <w:pPr>
              <w:rPr>
                <w:lang w:eastAsia="en-US"/>
              </w:rPr>
            </w:pPr>
            <w:r w:rsidRPr="00FF5C68">
              <w:rPr>
                <w:lang w:val="en-CA" w:eastAsia="en-US"/>
              </w:rPr>
              <w:fldChar w:fldCharType="begin"/>
            </w:r>
            <w:r w:rsidRPr="00FF5C68">
              <w:rPr>
                <w:lang w:eastAsia="en-US"/>
              </w:rPr>
              <w:instrText xml:space="preserve"> DOCPROPERTY "Document number"  \* MERGEFORMAT </w:instrText>
            </w:r>
            <w:r w:rsidRPr="00FF5C68">
              <w:rPr>
                <w:lang w:val="en-CA" w:eastAsia="en-US"/>
              </w:rPr>
              <w:fldChar w:fldCharType="separate"/>
            </w:r>
            <w:r>
              <w:rPr>
                <w:lang w:eastAsia="en-US"/>
              </w:rPr>
              <w:t>UNEP/OzL.Pro/ExCom/99/83</w:t>
            </w:r>
            <w:r w:rsidRPr="00FF5C68">
              <w:rPr>
                <w:lang w:val="en-CA" w:eastAsia="en-US"/>
              </w:rPr>
              <w:fldChar w:fldCharType="end"/>
            </w:r>
          </w:p>
          <w:p w14:paraId="516F4A07" w14:textId="0DAB7828" w:rsidR="00FF5C68" w:rsidRPr="00FF5C68" w:rsidRDefault="00FF5C68" w:rsidP="00FF5C68">
            <w:pPr>
              <w:rPr>
                <w:szCs w:val="24"/>
                <w:lang w:eastAsia="en-US"/>
              </w:rPr>
            </w:pPr>
            <w:r w:rsidRPr="00FF5C68">
              <w:rPr>
                <w:szCs w:val="24"/>
                <w:lang w:val="en-CA" w:eastAsia="en-US"/>
              </w:rPr>
              <w:fldChar w:fldCharType="begin"/>
            </w:r>
            <w:r w:rsidRPr="00FF5C68">
              <w:rPr>
                <w:szCs w:val="24"/>
                <w:lang w:eastAsia="en-US"/>
              </w:rPr>
              <w:instrText xml:space="preserve"> DOCPROPERTY "Revision date" \@ "d MMMM YYYY"  \* MERGEFORMAT </w:instrText>
            </w:r>
            <w:r w:rsidRPr="00FF5C68">
              <w:rPr>
                <w:szCs w:val="24"/>
                <w:lang w:val="en-CA" w:eastAsia="en-US"/>
              </w:rPr>
              <w:fldChar w:fldCharType="separate"/>
            </w:r>
            <w:r>
              <w:rPr>
                <w:szCs w:val="24"/>
                <w:lang w:eastAsia="en-US"/>
              </w:rPr>
              <w:t>2</w:t>
            </w:r>
            <w:r w:rsidR="007A2807">
              <w:rPr>
                <w:szCs w:val="24"/>
                <w:lang w:eastAsia="en-US"/>
              </w:rPr>
              <w:t>6</w:t>
            </w:r>
            <w:r>
              <w:rPr>
                <w:szCs w:val="24"/>
                <w:lang w:eastAsia="en-US"/>
              </w:rPr>
              <w:t xml:space="preserve"> octobre 2026</w:t>
            </w:r>
            <w:r w:rsidRPr="00FF5C68">
              <w:rPr>
                <w:szCs w:val="24"/>
                <w:lang w:val="en-CA" w:eastAsia="en-US"/>
              </w:rPr>
              <w:fldChar w:fldCharType="end"/>
            </w:r>
          </w:p>
          <w:p w14:paraId="3577D951" w14:textId="77777777" w:rsidR="00FF5C68" w:rsidRPr="00FF5C68" w:rsidRDefault="00FF5C68" w:rsidP="00FF5C68">
            <w:pPr>
              <w:rPr>
                <w:caps/>
                <w:lang w:val="fr-FR" w:eastAsia="en-US"/>
              </w:rPr>
            </w:pPr>
            <w:r w:rsidRPr="00FF5C68">
              <w:rPr>
                <w:caps/>
                <w:lang w:eastAsia="en-US"/>
              </w:rPr>
              <w:br/>
            </w:r>
            <w:r w:rsidRPr="00FF5C68">
              <w:rPr>
                <w:caps/>
                <w:lang w:val="fr-FR" w:eastAsia="en-US"/>
              </w:rPr>
              <w:t>FRANÇAIS</w:t>
            </w:r>
          </w:p>
          <w:p w14:paraId="51D8CC0C" w14:textId="77777777" w:rsidR="00FF5C68" w:rsidRPr="00FF5C68" w:rsidRDefault="00FF5C68" w:rsidP="00FF5C68">
            <w:pPr>
              <w:rPr>
                <w:lang w:eastAsia="en-US"/>
              </w:rPr>
            </w:pPr>
            <w:r w:rsidRPr="00FF5C68">
              <w:rPr>
                <w:lang w:eastAsia="en-US"/>
              </w:rPr>
              <w:t>ORIGINAL : ANGLAIS</w:t>
            </w:r>
          </w:p>
        </w:tc>
      </w:tr>
    </w:tbl>
    <w:p w14:paraId="20358357" w14:textId="77777777" w:rsidR="00FF5C68" w:rsidRPr="00FF5C68" w:rsidRDefault="00FF5C68" w:rsidP="00FF5C68">
      <w:pPr>
        <w:jc w:val="left"/>
        <w:rPr>
          <w:lang w:eastAsia="en-US"/>
        </w:rPr>
      </w:pPr>
      <w:r w:rsidRPr="00FF5C68">
        <w:rPr>
          <w:lang w:eastAsia="en-US"/>
        </w:rPr>
        <w:t xml:space="preserve">COMITÉ EXÉCUTIF </w:t>
      </w:r>
      <w:r w:rsidRPr="00FF5C68">
        <w:rPr>
          <w:lang w:eastAsia="en-US"/>
        </w:rPr>
        <w:br/>
        <w:t xml:space="preserve">  DU FONDS MULTILATÉRAL AUX FINS </w:t>
      </w:r>
      <w:r w:rsidRPr="00FF5C68">
        <w:rPr>
          <w:lang w:eastAsia="en-US"/>
        </w:rPr>
        <w:br/>
        <w:t xml:space="preserve">  D’APPLICATION DU PROTOCOLE DE MONTRÉAL</w:t>
      </w:r>
      <w:r w:rsidRPr="00FF5C68">
        <w:rPr>
          <w:lang w:eastAsia="en-US"/>
        </w:rPr>
        <w:br/>
      </w:r>
      <w:r w:rsidRPr="00FF5C68">
        <w:rPr>
          <w:lang w:val="fr-FR" w:eastAsia="en-US"/>
        </w:rPr>
        <w:t xml:space="preserve">Quatre-vingt-dix-neuvième </w:t>
      </w:r>
      <w:r w:rsidRPr="00FF5C68">
        <w:rPr>
          <w:lang w:eastAsia="en-US"/>
        </w:rPr>
        <w:t>réunion</w:t>
      </w:r>
    </w:p>
    <w:p w14:paraId="3FFC7619" w14:textId="41CE4703" w:rsidR="00FF5C68" w:rsidRPr="00FF5C68" w:rsidRDefault="00FF5C68" w:rsidP="00FF5C68">
      <w:pPr>
        <w:jc w:val="left"/>
        <w:rPr>
          <w:lang w:eastAsia="en-US"/>
        </w:rPr>
      </w:pPr>
      <w:r w:rsidRPr="00FF5C68">
        <w:rPr>
          <w:lang w:eastAsia="en-US"/>
        </w:rPr>
        <w:t>Montréal, 7</w:t>
      </w:r>
      <w:r w:rsidRPr="00FF5C68">
        <w:t>-11</w:t>
      </w:r>
      <w:r w:rsidR="008568CB">
        <w:t> </w:t>
      </w:r>
      <w:r w:rsidRPr="00FF5C68">
        <w:t>décembre 2026</w:t>
      </w:r>
    </w:p>
    <w:p w14:paraId="3E9F3B2A" w14:textId="4582AF0A" w:rsidR="00EB6BDA" w:rsidRDefault="00EB6BDA" w:rsidP="00B82D52">
      <w:pPr>
        <w:jc w:val="left"/>
      </w:pPr>
      <w:r>
        <w:t>Point 14 de l’ordre du jour provisoire</w:t>
      </w:r>
      <w:r w:rsidRPr="00512BEF">
        <w:rPr>
          <w:rStyle w:val="FootnoteReference"/>
        </w:rPr>
        <w:footnoteReference w:id="1"/>
      </w:r>
    </w:p>
    <w:p w14:paraId="05512931" w14:textId="5F126D04" w:rsidR="001211E7" w:rsidRDefault="001211E7" w:rsidP="009B294B">
      <w:pPr>
        <w:pStyle w:val="Heading1"/>
        <w:numPr>
          <w:ilvl w:val="0"/>
          <w:numId w:val="0"/>
        </w:numPr>
        <w:spacing w:after="0"/>
      </w:pPr>
    </w:p>
    <w:p w14:paraId="33748FE2" w14:textId="77777777" w:rsidR="006C5100" w:rsidRDefault="00A01F2A" w:rsidP="00982581">
      <w:pPr>
        <w:shd w:val="clear" w:color="auto" w:fill="FFFFFF" w:themeFill="background1"/>
        <w:jc w:val="center"/>
        <w:rPr>
          <w:b/>
          <w:bCs/>
        </w:rPr>
      </w:pPr>
      <w:r>
        <w:rPr>
          <w:b/>
          <w:bCs/>
        </w:rPr>
        <w:t xml:space="preserve">DOCUMENT SUR LES DIFFICULTÉS DE MISE EN ŒUVRE </w:t>
      </w:r>
    </w:p>
    <w:p w14:paraId="6A091730" w14:textId="77777777" w:rsidR="00C11CD9" w:rsidRDefault="00A01F2A" w:rsidP="00982581">
      <w:pPr>
        <w:shd w:val="clear" w:color="auto" w:fill="FFFFFF" w:themeFill="background1"/>
        <w:jc w:val="center"/>
        <w:rPr>
          <w:b/>
          <w:bCs/>
        </w:rPr>
      </w:pPr>
      <w:r>
        <w:rPr>
          <w:b/>
          <w:bCs/>
        </w:rPr>
        <w:t xml:space="preserve">DES PROJETS DE RECONVERSION DANS LE SECTEUR </w:t>
      </w:r>
    </w:p>
    <w:p w14:paraId="0D6FA8D4" w14:textId="77777777" w:rsidR="00C11CD9" w:rsidRDefault="00A01F2A" w:rsidP="00982581">
      <w:pPr>
        <w:shd w:val="clear" w:color="auto" w:fill="FFFFFF" w:themeFill="background1"/>
        <w:jc w:val="center"/>
        <w:rPr>
          <w:b/>
          <w:bCs/>
        </w:rPr>
      </w:pPr>
      <w:r>
        <w:rPr>
          <w:b/>
          <w:bCs/>
        </w:rPr>
        <w:t xml:space="preserve">DE LA RÉFRIGÉRATION, DE LA CLIMATISATION ET DES POMPES À CHALEUR </w:t>
      </w:r>
    </w:p>
    <w:p w14:paraId="66FB3CC1" w14:textId="77777777" w:rsidR="00C11CD9" w:rsidRDefault="00A01F2A" w:rsidP="00982581">
      <w:pPr>
        <w:shd w:val="clear" w:color="auto" w:fill="FFFFFF" w:themeFill="background1"/>
        <w:jc w:val="center"/>
        <w:rPr>
          <w:b/>
          <w:bCs/>
        </w:rPr>
      </w:pPr>
      <w:r>
        <w:rPr>
          <w:b/>
          <w:bCs/>
        </w:rPr>
        <w:t xml:space="preserve">EN RAISON DE PROBLÈMES DE CHAÎNE D’APPROVISIONNEMENT </w:t>
      </w:r>
    </w:p>
    <w:p w14:paraId="33A6391E" w14:textId="0FAC7B1A" w:rsidR="001F202C" w:rsidRDefault="00A01F2A" w:rsidP="00982581">
      <w:pPr>
        <w:shd w:val="clear" w:color="auto" w:fill="FFFFFF" w:themeFill="background1"/>
        <w:jc w:val="center"/>
        <w:rPr>
          <w:b/>
          <w:bCs/>
        </w:rPr>
      </w:pPr>
      <w:r>
        <w:rPr>
          <w:b/>
          <w:bCs/>
        </w:rPr>
        <w:t>ET SUR LES MOYENS POSSIBLES DE SURMONTER CES DIFFICULTÉS</w:t>
      </w:r>
    </w:p>
    <w:p w14:paraId="527382FF" w14:textId="3CEEE3CE" w:rsidR="00A01F2A" w:rsidRDefault="00A01F2A" w:rsidP="00496E09">
      <w:pPr>
        <w:shd w:val="clear" w:color="auto" w:fill="FFFFFF" w:themeFill="background1"/>
        <w:jc w:val="center"/>
        <w:rPr>
          <w:b/>
          <w:bCs/>
        </w:rPr>
      </w:pPr>
      <w:r>
        <w:rPr>
          <w:b/>
          <w:bCs/>
        </w:rPr>
        <w:t>(DÉCISION 96/59)</w:t>
      </w:r>
    </w:p>
    <w:p w14:paraId="1EB09AA7" w14:textId="77777777" w:rsidR="00EB74ED" w:rsidRDefault="00EB74ED" w:rsidP="00EB74ED">
      <w:pPr>
        <w:shd w:val="clear" w:color="auto" w:fill="FFFFFF" w:themeFill="background1"/>
        <w:jc w:val="center"/>
        <w:rPr>
          <w:b/>
          <w:bCs/>
        </w:rPr>
      </w:pPr>
    </w:p>
    <w:p w14:paraId="581D44F0" w14:textId="19282C7E" w:rsidR="00F00349" w:rsidRPr="00FB27D8" w:rsidRDefault="00A01F2A" w:rsidP="007071A6">
      <w:pPr>
        <w:pStyle w:val="Heading1"/>
        <w:rPr>
          <w:sz w:val="24"/>
          <w:szCs w:val="24"/>
        </w:rPr>
      </w:pPr>
      <w:r>
        <w:t>Lors de sa 98</w:t>
      </w:r>
      <w:r>
        <w:rPr>
          <w:vertAlign w:val="superscript"/>
        </w:rPr>
        <w:t>e</w:t>
      </w:r>
      <w:r>
        <w:t xml:space="preserve"> réunion, le </w:t>
      </w:r>
      <w:r w:rsidR="00375F06">
        <w:t>C</w:t>
      </w:r>
      <w:r>
        <w:t xml:space="preserve">omité </w:t>
      </w:r>
      <w:r w:rsidR="00BF1FAA">
        <w:t>e</w:t>
      </w:r>
      <w:r>
        <w:t xml:space="preserve">xécutif a examiné le document UNEP/OzL.Pro/ExCom/98/57. </w:t>
      </w:r>
    </w:p>
    <w:p w14:paraId="307F510A" w14:textId="4164626C" w:rsidR="00CB46B8" w:rsidRDefault="00CB46B8" w:rsidP="007071A6">
      <w:pPr>
        <w:pStyle w:val="Heading1"/>
        <w:rPr>
          <w:sz w:val="24"/>
          <w:szCs w:val="24"/>
        </w:rPr>
      </w:pPr>
      <w:r>
        <w:t>Au cours de la discussion qui a suivi, le document a été perçu comme une vue d’ensemble opportune et utile des défis associés à la chaîne d’approvisionnement dans la mise en œuvre des projets de reconversion. Un membre a relevé que la transition vers des substituts à faible PRP dans le cadre de l’Amendement de Kigali nécessitait un accès physique à des technologies et à des composantes abordables, pour lesquel</w:t>
      </w:r>
      <w:r w:rsidR="00110ED1">
        <w:t>le</w:t>
      </w:r>
      <w:r>
        <w:t>s des chaînes d’approvisionnement résilientes sont essentielles, puisque les forces du marché ne peuvent à elles seules résoudre les obstacles structurels en temps voulu. Les pays visés à l’article 5 ont fait face à la dépendance à l’importation, à l’instabilité des prix pour les composantes critiques et les lacunes en matière de capacité technique qui ont particulièrement affecté les petites et moyennes entreprises, ce qui rend donc nécessaire le recours à un plan d’action clair sur les problèmes de chaîne d’approvisionnement afin de veiller à la mise en œuvre réussie de l’Amendement. D’autres membres ont abordé la nécessité de tenir compte des contraintes sur la chaîne d’approvisionnement pendant la préparation de projets, de la valeur des approches régionales pour édifier les chaînes d’approvisionnement, de l’importance de surveiller les changements du marché, et du besoin de distinguer les obstacles structurels de ceux qui peuvent être résolus grâce aux dynamiques du marché.</w:t>
      </w:r>
    </w:p>
    <w:p w14:paraId="10A294E7" w14:textId="14D0E529" w:rsidR="00CB46B8" w:rsidRDefault="00CB46B8" w:rsidP="00E0061C">
      <w:pPr>
        <w:pStyle w:val="Heading1"/>
        <w:widowControl w:val="0"/>
      </w:pPr>
      <w:r>
        <w:t xml:space="preserve">Le Comité exécutif a convenu de renvoyer la question pour une discussion supplémentaire au groupe de contact mis sur pied dans le cadre du point 13 à l’ordre du jour sur les approches stratégiques pour la mise en œuvre de l’Amendement de Kigali dans les pays visés à l’article 5. Comme le groupe de contact a manqué de temps pour examiner la question, le </w:t>
      </w:r>
      <w:r w:rsidR="00BF1FAA">
        <w:t>C</w:t>
      </w:r>
      <w:r>
        <w:t>omité a convenu de reporter son examen du document à sa 99</w:t>
      </w:r>
      <w:r>
        <w:rPr>
          <w:vertAlign w:val="superscript"/>
        </w:rPr>
        <w:t>e</w:t>
      </w:r>
      <w:r>
        <w:t xml:space="preserve"> réunion, lequel est reproduit dans le présent document. </w:t>
      </w:r>
    </w:p>
    <w:p w14:paraId="03E39D6F" w14:textId="77777777" w:rsidR="00207BE2" w:rsidRDefault="00921204" w:rsidP="00E0061C">
      <w:pPr>
        <w:pStyle w:val="Heading1"/>
        <w:widowControl w:val="0"/>
        <w:sectPr w:rsidR="00207BE2" w:rsidSect="00B3336D">
          <w:headerReference w:type="even" r:id="rId13"/>
          <w:headerReference w:type="default" r:id="rId14"/>
          <w:footerReference w:type="even" r:id="rId15"/>
          <w:footerReference w:type="default" r:id="rId16"/>
          <w:footerReference w:type="first" r:id="rId17"/>
          <w:pgSz w:w="12240" w:h="15840" w:code="1"/>
          <w:pgMar w:top="432" w:right="1296" w:bottom="432" w:left="1296" w:header="475" w:footer="475" w:gutter="0"/>
          <w:pgNumType w:start="1"/>
          <w:cols w:space="720"/>
          <w:titlePg/>
          <w:docGrid w:linePitch="299"/>
        </w:sectPr>
      </w:pPr>
      <w:r>
        <w:t xml:space="preserve">Le Comité exécutif pourrait envisager de prendre note que le groupe de l’évaluation technique et économique présentera les renseignements sur cette question dans son rapport d’évaluation quadriennal de 2026, conformément à la décision XXXVI/10. </w:t>
      </w:r>
    </w:p>
    <w:tbl>
      <w:tblPr>
        <w:tblW w:w="10242" w:type="dxa"/>
        <w:tblInd w:w="-432" w:type="dxa"/>
        <w:tblLayout w:type="fixed"/>
        <w:tblLook w:val="0000" w:firstRow="0" w:lastRow="0" w:firstColumn="0" w:lastColumn="0" w:noHBand="0" w:noVBand="0"/>
      </w:tblPr>
      <w:tblGrid>
        <w:gridCol w:w="2502"/>
        <w:gridCol w:w="4088"/>
        <w:gridCol w:w="7"/>
        <w:gridCol w:w="3645"/>
      </w:tblGrid>
      <w:tr w:rsidR="00A54BFC" w:rsidRPr="0005567E" w14:paraId="267D76E9" w14:textId="77777777" w:rsidTr="00381C70">
        <w:trPr>
          <w:trHeight w:val="720"/>
        </w:trPr>
        <w:tc>
          <w:tcPr>
            <w:tcW w:w="6597" w:type="dxa"/>
            <w:gridSpan w:val="3"/>
            <w:tcBorders>
              <w:bottom w:val="single" w:sz="18" w:space="0" w:color="auto"/>
            </w:tcBorders>
          </w:tcPr>
          <w:p w14:paraId="527CFE73" w14:textId="77777777" w:rsidR="00A54BFC" w:rsidRPr="0005567E" w:rsidRDefault="00A54BFC" w:rsidP="00381C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05567E">
              <w:rPr>
                <w:rFonts w:ascii="Univers" w:hAnsi="Univers"/>
                <w:b/>
                <w:sz w:val="28"/>
                <w:szCs w:val="28"/>
                <w:lang w:val="fr-FR"/>
              </w:rPr>
              <w:lastRenderedPageBreak/>
              <w:t>NATIONS</w:t>
            </w:r>
          </w:p>
          <w:p w14:paraId="203A515A" w14:textId="77777777" w:rsidR="00A54BFC" w:rsidRPr="0005567E" w:rsidRDefault="00A54BFC" w:rsidP="00381C70">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05567E">
              <w:rPr>
                <w:rFonts w:ascii="Univers" w:hAnsi="Univers"/>
                <w:b/>
                <w:sz w:val="28"/>
                <w:szCs w:val="28"/>
                <w:lang w:val="fr-FR"/>
              </w:rPr>
              <w:t>UNIES</w:t>
            </w:r>
          </w:p>
        </w:tc>
        <w:tc>
          <w:tcPr>
            <w:tcW w:w="3645" w:type="dxa"/>
            <w:tcBorders>
              <w:bottom w:val="single" w:sz="18" w:space="0" w:color="auto"/>
            </w:tcBorders>
          </w:tcPr>
          <w:p w14:paraId="784FBFC9" w14:textId="77777777" w:rsidR="00A54BFC" w:rsidRPr="0005567E" w:rsidRDefault="00A54BFC" w:rsidP="00381C70">
            <w:pPr>
              <w:shd w:val="clear" w:color="auto" w:fill="FFFFFF" w:themeFill="background1"/>
              <w:jc w:val="right"/>
              <w:rPr>
                <w:sz w:val="52"/>
                <w:szCs w:val="52"/>
                <w:lang w:val="fr-FR"/>
              </w:rPr>
            </w:pPr>
            <w:r w:rsidRPr="0005567E">
              <w:rPr>
                <w:rFonts w:ascii="Univers Bold" w:hAnsi="Univers Bold"/>
                <w:b/>
                <w:sz w:val="72"/>
                <w:lang w:val="fr-FR"/>
              </w:rPr>
              <w:t>EP</w:t>
            </w:r>
          </w:p>
        </w:tc>
      </w:tr>
      <w:tr w:rsidR="00A54BFC" w:rsidRPr="0005567E" w14:paraId="29C3FD68" w14:textId="77777777" w:rsidTr="00B333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4"/>
        </w:trPr>
        <w:tc>
          <w:tcPr>
            <w:tcW w:w="2502" w:type="dxa"/>
            <w:tcBorders>
              <w:top w:val="nil"/>
              <w:left w:val="nil"/>
              <w:bottom w:val="single" w:sz="36" w:space="0" w:color="auto"/>
              <w:right w:val="nil"/>
            </w:tcBorders>
          </w:tcPr>
          <w:p w14:paraId="364789E8" w14:textId="77777777" w:rsidR="00A54BFC" w:rsidRPr="0005567E" w:rsidRDefault="00A54BFC" w:rsidP="00381C70">
            <w:pPr>
              <w:shd w:val="clear" w:color="auto" w:fill="FFFFFF" w:themeFill="background1"/>
              <w:spacing w:before="120"/>
              <w:ind w:left="-9"/>
              <w:rPr>
                <w:lang w:val="fr-FR"/>
              </w:rPr>
            </w:pPr>
            <w:r w:rsidRPr="0005567E">
              <w:rPr>
                <w:noProof/>
                <w:lang w:val="fr-FR"/>
              </w:rPr>
              <mc:AlternateContent>
                <mc:Choice Requires="wpg">
                  <w:drawing>
                    <wp:inline distT="0" distB="0" distL="0" distR="0" wp14:anchorId="24269924" wp14:editId="1600D4A4">
                      <wp:extent cx="759413" cy="1343025"/>
                      <wp:effectExtent l="0" t="0" r="3175" b="9525"/>
                      <wp:docPr id="1149756559" name="Group 1149756559"/>
                      <wp:cNvGraphicFramePr/>
                      <a:graphic xmlns:a="http://schemas.openxmlformats.org/drawingml/2006/main">
                        <a:graphicData uri="http://schemas.microsoft.com/office/word/2010/wordprocessingGroup">
                          <wpg:wgp>
                            <wpg:cNvGrpSpPr/>
                            <wpg:grpSpPr>
                              <a:xfrm>
                                <a:off x="0" y="0"/>
                                <a:ext cx="759413" cy="1343025"/>
                                <a:chOff x="-7316" y="0"/>
                                <a:chExt cx="848317" cy="1542450"/>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13001" y="786450"/>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0A27401" id="Group 1149756559" o:spid="_x0000_s1026" style="width:59.8pt;height:105.75pt;mso-position-horizontal-relative:char;mso-position-vertical-relative:line" coordorigin="-73" coordsize="8483,154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&#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130;top:7864;width:8280;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8"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9" o:title=""/>
                        <o:lock v:ext="edit" aspectratio="f"/>
                      </v:shape>
                      <w10:anchorlock/>
                    </v:group>
                  </w:pict>
                </mc:Fallback>
              </mc:AlternateContent>
            </w:r>
          </w:p>
        </w:tc>
        <w:tc>
          <w:tcPr>
            <w:tcW w:w="4088" w:type="dxa"/>
            <w:tcBorders>
              <w:top w:val="nil"/>
              <w:left w:val="nil"/>
              <w:bottom w:val="single" w:sz="36" w:space="0" w:color="auto"/>
              <w:right w:val="nil"/>
            </w:tcBorders>
          </w:tcPr>
          <w:p w14:paraId="71826B23" w14:textId="77777777" w:rsidR="00A54BFC" w:rsidRPr="0005567E" w:rsidRDefault="00A54BFC" w:rsidP="00381C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3550019" w14:textId="77777777" w:rsidR="00A54BFC" w:rsidRPr="0005567E" w:rsidRDefault="00A54BFC" w:rsidP="00381C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05567E">
              <w:rPr>
                <w:rFonts w:ascii="Univers" w:hAnsi="Univers"/>
                <w:b/>
                <w:sz w:val="32"/>
                <w:lang w:val="fr-FR"/>
              </w:rPr>
              <w:t>Programme des</w:t>
            </w:r>
          </w:p>
          <w:p w14:paraId="5EF18597" w14:textId="77777777" w:rsidR="00A54BFC" w:rsidRPr="0005567E" w:rsidRDefault="00A54BFC" w:rsidP="00381C70">
            <w:pPr>
              <w:rPr>
                <w:rFonts w:ascii="Univers" w:hAnsi="Univers"/>
                <w:b/>
                <w:sz w:val="32"/>
                <w:lang w:val="fr-FR"/>
              </w:rPr>
            </w:pPr>
            <w:r w:rsidRPr="0005567E">
              <w:rPr>
                <w:rFonts w:ascii="Univers" w:hAnsi="Univers"/>
                <w:b/>
                <w:sz w:val="32"/>
                <w:lang w:val="fr-FR"/>
              </w:rPr>
              <w:t>Nations Unies pour</w:t>
            </w:r>
          </w:p>
          <w:p w14:paraId="729EC8C5" w14:textId="77777777" w:rsidR="00A54BFC" w:rsidRPr="0005567E" w:rsidRDefault="00A54BFC" w:rsidP="00381C70">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sidRPr="0005567E">
              <w:rPr>
                <w:rFonts w:ascii="Univers" w:hAnsi="Univers"/>
                <w:b/>
                <w:sz w:val="32"/>
                <w:lang w:val="fr-FR"/>
              </w:rPr>
              <w:t>l</w:t>
            </w:r>
            <w:r>
              <w:rPr>
                <w:rFonts w:ascii="Univers" w:hAnsi="Univers"/>
                <w:b/>
                <w:sz w:val="32"/>
                <w:lang w:val="fr-FR"/>
              </w:rPr>
              <w:t>’</w:t>
            </w:r>
            <w:r w:rsidRPr="0005567E">
              <w:rPr>
                <w:rFonts w:ascii="Univers" w:hAnsi="Univers"/>
                <w:b/>
                <w:sz w:val="32"/>
                <w:lang w:val="fr-FR"/>
              </w:rPr>
              <w:t>environnement</w:t>
            </w:r>
          </w:p>
        </w:tc>
        <w:tc>
          <w:tcPr>
            <w:tcW w:w="3652" w:type="dxa"/>
            <w:gridSpan w:val="2"/>
            <w:tcBorders>
              <w:top w:val="nil"/>
              <w:left w:val="nil"/>
              <w:bottom w:val="single" w:sz="36" w:space="0" w:color="auto"/>
              <w:right w:val="nil"/>
            </w:tcBorders>
          </w:tcPr>
          <w:p w14:paraId="50892261" w14:textId="77777777" w:rsidR="00A54BFC" w:rsidRPr="0005567E" w:rsidRDefault="00A54BFC" w:rsidP="00381C70">
            <w:pPr>
              <w:shd w:val="clear" w:color="auto" w:fill="FFFFFF" w:themeFill="background1"/>
              <w:spacing w:before="240"/>
              <w:rPr>
                <w:lang w:val="fr-FR"/>
              </w:rPr>
            </w:pPr>
            <w:r w:rsidRPr="0005567E">
              <w:rPr>
                <w:lang w:val="fr-FR"/>
              </w:rPr>
              <w:t>Distr.</w:t>
            </w:r>
          </w:p>
          <w:p w14:paraId="37F8C3F9" w14:textId="77777777" w:rsidR="00A54BFC" w:rsidRPr="0005567E" w:rsidRDefault="00A54BFC" w:rsidP="00381C70">
            <w:pPr>
              <w:shd w:val="clear" w:color="auto" w:fill="FFFFFF" w:themeFill="background1"/>
              <w:rPr>
                <w:lang w:val="fr-FR"/>
              </w:rPr>
            </w:pPr>
            <w:r w:rsidRPr="0005567E">
              <w:rPr>
                <w:lang w:val="fr-FR"/>
              </w:rPr>
              <w:t>GÉNÉRALE</w:t>
            </w:r>
          </w:p>
          <w:p w14:paraId="5D82EE0A" w14:textId="77777777" w:rsidR="00A54BFC" w:rsidRPr="0005567E" w:rsidRDefault="00A54BFC" w:rsidP="00381C70">
            <w:pPr>
              <w:shd w:val="clear" w:color="auto" w:fill="FFFFFF" w:themeFill="background1"/>
              <w:rPr>
                <w:lang w:val="fr-FR"/>
              </w:rPr>
            </w:pPr>
          </w:p>
          <w:p w14:paraId="02F2D386" w14:textId="77777777" w:rsidR="00A54BFC" w:rsidRPr="00F478D8" w:rsidRDefault="00A54BFC" w:rsidP="00381C70">
            <w:pPr>
              <w:shd w:val="clear" w:color="auto" w:fill="FFFFFF" w:themeFill="background1"/>
            </w:pPr>
            <w:r w:rsidRPr="0005567E">
              <w:rPr>
                <w:lang w:val="fr-FR"/>
              </w:rPr>
              <w:fldChar w:fldCharType="begin"/>
            </w:r>
            <w:r w:rsidRPr="00F478D8">
              <w:instrText xml:space="preserve"> DOCPROPERTY "Document number"  \* MERGEFORMAT </w:instrText>
            </w:r>
            <w:r w:rsidRPr="0005567E">
              <w:rPr>
                <w:lang w:val="fr-FR"/>
              </w:rPr>
              <w:fldChar w:fldCharType="separate"/>
            </w:r>
            <w:r w:rsidRPr="00F478D8">
              <w:t>UNEP/OzL.Pro/ExCom/98/57</w:t>
            </w:r>
            <w:r w:rsidRPr="0005567E">
              <w:rPr>
                <w:lang w:val="fr-FR"/>
              </w:rPr>
              <w:fldChar w:fldCharType="end"/>
            </w:r>
          </w:p>
          <w:p w14:paraId="38A95FA5" w14:textId="77777777" w:rsidR="00A54BFC" w:rsidRPr="000A3231" w:rsidRDefault="00A54BFC" w:rsidP="00381C70">
            <w:pPr>
              <w:shd w:val="clear" w:color="auto" w:fill="FFFFFF" w:themeFill="background1"/>
            </w:pPr>
            <w:r w:rsidRPr="0005567E">
              <w:rPr>
                <w:lang w:val="fr-FR"/>
              </w:rPr>
              <w:fldChar w:fldCharType="begin"/>
            </w:r>
            <w:r w:rsidRPr="000A3231">
              <w:instrText xml:space="preserve"> DOCPROPERTY "Revision date" \@ "d MMMM YYYY"  \* MERGEFORMAT </w:instrText>
            </w:r>
            <w:r w:rsidRPr="0005567E">
              <w:rPr>
                <w:lang w:val="fr-FR"/>
              </w:rPr>
              <w:fldChar w:fldCharType="separate"/>
            </w:r>
            <w:r w:rsidRPr="000A3231">
              <w:t>31 mai 2026</w:t>
            </w:r>
            <w:r w:rsidRPr="0005567E">
              <w:rPr>
                <w:lang w:val="fr-FR"/>
              </w:rPr>
              <w:fldChar w:fldCharType="end"/>
            </w:r>
          </w:p>
          <w:p w14:paraId="54C71DFA" w14:textId="77777777" w:rsidR="00A54BFC" w:rsidRPr="000A3231" w:rsidRDefault="00A54BFC" w:rsidP="00381C70">
            <w:pPr>
              <w:shd w:val="clear" w:color="auto" w:fill="FFFFFF" w:themeFill="background1"/>
              <w:rPr>
                <w:caps/>
              </w:rPr>
            </w:pPr>
          </w:p>
          <w:p w14:paraId="75D5D2EA" w14:textId="77777777" w:rsidR="00A54BFC" w:rsidRPr="0005567E" w:rsidRDefault="00A54BFC" w:rsidP="00381C70">
            <w:pPr>
              <w:rPr>
                <w:caps/>
                <w:lang w:val="fr-FR"/>
              </w:rPr>
            </w:pPr>
            <w:r w:rsidRPr="0005567E">
              <w:rPr>
                <w:caps/>
                <w:lang w:val="fr-FR"/>
              </w:rPr>
              <w:t>FRANÇAIS</w:t>
            </w:r>
          </w:p>
          <w:p w14:paraId="270945B5" w14:textId="77777777" w:rsidR="00A54BFC" w:rsidRPr="0005567E" w:rsidRDefault="00A54BFC" w:rsidP="00381C70">
            <w:pPr>
              <w:shd w:val="clear" w:color="auto" w:fill="FFFFFF" w:themeFill="background1"/>
              <w:rPr>
                <w:lang w:val="fr-FR"/>
              </w:rPr>
            </w:pPr>
            <w:r w:rsidRPr="0005567E">
              <w:rPr>
                <w:lang w:val="fr-FR"/>
              </w:rPr>
              <w:t>ORIGINAL</w:t>
            </w:r>
            <w:r>
              <w:rPr>
                <w:lang w:val="fr-FR"/>
              </w:rPr>
              <w:t xml:space="preserve"> </w:t>
            </w:r>
            <w:r w:rsidRPr="0005567E">
              <w:rPr>
                <w:lang w:val="fr-FR"/>
              </w:rPr>
              <w:t>: ANGLAIS</w:t>
            </w:r>
          </w:p>
        </w:tc>
      </w:tr>
    </w:tbl>
    <w:p w14:paraId="5EDD51A6" w14:textId="77777777" w:rsidR="00A54BFC" w:rsidRPr="0005567E" w:rsidRDefault="00A54BFC" w:rsidP="00A54BFC">
      <w:pPr>
        <w:jc w:val="left"/>
        <w:rPr>
          <w:lang w:val="fr-FR"/>
        </w:rPr>
      </w:pPr>
      <w:r w:rsidRPr="0005567E">
        <w:rPr>
          <w:lang w:val="fr-FR"/>
        </w:rPr>
        <w:t xml:space="preserve">COMITÉ EXÉCUTIF </w:t>
      </w:r>
      <w:r w:rsidRPr="0005567E">
        <w:rPr>
          <w:lang w:val="fr-FR"/>
        </w:rPr>
        <w:br/>
      </w:r>
      <w:r>
        <w:rPr>
          <w:lang w:val="fr-FR"/>
        </w:rPr>
        <w:t> </w:t>
      </w:r>
      <w:r w:rsidRPr="0005567E">
        <w:rPr>
          <w:lang w:val="fr-FR"/>
        </w:rPr>
        <w:t xml:space="preserve">DU FONDS MULTILATÉRAL AUX FINS </w:t>
      </w:r>
      <w:r w:rsidRPr="0005567E">
        <w:rPr>
          <w:lang w:val="fr-FR"/>
        </w:rPr>
        <w:br/>
      </w:r>
      <w:r>
        <w:rPr>
          <w:lang w:val="fr-FR"/>
        </w:rPr>
        <w:t> </w:t>
      </w:r>
      <w:r w:rsidRPr="0005567E">
        <w:rPr>
          <w:lang w:val="fr-FR"/>
        </w:rPr>
        <w:t>D</w:t>
      </w:r>
      <w:r>
        <w:rPr>
          <w:lang w:val="fr-FR"/>
        </w:rPr>
        <w:t>’</w:t>
      </w:r>
      <w:r w:rsidRPr="0005567E">
        <w:rPr>
          <w:lang w:val="fr-FR"/>
        </w:rPr>
        <w:t>APPLICATION DU PROTOCOLE DE MONTRÉAL</w:t>
      </w:r>
      <w:r w:rsidRPr="0005567E">
        <w:rPr>
          <w:lang w:val="fr-FR"/>
        </w:rPr>
        <w:br/>
        <w:t>Quatre-vingt-dix-huitième réunion</w:t>
      </w:r>
    </w:p>
    <w:p w14:paraId="6B924975" w14:textId="77777777" w:rsidR="00A54BFC" w:rsidRPr="0005567E" w:rsidRDefault="00A54BFC" w:rsidP="00A54BFC">
      <w:pPr>
        <w:shd w:val="clear" w:color="auto" w:fill="FFFFFF" w:themeFill="background1"/>
        <w:jc w:val="left"/>
        <w:rPr>
          <w:lang w:val="fr-FR"/>
        </w:rPr>
      </w:pPr>
      <w:r w:rsidRPr="0005567E">
        <w:rPr>
          <w:lang w:val="fr-FR"/>
        </w:rPr>
        <w:t>Montréal, 22-26 juin 2026</w:t>
      </w:r>
    </w:p>
    <w:p w14:paraId="66190CE1" w14:textId="77777777" w:rsidR="00A54BFC" w:rsidRPr="0005567E" w:rsidRDefault="00A54BFC" w:rsidP="00A54BFC">
      <w:pPr>
        <w:shd w:val="clear" w:color="auto" w:fill="FFFFFF" w:themeFill="background1"/>
        <w:spacing w:after="360"/>
        <w:jc w:val="left"/>
        <w:rPr>
          <w:lang w:val="fr-FR"/>
        </w:rPr>
      </w:pPr>
      <w:r w:rsidRPr="0005567E">
        <w:rPr>
          <w:lang w:val="fr-FR"/>
        </w:rPr>
        <w:t>Point 10 de l</w:t>
      </w:r>
      <w:r>
        <w:rPr>
          <w:lang w:val="fr-FR"/>
        </w:rPr>
        <w:t>’</w:t>
      </w:r>
      <w:r w:rsidRPr="0005567E">
        <w:rPr>
          <w:lang w:val="fr-FR"/>
        </w:rPr>
        <w:t>ordre du jour provisoire</w:t>
      </w:r>
      <w:r w:rsidRPr="0005567E">
        <w:rPr>
          <w:rStyle w:val="FootnoteReference"/>
          <w:lang w:val="fr-FR"/>
        </w:rPr>
        <w:footnoteReference w:id="2"/>
      </w:r>
    </w:p>
    <w:p w14:paraId="630269E1" w14:textId="77777777" w:rsidR="00C11CD9" w:rsidRDefault="00C11CD9" w:rsidP="00C11CD9">
      <w:pPr>
        <w:shd w:val="clear" w:color="auto" w:fill="FFFFFF" w:themeFill="background1"/>
        <w:jc w:val="center"/>
        <w:rPr>
          <w:b/>
          <w:bCs/>
        </w:rPr>
      </w:pPr>
      <w:r>
        <w:rPr>
          <w:b/>
          <w:bCs/>
        </w:rPr>
        <w:t xml:space="preserve">DOCUMENT SUR LES DIFFICULTÉS DE MISE EN ŒUVRE </w:t>
      </w:r>
    </w:p>
    <w:p w14:paraId="6EA4D43F" w14:textId="77777777" w:rsidR="00C11CD9" w:rsidRDefault="00C11CD9" w:rsidP="00C11CD9">
      <w:pPr>
        <w:shd w:val="clear" w:color="auto" w:fill="FFFFFF" w:themeFill="background1"/>
        <w:jc w:val="center"/>
        <w:rPr>
          <w:b/>
          <w:bCs/>
        </w:rPr>
      </w:pPr>
      <w:r>
        <w:rPr>
          <w:b/>
          <w:bCs/>
        </w:rPr>
        <w:t xml:space="preserve">DES PROJETS DE RECONVERSION DANS LE SECTEUR </w:t>
      </w:r>
    </w:p>
    <w:p w14:paraId="446F6A39" w14:textId="77777777" w:rsidR="00C11CD9" w:rsidRDefault="00C11CD9" w:rsidP="00C11CD9">
      <w:pPr>
        <w:shd w:val="clear" w:color="auto" w:fill="FFFFFF" w:themeFill="background1"/>
        <w:jc w:val="center"/>
        <w:rPr>
          <w:b/>
          <w:bCs/>
        </w:rPr>
      </w:pPr>
      <w:r>
        <w:rPr>
          <w:b/>
          <w:bCs/>
        </w:rPr>
        <w:t xml:space="preserve">DE LA RÉFRIGÉRATION, DE LA CLIMATISATION ET DES POMPES À CHALEUR </w:t>
      </w:r>
    </w:p>
    <w:p w14:paraId="014AF7EF" w14:textId="77777777" w:rsidR="00C11CD9" w:rsidRDefault="00C11CD9" w:rsidP="00C11CD9">
      <w:pPr>
        <w:shd w:val="clear" w:color="auto" w:fill="FFFFFF" w:themeFill="background1"/>
        <w:jc w:val="center"/>
        <w:rPr>
          <w:b/>
          <w:bCs/>
        </w:rPr>
      </w:pPr>
      <w:r>
        <w:rPr>
          <w:b/>
          <w:bCs/>
        </w:rPr>
        <w:t xml:space="preserve">EN RAISON DE PROBLÈMES DE CHAÎNE D’APPROVISIONNEMENT </w:t>
      </w:r>
    </w:p>
    <w:p w14:paraId="34163C87" w14:textId="77777777" w:rsidR="00C11CD9" w:rsidRDefault="00C11CD9" w:rsidP="00C11CD9">
      <w:pPr>
        <w:shd w:val="clear" w:color="auto" w:fill="FFFFFF" w:themeFill="background1"/>
        <w:jc w:val="center"/>
        <w:rPr>
          <w:b/>
          <w:bCs/>
        </w:rPr>
      </w:pPr>
      <w:r>
        <w:rPr>
          <w:b/>
          <w:bCs/>
        </w:rPr>
        <w:t>ET SUR LES MOYENS POSSIBLES DE SURMONTER CES DIFFICULTÉS</w:t>
      </w:r>
    </w:p>
    <w:p w14:paraId="541CE36E" w14:textId="77777777" w:rsidR="00C11CD9" w:rsidRDefault="00C11CD9" w:rsidP="00C11CD9">
      <w:pPr>
        <w:shd w:val="clear" w:color="auto" w:fill="FFFFFF" w:themeFill="background1"/>
        <w:jc w:val="center"/>
        <w:rPr>
          <w:b/>
          <w:bCs/>
        </w:rPr>
      </w:pPr>
      <w:r>
        <w:rPr>
          <w:b/>
          <w:bCs/>
        </w:rPr>
        <w:t>(DÉCISION 96/59)</w:t>
      </w:r>
    </w:p>
    <w:p w14:paraId="723FB199" w14:textId="77777777" w:rsidR="00A54BFC" w:rsidRPr="00C840A0" w:rsidRDefault="00A54BFC" w:rsidP="005F784E">
      <w:pPr>
        <w:shd w:val="clear" w:color="auto" w:fill="FFFFFF" w:themeFill="background1"/>
        <w:spacing w:before="240" w:after="240"/>
        <w:rPr>
          <w:b/>
          <w:bCs/>
        </w:rPr>
      </w:pPr>
      <w:r w:rsidRPr="00C840A0">
        <w:rPr>
          <w:b/>
          <w:bCs/>
          <w:lang w:val="fr-FR"/>
        </w:rPr>
        <w:t>Contexte</w:t>
      </w:r>
    </w:p>
    <w:p w14:paraId="108D2D3A" w14:textId="77777777" w:rsidR="00A54BFC" w:rsidRPr="000A3231" w:rsidRDefault="00A54BFC" w:rsidP="005F784E">
      <w:pPr>
        <w:pStyle w:val="Heading1"/>
        <w:numPr>
          <w:ilvl w:val="0"/>
          <w:numId w:val="42"/>
        </w:numPr>
        <w:shd w:val="clear" w:color="auto" w:fill="FFFFFF" w:themeFill="background1"/>
        <w:jc w:val="left"/>
        <w:rPr>
          <w:lang w:eastAsia="en-US"/>
        </w:rPr>
      </w:pPr>
      <w:r w:rsidRPr="005F784E">
        <w:rPr>
          <w:lang w:val="fr-FR" w:eastAsia="en-US"/>
        </w:rPr>
        <w:t>La transition vers des frigorigènes à faible potentiel de réchauffement de la planète (faible PRP) dans le secteur de la réfrigération,</w:t>
      </w:r>
      <w:r w:rsidRPr="000A3231">
        <w:rPr>
          <w:lang w:eastAsia="en-US"/>
        </w:rPr>
        <w:t xml:space="preserve"> </w:t>
      </w:r>
      <w:r w:rsidRPr="005F784E">
        <w:rPr>
          <w:lang w:val="fr-FR" w:eastAsia="en-US"/>
        </w:rPr>
        <w:t>de la climatisation et des pompes à chaleur (RACHP) est une composante essentielle des efforts déployés par les pays en vue de la réduction progressive des hydrofluorocarbures (HFC) au titre de l’Amendement de Kigali au Protocole de Montréal.</w:t>
      </w:r>
      <w:r w:rsidRPr="000A3231">
        <w:rPr>
          <w:lang w:eastAsia="en-US"/>
        </w:rPr>
        <w:t xml:space="preserve"> </w:t>
      </w:r>
      <w:r w:rsidRPr="005F784E">
        <w:rPr>
          <w:lang w:val="fr-FR" w:eastAsia="en-US"/>
        </w:rPr>
        <w:t>Les problèmes des chaînes d’approvisionnement sont étroitement liés à la mise en œuvre de projets de conversion dans le secteur de la fabrication soutenus par le Fonds multilatéral.</w:t>
      </w:r>
    </w:p>
    <w:p w14:paraId="130CBA41" w14:textId="77777777" w:rsidR="00A54BFC" w:rsidRPr="000A3231" w:rsidRDefault="00A54BFC" w:rsidP="00A54BFC">
      <w:pPr>
        <w:pStyle w:val="Heading1"/>
        <w:numPr>
          <w:ilvl w:val="0"/>
          <w:numId w:val="1"/>
        </w:numPr>
        <w:shd w:val="clear" w:color="auto" w:fill="FFFFFF" w:themeFill="background1"/>
      </w:pPr>
      <w:r w:rsidRPr="009D43E7">
        <w:rPr>
          <w:lang w:val="fr-FR"/>
        </w:rPr>
        <w:t>Lors de sa 96</w:t>
      </w:r>
      <w:r w:rsidRPr="009D43E7">
        <w:rPr>
          <w:vertAlign w:val="superscript"/>
          <w:lang w:val="fr-FR"/>
        </w:rPr>
        <w:t>e</w:t>
      </w:r>
      <w:r w:rsidRPr="009D43E7">
        <w:rPr>
          <w:lang w:val="fr-FR"/>
        </w:rPr>
        <w:t xml:space="preserve"> réunion, le Comité exécutif a examiné les difficultés rencontrées par les pays pour </w:t>
      </w:r>
      <w:r>
        <w:rPr>
          <w:lang w:val="fr-FR"/>
        </w:rPr>
        <w:t>implémenter</w:t>
      </w:r>
      <w:r w:rsidRPr="009D43E7">
        <w:rPr>
          <w:lang w:val="fr-FR"/>
        </w:rPr>
        <w:t xml:space="preserve"> les plans de mise en œuvre de l</w:t>
      </w:r>
      <w:r>
        <w:rPr>
          <w:lang w:val="fr-FR"/>
        </w:rPr>
        <w:t>’</w:t>
      </w:r>
      <w:r w:rsidRPr="009D43E7">
        <w:rPr>
          <w:lang w:val="fr-FR"/>
        </w:rPr>
        <w:t>Amendement de Kigali relatifs aux HFC</w:t>
      </w:r>
      <w:r>
        <w:rPr>
          <w:lang w:val="fr-FR"/>
        </w:rPr>
        <w:t xml:space="preserve"> (KIP)</w:t>
      </w:r>
      <w:r w:rsidRPr="009D43E7">
        <w:rPr>
          <w:lang w:val="fr-FR"/>
        </w:rPr>
        <w:t xml:space="preserve">, </w:t>
      </w:r>
      <w:r>
        <w:rPr>
          <w:lang w:val="fr-FR"/>
        </w:rPr>
        <w:t>tout particulière</w:t>
      </w:r>
      <w:r w:rsidRPr="009D43E7">
        <w:rPr>
          <w:lang w:val="fr-FR"/>
        </w:rPr>
        <w:t>ment ce</w:t>
      </w:r>
      <w:r>
        <w:rPr>
          <w:lang w:val="fr-FR"/>
        </w:rPr>
        <w:t>lles</w:t>
      </w:r>
      <w:r w:rsidRPr="009D43E7">
        <w:rPr>
          <w:lang w:val="fr-FR"/>
        </w:rPr>
        <w:t xml:space="preserve"> liées à la chaîne d</w:t>
      </w:r>
      <w:r>
        <w:rPr>
          <w:lang w:val="fr-FR"/>
        </w:rPr>
        <w:t>’</w:t>
      </w:r>
      <w:r w:rsidRPr="009D43E7">
        <w:rPr>
          <w:lang w:val="fr-FR"/>
        </w:rPr>
        <w:t xml:space="preserve">approvisionnement en </w:t>
      </w:r>
      <w:r>
        <w:rPr>
          <w:lang w:val="fr-FR"/>
        </w:rPr>
        <w:t xml:space="preserve">produits </w:t>
      </w:r>
      <w:r w:rsidRPr="009D43E7">
        <w:rPr>
          <w:lang w:val="fr-FR"/>
        </w:rPr>
        <w:t>de remplacement et composants d</w:t>
      </w:r>
      <w:r>
        <w:rPr>
          <w:lang w:val="fr-FR"/>
        </w:rPr>
        <w:t>’</w:t>
      </w:r>
      <w:r w:rsidRPr="009D43E7">
        <w:rPr>
          <w:lang w:val="fr-FR"/>
        </w:rPr>
        <w:t>équipement</w:t>
      </w:r>
      <w:r>
        <w:rPr>
          <w:lang w:val="fr-FR"/>
        </w:rPr>
        <w:t>s</w:t>
      </w:r>
      <w:r w:rsidRPr="009D43E7">
        <w:rPr>
          <w:lang w:val="fr-FR"/>
        </w:rPr>
        <w:t xml:space="preserve"> </w:t>
      </w:r>
      <w:r>
        <w:rPr>
          <w:lang w:val="fr-FR"/>
        </w:rPr>
        <w:t>du secteur de la</w:t>
      </w:r>
      <w:r w:rsidRPr="009D43E7">
        <w:rPr>
          <w:lang w:val="fr-FR"/>
        </w:rPr>
        <w:t xml:space="preserve"> réfrigération, de </w:t>
      </w:r>
      <w:r>
        <w:rPr>
          <w:lang w:val="fr-FR"/>
        </w:rPr>
        <w:t xml:space="preserve">la </w:t>
      </w:r>
      <w:r w:rsidRPr="009D43E7">
        <w:rPr>
          <w:lang w:val="fr-FR"/>
        </w:rPr>
        <w:t>climatisation et de</w:t>
      </w:r>
      <w:r>
        <w:rPr>
          <w:lang w:val="fr-FR"/>
        </w:rPr>
        <w:t>s</w:t>
      </w:r>
      <w:r w:rsidRPr="009D43E7">
        <w:rPr>
          <w:lang w:val="fr-FR"/>
        </w:rPr>
        <w:t xml:space="preserve"> pompes à chaleur.</w:t>
      </w:r>
      <w:r w:rsidRPr="000A3231">
        <w:t xml:space="preserve"> </w:t>
      </w:r>
      <w:r w:rsidRPr="009D43E7">
        <w:rPr>
          <w:lang w:val="fr-FR"/>
        </w:rPr>
        <w:t>Ces défis ont été résumés dans le document UNEP/OzL.Pro/ExCom/96/2</w:t>
      </w:r>
      <w:r w:rsidRPr="009D43E7">
        <w:rPr>
          <w:rStyle w:val="FootnoteReference"/>
          <w:lang w:val="fr-FR"/>
        </w:rPr>
        <w:footnoteReference w:id="3"/>
      </w:r>
      <w:r w:rsidRPr="009D43E7">
        <w:rPr>
          <w:lang w:val="fr-FR"/>
        </w:rPr>
        <w:t xml:space="preserve"> </w:t>
      </w:r>
      <w:r>
        <w:rPr>
          <w:lang w:val="fr-FR"/>
        </w:rPr>
        <w:t>portant sur</w:t>
      </w:r>
      <w:r w:rsidRPr="009D43E7">
        <w:rPr>
          <w:lang w:val="fr-FR"/>
        </w:rPr>
        <w:t xml:space="preserve"> les activités du </w:t>
      </w:r>
      <w:r>
        <w:rPr>
          <w:lang w:val="fr-FR"/>
        </w:rPr>
        <w:t>secrétariat</w:t>
      </w:r>
      <w:r w:rsidRPr="009D43E7">
        <w:rPr>
          <w:lang w:val="fr-FR"/>
        </w:rPr>
        <w:t>.</w:t>
      </w:r>
      <w:r w:rsidRPr="000A3231">
        <w:t xml:space="preserve"> </w:t>
      </w:r>
      <w:r w:rsidRPr="009D43E7">
        <w:rPr>
          <w:lang w:val="fr-FR"/>
        </w:rPr>
        <w:t>Au cours de cette même réunion, les membres ont souligné la nécessité d</w:t>
      </w:r>
      <w:r>
        <w:rPr>
          <w:lang w:val="fr-FR"/>
        </w:rPr>
        <w:t>’</w:t>
      </w:r>
      <w:r w:rsidRPr="009D43E7">
        <w:rPr>
          <w:lang w:val="fr-FR"/>
        </w:rPr>
        <w:t>examiner dans leur ensemble les problèmes liés à la chaîne d</w:t>
      </w:r>
      <w:r>
        <w:rPr>
          <w:lang w:val="fr-FR"/>
        </w:rPr>
        <w:t>’</w:t>
      </w:r>
      <w:r w:rsidRPr="009D43E7">
        <w:rPr>
          <w:lang w:val="fr-FR"/>
        </w:rPr>
        <w:t>approvisionnement, de les étudier de manière approfondie et de concentrer les efforts sur l</w:t>
      </w:r>
      <w:r>
        <w:rPr>
          <w:lang w:val="fr-FR"/>
        </w:rPr>
        <w:t>’</w:t>
      </w:r>
      <w:r w:rsidRPr="009D43E7">
        <w:rPr>
          <w:lang w:val="fr-FR"/>
        </w:rPr>
        <w:t>identification des défis et des solutions.</w:t>
      </w:r>
      <w:r w:rsidRPr="000A3231">
        <w:t xml:space="preserve"> </w:t>
      </w:r>
    </w:p>
    <w:p w14:paraId="6A51FB38" w14:textId="77777777" w:rsidR="00A54BFC" w:rsidRPr="000A3231" w:rsidRDefault="00A54BFC" w:rsidP="00A54BFC">
      <w:pPr>
        <w:pStyle w:val="Heading1"/>
        <w:numPr>
          <w:ilvl w:val="0"/>
          <w:numId w:val="1"/>
        </w:numPr>
        <w:shd w:val="clear" w:color="auto" w:fill="FFFFFF" w:themeFill="background1"/>
      </w:pPr>
      <w:r w:rsidRPr="009D43E7">
        <w:rPr>
          <w:lang w:val="fr-FR"/>
        </w:rPr>
        <w:t>À l</w:t>
      </w:r>
      <w:r>
        <w:rPr>
          <w:lang w:val="fr-FR"/>
        </w:rPr>
        <w:t>’</w:t>
      </w:r>
      <w:r w:rsidRPr="009D43E7">
        <w:rPr>
          <w:lang w:val="fr-FR"/>
        </w:rPr>
        <w:t xml:space="preserve">issue des discussions, le Comité exécutif a prié le </w:t>
      </w:r>
      <w:r>
        <w:rPr>
          <w:lang w:val="fr-FR"/>
        </w:rPr>
        <w:t>secrétariat</w:t>
      </w:r>
      <w:r w:rsidRPr="009D43E7">
        <w:rPr>
          <w:lang w:val="fr-FR"/>
        </w:rPr>
        <w:t xml:space="preserve"> de préparer, en consultation avec </w:t>
      </w:r>
      <w:r>
        <w:rPr>
          <w:lang w:val="fr-FR"/>
        </w:rPr>
        <w:t xml:space="preserve">les </w:t>
      </w:r>
      <w:r w:rsidRPr="009D43E7">
        <w:rPr>
          <w:lang w:val="fr-FR"/>
        </w:rPr>
        <w:t>agences bilatérales et d</w:t>
      </w:r>
      <w:r>
        <w:rPr>
          <w:lang w:val="fr-FR"/>
        </w:rPr>
        <w:t>’</w:t>
      </w:r>
      <w:r w:rsidRPr="009D43E7">
        <w:rPr>
          <w:lang w:val="fr-FR"/>
        </w:rPr>
        <w:t xml:space="preserve">exécution, un document </w:t>
      </w:r>
      <w:r>
        <w:rPr>
          <w:lang w:val="fr-FR"/>
        </w:rPr>
        <w:t>aux fins de soumission à sa 98</w:t>
      </w:r>
      <w:r w:rsidRPr="008B0A22">
        <w:rPr>
          <w:vertAlign w:val="superscript"/>
          <w:lang w:val="fr-FR"/>
        </w:rPr>
        <w:t>e</w:t>
      </w:r>
      <w:r>
        <w:rPr>
          <w:lang w:val="fr-FR"/>
        </w:rPr>
        <w:t xml:space="preserve"> réunion portant </w:t>
      </w:r>
      <w:r w:rsidRPr="009D43E7">
        <w:rPr>
          <w:lang w:val="fr-FR"/>
        </w:rPr>
        <w:t>sur l</w:t>
      </w:r>
      <w:r>
        <w:rPr>
          <w:lang w:val="fr-FR"/>
        </w:rPr>
        <w:t xml:space="preserve">a disponibilité, </w:t>
      </w:r>
      <w:r w:rsidRPr="009D43E7">
        <w:rPr>
          <w:lang w:val="fr-FR"/>
        </w:rPr>
        <w:t>les prix, les spécifications techniques et autres obstacles s</w:t>
      </w:r>
      <w:r>
        <w:rPr>
          <w:lang w:val="fr-FR"/>
        </w:rPr>
        <w:t>’</w:t>
      </w:r>
      <w:r w:rsidRPr="009D43E7">
        <w:rPr>
          <w:lang w:val="fr-FR"/>
        </w:rPr>
        <w:t>il y a lieu</w:t>
      </w:r>
      <w:r>
        <w:rPr>
          <w:lang w:val="fr-FR"/>
        </w:rPr>
        <w:t> </w:t>
      </w:r>
      <w:r w:rsidRPr="009D43E7">
        <w:rPr>
          <w:lang w:val="fr-FR"/>
        </w:rPr>
        <w:t>rencontrés par les pays visés à l</w:t>
      </w:r>
      <w:r>
        <w:rPr>
          <w:lang w:val="fr-FR"/>
        </w:rPr>
        <w:t>’</w:t>
      </w:r>
      <w:r w:rsidRPr="009D43E7">
        <w:rPr>
          <w:lang w:val="fr-FR"/>
        </w:rPr>
        <w:t xml:space="preserve">article 5 dans la mise en œuvre de projets de conversion dans le secteur </w:t>
      </w:r>
      <w:r>
        <w:rPr>
          <w:lang w:val="fr-FR"/>
        </w:rPr>
        <w:t>de la</w:t>
      </w:r>
      <w:r w:rsidRPr="009D43E7">
        <w:rPr>
          <w:lang w:val="fr-FR"/>
        </w:rPr>
        <w:t xml:space="preserve"> réfrigération, de </w:t>
      </w:r>
      <w:r>
        <w:rPr>
          <w:lang w:val="fr-FR"/>
        </w:rPr>
        <w:t xml:space="preserve">la </w:t>
      </w:r>
      <w:r w:rsidRPr="009D43E7">
        <w:rPr>
          <w:lang w:val="fr-FR"/>
        </w:rPr>
        <w:t>climatisation et de</w:t>
      </w:r>
      <w:r>
        <w:rPr>
          <w:lang w:val="fr-FR"/>
        </w:rPr>
        <w:t>s</w:t>
      </w:r>
      <w:r w:rsidRPr="009D43E7">
        <w:rPr>
          <w:lang w:val="fr-FR"/>
        </w:rPr>
        <w:t xml:space="preserve"> pompes à chaleur, en raison de</w:t>
      </w:r>
      <w:r>
        <w:rPr>
          <w:lang w:val="fr-FR"/>
        </w:rPr>
        <w:t>s</w:t>
      </w:r>
      <w:r w:rsidRPr="009D43E7">
        <w:rPr>
          <w:lang w:val="fr-FR"/>
        </w:rPr>
        <w:t xml:space="preserve"> problèmes </w:t>
      </w:r>
      <w:r>
        <w:rPr>
          <w:lang w:val="fr-FR"/>
        </w:rPr>
        <w:t xml:space="preserve">de </w:t>
      </w:r>
      <w:r w:rsidRPr="009D43E7">
        <w:rPr>
          <w:lang w:val="fr-FR"/>
        </w:rPr>
        <w:t>chaîne d</w:t>
      </w:r>
      <w:r>
        <w:rPr>
          <w:lang w:val="fr-FR"/>
        </w:rPr>
        <w:t>’</w:t>
      </w:r>
      <w:r w:rsidRPr="009D43E7">
        <w:rPr>
          <w:lang w:val="fr-FR"/>
        </w:rPr>
        <w:t xml:space="preserve">approvisionnement </w:t>
      </w:r>
      <w:r>
        <w:rPr>
          <w:lang w:val="fr-FR"/>
        </w:rPr>
        <w:t xml:space="preserve">concernant les </w:t>
      </w:r>
      <w:r w:rsidRPr="009D43E7">
        <w:rPr>
          <w:lang w:val="fr-FR"/>
        </w:rPr>
        <w:t xml:space="preserve">frigorigènes </w:t>
      </w:r>
      <w:r w:rsidRPr="009D43E7">
        <w:rPr>
          <w:lang w:val="fr-FR"/>
        </w:rPr>
        <w:lastRenderedPageBreak/>
        <w:t xml:space="preserve">de remplacement, </w:t>
      </w:r>
      <w:r>
        <w:rPr>
          <w:lang w:val="fr-FR"/>
        </w:rPr>
        <w:t xml:space="preserve">les </w:t>
      </w:r>
      <w:r w:rsidRPr="009D43E7">
        <w:rPr>
          <w:lang w:val="fr-FR"/>
        </w:rPr>
        <w:t xml:space="preserve">pièces et </w:t>
      </w:r>
      <w:r>
        <w:rPr>
          <w:lang w:val="fr-FR"/>
        </w:rPr>
        <w:t>les</w:t>
      </w:r>
      <w:r w:rsidRPr="009D43E7">
        <w:rPr>
          <w:lang w:val="fr-FR"/>
        </w:rPr>
        <w:t xml:space="preserve"> composants, et </w:t>
      </w:r>
      <w:r>
        <w:rPr>
          <w:lang w:val="fr-FR"/>
        </w:rPr>
        <w:t xml:space="preserve">les </w:t>
      </w:r>
      <w:r w:rsidRPr="009D43E7">
        <w:rPr>
          <w:lang w:val="fr-FR"/>
        </w:rPr>
        <w:t xml:space="preserve">équipements, ainsi que sur les moyens possibles de </w:t>
      </w:r>
      <w:r>
        <w:rPr>
          <w:lang w:val="fr-FR"/>
        </w:rPr>
        <w:t>surmonter</w:t>
      </w:r>
      <w:r w:rsidRPr="009D43E7">
        <w:rPr>
          <w:lang w:val="fr-FR"/>
        </w:rPr>
        <w:t xml:space="preserve"> ces difficultés.</w:t>
      </w:r>
    </w:p>
    <w:p w14:paraId="661F889B" w14:textId="77777777" w:rsidR="00A54BFC" w:rsidRPr="000A3231" w:rsidRDefault="00A54BFC" w:rsidP="00A54BFC">
      <w:pPr>
        <w:pStyle w:val="Heading1"/>
        <w:numPr>
          <w:ilvl w:val="0"/>
          <w:numId w:val="1"/>
        </w:numPr>
        <w:shd w:val="clear" w:color="auto" w:fill="FFFFFF" w:themeFill="background1"/>
      </w:pPr>
      <w:r w:rsidRPr="00DB4BCB">
        <w:rPr>
          <w:lang w:val="fr-FR"/>
        </w:rPr>
        <w:t>Ce document a été élaboré en concertation avec les agences bilatérales et d</w:t>
      </w:r>
      <w:r>
        <w:rPr>
          <w:lang w:val="fr-FR"/>
        </w:rPr>
        <w:t>’</w:t>
      </w:r>
      <w:r w:rsidRPr="00DB4BCB">
        <w:rPr>
          <w:lang w:val="fr-FR"/>
        </w:rPr>
        <w:t>exécution, en s</w:t>
      </w:r>
      <w:r>
        <w:rPr>
          <w:lang w:val="fr-FR"/>
        </w:rPr>
        <w:t>’</w:t>
      </w:r>
      <w:r w:rsidRPr="00DB4BCB">
        <w:rPr>
          <w:lang w:val="fr-FR"/>
        </w:rPr>
        <w:t>appuyant sur les débats menés lors de deux réunions de coordination inter-agences (</w:t>
      </w:r>
      <w:r>
        <w:rPr>
          <w:lang w:val="fr-FR"/>
        </w:rPr>
        <w:t>IAMC</w:t>
      </w:r>
      <w:r w:rsidRPr="00DB4BCB">
        <w:rPr>
          <w:lang w:val="fr-FR"/>
        </w:rPr>
        <w:t>).</w:t>
      </w:r>
      <w:r w:rsidRPr="000A3231">
        <w:t xml:space="preserve"> </w:t>
      </w:r>
      <w:r w:rsidRPr="00DB4BCB">
        <w:rPr>
          <w:lang w:val="fr-FR"/>
        </w:rPr>
        <w:t xml:space="preserve">Le </w:t>
      </w:r>
      <w:r>
        <w:rPr>
          <w:lang w:val="fr-FR"/>
        </w:rPr>
        <w:t>secrétariat</w:t>
      </w:r>
      <w:r w:rsidRPr="00DB4BCB">
        <w:rPr>
          <w:lang w:val="fr-FR"/>
        </w:rPr>
        <w:t xml:space="preserve"> a également engagé plusieurs séries de discussion</w:t>
      </w:r>
      <w:r>
        <w:rPr>
          <w:lang w:val="fr-FR"/>
        </w:rPr>
        <w:t>s</w:t>
      </w:r>
      <w:r w:rsidRPr="00DB4BCB">
        <w:rPr>
          <w:lang w:val="fr-FR"/>
        </w:rPr>
        <w:t>, en présentiel et en ligne, avec des représentants de l</w:t>
      </w:r>
      <w:r>
        <w:rPr>
          <w:lang w:val="fr-FR"/>
        </w:rPr>
        <w:t>’</w:t>
      </w:r>
      <w:r w:rsidRPr="00DB4BCB">
        <w:rPr>
          <w:lang w:val="fr-FR"/>
        </w:rPr>
        <w:t>industrie, issus de pays visés à</w:t>
      </w:r>
      <w:r>
        <w:rPr>
          <w:lang w:val="fr-FR"/>
        </w:rPr>
        <w:t> </w:t>
      </w:r>
      <w:r w:rsidRPr="00DB4BCB">
        <w:rPr>
          <w:lang w:val="fr-FR"/>
        </w:rPr>
        <w:t>l</w:t>
      </w:r>
      <w:r>
        <w:rPr>
          <w:lang w:val="fr-FR"/>
        </w:rPr>
        <w:t>’</w:t>
      </w:r>
      <w:r w:rsidRPr="00DB4BCB">
        <w:rPr>
          <w:lang w:val="fr-FR"/>
        </w:rPr>
        <w:t xml:space="preserve">article 5 </w:t>
      </w:r>
      <w:r>
        <w:rPr>
          <w:lang w:val="fr-FR"/>
        </w:rPr>
        <w:t>et</w:t>
      </w:r>
      <w:r w:rsidRPr="00DB4BCB">
        <w:rPr>
          <w:lang w:val="fr-FR"/>
        </w:rPr>
        <w:t xml:space="preserve"> de pays non visés par cet article, notamment des fournisseurs de technologies, des fabricants de composants et des associations industrielles.</w:t>
      </w:r>
    </w:p>
    <w:p w14:paraId="62C88669" w14:textId="77777777" w:rsidR="00A54BFC" w:rsidRPr="00B42ED2" w:rsidRDefault="00A54BFC" w:rsidP="00A54BFC">
      <w:pPr>
        <w:shd w:val="clear" w:color="auto" w:fill="FFFFFF" w:themeFill="background1"/>
        <w:autoSpaceDE w:val="0"/>
        <w:autoSpaceDN w:val="0"/>
        <w:adjustRightInd w:val="0"/>
        <w:spacing w:before="120" w:after="240"/>
        <w:rPr>
          <w:b/>
          <w:bCs/>
        </w:rPr>
      </w:pPr>
      <w:r w:rsidRPr="00B42ED2">
        <w:rPr>
          <w:b/>
          <w:bCs/>
          <w:lang w:val="fr-FR"/>
        </w:rPr>
        <w:t>Portée du</w:t>
      </w:r>
      <w:r>
        <w:rPr>
          <w:b/>
          <w:bCs/>
          <w:lang w:val="fr-FR"/>
        </w:rPr>
        <w:t> </w:t>
      </w:r>
      <w:r w:rsidRPr="00B42ED2">
        <w:rPr>
          <w:b/>
          <w:bCs/>
          <w:lang w:val="fr-FR"/>
        </w:rPr>
        <w:t>document</w:t>
      </w:r>
    </w:p>
    <w:p w14:paraId="41D95DC2" w14:textId="77777777" w:rsidR="00A54BFC" w:rsidRPr="000A3231" w:rsidRDefault="00A54BFC" w:rsidP="00A54BFC">
      <w:pPr>
        <w:pStyle w:val="Heading1"/>
        <w:numPr>
          <w:ilvl w:val="0"/>
          <w:numId w:val="1"/>
        </w:numPr>
        <w:shd w:val="clear" w:color="auto" w:fill="FFFFFF" w:themeFill="background1"/>
        <w:spacing w:before="120"/>
      </w:pPr>
      <w:r w:rsidRPr="00B42ED2">
        <w:rPr>
          <w:lang w:val="fr-FR"/>
        </w:rPr>
        <w:t>Le présent document se limite aux défis liés à la chaîne d</w:t>
      </w:r>
      <w:r>
        <w:rPr>
          <w:lang w:val="fr-FR"/>
        </w:rPr>
        <w:t>’</w:t>
      </w:r>
      <w:r w:rsidRPr="00B42ED2">
        <w:rPr>
          <w:lang w:val="fr-FR"/>
        </w:rPr>
        <w:t>approvisionnement des projets de conversion en cours dans les secteurs de la fabrication des systèmes de réfrigération et de climatisation (RAC), mis en œuvre au cours des trois dernières années dans le cadre des</w:t>
      </w:r>
      <w:r>
        <w:rPr>
          <w:lang w:val="fr-FR"/>
        </w:rPr>
        <w:t> </w:t>
      </w:r>
      <w:r w:rsidRPr="00B42ED2">
        <w:rPr>
          <w:lang w:val="fr-FR"/>
        </w:rPr>
        <w:t>KIP.</w:t>
      </w:r>
      <w:r w:rsidRPr="000A3231">
        <w:t xml:space="preserve"> </w:t>
      </w:r>
      <w:r w:rsidRPr="00B42ED2">
        <w:rPr>
          <w:lang w:val="fr-FR"/>
        </w:rPr>
        <w:t>Les retours d</w:t>
      </w:r>
      <w:r>
        <w:rPr>
          <w:lang w:val="fr-FR"/>
        </w:rPr>
        <w:t>’</w:t>
      </w:r>
      <w:r w:rsidRPr="00B42ED2">
        <w:rPr>
          <w:lang w:val="fr-FR"/>
        </w:rPr>
        <w:t>information ont été recueillis</w:t>
      </w:r>
      <w:r>
        <w:rPr>
          <w:lang w:val="fr-FR"/>
        </w:rPr>
        <w:t xml:space="preserve"> </w:t>
      </w:r>
      <w:r w:rsidRPr="00B42ED2">
        <w:rPr>
          <w:lang w:val="fr-FR"/>
        </w:rPr>
        <w:t xml:space="preserve">par </w:t>
      </w:r>
      <w:r>
        <w:rPr>
          <w:lang w:val="fr-FR"/>
        </w:rPr>
        <w:t>les</w:t>
      </w:r>
      <w:r w:rsidRPr="00B42ED2">
        <w:rPr>
          <w:lang w:val="fr-FR"/>
        </w:rPr>
        <w:t xml:space="preserve"> agences d</w:t>
      </w:r>
      <w:r>
        <w:rPr>
          <w:lang w:val="fr-FR"/>
        </w:rPr>
        <w:t>’exécution</w:t>
      </w:r>
      <w:r w:rsidRPr="00B42ED2">
        <w:rPr>
          <w:lang w:val="fr-FR"/>
        </w:rPr>
        <w:t xml:space="preserve"> concernées</w:t>
      </w:r>
      <w:r>
        <w:rPr>
          <w:lang w:val="fr-FR"/>
        </w:rPr>
        <w:t xml:space="preserve"> portant sur</w:t>
      </w:r>
      <w:r w:rsidRPr="00B42ED2">
        <w:rPr>
          <w:lang w:val="fr-FR"/>
        </w:rPr>
        <w:t xml:space="preserve"> 22 projets, </w:t>
      </w:r>
      <w:r>
        <w:rPr>
          <w:lang w:val="fr-FR"/>
        </w:rPr>
        <w:t>y compris</w:t>
      </w:r>
      <w:r w:rsidRPr="00B42ED2">
        <w:rPr>
          <w:lang w:val="fr-FR"/>
        </w:rPr>
        <w:t xml:space="preserve"> trois</w:t>
      </w:r>
      <w:r>
        <w:rPr>
          <w:lang w:val="fr-FR"/>
        </w:rPr>
        <w:t xml:space="preserve"> projets</w:t>
      </w:r>
      <w:r w:rsidRPr="00B42ED2">
        <w:rPr>
          <w:lang w:val="fr-FR"/>
        </w:rPr>
        <w:t xml:space="preserve"> ciblant des petites et moyennes entreprises (</w:t>
      </w:r>
      <w:r w:rsidRPr="00C928C3">
        <w:rPr>
          <w:lang w:val="fr-FR"/>
        </w:rPr>
        <w:t>PME), dans 13 pays :</w:t>
      </w:r>
      <w:r w:rsidRPr="000A3231">
        <w:t xml:space="preserve"> l’</w:t>
      </w:r>
      <w:r w:rsidRPr="00B42ED2">
        <w:rPr>
          <w:lang w:val="fr-FR"/>
        </w:rPr>
        <w:t xml:space="preserve">Argentine, </w:t>
      </w:r>
      <w:r>
        <w:rPr>
          <w:lang w:val="fr-FR"/>
        </w:rPr>
        <w:t xml:space="preserve">la </w:t>
      </w:r>
      <w:r w:rsidRPr="00B42ED2">
        <w:rPr>
          <w:lang w:val="fr-FR"/>
        </w:rPr>
        <w:t xml:space="preserve">Colombie, </w:t>
      </w:r>
      <w:r>
        <w:rPr>
          <w:lang w:val="fr-FR"/>
        </w:rPr>
        <w:t xml:space="preserve">le </w:t>
      </w:r>
      <w:r w:rsidRPr="00B42ED2">
        <w:rPr>
          <w:lang w:val="fr-FR"/>
        </w:rPr>
        <w:t xml:space="preserve">Costa Rica, </w:t>
      </w:r>
      <w:r>
        <w:rPr>
          <w:lang w:val="fr-FR"/>
        </w:rPr>
        <w:t>l’</w:t>
      </w:r>
      <w:r w:rsidRPr="00B42ED2">
        <w:rPr>
          <w:lang w:val="fr-FR"/>
        </w:rPr>
        <w:t xml:space="preserve">Égypte, </w:t>
      </w:r>
      <w:r>
        <w:rPr>
          <w:lang w:val="fr-FR"/>
        </w:rPr>
        <w:t>l’</w:t>
      </w:r>
      <w:r w:rsidRPr="00B42ED2">
        <w:rPr>
          <w:lang w:val="fr-FR"/>
        </w:rPr>
        <w:t xml:space="preserve">Inde, </w:t>
      </w:r>
      <w:r>
        <w:rPr>
          <w:lang w:val="fr-FR"/>
        </w:rPr>
        <w:t>l’</w:t>
      </w:r>
      <w:r w:rsidRPr="00B42ED2">
        <w:rPr>
          <w:lang w:val="fr-FR"/>
        </w:rPr>
        <w:t xml:space="preserve">Indonésie, </w:t>
      </w:r>
      <w:r>
        <w:rPr>
          <w:lang w:val="fr-FR"/>
        </w:rPr>
        <w:t xml:space="preserve">la </w:t>
      </w:r>
      <w:r w:rsidRPr="00B42ED2">
        <w:rPr>
          <w:lang w:val="fr-FR"/>
        </w:rPr>
        <w:t xml:space="preserve">Jordanie, </w:t>
      </w:r>
      <w:r>
        <w:rPr>
          <w:lang w:val="fr-FR"/>
        </w:rPr>
        <w:t xml:space="preserve">le </w:t>
      </w:r>
      <w:r w:rsidRPr="00B42ED2">
        <w:rPr>
          <w:lang w:val="fr-FR"/>
        </w:rPr>
        <w:t xml:space="preserve">Liban, </w:t>
      </w:r>
      <w:r>
        <w:rPr>
          <w:lang w:val="fr-FR"/>
        </w:rPr>
        <w:t xml:space="preserve">la </w:t>
      </w:r>
      <w:r w:rsidRPr="00B42ED2">
        <w:rPr>
          <w:lang w:val="fr-FR"/>
        </w:rPr>
        <w:t xml:space="preserve">Malaisie, </w:t>
      </w:r>
      <w:r>
        <w:rPr>
          <w:lang w:val="fr-FR"/>
        </w:rPr>
        <w:t xml:space="preserve">le </w:t>
      </w:r>
      <w:r w:rsidRPr="00B42ED2">
        <w:rPr>
          <w:lang w:val="fr-FR"/>
        </w:rPr>
        <w:t xml:space="preserve">Maroc, </w:t>
      </w:r>
      <w:r>
        <w:rPr>
          <w:lang w:val="fr-FR"/>
        </w:rPr>
        <w:t xml:space="preserve">le </w:t>
      </w:r>
      <w:r w:rsidRPr="00B42ED2">
        <w:rPr>
          <w:lang w:val="fr-FR"/>
        </w:rPr>
        <w:t>Nigéria,</w:t>
      </w:r>
      <w:r>
        <w:rPr>
          <w:lang w:val="fr-FR"/>
        </w:rPr>
        <w:t xml:space="preserve"> le </w:t>
      </w:r>
      <w:r w:rsidRPr="00B42ED2">
        <w:rPr>
          <w:lang w:val="fr-FR"/>
        </w:rPr>
        <w:t xml:space="preserve">Sri Lanka et </w:t>
      </w:r>
      <w:r>
        <w:rPr>
          <w:lang w:val="fr-FR"/>
        </w:rPr>
        <w:t xml:space="preserve">la </w:t>
      </w:r>
      <w:r w:rsidRPr="00B42ED2">
        <w:rPr>
          <w:lang w:val="fr-FR"/>
        </w:rPr>
        <w:t>Tunisie.</w:t>
      </w:r>
      <w:r w:rsidRPr="000A3231">
        <w:t xml:space="preserve"> </w:t>
      </w:r>
      <w:r w:rsidRPr="00B42ED2">
        <w:rPr>
          <w:lang w:val="fr-FR"/>
        </w:rPr>
        <w:t xml:space="preserve">Le tableau 1 ci-dessous présente la répartition de ces projets par sous-secteur et par région </w:t>
      </w:r>
      <w:r>
        <w:rPr>
          <w:lang w:val="fr-FR"/>
        </w:rPr>
        <w:t>au sujet</w:t>
      </w:r>
      <w:r w:rsidRPr="00B42ED2">
        <w:rPr>
          <w:lang w:val="fr-FR"/>
        </w:rPr>
        <w:t xml:space="preserve"> desquels des informations et des commentaires ont été recueillis.</w:t>
      </w:r>
    </w:p>
    <w:p w14:paraId="4AEEBFBB" w14:textId="77777777" w:rsidR="00A54BFC" w:rsidRPr="000A3231" w:rsidRDefault="00A54BFC" w:rsidP="00A54BFC">
      <w:pPr>
        <w:pStyle w:val="Heading2"/>
        <w:numPr>
          <w:ilvl w:val="0"/>
          <w:numId w:val="0"/>
        </w:numPr>
        <w:shd w:val="clear" w:color="auto" w:fill="FFFFFF" w:themeFill="background1"/>
        <w:spacing w:after="0"/>
        <w:rPr>
          <w:b/>
          <w:bCs/>
        </w:rPr>
      </w:pPr>
      <w:r w:rsidRPr="00B42ED2">
        <w:rPr>
          <w:b/>
          <w:bCs/>
          <w:lang w:val="fr-FR"/>
        </w:rPr>
        <w:t>Tableau 1. Répartition des projets de conversion par région et sous-secteur</w:t>
      </w:r>
    </w:p>
    <w:tbl>
      <w:tblPr>
        <w:tblStyle w:val="Rastertabel6kleurrijk1"/>
        <w:tblW w:w="9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470"/>
        <w:gridCol w:w="1418"/>
        <w:gridCol w:w="1417"/>
        <w:gridCol w:w="1418"/>
        <w:gridCol w:w="1275"/>
        <w:gridCol w:w="810"/>
      </w:tblGrid>
      <w:tr w:rsidR="00A54BFC" w:rsidRPr="00650CEA" w14:paraId="09C0EA44" w14:textId="77777777" w:rsidTr="00381C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Borders>
              <w:bottom w:val="none" w:sz="0" w:space="0" w:color="auto"/>
            </w:tcBorders>
            <w:vAlign w:val="center"/>
          </w:tcPr>
          <w:p w14:paraId="443E441F" w14:textId="77777777" w:rsidR="00A54BFC" w:rsidRPr="00B42ED2" w:rsidRDefault="00A54BFC" w:rsidP="00381C70">
            <w:pPr>
              <w:shd w:val="clear" w:color="auto" w:fill="FFFFFF" w:themeFill="background1"/>
              <w:jc w:val="center"/>
              <w:rPr>
                <w:color w:val="000000"/>
                <w:sz w:val="20"/>
                <w:szCs w:val="20"/>
              </w:rPr>
            </w:pPr>
            <w:r w:rsidRPr="00B42ED2">
              <w:rPr>
                <w:rFonts w:asciiTheme="majorBidi" w:eastAsia="Times New Roman" w:hAnsiTheme="majorBidi" w:cstheme="majorBidi"/>
                <w:color w:val="000000"/>
                <w:sz w:val="20"/>
                <w:szCs w:val="20"/>
                <w:lang w:val="fr-FR" w:eastAsia="en-CA"/>
              </w:rPr>
              <w:t>Région</w:t>
            </w:r>
          </w:p>
        </w:tc>
        <w:tc>
          <w:tcPr>
            <w:tcW w:w="1470" w:type="dxa"/>
            <w:tcBorders>
              <w:bottom w:val="none" w:sz="0" w:space="0" w:color="auto"/>
            </w:tcBorders>
            <w:vAlign w:val="center"/>
          </w:tcPr>
          <w:p w14:paraId="23C83547" w14:textId="77777777" w:rsidR="00A54BFC" w:rsidRPr="00B42ED2" w:rsidRDefault="00A54BFC" w:rsidP="00381C70">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42ED2">
              <w:rPr>
                <w:rFonts w:asciiTheme="majorBidi" w:eastAsia="Times New Roman" w:hAnsiTheme="majorBidi" w:cstheme="majorBidi"/>
                <w:color w:val="000000"/>
                <w:sz w:val="20"/>
                <w:szCs w:val="20"/>
                <w:lang w:val="fr-FR" w:eastAsia="en-CA"/>
              </w:rPr>
              <w:t>Climatis</w:t>
            </w:r>
            <w:r>
              <w:rPr>
                <w:rFonts w:asciiTheme="majorBidi" w:eastAsia="Times New Roman" w:hAnsiTheme="majorBidi" w:cstheme="majorBidi"/>
                <w:color w:val="000000"/>
                <w:sz w:val="20"/>
                <w:szCs w:val="20"/>
                <w:lang w:val="fr-FR" w:eastAsia="en-CA"/>
              </w:rPr>
              <w:t>ation</w:t>
            </w:r>
            <w:r w:rsidRPr="00B42ED2">
              <w:rPr>
                <w:rFonts w:asciiTheme="majorBidi" w:eastAsia="Times New Roman" w:hAnsiTheme="majorBidi" w:cstheme="majorBidi"/>
                <w:color w:val="000000"/>
                <w:sz w:val="20"/>
                <w:szCs w:val="20"/>
                <w:lang w:val="fr-FR" w:eastAsia="en-CA"/>
              </w:rPr>
              <w:t xml:space="preserve"> résidentiel</w:t>
            </w:r>
            <w:r>
              <w:rPr>
                <w:rFonts w:asciiTheme="majorBidi" w:eastAsia="Times New Roman" w:hAnsiTheme="majorBidi" w:cstheme="majorBidi"/>
                <w:color w:val="000000"/>
                <w:sz w:val="20"/>
                <w:szCs w:val="20"/>
                <w:lang w:val="fr-FR" w:eastAsia="en-CA"/>
              </w:rPr>
              <w:t>le</w:t>
            </w:r>
          </w:p>
        </w:tc>
        <w:tc>
          <w:tcPr>
            <w:tcW w:w="1418" w:type="dxa"/>
            <w:tcBorders>
              <w:bottom w:val="none" w:sz="0" w:space="0" w:color="auto"/>
            </w:tcBorders>
            <w:vAlign w:val="center"/>
          </w:tcPr>
          <w:p w14:paraId="52B09A5E" w14:textId="77777777" w:rsidR="00A54BFC" w:rsidRPr="00650CEA" w:rsidRDefault="00A54BFC" w:rsidP="00381C70">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B42ED2">
              <w:rPr>
                <w:rFonts w:asciiTheme="majorBidi" w:eastAsia="Times New Roman" w:hAnsiTheme="majorBidi" w:cstheme="majorBidi"/>
                <w:color w:val="000000"/>
                <w:sz w:val="20"/>
                <w:szCs w:val="20"/>
                <w:lang w:val="fr-FR" w:eastAsia="en-CA"/>
              </w:rPr>
              <w:t>Climatisation commercial</w:t>
            </w:r>
            <w:r>
              <w:rPr>
                <w:rFonts w:asciiTheme="majorBidi" w:eastAsia="Times New Roman" w:hAnsiTheme="majorBidi" w:cstheme="majorBidi"/>
                <w:color w:val="000000"/>
                <w:sz w:val="20"/>
                <w:szCs w:val="20"/>
                <w:lang w:val="fr-FR" w:eastAsia="en-CA"/>
              </w:rPr>
              <w:t>e </w:t>
            </w:r>
          </w:p>
        </w:tc>
        <w:tc>
          <w:tcPr>
            <w:tcW w:w="1417" w:type="dxa"/>
            <w:tcBorders>
              <w:bottom w:val="none" w:sz="0" w:space="0" w:color="auto"/>
            </w:tcBorders>
            <w:vAlign w:val="center"/>
          </w:tcPr>
          <w:p w14:paraId="5C1EDD1E" w14:textId="77777777" w:rsidR="00A54BFC" w:rsidRPr="00B42ED2" w:rsidRDefault="00A54BFC" w:rsidP="00381C70">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42ED2">
              <w:rPr>
                <w:rFonts w:asciiTheme="majorBidi" w:eastAsia="Times New Roman" w:hAnsiTheme="majorBidi" w:cstheme="majorBidi"/>
                <w:color w:val="000000"/>
                <w:sz w:val="20"/>
                <w:szCs w:val="20"/>
                <w:lang w:val="fr-FR" w:eastAsia="en-CA"/>
              </w:rPr>
              <w:t>Réfrigération commerciale</w:t>
            </w:r>
          </w:p>
        </w:tc>
        <w:tc>
          <w:tcPr>
            <w:tcW w:w="1418" w:type="dxa"/>
            <w:tcBorders>
              <w:bottom w:val="none" w:sz="0" w:space="0" w:color="auto"/>
            </w:tcBorders>
            <w:vAlign w:val="center"/>
          </w:tcPr>
          <w:p w14:paraId="2715A0FD" w14:textId="77777777" w:rsidR="00A54BFC" w:rsidRPr="00B42ED2" w:rsidRDefault="00A54BFC" w:rsidP="00381C70">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42ED2">
              <w:rPr>
                <w:rFonts w:asciiTheme="majorBidi" w:eastAsia="Times New Roman" w:hAnsiTheme="majorBidi" w:cstheme="majorBidi"/>
                <w:color w:val="000000"/>
                <w:sz w:val="20"/>
                <w:szCs w:val="20"/>
                <w:lang w:val="fr-FR" w:eastAsia="en-CA"/>
              </w:rPr>
              <w:t>Réfrigération domestique</w:t>
            </w:r>
          </w:p>
        </w:tc>
        <w:tc>
          <w:tcPr>
            <w:tcW w:w="1275" w:type="dxa"/>
            <w:tcBorders>
              <w:bottom w:val="none" w:sz="0" w:space="0" w:color="auto"/>
            </w:tcBorders>
            <w:vAlign w:val="center"/>
          </w:tcPr>
          <w:p w14:paraId="03CDE2A1" w14:textId="77777777" w:rsidR="00A54BFC" w:rsidRPr="00B42ED2" w:rsidRDefault="00A54BFC" w:rsidP="00381C70">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42ED2">
              <w:rPr>
                <w:rFonts w:asciiTheme="majorBidi" w:eastAsia="Times New Roman" w:hAnsiTheme="majorBidi" w:cstheme="majorBidi"/>
                <w:color w:val="000000"/>
                <w:sz w:val="20"/>
                <w:szCs w:val="20"/>
                <w:lang w:val="fr-FR" w:eastAsia="en-CA"/>
              </w:rPr>
              <w:t>Fabrication par PME</w:t>
            </w:r>
          </w:p>
        </w:tc>
        <w:tc>
          <w:tcPr>
            <w:tcW w:w="810" w:type="dxa"/>
            <w:tcBorders>
              <w:bottom w:val="none" w:sz="0" w:space="0" w:color="auto"/>
            </w:tcBorders>
            <w:vAlign w:val="center"/>
          </w:tcPr>
          <w:p w14:paraId="0C7BF05D" w14:textId="77777777" w:rsidR="00A54BFC" w:rsidRPr="00B42ED2" w:rsidRDefault="00A54BFC" w:rsidP="00381C70">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42ED2">
              <w:rPr>
                <w:rFonts w:asciiTheme="majorBidi" w:eastAsia="Times New Roman" w:hAnsiTheme="majorBidi" w:cstheme="majorBidi"/>
                <w:color w:val="000000"/>
                <w:sz w:val="20"/>
                <w:szCs w:val="20"/>
                <w:lang w:val="fr-FR" w:eastAsia="en-CA"/>
              </w:rPr>
              <w:t>Total</w:t>
            </w:r>
          </w:p>
        </w:tc>
      </w:tr>
      <w:tr w:rsidR="00A54BFC" w:rsidRPr="00650CEA" w14:paraId="778C0741" w14:textId="77777777" w:rsidTr="00381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48E7FB4F" w14:textId="77777777" w:rsidR="00A54BFC" w:rsidRPr="00B42ED2" w:rsidRDefault="00A54BFC" w:rsidP="00381C70">
            <w:pPr>
              <w:shd w:val="clear" w:color="auto" w:fill="FFFFFF" w:themeFill="background1"/>
              <w:jc w:val="left"/>
              <w:rPr>
                <w:b w:val="0"/>
                <w:bCs w:val="0"/>
                <w:color w:val="000000"/>
                <w:sz w:val="20"/>
                <w:szCs w:val="20"/>
              </w:rPr>
            </w:pPr>
            <w:r w:rsidRPr="00B42ED2">
              <w:rPr>
                <w:rFonts w:asciiTheme="majorBidi" w:eastAsia="Times New Roman" w:hAnsiTheme="majorBidi" w:cstheme="majorBidi"/>
                <w:color w:val="000000"/>
                <w:sz w:val="20"/>
                <w:szCs w:val="20"/>
                <w:lang w:val="fr-FR" w:eastAsia="en-CA"/>
              </w:rPr>
              <w:t>Afrique</w:t>
            </w:r>
          </w:p>
        </w:tc>
        <w:tc>
          <w:tcPr>
            <w:tcW w:w="1470" w:type="dxa"/>
            <w:shd w:val="clear" w:color="auto" w:fill="auto"/>
          </w:tcPr>
          <w:p w14:paraId="06A0DFEB"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418" w:type="dxa"/>
            <w:shd w:val="clear" w:color="auto" w:fill="auto"/>
          </w:tcPr>
          <w:p w14:paraId="64BAE228"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417" w:type="dxa"/>
            <w:shd w:val="clear" w:color="auto" w:fill="auto"/>
          </w:tcPr>
          <w:p w14:paraId="708303AD"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418" w:type="dxa"/>
            <w:shd w:val="clear" w:color="auto" w:fill="auto"/>
          </w:tcPr>
          <w:p w14:paraId="6D30FA4F"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75" w:type="dxa"/>
            <w:shd w:val="clear" w:color="auto" w:fill="auto"/>
          </w:tcPr>
          <w:p w14:paraId="0AFF8949"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810" w:type="dxa"/>
            <w:shd w:val="clear" w:color="auto" w:fill="auto"/>
          </w:tcPr>
          <w:p w14:paraId="08426E3E"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6</w:t>
            </w:r>
          </w:p>
        </w:tc>
      </w:tr>
      <w:tr w:rsidR="00A54BFC" w:rsidRPr="00650CEA" w14:paraId="7A92FAD2" w14:textId="77777777" w:rsidTr="00381C70">
        <w:tc>
          <w:tcPr>
            <w:cnfStyle w:val="001000000000" w:firstRow="0" w:lastRow="0" w:firstColumn="1" w:lastColumn="0" w:oddVBand="0" w:evenVBand="0" w:oddHBand="0" w:evenHBand="0" w:firstRowFirstColumn="0" w:firstRowLastColumn="0" w:lastRowFirstColumn="0" w:lastRowLastColumn="0"/>
            <w:tcW w:w="1615" w:type="dxa"/>
          </w:tcPr>
          <w:p w14:paraId="51FF346F" w14:textId="77777777" w:rsidR="00A54BFC" w:rsidRPr="00B42ED2" w:rsidRDefault="00A54BFC" w:rsidP="00381C70">
            <w:pPr>
              <w:shd w:val="clear" w:color="auto" w:fill="FFFFFF" w:themeFill="background1"/>
              <w:jc w:val="left"/>
              <w:rPr>
                <w:b w:val="0"/>
                <w:bCs w:val="0"/>
                <w:color w:val="000000"/>
                <w:sz w:val="20"/>
                <w:szCs w:val="20"/>
              </w:rPr>
            </w:pPr>
            <w:r w:rsidRPr="00B42ED2">
              <w:rPr>
                <w:rFonts w:asciiTheme="majorBidi" w:eastAsia="Times New Roman" w:hAnsiTheme="majorBidi" w:cstheme="majorBidi"/>
                <w:color w:val="000000"/>
                <w:sz w:val="20"/>
                <w:szCs w:val="20"/>
                <w:lang w:val="fr-FR" w:eastAsia="en-CA"/>
              </w:rPr>
              <w:t>Asie et Pacifique</w:t>
            </w:r>
          </w:p>
        </w:tc>
        <w:tc>
          <w:tcPr>
            <w:tcW w:w="1470" w:type="dxa"/>
          </w:tcPr>
          <w:p w14:paraId="468B6ED9"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418" w:type="dxa"/>
          </w:tcPr>
          <w:p w14:paraId="6E286394"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417" w:type="dxa"/>
          </w:tcPr>
          <w:p w14:paraId="1E81226C"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3</w:t>
            </w:r>
          </w:p>
        </w:tc>
        <w:tc>
          <w:tcPr>
            <w:tcW w:w="1418" w:type="dxa"/>
          </w:tcPr>
          <w:p w14:paraId="5B12543C"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75" w:type="dxa"/>
          </w:tcPr>
          <w:p w14:paraId="69367B2E"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810" w:type="dxa"/>
          </w:tcPr>
          <w:p w14:paraId="6A207770"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r>
      <w:tr w:rsidR="00A54BFC" w:rsidRPr="00650CEA" w14:paraId="33E5663B" w14:textId="77777777" w:rsidTr="00381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73AD4325" w14:textId="77777777" w:rsidR="00A54BFC" w:rsidRPr="00B42ED2" w:rsidRDefault="00A54BFC" w:rsidP="00381C70">
            <w:pPr>
              <w:shd w:val="clear" w:color="auto" w:fill="FFFFFF" w:themeFill="background1"/>
              <w:jc w:val="left"/>
              <w:rPr>
                <w:b w:val="0"/>
                <w:bCs w:val="0"/>
                <w:color w:val="000000"/>
                <w:sz w:val="20"/>
                <w:szCs w:val="20"/>
              </w:rPr>
            </w:pPr>
            <w:r w:rsidRPr="00B42ED2">
              <w:rPr>
                <w:rFonts w:asciiTheme="majorBidi" w:eastAsia="Times New Roman" w:hAnsiTheme="majorBidi" w:cstheme="majorBidi"/>
                <w:color w:val="000000"/>
                <w:sz w:val="20"/>
                <w:szCs w:val="20"/>
                <w:lang w:val="fr-FR" w:eastAsia="en-CA"/>
              </w:rPr>
              <w:t xml:space="preserve">Amérique latine et Caraïbes </w:t>
            </w:r>
          </w:p>
        </w:tc>
        <w:tc>
          <w:tcPr>
            <w:tcW w:w="1470" w:type="dxa"/>
            <w:shd w:val="clear" w:color="auto" w:fill="auto"/>
          </w:tcPr>
          <w:p w14:paraId="58F5E231"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418" w:type="dxa"/>
            <w:shd w:val="clear" w:color="auto" w:fill="auto"/>
          </w:tcPr>
          <w:p w14:paraId="6BF36676"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417" w:type="dxa"/>
            <w:shd w:val="clear" w:color="auto" w:fill="auto"/>
          </w:tcPr>
          <w:p w14:paraId="73AEB5F3"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418" w:type="dxa"/>
            <w:shd w:val="clear" w:color="auto" w:fill="auto"/>
          </w:tcPr>
          <w:p w14:paraId="10871980"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75" w:type="dxa"/>
            <w:shd w:val="clear" w:color="auto" w:fill="auto"/>
          </w:tcPr>
          <w:p w14:paraId="29E9FE78"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810" w:type="dxa"/>
            <w:shd w:val="clear" w:color="auto" w:fill="auto"/>
          </w:tcPr>
          <w:p w14:paraId="10D41990"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r>
      <w:tr w:rsidR="00A54BFC" w:rsidRPr="00650CEA" w14:paraId="2EB05A2A" w14:textId="77777777" w:rsidTr="00381C70">
        <w:tc>
          <w:tcPr>
            <w:cnfStyle w:val="001000000000" w:firstRow="0" w:lastRow="0" w:firstColumn="1" w:lastColumn="0" w:oddVBand="0" w:evenVBand="0" w:oddHBand="0" w:evenHBand="0" w:firstRowFirstColumn="0" w:firstRowLastColumn="0" w:lastRowFirstColumn="0" w:lastRowLastColumn="0"/>
            <w:tcW w:w="1615" w:type="dxa"/>
          </w:tcPr>
          <w:p w14:paraId="028FB2C3" w14:textId="77777777" w:rsidR="00A54BFC" w:rsidRPr="00B42ED2" w:rsidRDefault="00A54BFC" w:rsidP="00381C70">
            <w:pPr>
              <w:shd w:val="clear" w:color="auto" w:fill="FFFFFF" w:themeFill="background1"/>
              <w:jc w:val="left"/>
              <w:rPr>
                <w:b w:val="0"/>
                <w:bCs w:val="0"/>
                <w:color w:val="000000"/>
                <w:sz w:val="20"/>
                <w:szCs w:val="20"/>
              </w:rPr>
            </w:pPr>
            <w:r w:rsidRPr="00B42ED2">
              <w:rPr>
                <w:rFonts w:asciiTheme="majorBidi" w:eastAsia="Times New Roman" w:hAnsiTheme="majorBidi" w:cstheme="majorBidi"/>
                <w:color w:val="000000"/>
                <w:sz w:val="20"/>
                <w:szCs w:val="20"/>
                <w:lang w:val="fr-FR" w:eastAsia="en-CA"/>
              </w:rPr>
              <w:t>Asie de l</w:t>
            </w:r>
            <w:r>
              <w:rPr>
                <w:rFonts w:asciiTheme="majorBidi" w:eastAsia="Times New Roman" w:hAnsiTheme="majorBidi" w:cstheme="majorBidi"/>
                <w:color w:val="000000"/>
                <w:sz w:val="20"/>
                <w:szCs w:val="20"/>
                <w:lang w:val="fr-FR" w:eastAsia="en-CA"/>
              </w:rPr>
              <w:t>’</w:t>
            </w:r>
            <w:r w:rsidRPr="00B42ED2">
              <w:rPr>
                <w:rFonts w:asciiTheme="majorBidi" w:eastAsia="Times New Roman" w:hAnsiTheme="majorBidi" w:cstheme="majorBidi"/>
                <w:color w:val="000000"/>
                <w:sz w:val="20"/>
                <w:szCs w:val="20"/>
                <w:lang w:val="fr-FR" w:eastAsia="en-CA"/>
              </w:rPr>
              <w:t>Ouest</w:t>
            </w:r>
          </w:p>
        </w:tc>
        <w:tc>
          <w:tcPr>
            <w:tcW w:w="1470" w:type="dxa"/>
          </w:tcPr>
          <w:p w14:paraId="5DC9A7B3"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418" w:type="dxa"/>
          </w:tcPr>
          <w:p w14:paraId="1C335519"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417" w:type="dxa"/>
          </w:tcPr>
          <w:p w14:paraId="78546D1B"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418" w:type="dxa"/>
          </w:tcPr>
          <w:p w14:paraId="59EA9A85"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75" w:type="dxa"/>
          </w:tcPr>
          <w:p w14:paraId="1836C7F2"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810" w:type="dxa"/>
          </w:tcPr>
          <w:p w14:paraId="08A14A69"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6</w:t>
            </w:r>
          </w:p>
        </w:tc>
      </w:tr>
      <w:tr w:rsidR="00A54BFC" w:rsidRPr="00650CEA" w14:paraId="0A719660" w14:textId="77777777" w:rsidTr="00381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3E7FC3B1" w14:textId="77777777" w:rsidR="00A54BFC" w:rsidRPr="00B42ED2" w:rsidRDefault="00A54BFC" w:rsidP="00381C70">
            <w:pPr>
              <w:shd w:val="clear" w:color="auto" w:fill="FFFFFF" w:themeFill="background1"/>
              <w:jc w:val="left"/>
              <w:rPr>
                <w:b w:val="0"/>
                <w:bCs w:val="0"/>
                <w:color w:val="000000"/>
                <w:sz w:val="20"/>
                <w:szCs w:val="20"/>
              </w:rPr>
            </w:pPr>
            <w:r w:rsidRPr="00B42ED2">
              <w:rPr>
                <w:rFonts w:asciiTheme="majorBidi" w:eastAsia="Times New Roman" w:hAnsiTheme="majorBidi" w:cstheme="majorBidi"/>
                <w:color w:val="000000"/>
                <w:sz w:val="20"/>
                <w:szCs w:val="20"/>
                <w:lang w:val="fr-FR" w:eastAsia="en-CA"/>
              </w:rPr>
              <w:t>Total</w:t>
            </w:r>
          </w:p>
        </w:tc>
        <w:tc>
          <w:tcPr>
            <w:tcW w:w="1470" w:type="dxa"/>
            <w:shd w:val="clear" w:color="auto" w:fill="auto"/>
          </w:tcPr>
          <w:p w14:paraId="46832D40"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c>
          <w:tcPr>
            <w:tcW w:w="1418" w:type="dxa"/>
            <w:shd w:val="clear" w:color="auto" w:fill="auto"/>
          </w:tcPr>
          <w:p w14:paraId="316BC2D2"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2</w:t>
            </w:r>
          </w:p>
        </w:tc>
        <w:tc>
          <w:tcPr>
            <w:tcW w:w="1417" w:type="dxa"/>
            <w:shd w:val="clear" w:color="auto" w:fill="auto"/>
          </w:tcPr>
          <w:p w14:paraId="0E1DD293"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8</w:t>
            </w:r>
          </w:p>
        </w:tc>
        <w:tc>
          <w:tcPr>
            <w:tcW w:w="1418" w:type="dxa"/>
            <w:shd w:val="clear" w:color="auto" w:fill="auto"/>
          </w:tcPr>
          <w:p w14:paraId="2924148A"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4</w:t>
            </w:r>
          </w:p>
        </w:tc>
        <w:tc>
          <w:tcPr>
            <w:tcW w:w="1275" w:type="dxa"/>
            <w:shd w:val="clear" w:color="auto" w:fill="auto"/>
          </w:tcPr>
          <w:p w14:paraId="6834C261"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3</w:t>
            </w:r>
          </w:p>
        </w:tc>
        <w:tc>
          <w:tcPr>
            <w:tcW w:w="810" w:type="dxa"/>
            <w:shd w:val="clear" w:color="auto" w:fill="auto"/>
          </w:tcPr>
          <w:p w14:paraId="4B11F1AF"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22</w:t>
            </w:r>
          </w:p>
        </w:tc>
      </w:tr>
    </w:tbl>
    <w:p w14:paraId="42A2A582" w14:textId="77777777" w:rsidR="00A54BFC" w:rsidRPr="00650CEA" w:rsidRDefault="00A54BFC" w:rsidP="00A54BFC">
      <w:pPr>
        <w:shd w:val="clear" w:color="auto" w:fill="FFFFFF" w:themeFill="background1"/>
        <w:rPr>
          <w:lang w:val="en-US"/>
        </w:rPr>
      </w:pPr>
    </w:p>
    <w:p w14:paraId="74B454C0" w14:textId="77777777" w:rsidR="00A54BFC" w:rsidRPr="000A3231" w:rsidRDefault="00A54BFC" w:rsidP="00A54BFC">
      <w:pPr>
        <w:pStyle w:val="Heading1"/>
        <w:numPr>
          <w:ilvl w:val="0"/>
          <w:numId w:val="1"/>
        </w:numPr>
        <w:shd w:val="clear" w:color="auto" w:fill="FFFFFF" w:themeFill="background1"/>
        <w:rPr>
          <w:rStyle w:val="cf01"/>
          <w:rFonts w:asciiTheme="majorBidi" w:hAnsiTheme="majorBidi" w:cstheme="majorBidi"/>
          <w:sz w:val="22"/>
          <w:szCs w:val="22"/>
        </w:rPr>
      </w:pPr>
      <w:r w:rsidRPr="00B42ED2">
        <w:rPr>
          <w:rStyle w:val="cf01"/>
          <w:rFonts w:asciiTheme="majorBidi" w:hAnsiTheme="majorBidi" w:cstheme="majorBidi"/>
          <w:sz w:val="22"/>
          <w:szCs w:val="22"/>
          <w:lang w:val="fr-FR"/>
        </w:rPr>
        <w:t>Il est ressorti des discussions avec les agences bilatérales et d</w:t>
      </w:r>
      <w:r>
        <w:rPr>
          <w:rStyle w:val="cf01"/>
          <w:rFonts w:asciiTheme="majorBidi" w:hAnsiTheme="majorBidi" w:cstheme="majorBidi"/>
          <w:sz w:val="22"/>
          <w:szCs w:val="22"/>
          <w:lang w:val="fr-FR"/>
        </w:rPr>
        <w:t>’exécution</w:t>
      </w:r>
      <w:r w:rsidRPr="00B42ED2">
        <w:rPr>
          <w:rStyle w:val="cf01"/>
          <w:rFonts w:asciiTheme="majorBidi" w:hAnsiTheme="majorBidi" w:cstheme="majorBidi"/>
          <w:sz w:val="22"/>
          <w:szCs w:val="22"/>
          <w:lang w:val="fr-FR"/>
        </w:rPr>
        <w:t xml:space="preserve"> que les difficultés liées à la chaîne d</w:t>
      </w:r>
      <w:r>
        <w:rPr>
          <w:rStyle w:val="cf01"/>
          <w:rFonts w:asciiTheme="majorBidi" w:hAnsiTheme="majorBidi" w:cstheme="majorBidi"/>
          <w:sz w:val="22"/>
          <w:szCs w:val="22"/>
          <w:lang w:val="fr-FR"/>
        </w:rPr>
        <w:t>’</w:t>
      </w:r>
      <w:r w:rsidRPr="00B42ED2">
        <w:rPr>
          <w:rStyle w:val="cf01"/>
          <w:rFonts w:asciiTheme="majorBidi" w:hAnsiTheme="majorBidi" w:cstheme="majorBidi"/>
          <w:sz w:val="22"/>
          <w:szCs w:val="22"/>
          <w:lang w:val="fr-FR"/>
        </w:rPr>
        <w:t>approvisionnement s</w:t>
      </w:r>
      <w:r>
        <w:rPr>
          <w:rStyle w:val="cf01"/>
          <w:rFonts w:asciiTheme="majorBidi" w:hAnsiTheme="majorBidi" w:cstheme="majorBidi"/>
          <w:sz w:val="22"/>
          <w:szCs w:val="22"/>
          <w:lang w:val="fr-FR"/>
        </w:rPr>
        <w:t>’</w:t>
      </w:r>
      <w:r w:rsidRPr="00B42ED2">
        <w:rPr>
          <w:rStyle w:val="cf01"/>
          <w:rFonts w:asciiTheme="majorBidi" w:hAnsiTheme="majorBidi" w:cstheme="majorBidi"/>
          <w:sz w:val="22"/>
          <w:szCs w:val="22"/>
          <w:lang w:val="fr-FR"/>
        </w:rPr>
        <w:t>étendent également aux équipements et services finaux des systèmes de réfrigération, de climatisation et de pompes à chaleur.</w:t>
      </w:r>
      <w:r w:rsidRPr="000A3231">
        <w:rPr>
          <w:rStyle w:val="cf01"/>
          <w:rFonts w:asciiTheme="majorBidi" w:hAnsiTheme="majorBidi" w:cstheme="majorBidi"/>
          <w:sz w:val="22"/>
          <w:szCs w:val="22"/>
        </w:rPr>
        <w:t xml:space="preserve"> </w:t>
      </w:r>
      <w:r w:rsidRPr="00B42ED2">
        <w:rPr>
          <w:rStyle w:val="cf01"/>
          <w:rFonts w:asciiTheme="majorBidi" w:hAnsiTheme="majorBidi" w:cstheme="majorBidi"/>
          <w:sz w:val="22"/>
          <w:szCs w:val="22"/>
          <w:lang w:val="fr-FR"/>
        </w:rPr>
        <w:t xml:space="preserve">Toutefois, conformément au mandat spécifique défini dans la décision 96/59, le </w:t>
      </w:r>
      <w:r>
        <w:rPr>
          <w:rStyle w:val="cf01"/>
          <w:rFonts w:asciiTheme="majorBidi" w:hAnsiTheme="majorBidi" w:cstheme="majorBidi"/>
          <w:sz w:val="22"/>
          <w:szCs w:val="22"/>
          <w:lang w:val="fr-FR"/>
        </w:rPr>
        <w:t>secrétariat</w:t>
      </w:r>
      <w:r w:rsidRPr="00B42ED2">
        <w:rPr>
          <w:rStyle w:val="cf01"/>
          <w:rFonts w:asciiTheme="majorBidi" w:hAnsiTheme="majorBidi" w:cstheme="majorBidi"/>
          <w:sz w:val="22"/>
          <w:szCs w:val="22"/>
          <w:lang w:val="fr-FR"/>
        </w:rPr>
        <w:t xml:space="preserve"> a axé le présent document exclusivement sur les projets de conversion en cours, tout en mettant en relief la dimension plus large des produits et services dans la section « Observations du </w:t>
      </w:r>
      <w:r>
        <w:rPr>
          <w:rStyle w:val="cf01"/>
          <w:rFonts w:asciiTheme="majorBidi" w:hAnsiTheme="majorBidi" w:cstheme="majorBidi"/>
          <w:sz w:val="22"/>
          <w:szCs w:val="22"/>
          <w:lang w:val="fr-FR"/>
        </w:rPr>
        <w:t>secrétariat</w:t>
      </w:r>
      <w:r w:rsidRPr="00B42ED2">
        <w:rPr>
          <w:rStyle w:val="cf01"/>
          <w:rFonts w:asciiTheme="majorBidi" w:hAnsiTheme="majorBidi" w:cstheme="majorBidi"/>
          <w:sz w:val="22"/>
          <w:szCs w:val="22"/>
          <w:lang w:val="fr-FR"/>
        </w:rPr>
        <w:t xml:space="preserve"> » du document, en vue de futurs </w:t>
      </w:r>
      <w:r>
        <w:rPr>
          <w:rStyle w:val="cf01"/>
          <w:rFonts w:asciiTheme="majorBidi" w:hAnsiTheme="majorBidi" w:cstheme="majorBidi"/>
          <w:sz w:val="22"/>
          <w:szCs w:val="22"/>
          <w:lang w:val="fr-FR"/>
        </w:rPr>
        <w:t xml:space="preserve">travaux </w:t>
      </w:r>
      <w:r w:rsidRPr="00B42ED2">
        <w:rPr>
          <w:rStyle w:val="cf01"/>
          <w:rFonts w:asciiTheme="majorBidi" w:hAnsiTheme="majorBidi" w:cstheme="majorBidi"/>
          <w:sz w:val="22"/>
          <w:szCs w:val="22"/>
          <w:lang w:val="fr-FR"/>
        </w:rPr>
        <w:t>possibles.</w:t>
      </w:r>
    </w:p>
    <w:p w14:paraId="45243280" w14:textId="77777777" w:rsidR="00A54BFC" w:rsidRPr="000A3231" w:rsidRDefault="00A54BFC" w:rsidP="00A54BFC">
      <w:pPr>
        <w:pStyle w:val="Heading1"/>
        <w:numPr>
          <w:ilvl w:val="0"/>
          <w:numId w:val="1"/>
        </w:numPr>
        <w:shd w:val="clear" w:color="auto" w:fill="FFFFFF" w:themeFill="background1"/>
      </w:pPr>
      <w:r w:rsidRPr="00B42ED2">
        <w:rPr>
          <w:lang w:val="fr-FR"/>
        </w:rPr>
        <w:t xml:space="preserve">Afin de faciliter une analyse structurée, le </w:t>
      </w:r>
      <w:r>
        <w:rPr>
          <w:lang w:val="fr-FR"/>
        </w:rPr>
        <w:t>secrétariat</w:t>
      </w:r>
      <w:r w:rsidRPr="00B42ED2">
        <w:rPr>
          <w:lang w:val="fr-FR"/>
        </w:rPr>
        <w:t xml:space="preserve"> a conçu un questionnaire </w:t>
      </w:r>
      <w:r>
        <w:rPr>
          <w:lang w:val="fr-FR"/>
        </w:rPr>
        <w:t>destiné à</w:t>
      </w:r>
      <w:r w:rsidRPr="00B42ED2">
        <w:rPr>
          <w:lang w:val="fr-FR"/>
        </w:rPr>
        <w:t xml:space="preserve"> recueillir des retours d</w:t>
      </w:r>
      <w:r>
        <w:rPr>
          <w:lang w:val="fr-FR"/>
        </w:rPr>
        <w:t>’</w:t>
      </w:r>
      <w:r w:rsidRPr="00B42ED2">
        <w:rPr>
          <w:lang w:val="fr-FR"/>
        </w:rPr>
        <w:t>information de la part des agences bilatérales et d</w:t>
      </w:r>
      <w:r>
        <w:rPr>
          <w:lang w:val="fr-FR"/>
        </w:rPr>
        <w:t>’</w:t>
      </w:r>
      <w:r w:rsidRPr="00B42ED2">
        <w:rPr>
          <w:lang w:val="fr-FR"/>
        </w:rPr>
        <w:t>exécution sur trois principaux éléments examinés : la disponibilité, le</w:t>
      </w:r>
      <w:r>
        <w:rPr>
          <w:lang w:val="fr-FR"/>
        </w:rPr>
        <w:t>s</w:t>
      </w:r>
      <w:r w:rsidRPr="00B42ED2">
        <w:rPr>
          <w:lang w:val="fr-FR"/>
        </w:rPr>
        <w:t xml:space="preserve"> prix, les aspects techniques et questions</w:t>
      </w:r>
      <w:r>
        <w:rPr>
          <w:lang w:val="fr-FR"/>
        </w:rPr>
        <w:t xml:space="preserve"> diverses</w:t>
      </w:r>
      <w:r w:rsidRPr="00B42ED2">
        <w:rPr>
          <w:lang w:val="fr-FR"/>
        </w:rPr>
        <w:t>.</w:t>
      </w:r>
      <w:r w:rsidRPr="000A3231">
        <w:t xml:space="preserve"> </w:t>
      </w:r>
      <w:r w:rsidRPr="00B42ED2">
        <w:rPr>
          <w:lang w:val="fr-FR"/>
        </w:rPr>
        <w:t xml:space="preserve">Le questionnaire était structuré de manière à </w:t>
      </w:r>
      <w:r>
        <w:rPr>
          <w:lang w:val="fr-FR"/>
        </w:rPr>
        <w:t xml:space="preserve">rassembler </w:t>
      </w:r>
      <w:r w:rsidRPr="00B42ED2">
        <w:rPr>
          <w:lang w:val="fr-FR"/>
        </w:rPr>
        <w:t>des informations pour chaque sous-secteur de la réfrigération, de la climatisation et des pompes à chaleur, avec une section dédiée aux PME et aux retours d</w:t>
      </w:r>
      <w:r>
        <w:rPr>
          <w:lang w:val="fr-FR"/>
        </w:rPr>
        <w:t>’</w:t>
      </w:r>
      <w:r w:rsidRPr="00B42ED2">
        <w:rPr>
          <w:lang w:val="fr-FR"/>
        </w:rPr>
        <w:t>information provenant des Unités nationales de l</w:t>
      </w:r>
      <w:r>
        <w:rPr>
          <w:lang w:val="fr-FR"/>
        </w:rPr>
        <w:t>’</w:t>
      </w:r>
      <w:r w:rsidRPr="00B42ED2">
        <w:rPr>
          <w:lang w:val="fr-FR"/>
        </w:rPr>
        <w:t>ozone (UNO), recueillis par l</w:t>
      </w:r>
      <w:r>
        <w:rPr>
          <w:lang w:val="fr-FR"/>
        </w:rPr>
        <w:t>’</w:t>
      </w:r>
      <w:r w:rsidRPr="00B42ED2">
        <w:rPr>
          <w:lang w:val="fr-FR"/>
        </w:rPr>
        <w:t>intermédiaire des agences.</w:t>
      </w:r>
      <w:r w:rsidRPr="000A3231">
        <w:t xml:space="preserve"> </w:t>
      </w:r>
      <w:r w:rsidRPr="00B42ED2">
        <w:rPr>
          <w:lang w:val="fr-FR"/>
        </w:rPr>
        <w:t>Le questionnaire utilisé figure à l</w:t>
      </w:r>
      <w:r>
        <w:rPr>
          <w:lang w:val="fr-FR"/>
        </w:rPr>
        <w:t>’</w:t>
      </w:r>
      <w:r w:rsidRPr="00B42ED2">
        <w:rPr>
          <w:lang w:val="fr-FR"/>
        </w:rPr>
        <w:t>annexe I du présent document.</w:t>
      </w:r>
    </w:p>
    <w:p w14:paraId="18B22FF2" w14:textId="77777777" w:rsidR="00A54BFC" w:rsidRPr="000A3231" w:rsidRDefault="00A54BFC" w:rsidP="00A54BFC">
      <w:pPr>
        <w:pStyle w:val="Heading1"/>
        <w:keepNext/>
        <w:widowControl w:val="0"/>
        <w:numPr>
          <w:ilvl w:val="0"/>
          <w:numId w:val="0"/>
        </w:numPr>
        <w:shd w:val="clear" w:color="auto" w:fill="FFFFFF" w:themeFill="background1"/>
        <w:rPr>
          <w:rFonts w:eastAsia="Arial"/>
          <w:b/>
          <w:bCs/>
        </w:rPr>
      </w:pPr>
      <w:r w:rsidRPr="00B42ED2">
        <w:rPr>
          <w:rFonts w:eastAsia="Arial"/>
          <w:b/>
          <w:bCs/>
          <w:lang w:val="fr-FR"/>
        </w:rPr>
        <w:t>Principales conclusions des projets de conversion</w:t>
      </w:r>
    </w:p>
    <w:p w14:paraId="06E6096B" w14:textId="77777777" w:rsidR="00A54BFC" w:rsidRPr="000A3231" w:rsidRDefault="00A54BFC" w:rsidP="00A54BFC">
      <w:pPr>
        <w:pStyle w:val="Heading1"/>
        <w:numPr>
          <w:ilvl w:val="0"/>
          <w:numId w:val="24"/>
        </w:numPr>
        <w:shd w:val="clear" w:color="auto" w:fill="FFFFFF" w:themeFill="background1"/>
        <w:tabs>
          <w:tab w:val="num" w:pos="360"/>
        </w:tabs>
        <w:ind w:left="714" w:hanging="5"/>
        <w:rPr>
          <w:u w:val="single"/>
        </w:rPr>
      </w:pPr>
      <w:r w:rsidRPr="00B42ED2">
        <w:rPr>
          <w:u w:val="single"/>
          <w:lang w:val="fr-FR"/>
        </w:rPr>
        <w:t>Disponibilité des frigorigènes et des composants</w:t>
      </w:r>
    </w:p>
    <w:p w14:paraId="420411AE" w14:textId="77777777" w:rsidR="00A54BFC" w:rsidRPr="000A3231" w:rsidRDefault="00A54BFC" w:rsidP="00A54BFC">
      <w:pPr>
        <w:pStyle w:val="Heading1"/>
        <w:keepLines/>
        <w:widowControl w:val="0"/>
        <w:numPr>
          <w:ilvl w:val="0"/>
          <w:numId w:val="1"/>
        </w:numPr>
        <w:shd w:val="clear" w:color="auto" w:fill="FFFFFF" w:themeFill="background1"/>
        <w:spacing w:line="240" w:lineRule="atLeast"/>
      </w:pPr>
      <w:r w:rsidRPr="00B42ED2">
        <w:rPr>
          <w:lang w:val="fr-FR"/>
        </w:rPr>
        <w:t>Dans tous les sous-secteurs de la réfrigération, de la climatisation et des pompes à chaleur, les difficultés à garantir un accès fiable et rapide aux frigorigènes de remplacement et à leurs composants compatibles constituent l</w:t>
      </w:r>
      <w:r>
        <w:rPr>
          <w:lang w:val="fr-FR"/>
        </w:rPr>
        <w:t>’</w:t>
      </w:r>
      <w:r w:rsidRPr="00B42ED2">
        <w:rPr>
          <w:lang w:val="fr-FR"/>
        </w:rPr>
        <w:t>un des obstacles les plus importants à la mise en œuvre des projets de conversion.</w:t>
      </w:r>
    </w:p>
    <w:p w14:paraId="312728D0" w14:textId="77777777" w:rsidR="00A54BFC" w:rsidRPr="00B42ED2" w:rsidRDefault="00A54BFC" w:rsidP="00A54BFC">
      <w:pPr>
        <w:pStyle w:val="Heading1"/>
        <w:keepNext/>
        <w:numPr>
          <w:ilvl w:val="0"/>
          <w:numId w:val="0"/>
        </w:numPr>
        <w:shd w:val="clear" w:color="auto" w:fill="FFFFFF" w:themeFill="background1"/>
        <w:rPr>
          <w:i/>
          <w:iCs/>
        </w:rPr>
      </w:pPr>
      <w:r w:rsidRPr="00B42ED2">
        <w:rPr>
          <w:i/>
          <w:iCs/>
          <w:lang w:val="fr-FR"/>
        </w:rPr>
        <w:lastRenderedPageBreak/>
        <w:t>Réfrigération domestique</w:t>
      </w:r>
    </w:p>
    <w:p w14:paraId="46557CEB" w14:textId="77777777" w:rsidR="00A54BFC" w:rsidRPr="000A3231" w:rsidRDefault="00A54BFC" w:rsidP="00A54BFC">
      <w:pPr>
        <w:pStyle w:val="Heading1"/>
        <w:numPr>
          <w:ilvl w:val="0"/>
          <w:numId w:val="1"/>
        </w:numPr>
        <w:shd w:val="clear" w:color="auto" w:fill="FFFFFF" w:themeFill="background1"/>
      </w:pPr>
      <w:r w:rsidRPr="00B42ED2">
        <w:rPr>
          <w:lang w:val="fr-FR"/>
        </w:rPr>
        <w:t>Dans la plupart des cas, les projets de conversion dans le sous-secteur de la fabrication de systèmes de réfrigération domestique n</w:t>
      </w:r>
      <w:r>
        <w:rPr>
          <w:lang w:val="fr-FR"/>
        </w:rPr>
        <w:t>’</w:t>
      </w:r>
      <w:r w:rsidRPr="00B42ED2">
        <w:rPr>
          <w:lang w:val="fr-FR"/>
        </w:rPr>
        <w:t>ont pas encore atteint le stade de la mise en œuvre, ce qui limite une évaluation pratique complète des contraintes de disponibilité dans des conditions de projet réelles.</w:t>
      </w:r>
      <w:r w:rsidRPr="000A3231">
        <w:t xml:space="preserve"> </w:t>
      </w:r>
      <w:r w:rsidRPr="00B42ED2">
        <w:rPr>
          <w:lang w:val="fr-FR"/>
        </w:rPr>
        <w:t>Toutefois, on considère comme très faible la probabilité de rencontrer des problèmes de disponibilité, compte tenu de la maturité de cette technologie depuis de nombreuses années et dans de nombreux pays, y compris les pays visés à l</w:t>
      </w:r>
      <w:r>
        <w:rPr>
          <w:lang w:val="fr-FR"/>
        </w:rPr>
        <w:t>’</w:t>
      </w:r>
      <w:r w:rsidRPr="00B42ED2">
        <w:rPr>
          <w:lang w:val="fr-FR"/>
        </w:rPr>
        <w:t>article 5.</w:t>
      </w:r>
      <w:r w:rsidRPr="000A3231">
        <w:t xml:space="preserve"> </w:t>
      </w:r>
      <w:r w:rsidRPr="00B42ED2">
        <w:rPr>
          <w:lang w:val="fr-FR"/>
        </w:rPr>
        <w:t>À mesure que les projets progressent vers leur mise en œuvre, les problèmes d</w:t>
      </w:r>
      <w:r>
        <w:rPr>
          <w:lang w:val="fr-FR"/>
        </w:rPr>
        <w:t>’</w:t>
      </w:r>
      <w:r w:rsidRPr="00B42ED2">
        <w:rPr>
          <w:lang w:val="fr-FR"/>
        </w:rPr>
        <w:t xml:space="preserve">approvisionnement qui </w:t>
      </w:r>
      <w:r>
        <w:rPr>
          <w:lang w:val="fr-FR"/>
        </w:rPr>
        <w:t xml:space="preserve">risquent de </w:t>
      </w:r>
      <w:r w:rsidRPr="00B42ED2">
        <w:rPr>
          <w:lang w:val="fr-FR"/>
        </w:rPr>
        <w:t xml:space="preserve">surgir </w:t>
      </w:r>
      <w:r>
        <w:rPr>
          <w:lang w:val="fr-FR"/>
        </w:rPr>
        <w:t>porteront probablement sur</w:t>
      </w:r>
      <w:r w:rsidRPr="00B42ED2">
        <w:rPr>
          <w:lang w:val="fr-FR"/>
        </w:rPr>
        <w:t xml:space="preserve"> la garantie d</w:t>
      </w:r>
      <w:r>
        <w:rPr>
          <w:lang w:val="fr-FR"/>
        </w:rPr>
        <w:t>’</w:t>
      </w:r>
      <w:r w:rsidRPr="00B42ED2">
        <w:rPr>
          <w:lang w:val="fr-FR"/>
        </w:rPr>
        <w:t>un approvisionnement durable en frigorigènes à base d</w:t>
      </w:r>
      <w:r>
        <w:rPr>
          <w:lang w:val="fr-FR"/>
        </w:rPr>
        <w:t>’</w:t>
      </w:r>
      <w:r w:rsidRPr="00B42ED2">
        <w:rPr>
          <w:lang w:val="fr-FR"/>
        </w:rPr>
        <w:t>hydrocarbures (HC) et en compresseurs compatibles, ce qui pourrait concerner certains pays visés à l</w:t>
      </w:r>
      <w:r>
        <w:rPr>
          <w:lang w:val="fr-FR"/>
        </w:rPr>
        <w:t>’</w:t>
      </w:r>
      <w:r w:rsidRPr="00B42ED2">
        <w:rPr>
          <w:lang w:val="fr-FR"/>
        </w:rPr>
        <w:t>article 5, mais pas tous.</w:t>
      </w:r>
      <w:r w:rsidRPr="000A3231">
        <w:t xml:space="preserve"> </w:t>
      </w:r>
      <w:r w:rsidRPr="00B42ED2">
        <w:rPr>
          <w:lang w:val="fr-FR"/>
        </w:rPr>
        <w:t xml:space="preserve">Le suivi des problèmes de disponibilité sera donc essentiel à mesure que ces projets </w:t>
      </w:r>
      <w:r>
        <w:rPr>
          <w:lang w:val="fr-FR"/>
        </w:rPr>
        <w:t>avanc</w:t>
      </w:r>
      <w:r w:rsidRPr="00B42ED2">
        <w:rPr>
          <w:lang w:val="fr-FR"/>
        </w:rPr>
        <w:t>ent.</w:t>
      </w:r>
    </w:p>
    <w:p w14:paraId="58A6168A" w14:textId="77777777" w:rsidR="00A54BFC" w:rsidRPr="00020159" w:rsidRDefault="00A54BFC" w:rsidP="00A54BFC">
      <w:pPr>
        <w:pStyle w:val="Heading1"/>
        <w:keepLines/>
        <w:widowControl w:val="0"/>
        <w:numPr>
          <w:ilvl w:val="0"/>
          <w:numId w:val="0"/>
        </w:numPr>
        <w:shd w:val="clear" w:color="auto" w:fill="FFFFFF" w:themeFill="background1"/>
        <w:rPr>
          <w:i/>
          <w:iCs/>
        </w:rPr>
      </w:pPr>
      <w:r w:rsidRPr="00020159">
        <w:rPr>
          <w:i/>
          <w:iCs/>
          <w:lang w:val="fr-FR"/>
        </w:rPr>
        <w:t>Réfrigération commerciale</w:t>
      </w:r>
    </w:p>
    <w:p w14:paraId="76BB9DCC" w14:textId="77777777" w:rsidR="00A54BFC" w:rsidRPr="000A3231" w:rsidRDefault="00A54BFC" w:rsidP="00A54BFC">
      <w:pPr>
        <w:pStyle w:val="Heading1"/>
        <w:keepLines/>
        <w:widowControl w:val="0"/>
        <w:numPr>
          <w:ilvl w:val="0"/>
          <w:numId w:val="1"/>
        </w:numPr>
        <w:shd w:val="clear" w:color="auto" w:fill="FFFFFF" w:themeFill="background1"/>
      </w:pPr>
      <w:r w:rsidRPr="00020159">
        <w:rPr>
          <w:lang w:val="fr-FR"/>
        </w:rPr>
        <w:t>Les projets de conversion des systèmes de réfrigération commerciale sont confrontés à des contraintes de disponibilité considérables, notamment du fai</w:t>
      </w:r>
      <w:r>
        <w:rPr>
          <w:lang w:val="fr-FR"/>
        </w:rPr>
        <w:t>t</w:t>
      </w:r>
      <w:r w:rsidRPr="00020159">
        <w:rPr>
          <w:lang w:val="fr-FR"/>
        </w:rPr>
        <w:t xml:space="preserve"> de la diversité des types de systèmes et des </w:t>
      </w:r>
      <w:r>
        <w:rPr>
          <w:lang w:val="fr-FR"/>
        </w:rPr>
        <w:t>volume</w:t>
      </w:r>
      <w:r w:rsidRPr="00020159">
        <w:rPr>
          <w:lang w:val="fr-FR"/>
        </w:rPr>
        <w:t>s de charge impliquées.</w:t>
      </w:r>
      <w:r w:rsidRPr="000A3231">
        <w:t xml:space="preserve"> </w:t>
      </w:r>
      <w:r w:rsidRPr="00020159">
        <w:rPr>
          <w:lang w:val="fr-FR"/>
        </w:rPr>
        <w:t>L</w:t>
      </w:r>
      <w:r>
        <w:rPr>
          <w:lang w:val="fr-FR"/>
        </w:rPr>
        <w:t>’</w:t>
      </w:r>
      <w:r w:rsidRPr="00020159">
        <w:rPr>
          <w:lang w:val="fr-FR"/>
        </w:rPr>
        <w:t xml:space="preserve">un des défis fondamentaux réside dans la forte dépendance </w:t>
      </w:r>
      <w:r>
        <w:rPr>
          <w:lang w:val="fr-FR"/>
        </w:rPr>
        <w:t>à l’égard</w:t>
      </w:r>
      <w:r w:rsidRPr="00020159">
        <w:rPr>
          <w:lang w:val="fr-FR"/>
        </w:rPr>
        <w:t xml:space="preserve"> </w:t>
      </w:r>
      <w:r>
        <w:rPr>
          <w:lang w:val="fr-FR"/>
        </w:rPr>
        <w:t xml:space="preserve">des </w:t>
      </w:r>
      <w:r w:rsidRPr="00020159">
        <w:rPr>
          <w:lang w:val="fr-FR"/>
        </w:rPr>
        <w:t xml:space="preserve">importations de frigorigènes de remplacement et de composants clés tels que les compresseurs et les régulateurs, </w:t>
      </w:r>
      <w:r>
        <w:rPr>
          <w:lang w:val="fr-FR"/>
        </w:rPr>
        <w:t xml:space="preserve">situation </w:t>
      </w:r>
      <w:r w:rsidRPr="00020159">
        <w:rPr>
          <w:lang w:val="fr-FR"/>
        </w:rPr>
        <w:t>aggravée par la disponibilité locale limitée de composants certifiés pour les systèmes à grande échelle nécessitant des solutions à base de dioxyde de carbone (CO₂) ou d</w:t>
      </w:r>
      <w:r>
        <w:rPr>
          <w:lang w:val="fr-FR"/>
        </w:rPr>
        <w:t>’</w:t>
      </w:r>
      <w:r w:rsidRPr="00020159">
        <w:rPr>
          <w:lang w:val="fr-FR"/>
        </w:rPr>
        <w:t>hydrocarbures.</w:t>
      </w:r>
      <w:r w:rsidRPr="000A3231">
        <w:t xml:space="preserve"> </w:t>
      </w:r>
      <w:r w:rsidRPr="00020159">
        <w:rPr>
          <w:lang w:val="fr-FR"/>
        </w:rPr>
        <w:t>Les insuffisances d</w:t>
      </w:r>
      <w:r>
        <w:rPr>
          <w:lang w:val="fr-FR"/>
        </w:rPr>
        <w:t>’</w:t>
      </w:r>
      <w:r w:rsidRPr="00020159">
        <w:rPr>
          <w:lang w:val="fr-FR"/>
        </w:rPr>
        <w:t xml:space="preserve">approvisionnement sont encore </w:t>
      </w:r>
      <w:r>
        <w:rPr>
          <w:lang w:val="fr-FR"/>
        </w:rPr>
        <w:t>amplifiées</w:t>
      </w:r>
      <w:r w:rsidRPr="00020159">
        <w:rPr>
          <w:lang w:val="fr-FR"/>
        </w:rPr>
        <w:t xml:space="preserve"> par les retards à l</w:t>
      </w:r>
      <w:r>
        <w:rPr>
          <w:lang w:val="fr-FR"/>
        </w:rPr>
        <w:t>’</w:t>
      </w:r>
      <w:r w:rsidRPr="00020159">
        <w:rPr>
          <w:lang w:val="fr-FR"/>
        </w:rPr>
        <w:t>importation, les contraintes d</w:t>
      </w:r>
      <w:r>
        <w:rPr>
          <w:lang w:val="fr-FR"/>
        </w:rPr>
        <w:t>’</w:t>
      </w:r>
      <w:r w:rsidRPr="00020159">
        <w:rPr>
          <w:lang w:val="fr-FR"/>
        </w:rPr>
        <w:t>expédition et les problèmes de dédouanement qui affectent directement les calendriers des projets et les délais de livraison.</w:t>
      </w:r>
    </w:p>
    <w:p w14:paraId="16A18A02" w14:textId="77777777" w:rsidR="00A54BFC" w:rsidRPr="000A3231" w:rsidRDefault="00A54BFC" w:rsidP="00A54BFC">
      <w:pPr>
        <w:pStyle w:val="Heading1"/>
        <w:keepLines/>
        <w:widowControl w:val="0"/>
        <w:numPr>
          <w:ilvl w:val="0"/>
          <w:numId w:val="1"/>
        </w:numPr>
        <w:shd w:val="clear" w:color="auto" w:fill="FFFFFF" w:themeFill="background1"/>
      </w:pPr>
      <w:r w:rsidRPr="00020159">
        <w:rPr>
          <w:lang w:val="fr-FR"/>
        </w:rPr>
        <w:t xml:space="preserve">Au-delà des </w:t>
      </w:r>
      <w:r>
        <w:rPr>
          <w:lang w:val="fr-FR"/>
        </w:rPr>
        <w:t>limitations</w:t>
      </w:r>
      <w:r w:rsidRPr="00020159">
        <w:rPr>
          <w:lang w:val="fr-FR"/>
        </w:rPr>
        <w:t xml:space="preserve"> immédiates liées à la chaîne d</w:t>
      </w:r>
      <w:r>
        <w:rPr>
          <w:lang w:val="fr-FR"/>
        </w:rPr>
        <w:t>’</w:t>
      </w:r>
      <w:r w:rsidRPr="00020159">
        <w:rPr>
          <w:lang w:val="fr-FR"/>
        </w:rPr>
        <w:t>approvisionnement, le secteur est également confronté à des faiblesses structurelles qui compromettent les efforts de conversion à long terme.</w:t>
      </w:r>
      <w:r w:rsidRPr="000A3231">
        <w:t xml:space="preserve"> </w:t>
      </w:r>
      <w:r w:rsidRPr="00020159">
        <w:rPr>
          <w:lang w:val="fr-FR"/>
        </w:rPr>
        <w:t>Le manque d</w:t>
      </w:r>
      <w:r>
        <w:rPr>
          <w:lang w:val="fr-FR"/>
        </w:rPr>
        <w:t>’</w:t>
      </w:r>
      <w:r w:rsidRPr="00020159">
        <w:rPr>
          <w:lang w:val="fr-FR"/>
        </w:rPr>
        <w:t>infrastructures locales de régénération des frigorigènes limite la capacité de récupér</w:t>
      </w:r>
      <w:r>
        <w:rPr>
          <w:lang w:val="fr-FR"/>
        </w:rPr>
        <w:t xml:space="preserve">ation </w:t>
      </w:r>
      <w:r w:rsidRPr="00020159">
        <w:rPr>
          <w:lang w:val="fr-FR"/>
        </w:rPr>
        <w:t>et de réutilis</w:t>
      </w:r>
      <w:r>
        <w:rPr>
          <w:lang w:val="fr-FR"/>
        </w:rPr>
        <w:t>ation</w:t>
      </w:r>
      <w:r w:rsidRPr="00020159">
        <w:rPr>
          <w:lang w:val="fr-FR"/>
        </w:rPr>
        <w:t xml:space="preserve"> lors des opérations de conversion, ce qui alourdit les coûts et la logistique des projets.</w:t>
      </w:r>
      <w:r w:rsidRPr="000A3231">
        <w:t xml:space="preserve"> </w:t>
      </w:r>
      <w:r w:rsidRPr="00020159">
        <w:rPr>
          <w:lang w:val="fr-FR"/>
        </w:rPr>
        <w:t>L</w:t>
      </w:r>
      <w:r>
        <w:rPr>
          <w:lang w:val="fr-FR"/>
        </w:rPr>
        <w:t>’</w:t>
      </w:r>
      <w:r w:rsidRPr="00020159">
        <w:rPr>
          <w:lang w:val="fr-FR"/>
        </w:rPr>
        <w:t>insuffisance de mécanismes réglementaires pour empêcher la circulation de frigorigènes contrefaits ou non conformes, notamment les lacunes importantes en matière d</w:t>
      </w:r>
      <w:r>
        <w:rPr>
          <w:lang w:val="fr-FR"/>
        </w:rPr>
        <w:t>’</w:t>
      </w:r>
      <w:r w:rsidRPr="00020159">
        <w:rPr>
          <w:lang w:val="fr-FR"/>
        </w:rPr>
        <w:t>enregistrement des fournisseurs, de systèmes de suivi et des capacités de contrôle, représente un autre sujet d</w:t>
      </w:r>
      <w:r>
        <w:rPr>
          <w:lang w:val="fr-FR"/>
        </w:rPr>
        <w:t>’</w:t>
      </w:r>
      <w:r w:rsidRPr="00020159">
        <w:rPr>
          <w:lang w:val="fr-FR"/>
        </w:rPr>
        <w:t>inquiétude.</w:t>
      </w:r>
    </w:p>
    <w:p w14:paraId="4E381B9C" w14:textId="77777777" w:rsidR="00A54BFC" w:rsidRPr="00020159" w:rsidRDefault="00A54BFC" w:rsidP="00A54BFC">
      <w:pPr>
        <w:pStyle w:val="Heading1"/>
        <w:keepLines/>
        <w:widowControl w:val="0"/>
        <w:numPr>
          <w:ilvl w:val="0"/>
          <w:numId w:val="0"/>
        </w:numPr>
        <w:shd w:val="clear" w:color="auto" w:fill="FFFFFF" w:themeFill="background1"/>
        <w:rPr>
          <w:i/>
          <w:iCs/>
        </w:rPr>
      </w:pPr>
      <w:r w:rsidRPr="00020159">
        <w:rPr>
          <w:i/>
          <w:iCs/>
          <w:lang w:val="fr-FR"/>
        </w:rPr>
        <w:t>Climatis</w:t>
      </w:r>
      <w:r>
        <w:rPr>
          <w:i/>
          <w:iCs/>
          <w:lang w:val="fr-FR"/>
        </w:rPr>
        <w:t>ation</w:t>
      </w:r>
      <w:r w:rsidRPr="00020159">
        <w:rPr>
          <w:i/>
          <w:iCs/>
          <w:lang w:val="fr-FR"/>
        </w:rPr>
        <w:t xml:space="preserve"> résidentiel</w:t>
      </w:r>
      <w:r>
        <w:rPr>
          <w:i/>
          <w:iCs/>
          <w:lang w:val="fr-FR"/>
        </w:rPr>
        <w:t>le</w:t>
      </w:r>
    </w:p>
    <w:p w14:paraId="598801F1" w14:textId="77777777" w:rsidR="00A54BFC" w:rsidRPr="000A3231" w:rsidRDefault="00A54BFC" w:rsidP="00A54BFC">
      <w:pPr>
        <w:pStyle w:val="Heading1"/>
        <w:keepLines/>
        <w:widowControl w:val="0"/>
        <w:numPr>
          <w:ilvl w:val="0"/>
          <w:numId w:val="1"/>
        </w:numPr>
        <w:shd w:val="clear" w:color="auto" w:fill="FFFFFF" w:themeFill="background1"/>
      </w:pPr>
      <w:r w:rsidRPr="00020159">
        <w:rPr>
          <w:lang w:val="fr-FR"/>
        </w:rPr>
        <w:t>Le sous-secteur de la climatisation résidentielle a connu une légère amélioration de la disponibilité du HFC-32, principal frigorigène de remplacement utilisé dans cette catégorie, en dépit de la persistance de certaines contraintes.</w:t>
      </w:r>
      <w:r w:rsidRPr="000A3231">
        <w:t xml:space="preserve"> </w:t>
      </w:r>
      <w:r w:rsidRPr="00020159">
        <w:rPr>
          <w:lang w:val="fr-FR"/>
        </w:rPr>
        <w:t>Bien que la disponibilité du HFC-32 soit en général suffisante, elle reste largement dépendante des importations et d</w:t>
      </w:r>
      <w:r>
        <w:rPr>
          <w:lang w:val="fr-FR"/>
        </w:rPr>
        <w:t>’</w:t>
      </w:r>
      <w:r w:rsidRPr="00020159">
        <w:rPr>
          <w:lang w:val="fr-FR"/>
        </w:rPr>
        <w:t xml:space="preserve">un nombre limité de fournisseurs, </w:t>
      </w:r>
      <w:r>
        <w:rPr>
          <w:lang w:val="fr-FR"/>
        </w:rPr>
        <w:t>rendant</w:t>
      </w:r>
      <w:r w:rsidRPr="00020159">
        <w:rPr>
          <w:lang w:val="fr-FR"/>
        </w:rPr>
        <w:t xml:space="preserve"> le secteur vulnérable aux perturbations en matière d</w:t>
      </w:r>
      <w:r>
        <w:rPr>
          <w:lang w:val="fr-FR"/>
        </w:rPr>
        <w:t>’</w:t>
      </w:r>
      <w:r w:rsidRPr="00020159">
        <w:rPr>
          <w:lang w:val="fr-FR"/>
        </w:rPr>
        <w:t>approvisionnement.</w:t>
      </w:r>
      <w:r w:rsidRPr="000A3231">
        <w:t xml:space="preserve"> </w:t>
      </w:r>
      <w:r w:rsidRPr="00020159">
        <w:rPr>
          <w:lang w:val="fr-FR"/>
        </w:rPr>
        <w:t>Cette dépendance a été encore aggravée par une pénurie historique touchant les compresseurs à base de HFC-32 de grande capacité, nécessaires à certains fabricants locaux, ce qui a rallongé les délais de conversion et ralenti le rythme de la transition.</w:t>
      </w:r>
    </w:p>
    <w:p w14:paraId="51BF6553" w14:textId="77777777" w:rsidR="00A54BFC" w:rsidRPr="000A3231" w:rsidRDefault="00A54BFC" w:rsidP="00A54BFC">
      <w:pPr>
        <w:pStyle w:val="Heading1"/>
        <w:keepLines/>
        <w:widowControl w:val="0"/>
        <w:numPr>
          <w:ilvl w:val="0"/>
          <w:numId w:val="1"/>
        </w:numPr>
        <w:shd w:val="clear" w:color="auto" w:fill="FFFFFF" w:themeFill="background1"/>
      </w:pPr>
      <w:r w:rsidRPr="00020159">
        <w:rPr>
          <w:lang w:val="fr-FR"/>
        </w:rPr>
        <w:t xml:space="preserve">Un défi structurel majeur a été la demande individuelle trop limitée des fabricants pour mettre en mouvement des </w:t>
      </w:r>
      <w:r>
        <w:rPr>
          <w:lang w:val="fr-FR"/>
        </w:rPr>
        <w:t>séries</w:t>
      </w:r>
      <w:r w:rsidRPr="00020159">
        <w:rPr>
          <w:lang w:val="fr-FR"/>
        </w:rPr>
        <w:t xml:space="preserve"> de production </w:t>
      </w:r>
      <w:r>
        <w:rPr>
          <w:lang w:val="fr-FR"/>
        </w:rPr>
        <w:t>à l’échelle locale ou régionale</w:t>
      </w:r>
      <w:r w:rsidRPr="00020159">
        <w:rPr>
          <w:lang w:val="fr-FR"/>
        </w:rPr>
        <w:t xml:space="preserve">, </w:t>
      </w:r>
      <w:r>
        <w:rPr>
          <w:lang w:val="fr-FR"/>
        </w:rPr>
        <w:t xml:space="preserve">insuffisance </w:t>
      </w:r>
      <w:r w:rsidRPr="00020159">
        <w:rPr>
          <w:lang w:val="fr-FR"/>
        </w:rPr>
        <w:t>qui n</w:t>
      </w:r>
      <w:r>
        <w:rPr>
          <w:lang w:val="fr-FR"/>
        </w:rPr>
        <w:t>’</w:t>
      </w:r>
      <w:r w:rsidRPr="00020159">
        <w:rPr>
          <w:lang w:val="fr-FR"/>
        </w:rPr>
        <w:t>a pu être comblé</w:t>
      </w:r>
      <w:r>
        <w:rPr>
          <w:lang w:val="fr-FR"/>
        </w:rPr>
        <w:t>e</w:t>
      </w:r>
      <w:r w:rsidRPr="00020159">
        <w:rPr>
          <w:lang w:val="fr-FR"/>
        </w:rPr>
        <w:t xml:space="preserve"> qu</w:t>
      </w:r>
      <w:r>
        <w:rPr>
          <w:lang w:val="fr-FR"/>
        </w:rPr>
        <w:t>’une fois le</w:t>
      </w:r>
      <w:r w:rsidRPr="00020159">
        <w:rPr>
          <w:lang w:val="fr-FR"/>
        </w:rPr>
        <w:t xml:space="preserve"> regroupement de la demande au niveau sectoriel a</w:t>
      </w:r>
      <w:r>
        <w:rPr>
          <w:lang w:val="fr-FR"/>
        </w:rPr>
        <w:t>yant</w:t>
      </w:r>
      <w:r w:rsidRPr="00020159">
        <w:rPr>
          <w:lang w:val="fr-FR"/>
        </w:rPr>
        <w:t xml:space="preserve"> atteint une masse critique.</w:t>
      </w:r>
      <w:r w:rsidRPr="000A3231">
        <w:t xml:space="preserve"> </w:t>
      </w:r>
      <w:r w:rsidRPr="00020159">
        <w:rPr>
          <w:lang w:val="fr-FR"/>
        </w:rPr>
        <w:t>Au-delà du HFC-32, des contraintes d</w:t>
      </w:r>
      <w:r>
        <w:rPr>
          <w:lang w:val="fr-FR"/>
        </w:rPr>
        <w:t>’</w:t>
      </w:r>
      <w:r w:rsidRPr="00020159">
        <w:rPr>
          <w:lang w:val="fr-FR"/>
        </w:rPr>
        <w:t>approvisionnement persistent pour</w:t>
      </w:r>
      <w:r>
        <w:rPr>
          <w:lang w:val="fr-FR"/>
        </w:rPr>
        <w:t xml:space="preserve"> les</w:t>
      </w:r>
      <w:r w:rsidRPr="00020159">
        <w:rPr>
          <w:lang w:val="fr-FR"/>
        </w:rPr>
        <w:t xml:space="preserve"> frigorigènes à base de HC tels que le R</w:t>
      </w:r>
      <w:r>
        <w:rPr>
          <w:lang w:val="fr-FR"/>
        </w:rPr>
        <w:t>-</w:t>
      </w:r>
      <w:r w:rsidRPr="00020159">
        <w:rPr>
          <w:lang w:val="fr-FR"/>
        </w:rPr>
        <w:t xml:space="preserve">290 utilisé dans les équipements résidentiels de faible capacité, indiquant que des </w:t>
      </w:r>
      <w:r>
        <w:rPr>
          <w:lang w:val="fr-FR"/>
        </w:rPr>
        <w:t>insuffisances</w:t>
      </w:r>
      <w:r w:rsidRPr="00020159">
        <w:rPr>
          <w:lang w:val="fr-FR"/>
        </w:rPr>
        <w:t xml:space="preserve"> d</w:t>
      </w:r>
      <w:r>
        <w:rPr>
          <w:lang w:val="fr-FR"/>
        </w:rPr>
        <w:t>’</w:t>
      </w:r>
      <w:r w:rsidRPr="00020159">
        <w:rPr>
          <w:lang w:val="fr-FR"/>
        </w:rPr>
        <w:t>approvisionnement subsistent pour un large éventail de frigorigènes et nécessiteront une attention constante à mesure que les projets de conversion progressent.</w:t>
      </w:r>
      <w:r w:rsidRPr="000A3231">
        <w:t xml:space="preserve"> </w:t>
      </w:r>
      <w:r w:rsidRPr="00020159">
        <w:rPr>
          <w:lang w:val="fr-FR"/>
        </w:rPr>
        <w:t>Cet aspect s</w:t>
      </w:r>
      <w:r>
        <w:rPr>
          <w:lang w:val="fr-FR"/>
        </w:rPr>
        <w:t>’</w:t>
      </w:r>
      <w:r w:rsidRPr="00020159">
        <w:rPr>
          <w:lang w:val="fr-FR"/>
        </w:rPr>
        <w:t>applique tout particulièrement à la majorité des pays visés à l</w:t>
      </w:r>
      <w:r>
        <w:rPr>
          <w:lang w:val="fr-FR"/>
        </w:rPr>
        <w:t>’</w:t>
      </w:r>
      <w:r w:rsidRPr="00020159">
        <w:rPr>
          <w:lang w:val="fr-FR"/>
        </w:rPr>
        <w:t>article 5 qui n</w:t>
      </w:r>
      <w:r>
        <w:rPr>
          <w:lang w:val="fr-FR"/>
        </w:rPr>
        <w:t>’</w:t>
      </w:r>
      <w:r w:rsidRPr="00020159">
        <w:rPr>
          <w:lang w:val="fr-FR"/>
        </w:rPr>
        <w:t>ont pas la capacité de produire des hydrocarbures de qualité réfrigérante.</w:t>
      </w:r>
    </w:p>
    <w:p w14:paraId="369EF4C6" w14:textId="77777777" w:rsidR="00A54BFC" w:rsidRPr="00020159" w:rsidRDefault="00A54BFC" w:rsidP="00A54BFC">
      <w:pPr>
        <w:pStyle w:val="Heading1"/>
        <w:keepLines/>
        <w:widowControl w:val="0"/>
        <w:numPr>
          <w:ilvl w:val="0"/>
          <w:numId w:val="0"/>
        </w:numPr>
        <w:shd w:val="clear" w:color="auto" w:fill="FFFFFF" w:themeFill="background1"/>
        <w:spacing w:before="120"/>
        <w:rPr>
          <w:i/>
          <w:iCs/>
        </w:rPr>
      </w:pPr>
      <w:r w:rsidRPr="00020159">
        <w:rPr>
          <w:i/>
          <w:iCs/>
          <w:lang w:val="fr-FR"/>
        </w:rPr>
        <w:t>Climatisation commercial</w:t>
      </w:r>
      <w:r>
        <w:rPr>
          <w:i/>
          <w:iCs/>
          <w:lang w:val="fr-FR"/>
        </w:rPr>
        <w:t>e</w:t>
      </w:r>
    </w:p>
    <w:p w14:paraId="0B211EAF" w14:textId="77777777" w:rsidR="00A54BFC" w:rsidRPr="000A3231" w:rsidRDefault="00A54BFC" w:rsidP="00A54BFC">
      <w:pPr>
        <w:pStyle w:val="Heading1"/>
        <w:numPr>
          <w:ilvl w:val="0"/>
          <w:numId w:val="1"/>
        </w:numPr>
        <w:shd w:val="clear" w:color="auto" w:fill="FFFFFF" w:themeFill="background1"/>
      </w:pPr>
      <w:r w:rsidRPr="00020159">
        <w:rPr>
          <w:lang w:val="fr-FR"/>
        </w:rPr>
        <w:t>Les projets de conversion des usines de climatisation commerciale continuent de rencontrer des problèmes d</w:t>
      </w:r>
      <w:r>
        <w:rPr>
          <w:lang w:val="fr-FR"/>
        </w:rPr>
        <w:t>’</w:t>
      </w:r>
      <w:r w:rsidRPr="00020159">
        <w:rPr>
          <w:lang w:val="fr-FR"/>
        </w:rPr>
        <w:t>approvisionnement liés aux composants et aux frigorigènes</w:t>
      </w:r>
      <w:r>
        <w:rPr>
          <w:lang w:val="fr-FR"/>
        </w:rPr>
        <w:t xml:space="preserve"> clés</w:t>
      </w:r>
      <w:r w:rsidRPr="00020159">
        <w:rPr>
          <w:lang w:val="fr-FR"/>
        </w:rPr>
        <w:t>.</w:t>
      </w:r>
      <w:r w:rsidRPr="000A3231">
        <w:t xml:space="preserve"> </w:t>
      </w:r>
      <w:r w:rsidRPr="000C59E2">
        <w:rPr>
          <w:lang w:val="fr-FR"/>
        </w:rPr>
        <w:t xml:space="preserve">Une difficulté persistante réside </w:t>
      </w:r>
      <w:r w:rsidRPr="000C59E2">
        <w:rPr>
          <w:lang w:val="fr-FR"/>
        </w:rPr>
        <w:lastRenderedPageBreak/>
        <w:t xml:space="preserve">dans la dépendance continue </w:t>
      </w:r>
      <w:r>
        <w:rPr>
          <w:lang w:val="fr-FR"/>
        </w:rPr>
        <w:t xml:space="preserve">à l’égard des </w:t>
      </w:r>
      <w:r w:rsidRPr="000C59E2">
        <w:rPr>
          <w:lang w:val="fr-FR"/>
        </w:rPr>
        <w:t>importations de compresseurs, de composants en cuivre, de</w:t>
      </w:r>
      <w:r>
        <w:rPr>
          <w:lang w:val="fr-FR"/>
        </w:rPr>
        <w:t> </w:t>
      </w:r>
      <w:r w:rsidRPr="000C59E2">
        <w:rPr>
          <w:lang w:val="fr-FR"/>
        </w:rPr>
        <w:t>composants électroniques pour onduleurs et de frigorigènes, alors que la capacité de production locale pour ces articles est limitée.</w:t>
      </w:r>
      <w:r w:rsidRPr="000A3231">
        <w:t xml:space="preserve"> </w:t>
      </w:r>
      <w:r w:rsidRPr="000C59E2">
        <w:rPr>
          <w:lang w:val="fr-FR"/>
        </w:rPr>
        <w:t>Bien que la disponibilité du HFC-32 se soit améliorée, elle demeure instable en raison des retards d</w:t>
      </w:r>
      <w:r>
        <w:rPr>
          <w:lang w:val="fr-FR"/>
        </w:rPr>
        <w:t>’expédition</w:t>
      </w:r>
      <w:r w:rsidRPr="000C59E2">
        <w:rPr>
          <w:lang w:val="fr-FR"/>
        </w:rPr>
        <w:t xml:space="preserve"> et des infrastructures de stockage limitées adaptées aux frigorigènes A2L</w:t>
      </w:r>
      <w:r w:rsidRPr="000C59E2">
        <w:rPr>
          <w:rStyle w:val="FootnoteReference"/>
          <w:lang w:val="fr-FR"/>
        </w:rPr>
        <w:footnoteReference w:id="4"/>
      </w:r>
      <w:r w:rsidRPr="000C59E2">
        <w:rPr>
          <w:lang w:val="fr-FR"/>
        </w:rPr>
        <w:t>. En outre, les difficultés liées à la distribution et au conditionnement continuent d</w:t>
      </w:r>
      <w:r>
        <w:rPr>
          <w:lang w:val="fr-FR"/>
        </w:rPr>
        <w:t>’</w:t>
      </w:r>
      <w:r w:rsidRPr="000C59E2">
        <w:rPr>
          <w:lang w:val="fr-FR"/>
        </w:rPr>
        <w:t>affecter la fiabilité des chaînes d</w:t>
      </w:r>
      <w:r>
        <w:rPr>
          <w:lang w:val="fr-FR"/>
        </w:rPr>
        <w:t>’</w:t>
      </w:r>
      <w:r w:rsidRPr="000C59E2">
        <w:rPr>
          <w:lang w:val="fr-FR"/>
        </w:rPr>
        <w:t>approvisionnement en composants et la stabilité générale du marché.</w:t>
      </w:r>
    </w:p>
    <w:p w14:paraId="10A2CF62" w14:textId="77777777" w:rsidR="00A54BFC" w:rsidRPr="000A3231" w:rsidRDefault="00A54BFC" w:rsidP="00A54BFC">
      <w:pPr>
        <w:pStyle w:val="Heading1"/>
        <w:numPr>
          <w:ilvl w:val="0"/>
          <w:numId w:val="1"/>
        </w:numPr>
        <w:shd w:val="clear" w:color="auto" w:fill="FFFFFF" w:themeFill="background1"/>
      </w:pPr>
      <w:r w:rsidRPr="000C59E2">
        <w:rPr>
          <w:lang w:val="fr-FR"/>
        </w:rPr>
        <w:t>Un problème structurel plus large concerne l</w:t>
      </w:r>
      <w:r>
        <w:rPr>
          <w:lang w:val="fr-FR"/>
        </w:rPr>
        <w:t>’</w:t>
      </w:r>
      <w:r w:rsidRPr="000C59E2">
        <w:rPr>
          <w:lang w:val="fr-FR"/>
        </w:rPr>
        <w:t>accès inégal aux technologies de remplacement dans l</w:t>
      </w:r>
      <w:r>
        <w:rPr>
          <w:lang w:val="fr-FR"/>
        </w:rPr>
        <w:t>’</w:t>
      </w:r>
      <w:r w:rsidRPr="000C59E2">
        <w:rPr>
          <w:lang w:val="fr-FR"/>
        </w:rPr>
        <w:t>ensemble du secteur.</w:t>
      </w:r>
      <w:r w:rsidRPr="000A3231">
        <w:t xml:space="preserve"> </w:t>
      </w:r>
      <w:r w:rsidRPr="000C59E2">
        <w:rPr>
          <w:lang w:val="fr-FR"/>
        </w:rPr>
        <w:t>Les fabricants qui ne participent pas aux programmes de conversion du Fonds multilatéral sont confrontés à de bien plus grandes difficultés pour s</w:t>
      </w:r>
      <w:r>
        <w:rPr>
          <w:lang w:val="fr-FR"/>
        </w:rPr>
        <w:t>’</w:t>
      </w:r>
      <w:r w:rsidRPr="000C59E2">
        <w:rPr>
          <w:lang w:val="fr-FR"/>
        </w:rPr>
        <w:t>approvisionner en composants et en frigorigènes nécessaires à la transition, ce qui crée une dynamique à deux vitesses susceptible d</w:t>
      </w:r>
      <w:r>
        <w:rPr>
          <w:lang w:val="fr-FR"/>
        </w:rPr>
        <w:t>’</w:t>
      </w:r>
      <w:r w:rsidRPr="000C59E2">
        <w:rPr>
          <w:lang w:val="fr-FR"/>
        </w:rPr>
        <w:t>entraîner une évolution inégale à l</w:t>
      </w:r>
      <w:r>
        <w:rPr>
          <w:lang w:val="fr-FR"/>
        </w:rPr>
        <w:t>’</w:t>
      </w:r>
      <w:r w:rsidRPr="000C59E2">
        <w:rPr>
          <w:lang w:val="fr-FR"/>
        </w:rPr>
        <w:t>échelle du secteur.</w:t>
      </w:r>
      <w:r w:rsidRPr="000A3231">
        <w:t xml:space="preserve"> </w:t>
      </w:r>
      <w:r w:rsidRPr="000C59E2">
        <w:rPr>
          <w:lang w:val="fr-FR"/>
        </w:rPr>
        <w:t>Si cette disparité n</w:t>
      </w:r>
      <w:r>
        <w:rPr>
          <w:lang w:val="fr-FR"/>
        </w:rPr>
        <w:t>’</w:t>
      </w:r>
      <w:r w:rsidRPr="000C59E2">
        <w:rPr>
          <w:lang w:val="fr-FR"/>
        </w:rPr>
        <w:t xml:space="preserve">est pas prise en main, elle pourrait compromettre la transformation à long terme du marché, ou </w:t>
      </w:r>
      <w:r>
        <w:rPr>
          <w:lang w:val="fr-FR"/>
        </w:rPr>
        <w:t>la progression rapide souhaitée pour celle-ci,</w:t>
      </w:r>
      <w:r w:rsidRPr="000C59E2">
        <w:rPr>
          <w:lang w:val="fr-FR"/>
        </w:rPr>
        <w:t xml:space="preserve"> nécessaire pour parvenir à une adoption durable et généralisée des technologies à faible PRP.</w:t>
      </w:r>
    </w:p>
    <w:p w14:paraId="50FA91BB" w14:textId="77777777" w:rsidR="00A54BFC" w:rsidRPr="000A3231" w:rsidRDefault="00A54BFC" w:rsidP="00A54BFC">
      <w:pPr>
        <w:pStyle w:val="Heading1"/>
        <w:numPr>
          <w:ilvl w:val="0"/>
          <w:numId w:val="1"/>
        </w:numPr>
        <w:shd w:val="clear" w:color="auto" w:fill="FFFFFF" w:themeFill="background1"/>
      </w:pPr>
      <w:r w:rsidRPr="000C59E2">
        <w:rPr>
          <w:lang w:val="fr-FR"/>
        </w:rPr>
        <w:t>La faible disponibilité des HFO a été largement constatée constituant une préoccupation intersectorielle.</w:t>
      </w:r>
      <w:r w:rsidRPr="000A3231">
        <w:t xml:space="preserve"> </w:t>
      </w:r>
      <w:r w:rsidRPr="000C59E2">
        <w:rPr>
          <w:lang w:val="fr-FR"/>
        </w:rPr>
        <w:t>L</w:t>
      </w:r>
      <w:r>
        <w:rPr>
          <w:lang w:val="fr-FR"/>
        </w:rPr>
        <w:t>’</w:t>
      </w:r>
      <w:r w:rsidRPr="000C59E2">
        <w:rPr>
          <w:lang w:val="fr-FR"/>
        </w:rPr>
        <w:t>offre mondiale de HFO continue de s</w:t>
      </w:r>
      <w:r>
        <w:rPr>
          <w:lang w:val="fr-FR"/>
        </w:rPr>
        <w:t>’</w:t>
      </w:r>
      <w:r w:rsidRPr="000C59E2">
        <w:rPr>
          <w:lang w:val="fr-FR"/>
        </w:rPr>
        <w:t>améliorer et de se diversifier, notamment sur les marchés des pays non visés à l</w:t>
      </w:r>
      <w:r>
        <w:rPr>
          <w:lang w:val="fr-FR"/>
        </w:rPr>
        <w:t>’</w:t>
      </w:r>
      <w:r w:rsidRPr="000C59E2">
        <w:rPr>
          <w:lang w:val="fr-FR"/>
        </w:rPr>
        <w:t>article 5 où l</w:t>
      </w:r>
      <w:r>
        <w:rPr>
          <w:lang w:val="fr-FR"/>
        </w:rPr>
        <w:t>’</w:t>
      </w:r>
      <w:r w:rsidRPr="000C59E2">
        <w:rPr>
          <w:lang w:val="fr-FR"/>
        </w:rPr>
        <w:t>augmentation progressive des capacités, les accords de fabrication régionaux et une plus grande clarté réglementaire ont apporté un certain soutien. Toutefois les progrès restent lents, en particulier dans les pays visés à l</w:t>
      </w:r>
      <w:r>
        <w:rPr>
          <w:lang w:val="fr-FR"/>
        </w:rPr>
        <w:t>’</w:t>
      </w:r>
      <w:r w:rsidRPr="000C59E2">
        <w:rPr>
          <w:lang w:val="fr-FR"/>
        </w:rPr>
        <w:t>article 5.</w:t>
      </w:r>
      <w:r w:rsidRPr="000A3231">
        <w:t xml:space="preserve"> </w:t>
      </w:r>
      <w:r w:rsidRPr="000C59E2">
        <w:rPr>
          <w:lang w:val="fr-FR"/>
        </w:rPr>
        <w:t xml:space="preserve">La production des HFO </w:t>
      </w:r>
      <w:r>
        <w:rPr>
          <w:lang w:val="fr-FR"/>
        </w:rPr>
        <w:t xml:space="preserve">demeure </w:t>
      </w:r>
      <w:r w:rsidRPr="000C59E2">
        <w:rPr>
          <w:lang w:val="fr-FR"/>
        </w:rPr>
        <w:t>fortement concentrée, à savoir dans seulement deux pays.</w:t>
      </w:r>
      <w:r w:rsidRPr="000A3231">
        <w:t xml:space="preserve"> </w:t>
      </w:r>
    </w:p>
    <w:p w14:paraId="37B59670" w14:textId="77777777" w:rsidR="00A54BFC" w:rsidRPr="000A3231" w:rsidRDefault="00A54BFC" w:rsidP="00A54BFC">
      <w:pPr>
        <w:pStyle w:val="Heading1"/>
        <w:numPr>
          <w:ilvl w:val="0"/>
          <w:numId w:val="1"/>
        </w:numPr>
        <w:shd w:val="clear" w:color="auto" w:fill="FFFFFF" w:themeFill="background1"/>
      </w:pPr>
      <w:r w:rsidRPr="000C59E2">
        <w:rPr>
          <w:lang w:val="fr-FR"/>
        </w:rPr>
        <w:t>La demande de HFO dans les pays visés à l</w:t>
      </w:r>
      <w:r>
        <w:rPr>
          <w:lang w:val="fr-FR"/>
        </w:rPr>
        <w:t>’</w:t>
      </w:r>
      <w:r w:rsidRPr="000C59E2">
        <w:rPr>
          <w:lang w:val="fr-FR"/>
        </w:rPr>
        <w:t>article 5 devrait se concrétiser progressivement à mesure que la mise en œuvre des KIP progresse.</w:t>
      </w:r>
      <w:r w:rsidRPr="000A3231">
        <w:t xml:space="preserve"> </w:t>
      </w:r>
      <w:r w:rsidRPr="000C59E2">
        <w:rPr>
          <w:lang w:val="fr-FR"/>
        </w:rPr>
        <w:t>Il importe toutefois d</w:t>
      </w:r>
      <w:r>
        <w:rPr>
          <w:lang w:val="fr-FR"/>
        </w:rPr>
        <w:t>’</w:t>
      </w:r>
      <w:r w:rsidRPr="000C59E2">
        <w:rPr>
          <w:lang w:val="fr-FR"/>
        </w:rPr>
        <w:t>établir une distinction fondamentale entre la disponibilité de la production mondiale et l</w:t>
      </w:r>
      <w:r>
        <w:rPr>
          <w:lang w:val="fr-FR"/>
        </w:rPr>
        <w:t>’</w:t>
      </w:r>
      <w:r w:rsidRPr="000C59E2">
        <w:rPr>
          <w:lang w:val="fr-FR"/>
        </w:rPr>
        <w:t>accès effectif au marché au niveau national, car les deux n</w:t>
      </w:r>
      <w:r>
        <w:rPr>
          <w:lang w:val="fr-FR"/>
        </w:rPr>
        <w:t>’</w:t>
      </w:r>
      <w:r w:rsidRPr="000C59E2">
        <w:rPr>
          <w:lang w:val="fr-FR"/>
        </w:rPr>
        <w:t>évoluent pas nécessairement de concert.</w:t>
      </w:r>
      <w:r w:rsidRPr="000A3231">
        <w:t xml:space="preserve"> </w:t>
      </w:r>
      <w:r w:rsidRPr="00B97153">
        <w:rPr>
          <w:lang w:val="fr-FR"/>
        </w:rPr>
        <w:t>Pour traduire la croissance de l</w:t>
      </w:r>
      <w:r>
        <w:rPr>
          <w:lang w:val="fr-FR"/>
        </w:rPr>
        <w:t>’</w:t>
      </w:r>
      <w:r w:rsidRPr="00B97153">
        <w:rPr>
          <w:lang w:val="fr-FR"/>
        </w:rPr>
        <w:t>offre mondiale en un accès fiable au niveau national, il sera nécessaire d</w:t>
      </w:r>
      <w:r>
        <w:rPr>
          <w:lang w:val="fr-FR"/>
        </w:rPr>
        <w:t>’</w:t>
      </w:r>
      <w:r w:rsidRPr="00B97153">
        <w:rPr>
          <w:lang w:val="fr-FR"/>
        </w:rPr>
        <w:t xml:space="preserve">investir durablement </w:t>
      </w:r>
      <w:r>
        <w:rPr>
          <w:lang w:val="fr-FR"/>
        </w:rPr>
        <w:t xml:space="preserve">au niveau local </w:t>
      </w:r>
      <w:r w:rsidRPr="00B97153">
        <w:rPr>
          <w:lang w:val="fr-FR"/>
        </w:rPr>
        <w:t>dans les réseaux de distribution,</w:t>
      </w:r>
      <w:r>
        <w:rPr>
          <w:lang w:val="fr-FR"/>
        </w:rPr>
        <w:t> </w:t>
      </w:r>
      <w:r w:rsidRPr="00B97153">
        <w:rPr>
          <w:lang w:val="fr-FR"/>
        </w:rPr>
        <w:t>les prestataires de services et les capacités de reconditionnement.</w:t>
      </w:r>
      <w:r w:rsidRPr="000A3231">
        <w:t xml:space="preserve"> </w:t>
      </w:r>
      <w:r w:rsidRPr="00B97153">
        <w:rPr>
          <w:lang w:val="fr-FR"/>
        </w:rPr>
        <w:t>Ce dernier point s</w:t>
      </w:r>
      <w:r>
        <w:rPr>
          <w:lang w:val="fr-FR"/>
        </w:rPr>
        <w:t>’</w:t>
      </w:r>
      <w:r w:rsidRPr="00B97153">
        <w:rPr>
          <w:lang w:val="fr-FR"/>
        </w:rPr>
        <w:t>est révélé un obstacle majeur à la garantie d</w:t>
      </w:r>
      <w:r>
        <w:rPr>
          <w:lang w:val="fr-FR"/>
        </w:rPr>
        <w:t>’</w:t>
      </w:r>
      <w:r w:rsidRPr="00B97153">
        <w:rPr>
          <w:lang w:val="fr-FR"/>
        </w:rPr>
        <w:t>un approvisionnement stable en HFO.</w:t>
      </w:r>
      <w:r w:rsidRPr="000A3231">
        <w:t xml:space="preserve"> </w:t>
      </w:r>
      <w:r w:rsidRPr="00B97153">
        <w:rPr>
          <w:lang w:val="fr-FR"/>
        </w:rPr>
        <w:t>Les grandes économies visées à l</w:t>
      </w:r>
      <w:r>
        <w:rPr>
          <w:lang w:val="fr-FR"/>
        </w:rPr>
        <w:t>’</w:t>
      </w:r>
      <w:r w:rsidRPr="00B97153">
        <w:rPr>
          <w:lang w:val="fr-FR"/>
        </w:rPr>
        <w:t>article 5 peuvent jouer un rôle important en tant que pôles régionaux d</w:t>
      </w:r>
      <w:r>
        <w:rPr>
          <w:lang w:val="fr-FR"/>
        </w:rPr>
        <w:t>’</w:t>
      </w:r>
      <w:r w:rsidRPr="00B97153">
        <w:rPr>
          <w:lang w:val="fr-FR"/>
        </w:rPr>
        <w:t>approvisionnement et de connaissances, tandis qu</w:t>
      </w:r>
      <w:r>
        <w:rPr>
          <w:lang w:val="fr-FR"/>
        </w:rPr>
        <w:t>’</w:t>
      </w:r>
      <w:r w:rsidRPr="00B97153">
        <w:rPr>
          <w:lang w:val="fr-FR"/>
        </w:rPr>
        <w:t>un soutien ciblé aux plus petits marchés sera essentiel pour garantir une transition équitable.</w:t>
      </w:r>
      <w:r w:rsidRPr="000A3231">
        <w:t xml:space="preserve"> </w:t>
      </w:r>
      <w:r w:rsidRPr="00B97153">
        <w:rPr>
          <w:lang w:val="fr-FR"/>
        </w:rPr>
        <w:t>Ces obstacles et ces difficultés ont un impact sur le prix des HFO, qui est déjà élevé par rapport à d</w:t>
      </w:r>
      <w:r>
        <w:rPr>
          <w:lang w:val="fr-FR"/>
        </w:rPr>
        <w:t>’</w:t>
      </w:r>
      <w:r w:rsidRPr="00B97153">
        <w:rPr>
          <w:lang w:val="fr-FR"/>
        </w:rPr>
        <w:t>autres solutions de remplacement</w:t>
      </w:r>
      <w:r w:rsidRPr="00B97153">
        <w:rPr>
          <w:rStyle w:val="FootnoteReference"/>
        </w:rPr>
        <w:footnoteReference w:id="5"/>
      </w:r>
      <w:r>
        <w:rPr>
          <w:lang w:val="fr-FR"/>
        </w:rPr>
        <w:t>.</w:t>
      </w:r>
    </w:p>
    <w:p w14:paraId="4C5928EB" w14:textId="77777777" w:rsidR="00A54BFC" w:rsidRPr="000A3231" w:rsidRDefault="00A54BFC" w:rsidP="00A54BFC">
      <w:pPr>
        <w:pStyle w:val="Heading1"/>
        <w:numPr>
          <w:ilvl w:val="0"/>
          <w:numId w:val="24"/>
        </w:numPr>
        <w:shd w:val="clear" w:color="auto" w:fill="FFFFFF" w:themeFill="background1"/>
        <w:tabs>
          <w:tab w:val="num" w:pos="360"/>
        </w:tabs>
        <w:ind w:left="714" w:hanging="5"/>
        <w:rPr>
          <w:u w:val="single"/>
        </w:rPr>
      </w:pPr>
      <w:r w:rsidRPr="00B97153">
        <w:rPr>
          <w:u w:val="single"/>
          <w:lang w:val="fr-FR"/>
        </w:rPr>
        <w:t>Prix des frigorigènes et des composants</w:t>
      </w:r>
    </w:p>
    <w:p w14:paraId="13839E3C" w14:textId="77777777" w:rsidR="00A54BFC" w:rsidRPr="000A3231" w:rsidRDefault="00A54BFC" w:rsidP="00A54BFC">
      <w:pPr>
        <w:pStyle w:val="Heading1"/>
        <w:numPr>
          <w:ilvl w:val="0"/>
          <w:numId w:val="1"/>
        </w:numPr>
        <w:shd w:val="clear" w:color="auto" w:fill="FFFFFF" w:themeFill="background1"/>
      </w:pPr>
      <w:r w:rsidRPr="00B97153">
        <w:rPr>
          <w:lang w:val="fr-FR"/>
        </w:rPr>
        <w:t>Le coût de la transition vers les technologies à faible PRP représente un obstacle financier important pour les fabricants dans tous les sous-secteurs de la réfrigération, de la climatisation et des pompes à chaleur.</w:t>
      </w:r>
      <w:r w:rsidRPr="000A3231">
        <w:t xml:space="preserve"> </w:t>
      </w:r>
      <w:r w:rsidRPr="00417389">
        <w:rPr>
          <w:lang w:val="fr-FR"/>
        </w:rPr>
        <w:t>Les pressions sur les prix</w:t>
      </w:r>
      <w:r>
        <w:rPr>
          <w:lang w:val="fr-FR"/>
        </w:rPr>
        <w:t xml:space="preserve"> </w:t>
      </w:r>
      <w:r w:rsidRPr="00417389">
        <w:rPr>
          <w:lang w:val="fr-FR"/>
        </w:rPr>
        <w:t>affectent à la fois l</w:t>
      </w:r>
      <w:r>
        <w:rPr>
          <w:lang w:val="fr-FR"/>
        </w:rPr>
        <w:t>’</w:t>
      </w:r>
      <w:r w:rsidRPr="00417389">
        <w:rPr>
          <w:lang w:val="fr-FR"/>
        </w:rPr>
        <w:t>investissement initial nécessaire à l</w:t>
      </w:r>
      <w:r>
        <w:rPr>
          <w:lang w:val="fr-FR"/>
        </w:rPr>
        <w:t>’</w:t>
      </w:r>
      <w:r w:rsidRPr="00417389">
        <w:rPr>
          <w:lang w:val="fr-FR"/>
        </w:rPr>
        <w:t>adaptation des installations de fabrication et les coûts récurrents d</w:t>
      </w:r>
      <w:r>
        <w:rPr>
          <w:lang w:val="fr-FR"/>
        </w:rPr>
        <w:t>’</w:t>
      </w:r>
      <w:r w:rsidRPr="00417389">
        <w:rPr>
          <w:lang w:val="fr-FR"/>
        </w:rPr>
        <w:t>approvisionnement en frigorigènes de remplacement et en composants compatibles.</w:t>
      </w:r>
    </w:p>
    <w:p w14:paraId="3B5A15A0" w14:textId="77777777" w:rsidR="00A54BFC" w:rsidRPr="00417389" w:rsidRDefault="00A54BFC" w:rsidP="00A54BFC">
      <w:pPr>
        <w:pStyle w:val="Heading2"/>
        <w:numPr>
          <w:ilvl w:val="0"/>
          <w:numId w:val="0"/>
        </w:numPr>
        <w:shd w:val="clear" w:color="auto" w:fill="FFFFFF" w:themeFill="background1"/>
        <w:rPr>
          <w:i/>
          <w:iCs/>
        </w:rPr>
      </w:pPr>
      <w:r w:rsidRPr="00417389">
        <w:rPr>
          <w:i/>
          <w:iCs/>
          <w:lang w:val="fr-FR"/>
        </w:rPr>
        <w:t>Réfrigération domestique</w:t>
      </w:r>
    </w:p>
    <w:p w14:paraId="09FC6CF3" w14:textId="77777777" w:rsidR="00A54BFC" w:rsidRPr="000A3231" w:rsidRDefault="00A54BFC" w:rsidP="00A54BFC">
      <w:pPr>
        <w:pStyle w:val="Heading1"/>
        <w:numPr>
          <w:ilvl w:val="0"/>
          <w:numId w:val="1"/>
        </w:numPr>
        <w:shd w:val="clear" w:color="auto" w:fill="FFFFFF" w:themeFill="background1"/>
      </w:pPr>
      <w:r w:rsidRPr="00417389">
        <w:rPr>
          <w:lang w:val="fr-FR"/>
        </w:rPr>
        <w:t>Étant donné que la plupart des projets de conversion des équipements de réfrigération domestique n</w:t>
      </w:r>
      <w:r>
        <w:rPr>
          <w:lang w:val="fr-FR"/>
        </w:rPr>
        <w:t>’</w:t>
      </w:r>
      <w:r w:rsidRPr="00417389">
        <w:rPr>
          <w:lang w:val="fr-FR"/>
        </w:rPr>
        <w:t>ont pas encore été mis en œuvre, les informations détaillées sur les impacts sur les prix dans des conditions réelles de projet ne sont pas encore disponibles.</w:t>
      </w:r>
      <w:r w:rsidRPr="000A3231">
        <w:t xml:space="preserve"> </w:t>
      </w:r>
      <w:r w:rsidRPr="00417389">
        <w:rPr>
          <w:lang w:val="fr-FR"/>
        </w:rPr>
        <w:t>S</w:t>
      </w:r>
      <w:r>
        <w:rPr>
          <w:lang w:val="fr-FR"/>
        </w:rPr>
        <w:t>’</w:t>
      </w:r>
      <w:r w:rsidRPr="00417389">
        <w:rPr>
          <w:lang w:val="fr-FR"/>
        </w:rPr>
        <w:t>appuyant sur l</w:t>
      </w:r>
      <w:r>
        <w:rPr>
          <w:lang w:val="fr-FR"/>
        </w:rPr>
        <w:t>’</w:t>
      </w:r>
      <w:r w:rsidRPr="00417389">
        <w:rPr>
          <w:lang w:val="fr-FR"/>
        </w:rPr>
        <w:t>expérience acquise dans d</w:t>
      </w:r>
      <w:r>
        <w:rPr>
          <w:lang w:val="fr-FR"/>
        </w:rPr>
        <w:t>’</w:t>
      </w:r>
      <w:r w:rsidRPr="00417389">
        <w:rPr>
          <w:lang w:val="fr-FR"/>
        </w:rPr>
        <w:t xml:space="preserve">autres sous-secteurs utilisant des frigorigènes HC tels que le R-600a, les difficultés prévisibles en matière de prix pourraient </w:t>
      </w:r>
      <w:r w:rsidRPr="00417389">
        <w:rPr>
          <w:lang w:val="fr-FR"/>
        </w:rPr>
        <w:lastRenderedPageBreak/>
        <w:t xml:space="preserve">inclure des coûts de composants plus élevés pour les compresseurs compatibles </w:t>
      </w:r>
      <w:r>
        <w:rPr>
          <w:lang w:val="fr-FR"/>
        </w:rPr>
        <w:t xml:space="preserve">avec les </w:t>
      </w:r>
      <w:r w:rsidRPr="00417389">
        <w:rPr>
          <w:lang w:val="fr-FR"/>
        </w:rPr>
        <w:t>HC et la nécessité de mises à niveau des équipements liés à la sécurité.</w:t>
      </w:r>
      <w:r w:rsidRPr="000A3231">
        <w:t xml:space="preserve"> </w:t>
      </w:r>
      <w:r w:rsidRPr="003A4EA0">
        <w:rPr>
          <w:lang w:val="fr-FR"/>
        </w:rPr>
        <w:t>Cependant, les informations recueillies grâce au financement de nombreux projets indiquent que l</w:t>
      </w:r>
      <w:r>
        <w:rPr>
          <w:lang w:val="fr-FR"/>
        </w:rPr>
        <w:t>’</w:t>
      </w:r>
      <w:r w:rsidRPr="003A4EA0">
        <w:rPr>
          <w:lang w:val="fr-FR"/>
        </w:rPr>
        <w:t>écart de coût entre les compresseurs à</w:t>
      </w:r>
      <w:r>
        <w:rPr>
          <w:lang w:val="fr-FR"/>
        </w:rPr>
        <w:t xml:space="preserve"> base d’</w:t>
      </w:r>
      <w:r w:rsidRPr="003A4EA0">
        <w:rPr>
          <w:lang w:val="fr-FR"/>
        </w:rPr>
        <w:t>hydrocarbures et ceux à base de HFC a été largement éliminé à l</w:t>
      </w:r>
      <w:r>
        <w:rPr>
          <w:lang w:val="fr-FR"/>
        </w:rPr>
        <w:t>’</w:t>
      </w:r>
      <w:r w:rsidRPr="003A4EA0">
        <w:rPr>
          <w:lang w:val="fr-FR"/>
        </w:rPr>
        <w:t>échelle mondiale, même si le volume d</w:t>
      </w:r>
      <w:r>
        <w:rPr>
          <w:lang w:val="fr-FR"/>
        </w:rPr>
        <w:t>’</w:t>
      </w:r>
      <w:r w:rsidRPr="003A4EA0">
        <w:rPr>
          <w:lang w:val="fr-FR"/>
        </w:rPr>
        <w:t>activité peut encore influer sur la structure des coûts, tout particulièrement lors des premières phases d</w:t>
      </w:r>
      <w:r>
        <w:rPr>
          <w:lang w:val="fr-FR"/>
        </w:rPr>
        <w:t>’</w:t>
      </w:r>
      <w:r w:rsidRPr="003A4EA0">
        <w:rPr>
          <w:lang w:val="fr-FR"/>
        </w:rPr>
        <w:t>une transformation du marché.</w:t>
      </w:r>
      <w:r w:rsidRPr="000A3231">
        <w:t xml:space="preserve"> </w:t>
      </w:r>
      <w:r w:rsidRPr="003A4EA0">
        <w:rPr>
          <w:lang w:val="fr-FR"/>
        </w:rPr>
        <w:t>Les données relatives aux coûts devront être collectées systématiquement au fur et à mesure de l</w:t>
      </w:r>
      <w:r>
        <w:rPr>
          <w:lang w:val="fr-FR"/>
        </w:rPr>
        <w:t>’</w:t>
      </w:r>
      <w:r w:rsidRPr="003A4EA0">
        <w:rPr>
          <w:lang w:val="fr-FR"/>
        </w:rPr>
        <w:t>avancement des projets.</w:t>
      </w:r>
    </w:p>
    <w:p w14:paraId="33EC673E" w14:textId="77777777" w:rsidR="00A54BFC" w:rsidRPr="003A4EA0" w:rsidRDefault="00A54BFC" w:rsidP="00A54BFC">
      <w:pPr>
        <w:pStyle w:val="Heading2"/>
        <w:keepNext/>
        <w:numPr>
          <w:ilvl w:val="0"/>
          <w:numId w:val="0"/>
        </w:numPr>
        <w:shd w:val="clear" w:color="auto" w:fill="FFFFFF" w:themeFill="background1"/>
        <w:rPr>
          <w:i/>
          <w:iCs/>
        </w:rPr>
      </w:pPr>
      <w:r w:rsidRPr="003A4EA0">
        <w:rPr>
          <w:i/>
          <w:iCs/>
          <w:lang w:val="fr-FR"/>
        </w:rPr>
        <w:t>Réfrigération commerciale</w:t>
      </w:r>
    </w:p>
    <w:p w14:paraId="0F417B82" w14:textId="77777777" w:rsidR="00A54BFC" w:rsidRPr="000A3231" w:rsidRDefault="00A54BFC" w:rsidP="00A54BFC">
      <w:pPr>
        <w:pStyle w:val="Heading1"/>
        <w:numPr>
          <w:ilvl w:val="0"/>
          <w:numId w:val="1"/>
        </w:numPr>
        <w:shd w:val="clear" w:color="auto" w:fill="FFFFFF" w:themeFill="background1"/>
      </w:pPr>
      <w:r w:rsidRPr="003A4EA0">
        <w:rPr>
          <w:lang w:val="fr-FR"/>
        </w:rPr>
        <w:t xml:space="preserve">Les projets de conversion des équipements de réfrigération commerciale représentent certains des coûts les plus élevés </w:t>
      </w:r>
      <w:r>
        <w:rPr>
          <w:lang w:val="fr-FR"/>
        </w:rPr>
        <w:t xml:space="preserve">de l’ensemble du </w:t>
      </w:r>
      <w:r w:rsidRPr="003A4EA0">
        <w:rPr>
          <w:lang w:val="fr-FR"/>
        </w:rPr>
        <w:t>secteur de la réfrigération, de la climatisation et des pompes à chaleur, en raison de la complexité des systèmes et des exigences de sécurité liées aux frigorigènes inflammables et à haute pression.</w:t>
      </w:r>
      <w:r w:rsidRPr="000A3231">
        <w:t xml:space="preserve"> </w:t>
      </w:r>
      <w:r w:rsidRPr="003A4EA0">
        <w:rPr>
          <w:lang w:val="fr-FR"/>
        </w:rPr>
        <w:t>Des investissements importants sont nécessaires pour adapter les usines de fabrication aux normes de sécurité applicables, notamment en ce qui concerne les systèmes de stockage, les machines de charge de frigorigène, les systèmes de ventilation, les équipements de détection des fuites et les infrastructures d</w:t>
      </w:r>
      <w:r>
        <w:rPr>
          <w:lang w:val="fr-FR"/>
        </w:rPr>
        <w:t>’</w:t>
      </w:r>
      <w:r w:rsidRPr="003A4EA0">
        <w:rPr>
          <w:lang w:val="fr-FR"/>
        </w:rPr>
        <w:t>intervention d</w:t>
      </w:r>
      <w:r>
        <w:rPr>
          <w:lang w:val="fr-FR"/>
        </w:rPr>
        <w:t>’</w:t>
      </w:r>
      <w:r w:rsidRPr="003A4EA0">
        <w:rPr>
          <w:lang w:val="fr-FR"/>
        </w:rPr>
        <w:t>urgence.</w:t>
      </w:r>
      <w:r w:rsidRPr="000A3231">
        <w:t xml:space="preserve"> </w:t>
      </w:r>
      <w:r w:rsidRPr="003A4EA0">
        <w:rPr>
          <w:lang w:val="fr-FR"/>
        </w:rPr>
        <w:t>Ces coûts initiaux sont amplifiés par des prix de composants nettement plus élevés, notamment pour les compresseurs conçus pour les systèmes à base de R-290 et de CO₂, où des augmentations de coûts de 30 à 35 pour cent</w:t>
      </w:r>
      <w:r w:rsidRPr="003A4EA0">
        <w:rPr>
          <w:rStyle w:val="FootnoteReference"/>
          <w:lang w:val="fr-FR"/>
        </w:rPr>
        <w:footnoteReference w:id="6"/>
      </w:r>
      <w:r w:rsidRPr="003A4EA0">
        <w:rPr>
          <w:lang w:val="fr-FR"/>
        </w:rPr>
        <w:t xml:space="preserve"> ont été constatés par rapport aux solutions conventionnelles, ainsi que par des dépenses supplémentaires liées aux équipements certifiés ATEX</w:t>
      </w:r>
      <w:r w:rsidRPr="003A4EA0">
        <w:rPr>
          <w:rStyle w:val="FootnoteReference"/>
          <w:lang w:val="fr-FR"/>
        </w:rPr>
        <w:footnoteReference w:id="7"/>
      </w:r>
      <w:r w:rsidRPr="003A4EA0">
        <w:rPr>
          <w:lang w:val="fr-FR"/>
        </w:rPr>
        <w:t>, ou équivalents, et aux systèmes d</w:t>
      </w:r>
      <w:r>
        <w:rPr>
          <w:lang w:val="fr-FR"/>
        </w:rPr>
        <w:t>’</w:t>
      </w:r>
      <w:r w:rsidRPr="003A4EA0">
        <w:rPr>
          <w:lang w:val="fr-FR"/>
        </w:rPr>
        <w:t>alimentation de secours requis pour les applications à base de CO₂.</w:t>
      </w:r>
    </w:p>
    <w:p w14:paraId="5E2BF6BA" w14:textId="77777777" w:rsidR="00A54BFC" w:rsidRPr="000A3231" w:rsidRDefault="00A54BFC" w:rsidP="00A54BFC">
      <w:pPr>
        <w:pStyle w:val="Heading1"/>
        <w:numPr>
          <w:ilvl w:val="0"/>
          <w:numId w:val="1"/>
        </w:numPr>
        <w:shd w:val="clear" w:color="auto" w:fill="FFFFFF" w:themeFill="background1"/>
      </w:pPr>
      <w:r w:rsidRPr="003A4EA0">
        <w:rPr>
          <w:lang w:val="fr-FR"/>
        </w:rPr>
        <w:t>Au-delà des coûts d</w:t>
      </w:r>
      <w:r>
        <w:rPr>
          <w:lang w:val="fr-FR"/>
        </w:rPr>
        <w:t>’</w:t>
      </w:r>
      <w:r w:rsidRPr="003A4EA0">
        <w:rPr>
          <w:lang w:val="fr-FR"/>
        </w:rPr>
        <w:t>investissement, les fabricants sont confrontés à des pressions financières constantes qui affectent leur compétitivité et leur viabilité à long terme.</w:t>
      </w:r>
      <w:r w:rsidRPr="000A3231">
        <w:t xml:space="preserve"> </w:t>
      </w:r>
      <w:r w:rsidRPr="003A4EA0">
        <w:rPr>
          <w:lang w:val="fr-FR"/>
        </w:rPr>
        <w:t>L</w:t>
      </w:r>
      <w:r>
        <w:rPr>
          <w:lang w:val="fr-FR"/>
        </w:rPr>
        <w:t>’</w:t>
      </w:r>
      <w:r w:rsidRPr="003A4EA0">
        <w:rPr>
          <w:lang w:val="fr-FR"/>
        </w:rPr>
        <w:t>exposition à la volatilité des prix des matières premières et aux fluctuations des taux de change exerce une pression particulière sur les producteurs dépendants des importations, tandis que le respect des réglementations en matière de contrôle de la qualité accroît encore les coûts de production et risque de réduire la compétitivité des prix face aux grands fabricants multinationaux.</w:t>
      </w:r>
      <w:r w:rsidRPr="000A3231">
        <w:t xml:space="preserve"> </w:t>
      </w:r>
      <w:r w:rsidRPr="003A4EA0">
        <w:rPr>
          <w:lang w:val="fr-FR"/>
        </w:rPr>
        <w:t>Simultanément, la nécessité d</w:t>
      </w:r>
      <w:r>
        <w:rPr>
          <w:lang w:val="fr-FR"/>
        </w:rPr>
        <w:t>’</w:t>
      </w:r>
      <w:r w:rsidRPr="003A4EA0">
        <w:rPr>
          <w:lang w:val="fr-FR"/>
        </w:rPr>
        <w:t>adopter des technologies de pointe, souvent plus coûteuses, pour respecter des critères de performance énergétique strictes, telles que celles fixées par les normes minimales de performance énergétique (NMPE) et les réglementations de contrôle de la qualité, rend le coût global de la conversion particulièrement difficile à assumer pour les fabricants locaux opérant sur des marchés sensibles aux prix.</w:t>
      </w:r>
    </w:p>
    <w:p w14:paraId="57A528DE" w14:textId="77777777" w:rsidR="00A54BFC" w:rsidRPr="003A4EA0" w:rsidRDefault="00A54BFC" w:rsidP="00A54BFC">
      <w:pPr>
        <w:pStyle w:val="Heading2"/>
        <w:numPr>
          <w:ilvl w:val="0"/>
          <w:numId w:val="0"/>
        </w:numPr>
        <w:shd w:val="clear" w:color="auto" w:fill="FFFFFF" w:themeFill="background1"/>
        <w:rPr>
          <w:i/>
          <w:iCs/>
        </w:rPr>
      </w:pPr>
      <w:r w:rsidRPr="003A4EA0">
        <w:rPr>
          <w:i/>
          <w:iCs/>
          <w:lang w:val="fr-FR"/>
        </w:rPr>
        <w:t>Climatis</w:t>
      </w:r>
      <w:r>
        <w:rPr>
          <w:i/>
          <w:iCs/>
          <w:lang w:val="fr-FR"/>
        </w:rPr>
        <w:t xml:space="preserve">ation </w:t>
      </w:r>
      <w:r w:rsidRPr="003A4EA0">
        <w:rPr>
          <w:i/>
          <w:iCs/>
          <w:lang w:val="fr-FR"/>
        </w:rPr>
        <w:t>résidentiel</w:t>
      </w:r>
      <w:r>
        <w:rPr>
          <w:i/>
          <w:iCs/>
          <w:lang w:val="fr-FR"/>
        </w:rPr>
        <w:t>le</w:t>
      </w:r>
    </w:p>
    <w:p w14:paraId="761DAAAE" w14:textId="77777777" w:rsidR="00A54BFC" w:rsidRPr="000A3231" w:rsidRDefault="00A54BFC" w:rsidP="00A54BFC">
      <w:pPr>
        <w:pStyle w:val="Heading1"/>
        <w:numPr>
          <w:ilvl w:val="0"/>
          <w:numId w:val="1"/>
        </w:numPr>
        <w:shd w:val="clear" w:color="auto" w:fill="FFFFFF" w:themeFill="background1"/>
      </w:pPr>
      <w:r w:rsidRPr="003A4EA0">
        <w:rPr>
          <w:lang w:val="fr-FR"/>
        </w:rPr>
        <w:t>Les pressions sur les prix dans le sous-secteur de la climatisation résidentielle sont principalement liées à la dynamique du marché international, reflétant l</w:t>
      </w:r>
      <w:r>
        <w:rPr>
          <w:lang w:val="fr-FR"/>
        </w:rPr>
        <w:t>’</w:t>
      </w:r>
      <w:r w:rsidRPr="003A4EA0">
        <w:rPr>
          <w:lang w:val="fr-FR"/>
        </w:rPr>
        <w:t>ampleur du secteur à l</w:t>
      </w:r>
      <w:r>
        <w:rPr>
          <w:lang w:val="fr-FR"/>
        </w:rPr>
        <w:t>’</w:t>
      </w:r>
      <w:r w:rsidRPr="003A4EA0">
        <w:rPr>
          <w:lang w:val="fr-FR"/>
        </w:rPr>
        <w:t>échelle mondiale et la demande rapidement croissante dans les pays visés à l</w:t>
      </w:r>
      <w:r>
        <w:rPr>
          <w:lang w:val="fr-FR"/>
        </w:rPr>
        <w:t>’</w:t>
      </w:r>
      <w:r w:rsidRPr="003A4EA0">
        <w:rPr>
          <w:lang w:val="fr-FR"/>
        </w:rPr>
        <w:t>article 5, ainsi que la base de coûts plus élevés des technologies de remplacement.</w:t>
      </w:r>
      <w:r w:rsidRPr="000A3231">
        <w:t xml:space="preserve"> </w:t>
      </w:r>
      <w:r w:rsidRPr="003A4EA0">
        <w:rPr>
          <w:lang w:val="fr-FR"/>
        </w:rPr>
        <w:t>Les prix des frigorigènes et de</w:t>
      </w:r>
      <w:r>
        <w:rPr>
          <w:lang w:val="fr-FR"/>
        </w:rPr>
        <w:t xml:space="preserve">s </w:t>
      </w:r>
      <w:r w:rsidRPr="003A4EA0">
        <w:rPr>
          <w:lang w:val="fr-FR"/>
        </w:rPr>
        <w:t>composants sont étroitement liés aux marchés internationaux des matières premières et soumis à la volatilité engendrée par la dynamique mondiale de l</w:t>
      </w:r>
      <w:r>
        <w:rPr>
          <w:lang w:val="fr-FR"/>
        </w:rPr>
        <w:t>’</w:t>
      </w:r>
      <w:r w:rsidRPr="003A4EA0">
        <w:rPr>
          <w:lang w:val="fr-FR"/>
        </w:rPr>
        <w:t>offre et de la demande. Les systèmes à base de HFC-32 et leurs composants compatibles sont quant à eux plus chers que les systèmes conventionnels à base de HCFC-22 et R-410A.</w:t>
      </w:r>
      <w:r w:rsidRPr="000A3231">
        <w:t xml:space="preserve"> </w:t>
      </w:r>
      <w:r w:rsidRPr="003A4EA0">
        <w:rPr>
          <w:lang w:val="fr-FR"/>
        </w:rPr>
        <w:t>Ces difficultés sont encore aggravées par la hausse des coûts d</w:t>
      </w:r>
      <w:r>
        <w:rPr>
          <w:lang w:val="fr-FR"/>
        </w:rPr>
        <w:t>’</w:t>
      </w:r>
      <w:r w:rsidRPr="003A4EA0">
        <w:rPr>
          <w:lang w:val="fr-FR"/>
        </w:rPr>
        <w:t>équipement et de livraison due aux contraintes logistiques mondiales et aux économies d</w:t>
      </w:r>
      <w:r>
        <w:rPr>
          <w:lang w:val="fr-FR"/>
        </w:rPr>
        <w:t>’</w:t>
      </w:r>
      <w:r w:rsidRPr="003A4EA0">
        <w:rPr>
          <w:lang w:val="fr-FR"/>
        </w:rPr>
        <w:t>échelle, ce qui crée des pressions budgétaires supplémentaires pour les fabricants opérant avec des enveloppes budgétaires de projet fixes.</w:t>
      </w:r>
    </w:p>
    <w:p w14:paraId="6B29D3D6" w14:textId="77777777" w:rsidR="00A54BFC" w:rsidRPr="003A4EA0" w:rsidRDefault="00A54BFC" w:rsidP="00A54BFC">
      <w:pPr>
        <w:pStyle w:val="Heading2"/>
        <w:numPr>
          <w:ilvl w:val="0"/>
          <w:numId w:val="0"/>
        </w:numPr>
        <w:shd w:val="clear" w:color="auto" w:fill="FFFFFF" w:themeFill="background1"/>
        <w:rPr>
          <w:i/>
          <w:iCs/>
        </w:rPr>
      </w:pPr>
      <w:r w:rsidRPr="003A4EA0">
        <w:rPr>
          <w:i/>
          <w:iCs/>
          <w:lang w:val="fr-FR"/>
        </w:rPr>
        <w:t>Climatisation commercial</w:t>
      </w:r>
      <w:r>
        <w:rPr>
          <w:i/>
          <w:iCs/>
          <w:lang w:val="fr-FR"/>
        </w:rPr>
        <w:t>e</w:t>
      </w:r>
    </w:p>
    <w:p w14:paraId="3EB0B80C" w14:textId="77777777" w:rsidR="00A54BFC" w:rsidRPr="000A3231" w:rsidRDefault="00A54BFC" w:rsidP="00A54BFC">
      <w:pPr>
        <w:pStyle w:val="Heading1"/>
        <w:numPr>
          <w:ilvl w:val="0"/>
          <w:numId w:val="1"/>
        </w:numPr>
        <w:shd w:val="clear" w:color="auto" w:fill="FFFFFF" w:themeFill="background1"/>
      </w:pPr>
      <w:r w:rsidRPr="003A4EA0">
        <w:rPr>
          <w:lang w:val="fr-FR"/>
        </w:rPr>
        <w:t>Le sous-secteur de la climatisation commerciale connaît des pressions sur les coûts dues à la fois aux matières premières et à l</w:t>
      </w:r>
      <w:r>
        <w:rPr>
          <w:lang w:val="fr-FR"/>
        </w:rPr>
        <w:t>’</w:t>
      </w:r>
      <w:r w:rsidRPr="003A4EA0">
        <w:rPr>
          <w:lang w:val="fr-FR"/>
        </w:rPr>
        <w:t>intensité capitalistique de la conversion.</w:t>
      </w:r>
      <w:r w:rsidRPr="000A3231">
        <w:t xml:space="preserve"> </w:t>
      </w:r>
      <w:r w:rsidRPr="003A4EA0">
        <w:rPr>
          <w:lang w:val="fr-FR"/>
        </w:rPr>
        <w:t xml:space="preserve">La hausse des prix des matières premières </w:t>
      </w:r>
      <w:r w:rsidRPr="003A4EA0">
        <w:rPr>
          <w:lang w:val="fr-FR"/>
        </w:rPr>
        <w:lastRenderedPageBreak/>
        <w:t>essentielles, notamment pour les composants des échangeurs de chaleur et des circuits de frigorigène, s</w:t>
      </w:r>
      <w:r>
        <w:rPr>
          <w:lang w:val="fr-FR"/>
        </w:rPr>
        <w:t>’</w:t>
      </w:r>
      <w:r w:rsidRPr="003A4EA0">
        <w:rPr>
          <w:lang w:val="fr-FR"/>
        </w:rPr>
        <w:t>ajoute aux investissement</w:t>
      </w:r>
      <w:r>
        <w:rPr>
          <w:lang w:val="fr-FR"/>
        </w:rPr>
        <w:t>s</w:t>
      </w:r>
      <w:r w:rsidRPr="003A4EA0">
        <w:rPr>
          <w:lang w:val="fr-FR"/>
        </w:rPr>
        <w:t xml:space="preserve"> élevés nécessaires à la production d</w:t>
      </w:r>
      <w:r>
        <w:rPr>
          <w:lang w:val="fr-FR"/>
        </w:rPr>
        <w:t>’</w:t>
      </w:r>
      <w:r w:rsidRPr="003A4EA0">
        <w:rPr>
          <w:lang w:val="fr-FR"/>
        </w:rPr>
        <w:t>équipements de pointe et à haut rendement énergétique compatibles avec des frigorigènes à faible PRP.</w:t>
      </w:r>
      <w:r w:rsidRPr="000A3231">
        <w:t xml:space="preserve"> </w:t>
      </w:r>
      <w:r w:rsidRPr="00780F01">
        <w:rPr>
          <w:lang w:val="fr-FR"/>
        </w:rPr>
        <w:t>Ces pressions sont particulièrement fortes pour les petites et moyennes entreprises de fabrication, représentant la majorité des entreprises manufacturières des pays visés à l</w:t>
      </w:r>
      <w:r>
        <w:rPr>
          <w:lang w:val="fr-FR"/>
        </w:rPr>
        <w:t>’</w:t>
      </w:r>
      <w:r w:rsidRPr="00780F01">
        <w:rPr>
          <w:lang w:val="fr-FR"/>
        </w:rPr>
        <w:t>article 5, et qui sont confrontées à la contrainte supplémentaire d</w:t>
      </w:r>
      <w:r>
        <w:rPr>
          <w:lang w:val="fr-FR"/>
        </w:rPr>
        <w:t>’</w:t>
      </w:r>
      <w:r w:rsidRPr="00780F01">
        <w:rPr>
          <w:lang w:val="fr-FR"/>
        </w:rPr>
        <w:t>un accès limité au financement externe, aux facilités de crédit ou aux mécanismes de partage des risques, ce qui les expose de manière disproportionnée aux exigences financières de la transition technologique.</w:t>
      </w:r>
    </w:p>
    <w:p w14:paraId="1C916F37" w14:textId="77777777" w:rsidR="00A54BFC" w:rsidRPr="00780F01" w:rsidRDefault="00A54BFC" w:rsidP="00A54BFC">
      <w:pPr>
        <w:pStyle w:val="Heading1"/>
        <w:widowControl w:val="0"/>
        <w:numPr>
          <w:ilvl w:val="0"/>
          <w:numId w:val="24"/>
        </w:numPr>
        <w:shd w:val="clear" w:color="auto" w:fill="FFFFFF" w:themeFill="background1"/>
        <w:tabs>
          <w:tab w:val="num" w:pos="360"/>
        </w:tabs>
        <w:spacing w:before="120"/>
        <w:ind w:left="714" w:hanging="5"/>
        <w:rPr>
          <w:u w:val="single"/>
        </w:rPr>
      </w:pPr>
      <w:r w:rsidRPr="00780F01">
        <w:rPr>
          <w:u w:val="single"/>
          <w:lang w:val="fr-FR"/>
        </w:rPr>
        <w:t>Spécifications</w:t>
      </w:r>
      <w:r>
        <w:rPr>
          <w:u w:val="single"/>
          <w:lang w:val="fr-FR"/>
        </w:rPr>
        <w:t> </w:t>
      </w:r>
      <w:r w:rsidRPr="00780F01">
        <w:rPr>
          <w:u w:val="single"/>
          <w:lang w:val="fr-FR"/>
        </w:rPr>
        <w:t>techniques et autres questions</w:t>
      </w:r>
    </w:p>
    <w:p w14:paraId="12645611" w14:textId="77777777" w:rsidR="00A54BFC" w:rsidRPr="000A3231" w:rsidRDefault="00A54BFC" w:rsidP="00A54BFC">
      <w:pPr>
        <w:pStyle w:val="Heading1"/>
        <w:widowControl w:val="0"/>
        <w:numPr>
          <w:ilvl w:val="0"/>
          <w:numId w:val="1"/>
        </w:numPr>
        <w:shd w:val="clear" w:color="auto" w:fill="FFFFFF" w:themeFill="background1"/>
        <w:spacing w:before="120"/>
      </w:pPr>
      <w:r w:rsidRPr="00780F01">
        <w:rPr>
          <w:lang w:val="fr-FR"/>
        </w:rPr>
        <w:t>Au-delà de la disponibilité et d</w:t>
      </w:r>
      <w:r>
        <w:rPr>
          <w:lang w:val="fr-FR"/>
        </w:rPr>
        <w:t>es</w:t>
      </w:r>
      <w:r w:rsidRPr="00780F01">
        <w:rPr>
          <w:lang w:val="fr-FR"/>
        </w:rPr>
        <w:t xml:space="preserve"> prix, les projets de conversion </w:t>
      </w:r>
      <w:r>
        <w:rPr>
          <w:lang w:val="fr-FR"/>
        </w:rPr>
        <w:t>du secteur de la réfrigération, de la climatisation et des pompes à chaleur</w:t>
      </w:r>
      <w:r w:rsidRPr="00780F01">
        <w:rPr>
          <w:lang w:val="fr-FR"/>
        </w:rPr>
        <w:t xml:space="preserve"> sont confrontés à toute une série de défis techniques, réglementaires et liés à la capacité.</w:t>
      </w:r>
      <w:r w:rsidRPr="000A3231">
        <w:t xml:space="preserve"> </w:t>
      </w:r>
      <w:r w:rsidRPr="00DD0B62">
        <w:rPr>
          <w:lang w:val="fr-FR"/>
        </w:rPr>
        <w:t>Ces problèmes englobent les insuffisances en matière de normes, de compétences de la main-d</w:t>
      </w:r>
      <w:r>
        <w:rPr>
          <w:lang w:val="fr-FR"/>
        </w:rPr>
        <w:t>’</w:t>
      </w:r>
      <w:r w:rsidRPr="00DD0B62">
        <w:rPr>
          <w:lang w:val="fr-FR"/>
        </w:rPr>
        <w:t>œuvre, d</w:t>
      </w:r>
      <w:r>
        <w:rPr>
          <w:lang w:val="fr-FR"/>
        </w:rPr>
        <w:t>’</w:t>
      </w:r>
      <w:r w:rsidRPr="00DD0B62">
        <w:rPr>
          <w:lang w:val="fr-FR"/>
        </w:rPr>
        <w:t>acceptation par le marché et de la conformité en matière de sécurité, autant d</w:t>
      </w:r>
      <w:r>
        <w:rPr>
          <w:lang w:val="fr-FR"/>
        </w:rPr>
        <w:t>’</w:t>
      </w:r>
      <w:r w:rsidRPr="00DD0B62">
        <w:rPr>
          <w:lang w:val="fr-FR"/>
        </w:rPr>
        <w:t>éléments qui influent sur le rythme et la qualité des transitions technologiques.</w:t>
      </w:r>
    </w:p>
    <w:p w14:paraId="2E468FC9" w14:textId="77777777" w:rsidR="00A54BFC" w:rsidRPr="00DD0B62" w:rsidRDefault="00A54BFC" w:rsidP="00A54BFC">
      <w:pPr>
        <w:pStyle w:val="Heading2"/>
        <w:numPr>
          <w:ilvl w:val="0"/>
          <w:numId w:val="0"/>
        </w:numPr>
        <w:shd w:val="clear" w:color="auto" w:fill="FFFFFF" w:themeFill="background1"/>
        <w:rPr>
          <w:i/>
          <w:iCs/>
        </w:rPr>
      </w:pPr>
      <w:r w:rsidRPr="00DD0B62">
        <w:rPr>
          <w:i/>
          <w:iCs/>
          <w:lang w:val="fr-FR"/>
        </w:rPr>
        <w:t>Réfrigération domestique</w:t>
      </w:r>
    </w:p>
    <w:p w14:paraId="6406E20B" w14:textId="77777777" w:rsidR="00A54BFC" w:rsidRPr="000A3231" w:rsidRDefault="00A54BFC" w:rsidP="00A54BFC">
      <w:pPr>
        <w:pStyle w:val="Heading1"/>
        <w:numPr>
          <w:ilvl w:val="0"/>
          <w:numId w:val="1"/>
        </w:numPr>
        <w:shd w:val="clear" w:color="auto" w:fill="FFFFFF" w:themeFill="background1"/>
      </w:pPr>
      <w:r w:rsidRPr="00DD0B62">
        <w:rPr>
          <w:lang w:val="fr-FR"/>
        </w:rPr>
        <w:t>Les projets de conversion des systèmes de réfrigération domestique n</w:t>
      </w:r>
      <w:r>
        <w:rPr>
          <w:lang w:val="fr-FR"/>
        </w:rPr>
        <w:t>’</w:t>
      </w:r>
      <w:r w:rsidRPr="00DD0B62">
        <w:rPr>
          <w:lang w:val="fr-FR"/>
        </w:rPr>
        <w:t>étant pas encore entrés en phase de mise en œuvre, des difficultés techniques sont anticipées mais doivent être encore confirmées par l</w:t>
      </w:r>
      <w:r>
        <w:rPr>
          <w:lang w:val="fr-FR"/>
        </w:rPr>
        <w:t>’</w:t>
      </w:r>
      <w:r w:rsidRPr="00DD0B62">
        <w:rPr>
          <w:lang w:val="fr-FR"/>
        </w:rPr>
        <w:t>expérience pratique.</w:t>
      </w:r>
      <w:r w:rsidRPr="000A3231">
        <w:t xml:space="preserve"> </w:t>
      </w:r>
      <w:r w:rsidRPr="00DD0B62">
        <w:rPr>
          <w:lang w:val="fr-FR"/>
        </w:rPr>
        <w:t>S</w:t>
      </w:r>
      <w:r>
        <w:rPr>
          <w:lang w:val="fr-FR"/>
        </w:rPr>
        <w:t>’</w:t>
      </w:r>
      <w:r w:rsidRPr="00DD0B62">
        <w:rPr>
          <w:lang w:val="fr-FR"/>
        </w:rPr>
        <w:t xml:space="preserve">appuyant sur les caractéristiques </w:t>
      </w:r>
      <w:r>
        <w:rPr>
          <w:lang w:val="fr-FR"/>
        </w:rPr>
        <w:t xml:space="preserve">des </w:t>
      </w:r>
      <w:r w:rsidRPr="00DD0B62">
        <w:rPr>
          <w:lang w:val="fr-FR"/>
        </w:rPr>
        <w:t>frigorigènes à base de HC généralement utilisés dans ce sous-secteur, les principaux enjeux techniques concerneront probablement la gestion de la sécurité des frigorigènes inflammables, l</w:t>
      </w:r>
      <w:r>
        <w:rPr>
          <w:lang w:val="fr-FR"/>
        </w:rPr>
        <w:t>’</w:t>
      </w:r>
      <w:r w:rsidRPr="00DD0B62">
        <w:rPr>
          <w:lang w:val="fr-FR"/>
        </w:rPr>
        <w:t xml:space="preserve">adaptation des lignes de </w:t>
      </w:r>
      <w:r>
        <w:rPr>
          <w:lang w:val="fr-FR"/>
        </w:rPr>
        <w:t xml:space="preserve">fabrication et </w:t>
      </w:r>
      <w:r w:rsidRPr="00DD0B62">
        <w:rPr>
          <w:lang w:val="fr-FR"/>
        </w:rPr>
        <w:t>des protocoles de tests de sécurité, ainsi que la certification des équipements de fabrication convertis.</w:t>
      </w:r>
      <w:r w:rsidRPr="000A3231">
        <w:t xml:space="preserve"> </w:t>
      </w:r>
      <w:r w:rsidRPr="00DD0B62">
        <w:rPr>
          <w:lang w:val="fr-FR"/>
        </w:rPr>
        <w:t>Des informations techniques détaillées seront disponibles à mesure que les projets avancent.</w:t>
      </w:r>
    </w:p>
    <w:p w14:paraId="771A9988" w14:textId="77777777" w:rsidR="00A54BFC" w:rsidRPr="00F94167" w:rsidRDefault="00A54BFC" w:rsidP="00A54BFC">
      <w:pPr>
        <w:pStyle w:val="Heading2"/>
        <w:keepNext/>
        <w:widowControl w:val="0"/>
        <w:numPr>
          <w:ilvl w:val="0"/>
          <w:numId w:val="0"/>
        </w:numPr>
        <w:shd w:val="clear" w:color="auto" w:fill="FFFFFF" w:themeFill="background1"/>
        <w:rPr>
          <w:i/>
          <w:iCs/>
        </w:rPr>
      </w:pPr>
      <w:r w:rsidRPr="00F94167">
        <w:rPr>
          <w:i/>
          <w:iCs/>
          <w:lang w:val="fr-FR"/>
        </w:rPr>
        <w:t>Réfrigération commerciale</w:t>
      </w:r>
    </w:p>
    <w:p w14:paraId="5280F8EE" w14:textId="77777777" w:rsidR="00A54BFC" w:rsidRPr="000A3231" w:rsidRDefault="00A54BFC" w:rsidP="00A54BFC">
      <w:pPr>
        <w:pStyle w:val="Heading1"/>
        <w:keepNext/>
        <w:widowControl w:val="0"/>
        <w:numPr>
          <w:ilvl w:val="0"/>
          <w:numId w:val="1"/>
        </w:numPr>
        <w:shd w:val="clear" w:color="auto" w:fill="FFFFFF" w:themeFill="background1"/>
      </w:pPr>
      <w:r w:rsidRPr="00F94167">
        <w:rPr>
          <w:lang w:val="fr-FR"/>
        </w:rPr>
        <w:t>Les systèmes de réfrigération commerciale représentent l</w:t>
      </w:r>
      <w:r>
        <w:rPr>
          <w:lang w:val="fr-FR"/>
        </w:rPr>
        <w:t>’</w:t>
      </w:r>
      <w:r w:rsidRPr="00F94167">
        <w:rPr>
          <w:lang w:val="fr-FR"/>
        </w:rPr>
        <w:t>un des défis techniques les plus complexes du secteur de la réfrigération, de la climatisation et des pompes à chaleur, compte tenu de la diversité des frigorigènes utilisés, notamment les hydrocarbures, le CO₂ et l</w:t>
      </w:r>
      <w:r>
        <w:rPr>
          <w:lang w:val="fr-FR"/>
        </w:rPr>
        <w:t>’</w:t>
      </w:r>
      <w:r w:rsidRPr="00F94167">
        <w:rPr>
          <w:lang w:val="fr-FR"/>
        </w:rPr>
        <w:t>ammoniac.</w:t>
      </w:r>
      <w:r w:rsidRPr="000A3231">
        <w:t xml:space="preserve"> </w:t>
      </w:r>
      <w:r w:rsidRPr="00F94167">
        <w:rPr>
          <w:lang w:val="fr-FR"/>
        </w:rPr>
        <w:t>Une contrainte fondamentale réside dans les capacités de conception et d</w:t>
      </w:r>
      <w:r>
        <w:rPr>
          <w:lang w:val="fr-FR"/>
        </w:rPr>
        <w:t>’</w:t>
      </w:r>
      <w:r w:rsidRPr="00F94167">
        <w:rPr>
          <w:lang w:val="fr-FR"/>
        </w:rPr>
        <w:t>ingénierie limitées au sein des fabricants locaux pour le développement de systèmes de réfrigération à faible PRP, en particulier les configurations en cascade de CO₂ à plusieurs étages et les applications à forte charge des hydrocarbures.</w:t>
      </w:r>
      <w:r w:rsidRPr="000A3231">
        <w:t xml:space="preserve"> </w:t>
      </w:r>
      <w:r w:rsidRPr="00F94167">
        <w:rPr>
          <w:lang w:val="fr-FR"/>
        </w:rPr>
        <w:t>S</w:t>
      </w:r>
      <w:r>
        <w:rPr>
          <w:lang w:val="fr-FR"/>
        </w:rPr>
        <w:t>’</w:t>
      </w:r>
      <w:r w:rsidRPr="00F94167">
        <w:rPr>
          <w:lang w:val="fr-FR"/>
        </w:rPr>
        <w:t>ajoutant à cet aspect, la manipulation des frigorigènes inflammables exige une main-d</w:t>
      </w:r>
      <w:r>
        <w:rPr>
          <w:lang w:val="fr-FR"/>
        </w:rPr>
        <w:t>’</w:t>
      </w:r>
      <w:r w:rsidRPr="00F94167">
        <w:rPr>
          <w:lang w:val="fr-FR"/>
        </w:rPr>
        <w:t>œuvre qualifiée et des infrastructures de sécurité modernisées, deux éléments qui demeurent insuffisants dans de nombreux pays visés à l</w:t>
      </w:r>
      <w:r>
        <w:rPr>
          <w:lang w:val="fr-FR"/>
        </w:rPr>
        <w:t>’</w:t>
      </w:r>
      <w:r w:rsidRPr="00F94167">
        <w:rPr>
          <w:lang w:val="fr-FR"/>
        </w:rPr>
        <w:t>article 5. Par ailleurs, l</w:t>
      </w:r>
      <w:r>
        <w:rPr>
          <w:lang w:val="fr-FR"/>
        </w:rPr>
        <w:t>’</w:t>
      </w:r>
      <w:r w:rsidRPr="00F94167">
        <w:rPr>
          <w:lang w:val="fr-FR"/>
        </w:rPr>
        <w:t>absence ou l</w:t>
      </w:r>
      <w:r>
        <w:rPr>
          <w:lang w:val="fr-FR"/>
        </w:rPr>
        <w:t>’</w:t>
      </w:r>
      <w:r w:rsidRPr="00F94167">
        <w:rPr>
          <w:lang w:val="fr-FR"/>
        </w:rPr>
        <w:t>obsolescence des normes et méthodes d</w:t>
      </w:r>
      <w:r>
        <w:rPr>
          <w:lang w:val="fr-FR"/>
        </w:rPr>
        <w:t>’</w:t>
      </w:r>
      <w:r w:rsidRPr="00F94167">
        <w:rPr>
          <w:lang w:val="fr-FR"/>
        </w:rPr>
        <w:t>essai nationales, notamment celles concernant les essais relatifs aux NMPE des systèmes de réfrigération commerciaux lorsqu</w:t>
      </w:r>
      <w:r>
        <w:rPr>
          <w:lang w:val="fr-FR"/>
        </w:rPr>
        <w:t>’</w:t>
      </w:r>
      <w:r w:rsidRPr="00F94167">
        <w:rPr>
          <w:lang w:val="fr-FR"/>
        </w:rPr>
        <w:t>elles sont disponibles, engendre</w:t>
      </w:r>
      <w:r>
        <w:rPr>
          <w:lang w:val="fr-FR"/>
        </w:rPr>
        <w:t>nt</w:t>
      </w:r>
      <w:r w:rsidRPr="00F94167">
        <w:rPr>
          <w:lang w:val="fr-FR"/>
        </w:rPr>
        <w:t xml:space="preserve"> une incertitude réglementaire supplémentaire susceptible de ralentir la conversion des produits ou leur introduction sur le marché local.</w:t>
      </w:r>
    </w:p>
    <w:p w14:paraId="38DAAC7C" w14:textId="77777777" w:rsidR="00A54BFC" w:rsidRPr="000A3231" w:rsidRDefault="00A54BFC" w:rsidP="00A54BFC">
      <w:pPr>
        <w:pStyle w:val="Heading1"/>
        <w:numPr>
          <w:ilvl w:val="0"/>
          <w:numId w:val="1"/>
        </w:numPr>
        <w:shd w:val="clear" w:color="auto" w:fill="FFFFFF" w:themeFill="background1"/>
      </w:pPr>
      <w:r w:rsidRPr="00F94167">
        <w:rPr>
          <w:lang w:val="fr-FR"/>
        </w:rPr>
        <w:t>Les difficultés d</w:t>
      </w:r>
      <w:r>
        <w:rPr>
          <w:lang w:val="fr-FR"/>
        </w:rPr>
        <w:t>’</w:t>
      </w:r>
      <w:r w:rsidRPr="00F94167">
        <w:rPr>
          <w:lang w:val="fr-FR"/>
        </w:rPr>
        <w:t xml:space="preserve">adoption par le marché </w:t>
      </w:r>
      <w:r>
        <w:rPr>
          <w:lang w:val="fr-FR"/>
        </w:rPr>
        <w:t>intensifient la</w:t>
      </w:r>
      <w:r w:rsidRPr="00F94167">
        <w:rPr>
          <w:lang w:val="fr-FR"/>
        </w:rPr>
        <w:t xml:space="preserve"> complexité </w:t>
      </w:r>
      <w:r>
        <w:rPr>
          <w:lang w:val="fr-FR"/>
        </w:rPr>
        <w:t xml:space="preserve">de </w:t>
      </w:r>
      <w:r w:rsidRPr="00F94167">
        <w:rPr>
          <w:lang w:val="fr-FR"/>
        </w:rPr>
        <w:t>la transition.</w:t>
      </w:r>
      <w:r w:rsidRPr="000A3231">
        <w:t xml:space="preserve"> </w:t>
      </w:r>
      <w:r w:rsidRPr="00F94167">
        <w:rPr>
          <w:lang w:val="fr-FR"/>
        </w:rPr>
        <w:t>Les hésitations à l</w:t>
      </w:r>
      <w:r>
        <w:rPr>
          <w:lang w:val="fr-FR"/>
        </w:rPr>
        <w:t>’</w:t>
      </w:r>
      <w:r w:rsidRPr="00F94167">
        <w:rPr>
          <w:lang w:val="fr-FR"/>
        </w:rPr>
        <w:t>égard des systèmes à base d</w:t>
      </w:r>
      <w:r>
        <w:rPr>
          <w:lang w:val="fr-FR"/>
        </w:rPr>
        <w:t>’</w:t>
      </w:r>
      <w:r w:rsidRPr="00F94167">
        <w:rPr>
          <w:lang w:val="fr-FR"/>
        </w:rPr>
        <w:t>hydrocarbures persistent, tout particulièrement du fait des charges de frigorigène importantes, tandis que les systèmes au CO₂, bien que plus largement acceptés dans certaines applications commerciales, exigent un niveau d</w:t>
      </w:r>
      <w:r>
        <w:rPr>
          <w:lang w:val="fr-FR"/>
        </w:rPr>
        <w:t>’</w:t>
      </w:r>
      <w:r w:rsidRPr="00F94167">
        <w:rPr>
          <w:lang w:val="fr-FR"/>
        </w:rPr>
        <w:t>expertise technique plus élevé que de nombreux fabricants locaux ne possèdent pas encore.</w:t>
      </w:r>
      <w:r w:rsidRPr="000A3231">
        <w:t xml:space="preserve"> </w:t>
      </w:r>
      <w:r w:rsidRPr="00F94167">
        <w:rPr>
          <w:lang w:val="fr-FR"/>
        </w:rPr>
        <w:t>Les craintes en matière de fiabilité demeurent également importantes, avec des pannes fréquentes de compresseurs dans des conditions de fonctionnement à haute température, en particulier dans les climats chauds, ce qui constitue un défi permanent pour la performance constante des systèmes à faible PRP sur le terrain ou un manque de capacité à concevoir correctement des systèmes à base de CO₂ dans de telles conditions de fonctionnement.</w:t>
      </w:r>
    </w:p>
    <w:p w14:paraId="3817EBB6" w14:textId="77777777" w:rsidR="00A54BFC" w:rsidRPr="00F94167" w:rsidRDefault="00A54BFC" w:rsidP="00A54BFC">
      <w:pPr>
        <w:pStyle w:val="Heading2"/>
        <w:numPr>
          <w:ilvl w:val="0"/>
          <w:numId w:val="0"/>
        </w:numPr>
        <w:shd w:val="clear" w:color="auto" w:fill="FFFFFF" w:themeFill="background1"/>
        <w:rPr>
          <w:i/>
          <w:iCs/>
        </w:rPr>
      </w:pPr>
      <w:r w:rsidRPr="00F94167">
        <w:rPr>
          <w:i/>
          <w:iCs/>
          <w:lang w:val="fr-FR"/>
        </w:rPr>
        <w:t>Climatis</w:t>
      </w:r>
      <w:r>
        <w:rPr>
          <w:i/>
          <w:iCs/>
          <w:lang w:val="fr-FR"/>
        </w:rPr>
        <w:t xml:space="preserve">ation </w:t>
      </w:r>
      <w:r w:rsidRPr="00F94167">
        <w:rPr>
          <w:i/>
          <w:iCs/>
          <w:lang w:val="fr-FR"/>
        </w:rPr>
        <w:t>résidentiel</w:t>
      </w:r>
      <w:r>
        <w:rPr>
          <w:i/>
          <w:iCs/>
          <w:lang w:val="fr-FR"/>
        </w:rPr>
        <w:t>le</w:t>
      </w:r>
    </w:p>
    <w:p w14:paraId="08BA76B8" w14:textId="77777777" w:rsidR="00A54BFC" w:rsidRPr="000A3231" w:rsidRDefault="00A54BFC" w:rsidP="00A54BFC">
      <w:pPr>
        <w:pStyle w:val="Heading1"/>
        <w:numPr>
          <w:ilvl w:val="0"/>
          <w:numId w:val="1"/>
        </w:numPr>
        <w:shd w:val="clear" w:color="auto" w:fill="FFFFFF" w:themeFill="background1"/>
      </w:pPr>
      <w:r w:rsidRPr="00F94167">
        <w:rPr>
          <w:lang w:val="fr-FR"/>
        </w:rPr>
        <w:t>Les obstacles techniques et réglementaires à la conversion des systèmes de climatisation résidentiels concernent principalement les normes de sécurité, les processus de certification et la confiance du marché.</w:t>
      </w:r>
      <w:r w:rsidRPr="000A3231">
        <w:t xml:space="preserve"> </w:t>
      </w:r>
      <w:r w:rsidRPr="00F94167">
        <w:rPr>
          <w:lang w:val="fr-FR"/>
        </w:rPr>
        <w:t>Les risques d</w:t>
      </w:r>
      <w:r>
        <w:rPr>
          <w:lang w:val="fr-FR"/>
        </w:rPr>
        <w:t>’</w:t>
      </w:r>
      <w:r w:rsidRPr="00F94167">
        <w:rPr>
          <w:lang w:val="fr-FR"/>
        </w:rPr>
        <w:t xml:space="preserve">inflammabilité associés aux frigorigènes A2L et A3 continuent de peser sur leur acceptation par le </w:t>
      </w:r>
      <w:r w:rsidRPr="00F94167">
        <w:rPr>
          <w:lang w:val="fr-FR"/>
        </w:rPr>
        <w:lastRenderedPageBreak/>
        <w:t>marché, notamment auprès des installateurs, des détaillants et des consommateurs qui demeurent prudents.</w:t>
      </w:r>
      <w:r w:rsidRPr="000A3231">
        <w:t xml:space="preserve"> </w:t>
      </w:r>
      <w:r w:rsidRPr="00F94167">
        <w:rPr>
          <w:lang w:val="fr-FR"/>
        </w:rPr>
        <w:t xml:space="preserve">Ce manque de confiance est encore aggravé par les coûts élevés de certification et de vérification des lignes de </w:t>
      </w:r>
      <w:r>
        <w:rPr>
          <w:lang w:val="fr-FR"/>
        </w:rPr>
        <w:t>fabrication</w:t>
      </w:r>
      <w:r w:rsidRPr="00F94167">
        <w:rPr>
          <w:lang w:val="fr-FR"/>
        </w:rPr>
        <w:t xml:space="preserve"> converties, dus au nombre limité de prestataires de services agréés dans de nombreux pays visés à l</w:t>
      </w:r>
      <w:r>
        <w:rPr>
          <w:lang w:val="fr-FR"/>
        </w:rPr>
        <w:t>’</w:t>
      </w:r>
      <w:r w:rsidRPr="00F94167">
        <w:rPr>
          <w:lang w:val="fr-FR"/>
        </w:rPr>
        <w:t>article 5. Par ailleurs, la conformité aux exigences de sécurité relatives aux frigorigènes A2L et A3, notamment les limites de charge, les caractéristiques des composants et la formation des installateurs, constitue un obstacle technique supplémentaire et souvent complexe pour les fabricants entreprenant cette conversion.</w:t>
      </w:r>
    </w:p>
    <w:p w14:paraId="74691CE6" w14:textId="77777777" w:rsidR="00A54BFC" w:rsidRPr="00F94167" w:rsidRDefault="00A54BFC" w:rsidP="00A54BFC">
      <w:pPr>
        <w:pStyle w:val="Heading2"/>
        <w:numPr>
          <w:ilvl w:val="0"/>
          <w:numId w:val="0"/>
        </w:numPr>
        <w:shd w:val="clear" w:color="auto" w:fill="FFFFFF" w:themeFill="background1"/>
        <w:rPr>
          <w:i/>
          <w:iCs/>
        </w:rPr>
      </w:pPr>
      <w:r w:rsidRPr="00F94167">
        <w:rPr>
          <w:i/>
          <w:iCs/>
          <w:lang w:val="fr-FR"/>
        </w:rPr>
        <w:t>Climatisation commercial</w:t>
      </w:r>
      <w:r>
        <w:rPr>
          <w:i/>
          <w:iCs/>
          <w:lang w:val="fr-FR"/>
        </w:rPr>
        <w:t>e</w:t>
      </w:r>
    </w:p>
    <w:p w14:paraId="7F869C43" w14:textId="77777777" w:rsidR="00A54BFC" w:rsidRPr="000A3231" w:rsidRDefault="00A54BFC" w:rsidP="00A54BFC">
      <w:pPr>
        <w:pStyle w:val="Heading1"/>
        <w:numPr>
          <w:ilvl w:val="0"/>
          <w:numId w:val="1"/>
        </w:numPr>
        <w:shd w:val="clear" w:color="auto" w:fill="FFFFFF" w:themeFill="background1"/>
      </w:pPr>
      <w:r w:rsidRPr="00D216A7">
        <w:rPr>
          <w:lang w:val="fr-FR"/>
        </w:rPr>
        <w:t>La conversion des systèmes de climatisation commerciaux est confrontée à des défis techniques complexes qui portent sur la capacité de la main-d</w:t>
      </w:r>
      <w:r>
        <w:rPr>
          <w:lang w:val="fr-FR"/>
        </w:rPr>
        <w:t>’</w:t>
      </w:r>
      <w:r w:rsidRPr="00D216A7">
        <w:rPr>
          <w:lang w:val="fr-FR"/>
        </w:rPr>
        <w:t xml:space="preserve">œuvre, </w:t>
      </w:r>
      <w:r w:rsidRPr="007A21C6">
        <w:rPr>
          <w:lang w:val="fr-FR"/>
        </w:rPr>
        <w:t>l’état de préparation des règlementations</w:t>
      </w:r>
      <w:r w:rsidRPr="00D216A7">
        <w:rPr>
          <w:lang w:val="fr-FR"/>
        </w:rPr>
        <w:t xml:space="preserve"> et à la connaissance du marché.</w:t>
      </w:r>
      <w:r w:rsidRPr="000A3231">
        <w:t xml:space="preserve"> </w:t>
      </w:r>
      <w:r w:rsidRPr="00D216A7">
        <w:rPr>
          <w:lang w:val="fr-FR"/>
        </w:rPr>
        <w:t>L</w:t>
      </w:r>
      <w:r>
        <w:rPr>
          <w:lang w:val="fr-FR"/>
        </w:rPr>
        <w:t>’</w:t>
      </w:r>
      <w:r w:rsidRPr="00D216A7">
        <w:rPr>
          <w:lang w:val="fr-FR"/>
        </w:rPr>
        <w:t xml:space="preserve">une des principales préoccupations réside dans les capacités locales limitées à concevoir et à fabriquer des équipements configurés pour des frigorigènes à faible PRP, </w:t>
      </w:r>
      <w:r>
        <w:rPr>
          <w:lang w:val="fr-FR"/>
        </w:rPr>
        <w:t>notamment</w:t>
      </w:r>
      <w:r w:rsidRPr="00D216A7">
        <w:rPr>
          <w:lang w:val="fr-FR"/>
        </w:rPr>
        <w:t xml:space="preserve"> pour les systèmes commerciaux de grande capacité où la complexité technique est</w:t>
      </w:r>
      <w:r>
        <w:rPr>
          <w:lang w:val="fr-FR"/>
        </w:rPr>
        <w:t xml:space="preserve"> particulièrement</w:t>
      </w:r>
      <w:r w:rsidRPr="00D216A7">
        <w:rPr>
          <w:lang w:val="fr-FR"/>
        </w:rPr>
        <w:t xml:space="preserve"> élevée.</w:t>
      </w:r>
      <w:r w:rsidRPr="000A3231">
        <w:t xml:space="preserve"> </w:t>
      </w:r>
      <w:r w:rsidRPr="00D216A7">
        <w:rPr>
          <w:lang w:val="fr-FR"/>
        </w:rPr>
        <w:t>Cette situation est aggravée par une pénurie importante de techniciens formés et certifiés pour l</w:t>
      </w:r>
      <w:r>
        <w:rPr>
          <w:lang w:val="fr-FR"/>
        </w:rPr>
        <w:t>’</w:t>
      </w:r>
      <w:r w:rsidRPr="00D216A7">
        <w:rPr>
          <w:lang w:val="fr-FR"/>
        </w:rPr>
        <w:t>installation, l</w:t>
      </w:r>
      <w:r>
        <w:rPr>
          <w:lang w:val="fr-FR"/>
        </w:rPr>
        <w:t>’</w:t>
      </w:r>
      <w:r w:rsidRPr="00D216A7">
        <w:rPr>
          <w:lang w:val="fr-FR"/>
        </w:rPr>
        <w:t>entretien et la maintenance des systèmes utilisant des frigorigènes A2L et A3, ce qui compromet la capacité du secteur à assurer sur le terrain le soutien et la durabilité des équipements convertis.</w:t>
      </w:r>
    </w:p>
    <w:p w14:paraId="6A25A827" w14:textId="77777777" w:rsidR="00A54BFC" w:rsidRPr="000A3231" w:rsidRDefault="00A54BFC" w:rsidP="00A54BFC">
      <w:pPr>
        <w:pStyle w:val="Heading1"/>
        <w:widowControl w:val="0"/>
        <w:numPr>
          <w:ilvl w:val="0"/>
          <w:numId w:val="1"/>
        </w:numPr>
        <w:shd w:val="clear" w:color="auto" w:fill="FFFFFF" w:themeFill="background1"/>
      </w:pPr>
      <w:r w:rsidRPr="00D216A7">
        <w:rPr>
          <w:lang w:val="fr-FR"/>
        </w:rPr>
        <w:t>Les défis réglementaires et le manque de confiance des marchés compliquent davantage la transition.</w:t>
      </w:r>
      <w:r w:rsidRPr="000A3231">
        <w:t xml:space="preserve"> </w:t>
      </w:r>
      <w:r w:rsidRPr="00D216A7">
        <w:rPr>
          <w:lang w:val="fr-FR"/>
        </w:rPr>
        <w:t>Dans de nombreux pays, les réglementations nationales en matière de sécurité et les normes techniques relatives aux frigorigènes A2L, tels que le HFC-32, restent incomplètes ou encore en cours d</w:t>
      </w:r>
      <w:r>
        <w:rPr>
          <w:lang w:val="fr-FR"/>
        </w:rPr>
        <w:t>’</w:t>
      </w:r>
      <w:r w:rsidRPr="00D216A7">
        <w:rPr>
          <w:lang w:val="fr-FR"/>
        </w:rPr>
        <w:t>élaboration, ce qui crée une incertitude pour les fabricants et les installateurs essayant de s</w:t>
      </w:r>
      <w:r>
        <w:rPr>
          <w:lang w:val="fr-FR"/>
        </w:rPr>
        <w:t>’</w:t>
      </w:r>
      <w:r w:rsidRPr="00D216A7">
        <w:rPr>
          <w:lang w:val="fr-FR"/>
        </w:rPr>
        <w:t>y conformer.</w:t>
      </w:r>
      <w:r w:rsidRPr="000A3231">
        <w:t xml:space="preserve"> </w:t>
      </w:r>
      <w:r w:rsidRPr="00D216A7">
        <w:rPr>
          <w:lang w:val="fr-FR"/>
        </w:rPr>
        <w:t>Les critères de sécurité liés au transport, à l</w:t>
      </w:r>
      <w:r>
        <w:rPr>
          <w:lang w:val="fr-FR"/>
        </w:rPr>
        <w:t>’</w:t>
      </w:r>
      <w:r w:rsidRPr="00D216A7">
        <w:rPr>
          <w:lang w:val="fr-FR"/>
        </w:rPr>
        <w:t>installation et à l</w:t>
      </w:r>
      <w:r>
        <w:rPr>
          <w:lang w:val="fr-FR"/>
        </w:rPr>
        <w:t>’</w:t>
      </w:r>
      <w:r w:rsidRPr="00D216A7">
        <w:rPr>
          <w:lang w:val="fr-FR"/>
        </w:rPr>
        <w:t>entretien des frigorigènes légèrement inflammables continuent d</w:t>
      </w:r>
      <w:r>
        <w:rPr>
          <w:lang w:val="fr-FR"/>
        </w:rPr>
        <w:t>’</w:t>
      </w:r>
      <w:r w:rsidRPr="00D216A7">
        <w:rPr>
          <w:lang w:val="fr-FR"/>
        </w:rPr>
        <w:t>influe</w:t>
      </w:r>
      <w:r>
        <w:rPr>
          <w:lang w:val="fr-FR"/>
        </w:rPr>
        <w:t>r sur</w:t>
      </w:r>
      <w:r w:rsidRPr="00D216A7">
        <w:rPr>
          <w:lang w:val="fr-FR"/>
        </w:rPr>
        <w:t xml:space="preserve"> la confiance du marché et les décisions d</w:t>
      </w:r>
      <w:r>
        <w:rPr>
          <w:lang w:val="fr-FR"/>
        </w:rPr>
        <w:t>’</w:t>
      </w:r>
      <w:r w:rsidRPr="00D216A7">
        <w:rPr>
          <w:lang w:val="fr-FR"/>
        </w:rPr>
        <w:t>achat, tandis que la prise de conscience limitée de la part des techniciens, des détaillants et des consommateurs concernant les nouvelles technologies des frigorigènes et les bonnes pratiques de manipulation demeure un frein persistant à leur adoption par le marché.</w:t>
      </w:r>
    </w:p>
    <w:p w14:paraId="41B0DD13" w14:textId="77777777" w:rsidR="00A54BFC" w:rsidRPr="000A3231" w:rsidRDefault="00A54BFC" w:rsidP="00A54BFC">
      <w:pPr>
        <w:pStyle w:val="Heading1"/>
        <w:widowControl w:val="0"/>
        <w:numPr>
          <w:ilvl w:val="0"/>
          <w:numId w:val="0"/>
        </w:numPr>
        <w:shd w:val="clear" w:color="auto" w:fill="FFFFFF" w:themeFill="background1"/>
        <w:rPr>
          <w:rFonts w:eastAsia="Arial"/>
          <w:b/>
          <w:bCs/>
        </w:rPr>
      </w:pPr>
      <w:r w:rsidRPr="00463C37">
        <w:rPr>
          <w:rFonts w:eastAsia="Arial"/>
          <w:b/>
          <w:bCs/>
          <w:lang w:val="fr-FR"/>
        </w:rPr>
        <w:t>Questions relatives aux petites et moyennes entreprises</w:t>
      </w:r>
    </w:p>
    <w:p w14:paraId="391DF3E0" w14:textId="77777777" w:rsidR="00A54BFC" w:rsidRPr="000A3231" w:rsidRDefault="00A54BFC" w:rsidP="00A54BFC">
      <w:pPr>
        <w:pStyle w:val="Heading1"/>
        <w:widowControl w:val="0"/>
        <w:numPr>
          <w:ilvl w:val="0"/>
          <w:numId w:val="1"/>
        </w:numPr>
        <w:shd w:val="clear" w:color="auto" w:fill="FFFFFF" w:themeFill="background1"/>
      </w:pPr>
      <w:r w:rsidRPr="00463C37">
        <w:rPr>
          <w:lang w:val="fr-FR"/>
        </w:rPr>
        <w:t xml:space="preserve">Les </w:t>
      </w:r>
      <w:r>
        <w:rPr>
          <w:lang w:val="fr-FR"/>
        </w:rPr>
        <w:t>petits et moyens fabricants s</w:t>
      </w:r>
      <w:r w:rsidRPr="00463C37">
        <w:rPr>
          <w:lang w:val="fr-FR"/>
        </w:rPr>
        <w:t xml:space="preserve">ont confrontés à des problèmes de disponibilité particulièrement graves en raison de leur </w:t>
      </w:r>
      <w:r>
        <w:rPr>
          <w:lang w:val="fr-FR"/>
        </w:rPr>
        <w:t>capacité</w:t>
      </w:r>
      <w:r w:rsidRPr="00463C37">
        <w:rPr>
          <w:lang w:val="fr-FR"/>
        </w:rPr>
        <w:t xml:space="preserve"> </w:t>
      </w:r>
      <w:r>
        <w:rPr>
          <w:lang w:val="fr-FR"/>
        </w:rPr>
        <w:t>commerciale</w:t>
      </w:r>
      <w:r w:rsidRPr="00463C37">
        <w:rPr>
          <w:lang w:val="fr-FR"/>
        </w:rPr>
        <w:t xml:space="preserve"> limité</w:t>
      </w:r>
      <w:r>
        <w:rPr>
          <w:lang w:val="fr-FR"/>
        </w:rPr>
        <w:t>e</w:t>
      </w:r>
      <w:r w:rsidRPr="00463C37">
        <w:rPr>
          <w:lang w:val="fr-FR"/>
        </w:rPr>
        <w:t>, de leurs petits volumes de commandes et de leur intégration moindre aux chaînes d</w:t>
      </w:r>
      <w:r>
        <w:rPr>
          <w:lang w:val="fr-FR"/>
        </w:rPr>
        <w:t>’</w:t>
      </w:r>
      <w:r w:rsidRPr="00463C37">
        <w:rPr>
          <w:lang w:val="fr-FR"/>
        </w:rPr>
        <w:t>approvisionnement internationales.</w:t>
      </w:r>
      <w:r w:rsidRPr="000A3231">
        <w:t xml:space="preserve"> </w:t>
      </w:r>
      <w:r w:rsidRPr="00463C37">
        <w:rPr>
          <w:lang w:val="fr-FR"/>
        </w:rPr>
        <w:t>L</w:t>
      </w:r>
      <w:r>
        <w:rPr>
          <w:lang w:val="fr-FR"/>
        </w:rPr>
        <w:t>’</w:t>
      </w:r>
      <w:r w:rsidRPr="00463C37">
        <w:rPr>
          <w:lang w:val="fr-FR"/>
        </w:rPr>
        <w:t>accès aux composants de frigorigène de remplacement est limité du fait de la forte concentration des marchés d</w:t>
      </w:r>
      <w:r>
        <w:rPr>
          <w:lang w:val="fr-FR"/>
        </w:rPr>
        <w:t>’</w:t>
      </w:r>
      <w:r w:rsidRPr="00463C37">
        <w:rPr>
          <w:lang w:val="fr-FR"/>
        </w:rPr>
        <w:t>importation, où quelques distributeurs dominent l</w:t>
      </w:r>
      <w:r>
        <w:rPr>
          <w:lang w:val="fr-FR"/>
        </w:rPr>
        <w:t>’</w:t>
      </w:r>
      <w:r w:rsidRPr="00463C37">
        <w:rPr>
          <w:lang w:val="fr-FR"/>
        </w:rPr>
        <w:t>offre locale, rendant particulièrement difficile pour les PME ayant des capacités d</w:t>
      </w:r>
      <w:r>
        <w:rPr>
          <w:lang w:val="fr-FR"/>
        </w:rPr>
        <w:t>’</w:t>
      </w:r>
      <w:r w:rsidRPr="00463C37">
        <w:rPr>
          <w:lang w:val="fr-FR"/>
        </w:rPr>
        <w:t>approvisionnement limitées d</w:t>
      </w:r>
      <w:r>
        <w:rPr>
          <w:lang w:val="fr-FR"/>
        </w:rPr>
        <w:t>’</w:t>
      </w:r>
      <w:r w:rsidRPr="00463C37">
        <w:rPr>
          <w:lang w:val="fr-FR"/>
        </w:rPr>
        <w:t>identifier des sources fiables.</w:t>
      </w:r>
      <w:r w:rsidRPr="000A3231">
        <w:t xml:space="preserve"> </w:t>
      </w:r>
      <w:r w:rsidRPr="00463C37">
        <w:rPr>
          <w:lang w:val="fr-FR"/>
        </w:rPr>
        <w:t>Ces difficultés sont encore aggravées par les exigences de commande minimale, les coûts d</w:t>
      </w:r>
      <w:r>
        <w:rPr>
          <w:lang w:val="fr-FR"/>
        </w:rPr>
        <w:t>’</w:t>
      </w:r>
      <w:r w:rsidRPr="00463C37">
        <w:rPr>
          <w:lang w:val="fr-FR"/>
        </w:rPr>
        <w:t xml:space="preserve">importation élevés et la disponibilité en baisse des composants pour les grands systèmes nécessitant des technologies spécifiques, </w:t>
      </w:r>
      <w:r>
        <w:rPr>
          <w:lang w:val="fr-FR"/>
        </w:rPr>
        <w:t xml:space="preserve">telles que </w:t>
      </w:r>
      <w:r w:rsidRPr="00463C37">
        <w:rPr>
          <w:lang w:val="fr-FR"/>
        </w:rPr>
        <w:t>des solutions à base de CO₂ ou d</w:t>
      </w:r>
      <w:r>
        <w:rPr>
          <w:lang w:val="fr-FR"/>
        </w:rPr>
        <w:t>’</w:t>
      </w:r>
      <w:r w:rsidRPr="00463C37">
        <w:rPr>
          <w:lang w:val="fr-FR"/>
        </w:rPr>
        <w:t>ammoniac. Par ailleurs, la disponibilité limitée d</w:t>
      </w:r>
      <w:r>
        <w:rPr>
          <w:lang w:val="fr-FR"/>
        </w:rPr>
        <w:t>’</w:t>
      </w:r>
      <w:r w:rsidRPr="00463C37">
        <w:rPr>
          <w:lang w:val="fr-FR"/>
        </w:rPr>
        <w:t>outils et d</w:t>
      </w:r>
      <w:r>
        <w:rPr>
          <w:lang w:val="fr-FR"/>
        </w:rPr>
        <w:t>’</w:t>
      </w:r>
      <w:r w:rsidRPr="00463C37">
        <w:rPr>
          <w:lang w:val="fr-FR"/>
        </w:rPr>
        <w:t>équipements spécialisés pour les procédés de fabrication à base d</w:t>
      </w:r>
      <w:r>
        <w:rPr>
          <w:lang w:val="fr-FR"/>
        </w:rPr>
        <w:t>’</w:t>
      </w:r>
      <w:r w:rsidRPr="00463C37">
        <w:rPr>
          <w:lang w:val="fr-FR"/>
        </w:rPr>
        <w:t>hydrocarbures constitue une contrainte supplémentaire à leur capacité opérationnelle.</w:t>
      </w:r>
    </w:p>
    <w:p w14:paraId="4D21A746" w14:textId="77777777" w:rsidR="00A54BFC" w:rsidRPr="000A3231" w:rsidRDefault="00A54BFC" w:rsidP="00A54BFC">
      <w:pPr>
        <w:pStyle w:val="Heading1"/>
        <w:numPr>
          <w:ilvl w:val="0"/>
          <w:numId w:val="1"/>
        </w:numPr>
        <w:shd w:val="clear" w:color="auto" w:fill="FFFFFF" w:themeFill="background1"/>
      </w:pPr>
      <w:r w:rsidRPr="00463C37">
        <w:rPr>
          <w:lang w:val="fr-FR"/>
        </w:rPr>
        <w:t xml:space="preserve">Les PME </w:t>
      </w:r>
      <w:r>
        <w:rPr>
          <w:lang w:val="fr-FR"/>
        </w:rPr>
        <w:t>se heurtent également</w:t>
      </w:r>
      <w:r w:rsidRPr="00463C37">
        <w:rPr>
          <w:lang w:val="fr-FR"/>
        </w:rPr>
        <w:t xml:space="preserve"> à des problèmes</w:t>
      </w:r>
      <w:r>
        <w:rPr>
          <w:lang w:val="fr-FR"/>
        </w:rPr>
        <w:t xml:space="preserve"> </w:t>
      </w:r>
      <w:r w:rsidRPr="00463C37">
        <w:rPr>
          <w:lang w:val="fr-FR"/>
        </w:rPr>
        <w:t>de prix accrus témoignant à la fois de leurs désavantages structurels et des exigences spécifiques liées à la transition vers des technologies à faible PRP.</w:t>
      </w:r>
      <w:r w:rsidRPr="000A3231">
        <w:t xml:space="preserve"> </w:t>
      </w:r>
      <w:r w:rsidRPr="00D11C2B">
        <w:rPr>
          <w:lang w:val="fr-FR"/>
        </w:rPr>
        <w:t>Les coûts élevés des composants clés, notamment des compresseurs conçus pour les frigorigènes A3, A2L et CO₂, sont exacerbés du fait des investissements importants requis pour la mise à niveau des infrastructures de sécurité, les équipements de fabrication spécialisés et les composants certifiés ATEX.</w:t>
      </w:r>
      <w:r w:rsidRPr="000A3231">
        <w:t xml:space="preserve"> </w:t>
      </w:r>
      <w:r w:rsidRPr="00D11C2B">
        <w:rPr>
          <w:lang w:val="fr-FR"/>
        </w:rPr>
        <w:t xml:space="preserve">Ces difficultés sont aggravées par la taille réduite du marché, les risques de taux de change et les structures fiscales nationales qui </w:t>
      </w:r>
      <w:r>
        <w:rPr>
          <w:lang w:val="fr-FR"/>
        </w:rPr>
        <w:t>nuisent à</w:t>
      </w:r>
      <w:r w:rsidRPr="00D11C2B">
        <w:rPr>
          <w:lang w:val="fr-FR"/>
        </w:rPr>
        <w:t xml:space="preserve"> la compétitivité des équipements fabriqués localement, tandis que les économies d</w:t>
      </w:r>
      <w:r>
        <w:rPr>
          <w:lang w:val="fr-FR"/>
        </w:rPr>
        <w:t>’</w:t>
      </w:r>
      <w:r w:rsidRPr="00D11C2B">
        <w:rPr>
          <w:lang w:val="fr-FR"/>
        </w:rPr>
        <w:t>échelle limitées et la très forte concurrence des fabricants multinationaux érodent les marges bénéficiaires et laissent les PME avec des ressources insuffisantes pour la recherche, le développement et l</w:t>
      </w:r>
      <w:r>
        <w:rPr>
          <w:lang w:val="fr-FR"/>
        </w:rPr>
        <w:t>’</w:t>
      </w:r>
      <w:r w:rsidRPr="00D11C2B">
        <w:rPr>
          <w:lang w:val="fr-FR"/>
        </w:rPr>
        <w:t>investissement dans les compétences.</w:t>
      </w:r>
    </w:p>
    <w:p w14:paraId="1F1B0C89" w14:textId="77777777" w:rsidR="00A54BFC" w:rsidRPr="000A3231" w:rsidRDefault="00A54BFC" w:rsidP="00A54BFC">
      <w:pPr>
        <w:pStyle w:val="Heading1"/>
        <w:numPr>
          <w:ilvl w:val="0"/>
          <w:numId w:val="1"/>
        </w:numPr>
        <w:shd w:val="clear" w:color="auto" w:fill="FFFFFF" w:themeFill="background1"/>
      </w:pPr>
      <w:r>
        <w:rPr>
          <w:lang w:val="fr-FR"/>
        </w:rPr>
        <w:t>Les PME font face à des insuffisances au niveau des</w:t>
      </w:r>
      <w:r w:rsidRPr="00D11C2B">
        <w:rPr>
          <w:lang w:val="fr-FR"/>
        </w:rPr>
        <w:t xml:space="preserve"> techniques et de</w:t>
      </w:r>
      <w:r>
        <w:rPr>
          <w:lang w:val="fr-FR"/>
        </w:rPr>
        <w:t>s</w:t>
      </w:r>
      <w:r w:rsidRPr="00D11C2B">
        <w:rPr>
          <w:lang w:val="fr-FR"/>
        </w:rPr>
        <w:t xml:space="preserve"> capacités</w:t>
      </w:r>
      <w:r>
        <w:rPr>
          <w:lang w:val="fr-FR"/>
        </w:rPr>
        <w:t>. En raison de</w:t>
      </w:r>
      <w:r w:rsidRPr="00D11C2B">
        <w:rPr>
          <w:lang w:val="fr-FR"/>
        </w:rPr>
        <w:t xml:space="preserve"> leur accès limité à la formation, à l</w:t>
      </w:r>
      <w:r>
        <w:rPr>
          <w:lang w:val="fr-FR"/>
        </w:rPr>
        <w:t>’</w:t>
      </w:r>
      <w:r w:rsidRPr="00D11C2B">
        <w:rPr>
          <w:lang w:val="fr-FR"/>
        </w:rPr>
        <w:t xml:space="preserve">assistance technique et au soutien réglementaire, ces entreprises </w:t>
      </w:r>
      <w:r>
        <w:rPr>
          <w:lang w:val="fr-FR"/>
        </w:rPr>
        <w:t>se heurtent à</w:t>
      </w:r>
      <w:r w:rsidRPr="00D11C2B">
        <w:rPr>
          <w:lang w:val="fr-FR"/>
        </w:rPr>
        <w:t xml:space="preserve"> d</w:t>
      </w:r>
      <w:r>
        <w:rPr>
          <w:lang w:val="fr-FR"/>
        </w:rPr>
        <w:t>’</w:t>
      </w:r>
      <w:r w:rsidRPr="00D11C2B">
        <w:rPr>
          <w:lang w:val="fr-FR"/>
        </w:rPr>
        <w:t xml:space="preserve">importantes lacunes en matière de capacités techniques pour la refonte des systèmes, la sélection des composants, les procédures de sécurité et la gestion </w:t>
      </w:r>
      <w:r>
        <w:rPr>
          <w:lang w:val="fr-FR"/>
        </w:rPr>
        <w:t xml:space="preserve">des charges de </w:t>
      </w:r>
      <w:r w:rsidRPr="00D11C2B">
        <w:rPr>
          <w:lang w:val="fr-FR"/>
        </w:rPr>
        <w:t>frigorigènes</w:t>
      </w:r>
      <w:r>
        <w:rPr>
          <w:lang w:val="fr-FR"/>
        </w:rPr>
        <w:t xml:space="preserve">, problèmes </w:t>
      </w:r>
      <w:r w:rsidRPr="00D11C2B">
        <w:rPr>
          <w:lang w:val="fr-FR"/>
        </w:rPr>
        <w:t>aggravés par un accès limité à l</w:t>
      </w:r>
      <w:r>
        <w:rPr>
          <w:lang w:val="fr-FR"/>
        </w:rPr>
        <w:t>’</w:t>
      </w:r>
      <w:r w:rsidRPr="00D11C2B">
        <w:rPr>
          <w:lang w:val="fr-FR"/>
        </w:rPr>
        <w:t xml:space="preserve">expertise et aux ressources humaines qualifiées, notamment dans les pays ne disposant pas de </w:t>
      </w:r>
      <w:r w:rsidRPr="00D11C2B">
        <w:rPr>
          <w:lang w:val="fr-FR"/>
        </w:rPr>
        <w:lastRenderedPageBreak/>
        <w:t>programmes de formation professionnelle bien établis dans le domaine des technologies de réfrigération, de climatisation et de pompes à chaleur.</w:t>
      </w:r>
      <w:r w:rsidRPr="000A3231">
        <w:t xml:space="preserve"> </w:t>
      </w:r>
      <w:r w:rsidRPr="00D11C2B">
        <w:rPr>
          <w:lang w:val="fr-FR"/>
        </w:rPr>
        <w:t>Ces difficultés sont encore accentuées par les contraintes de conformité liées à la transition vers les NMPE, les complexités en matière de logistique et de sécurité relatives à la manipulation des frigorigènes inflammables, et le manque généralisé de sensibilisation des PME exploitantes aux réglementations applicables, aux normes techniques et aux mécanismes de soutien disponibles pour la conversion technologique.</w:t>
      </w:r>
    </w:p>
    <w:p w14:paraId="6BBCB105" w14:textId="77777777" w:rsidR="00A54BFC" w:rsidRPr="000A3231" w:rsidRDefault="00A54BFC" w:rsidP="00A54BFC">
      <w:pPr>
        <w:pStyle w:val="Heading1"/>
        <w:numPr>
          <w:ilvl w:val="0"/>
          <w:numId w:val="1"/>
        </w:numPr>
        <w:shd w:val="clear" w:color="auto" w:fill="FFFFFF" w:themeFill="background1"/>
      </w:pPr>
      <w:r w:rsidRPr="00D11C2B">
        <w:rPr>
          <w:lang w:val="fr-FR"/>
        </w:rPr>
        <w:t>Un résumé des principales conclusions des différents sous-secteurs est présenté dans un document récapitulatif joint en annexe II au présent document.</w:t>
      </w:r>
    </w:p>
    <w:p w14:paraId="40DFF112" w14:textId="77777777" w:rsidR="00A54BFC" w:rsidRPr="000A3231" w:rsidRDefault="00A54BFC" w:rsidP="00A54BFC">
      <w:pPr>
        <w:pStyle w:val="Heading1"/>
        <w:numPr>
          <w:ilvl w:val="0"/>
          <w:numId w:val="0"/>
        </w:numPr>
        <w:shd w:val="clear" w:color="auto" w:fill="FFFFFF" w:themeFill="background1"/>
        <w:rPr>
          <w:rFonts w:eastAsia="Arial"/>
          <w:b/>
          <w:bCs/>
        </w:rPr>
      </w:pPr>
      <w:r w:rsidRPr="00D11C2B">
        <w:rPr>
          <w:rFonts w:eastAsia="Arial"/>
          <w:b/>
          <w:bCs/>
          <w:lang w:val="fr-FR"/>
        </w:rPr>
        <w:t>Solutions possibles pour prendre en main les défis identifiés</w:t>
      </w:r>
    </w:p>
    <w:p w14:paraId="6A301AE0" w14:textId="77777777" w:rsidR="00A54BFC" w:rsidRPr="000A3231" w:rsidRDefault="00A54BFC" w:rsidP="00A54BFC">
      <w:pPr>
        <w:pStyle w:val="Heading1"/>
        <w:numPr>
          <w:ilvl w:val="0"/>
          <w:numId w:val="1"/>
        </w:numPr>
        <w:shd w:val="clear" w:color="auto" w:fill="FFFFFF" w:themeFill="background1"/>
      </w:pPr>
      <w:r w:rsidRPr="00D11C2B">
        <w:rPr>
          <w:lang w:val="fr-FR"/>
        </w:rPr>
        <w:t>Les défis identifiés dans ce document couvrent de multiples dimensions - notamment la sécurité d</w:t>
      </w:r>
      <w:r>
        <w:rPr>
          <w:lang w:val="fr-FR"/>
        </w:rPr>
        <w:t>’</w:t>
      </w:r>
      <w:r w:rsidRPr="00D11C2B">
        <w:rPr>
          <w:lang w:val="fr-FR"/>
        </w:rPr>
        <w:t>approvisionnement, la compétitivité des coûts, les capacités techniques et la préparation réglementaire - qui nécessitent des réponses coordonnées aux niveaux national, régional et international.</w:t>
      </w:r>
      <w:r w:rsidRPr="000A3231">
        <w:t xml:space="preserve"> </w:t>
      </w:r>
      <w:r w:rsidRPr="00D11C2B">
        <w:rPr>
          <w:lang w:val="fr-FR"/>
        </w:rPr>
        <w:t xml:space="preserve">Les mesures suivantes ont été suggérées dans le cadre des questionnaires reçus et des discussions </w:t>
      </w:r>
      <w:r>
        <w:rPr>
          <w:lang w:val="fr-FR"/>
        </w:rPr>
        <w:t>ayant</w:t>
      </w:r>
      <w:r w:rsidRPr="00D11C2B">
        <w:rPr>
          <w:lang w:val="fr-FR"/>
        </w:rPr>
        <w:t xml:space="preserve"> eu lieu.</w:t>
      </w:r>
    </w:p>
    <w:p w14:paraId="5283ED53" w14:textId="77777777" w:rsidR="00A54BFC" w:rsidRPr="000A3231" w:rsidRDefault="00A54BFC" w:rsidP="00A54BFC">
      <w:pPr>
        <w:pStyle w:val="Heading1"/>
        <w:numPr>
          <w:ilvl w:val="0"/>
          <w:numId w:val="1"/>
        </w:numPr>
        <w:shd w:val="clear" w:color="auto" w:fill="FFFFFF" w:themeFill="background1"/>
      </w:pPr>
      <w:r w:rsidRPr="009E2300">
        <w:rPr>
          <w:lang w:val="fr-FR"/>
        </w:rPr>
        <w:t>Pour répondre aux problèmes de disponibilité, les agences d</w:t>
      </w:r>
      <w:r>
        <w:rPr>
          <w:lang w:val="fr-FR"/>
        </w:rPr>
        <w:t>’</w:t>
      </w:r>
      <w:r w:rsidRPr="009E2300">
        <w:rPr>
          <w:lang w:val="fr-FR"/>
        </w:rPr>
        <w:t>exécution et les UNO pourraient faciliter la mise en place de mécanismes de regroupement de la demande afin de rassembler les volumes d</w:t>
      </w:r>
      <w:r>
        <w:rPr>
          <w:lang w:val="fr-FR"/>
        </w:rPr>
        <w:t>’</w:t>
      </w:r>
      <w:r w:rsidRPr="009E2300">
        <w:rPr>
          <w:lang w:val="fr-FR"/>
        </w:rPr>
        <w:t>achat de différents fabricants, réduisant ainsi la dépendance à l</w:t>
      </w:r>
      <w:r>
        <w:rPr>
          <w:lang w:val="fr-FR"/>
        </w:rPr>
        <w:t>’</w:t>
      </w:r>
      <w:r w:rsidRPr="009E2300">
        <w:rPr>
          <w:lang w:val="fr-FR"/>
        </w:rPr>
        <w:t>égard des circuits d</w:t>
      </w:r>
      <w:r>
        <w:rPr>
          <w:lang w:val="fr-FR"/>
        </w:rPr>
        <w:t>’</w:t>
      </w:r>
      <w:r w:rsidRPr="009E2300">
        <w:rPr>
          <w:lang w:val="fr-FR"/>
        </w:rPr>
        <w:t>importation individuels et permettant l</w:t>
      </w:r>
      <w:r>
        <w:rPr>
          <w:lang w:val="fr-FR"/>
        </w:rPr>
        <w:t>’</w:t>
      </w:r>
      <w:r w:rsidRPr="009E2300">
        <w:rPr>
          <w:lang w:val="fr-FR"/>
        </w:rPr>
        <w:t>accès à des conditions d</w:t>
      </w:r>
      <w:r>
        <w:rPr>
          <w:lang w:val="fr-FR"/>
        </w:rPr>
        <w:t>’</w:t>
      </w:r>
      <w:r w:rsidRPr="009E2300">
        <w:rPr>
          <w:lang w:val="fr-FR"/>
        </w:rPr>
        <w:t>approvisionnement plus avantageuses.</w:t>
      </w:r>
      <w:r w:rsidRPr="000A3231">
        <w:t xml:space="preserve"> </w:t>
      </w:r>
      <w:r w:rsidRPr="009E2300">
        <w:rPr>
          <w:lang w:val="fr-FR"/>
        </w:rPr>
        <w:t>Il serait bon de compléter ce point en soutenant le développement de centres de distribution régionaux pour les frigorigènes de remplacement et les composants compatibles afin de réduire les délais de livraison et d</w:t>
      </w:r>
      <w:r>
        <w:rPr>
          <w:lang w:val="fr-FR"/>
        </w:rPr>
        <w:t>’</w:t>
      </w:r>
      <w:r w:rsidRPr="009E2300">
        <w:rPr>
          <w:lang w:val="fr-FR"/>
        </w:rPr>
        <w:t>améliorer la fiabilité de l</w:t>
      </w:r>
      <w:r>
        <w:rPr>
          <w:lang w:val="fr-FR"/>
        </w:rPr>
        <w:t>’</w:t>
      </w:r>
      <w:r w:rsidRPr="009E2300">
        <w:rPr>
          <w:lang w:val="fr-FR"/>
        </w:rPr>
        <w:t>approvisionnement, ainsi qu</w:t>
      </w:r>
      <w:r>
        <w:rPr>
          <w:lang w:val="fr-FR"/>
        </w:rPr>
        <w:t>’</w:t>
      </w:r>
      <w:r w:rsidRPr="009E2300">
        <w:rPr>
          <w:lang w:val="fr-FR"/>
        </w:rPr>
        <w:t>en déployant des efforts visant à renforcer les infrastructures locales et régionales de régénération et de récupération des frigorigènes afin de favoriser leur utilisation circulaire lors des opérations de conversion et d</w:t>
      </w:r>
      <w:r>
        <w:rPr>
          <w:lang w:val="fr-FR"/>
        </w:rPr>
        <w:t>’</w:t>
      </w:r>
      <w:r w:rsidRPr="009E2300">
        <w:rPr>
          <w:lang w:val="fr-FR"/>
        </w:rPr>
        <w:t>entretien.</w:t>
      </w:r>
      <w:r w:rsidRPr="000A3231">
        <w:t xml:space="preserve"> </w:t>
      </w:r>
      <w:r w:rsidRPr="009E2300">
        <w:rPr>
          <w:lang w:val="fr-FR"/>
        </w:rPr>
        <w:t>La résilience de la chaîne d</w:t>
      </w:r>
      <w:r>
        <w:rPr>
          <w:lang w:val="fr-FR"/>
        </w:rPr>
        <w:t>’</w:t>
      </w:r>
      <w:r w:rsidRPr="009E2300">
        <w:rPr>
          <w:lang w:val="fr-FR"/>
        </w:rPr>
        <w:t xml:space="preserve">approvisionnement devrait être </w:t>
      </w:r>
      <w:r>
        <w:rPr>
          <w:lang w:val="fr-FR"/>
        </w:rPr>
        <w:t>intensifié</w:t>
      </w:r>
      <w:r w:rsidRPr="009E2300">
        <w:rPr>
          <w:lang w:val="fr-FR"/>
        </w:rPr>
        <w:t>e en encourageant la diversification à l</w:t>
      </w:r>
      <w:r>
        <w:rPr>
          <w:lang w:val="fr-FR"/>
        </w:rPr>
        <w:t>’</w:t>
      </w:r>
      <w:r w:rsidRPr="009E2300">
        <w:rPr>
          <w:lang w:val="fr-FR"/>
        </w:rPr>
        <w:t>aide d</w:t>
      </w:r>
      <w:r>
        <w:rPr>
          <w:lang w:val="fr-FR"/>
        </w:rPr>
        <w:t>’</w:t>
      </w:r>
      <w:r w:rsidRPr="009E2300">
        <w:rPr>
          <w:lang w:val="fr-FR"/>
        </w:rPr>
        <w:t>une collaboration proactive avec plusieurs fournisseurs qualifiés et en soutenant les mécanismes d</w:t>
      </w:r>
      <w:r>
        <w:rPr>
          <w:lang w:val="fr-FR"/>
        </w:rPr>
        <w:t>’</w:t>
      </w:r>
      <w:r w:rsidRPr="009E2300">
        <w:rPr>
          <w:lang w:val="fr-FR"/>
        </w:rPr>
        <w:t>enregistrement et de suivi des fournisseurs afin de lutter contre le risque de frigorigènes contrefaits. Il convient également de promouvoir les plateformes de partage d</w:t>
      </w:r>
      <w:r>
        <w:rPr>
          <w:lang w:val="fr-FR"/>
        </w:rPr>
        <w:t>’</w:t>
      </w:r>
      <w:r w:rsidRPr="009E2300">
        <w:rPr>
          <w:lang w:val="fr-FR"/>
        </w:rPr>
        <w:t>informations entre les pays visés à l</w:t>
      </w:r>
      <w:r>
        <w:rPr>
          <w:lang w:val="fr-FR"/>
        </w:rPr>
        <w:t>’</w:t>
      </w:r>
      <w:r w:rsidRPr="009E2300">
        <w:rPr>
          <w:lang w:val="fr-FR"/>
        </w:rPr>
        <w:t>article 5 et les agences d</w:t>
      </w:r>
      <w:r>
        <w:rPr>
          <w:lang w:val="fr-FR"/>
        </w:rPr>
        <w:t>’</w:t>
      </w:r>
      <w:r w:rsidRPr="009E2300">
        <w:rPr>
          <w:lang w:val="fr-FR"/>
        </w:rPr>
        <w:t>exécution afin d</w:t>
      </w:r>
      <w:r>
        <w:rPr>
          <w:lang w:val="fr-FR"/>
        </w:rPr>
        <w:t>’</w:t>
      </w:r>
      <w:r w:rsidRPr="009E2300">
        <w:rPr>
          <w:lang w:val="fr-FR"/>
        </w:rPr>
        <w:t>améliorer les prévisions et l</w:t>
      </w:r>
      <w:r>
        <w:rPr>
          <w:lang w:val="fr-FR"/>
        </w:rPr>
        <w:t>’</w:t>
      </w:r>
      <w:r w:rsidRPr="009E2300">
        <w:rPr>
          <w:lang w:val="fr-FR"/>
        </w:rPr>
        <w:t>identification précoce des contraintes d</w:t>
      </w:r>
      <w:r>
        <w:rPr>
          <w:lang w:val="fr-FR"/>
        </w:rPr>
        <w:t>’</w:t>
      </w:r>
      <w:r w:rsidRPr="009E2300">
        <w:rPr>
          <w:lang w:val="fr-FR"/>
        </w:rPr>
        <w:t>approvisionnement.</w:t>
      </w:r>
      <w:r w:rsidRPr="000A3231">
        <w:t xml:space="preserve"> </w:t>
      </w:r>
      <w:r w:rsidRPr="009E2300">
        <w:rPr>
          <w:lang w:val="fr-FR"/>
        </w:rPr>
        <w:t>Ces mesures permett</w:t>
      </w:r>
      <w:r>
        <w:rPr>
          <w:lang w:val="fr-FR"/>
        </w:rPr>
        <w:t>r</w:t>
      </w:r>
      <w:r w:rsidRPr="009E2300">
        <w:rPr>
          <w:lang w:val="fr-FR"/>
        </w:rPr>
        <w:t>aient d</w:t>
      </w:r>
      <w:r>
        <w:rPr>
          <w:lang w:val="fr-FR"/>
        </w:rPr>
        <w:t>’</w:t>
      </w:r>
      <w:r w:rsidRPr="009E2300">
        <w:rPr>
          <w:lang w:val="fr-FR"/>
        </w:rPr>
        <w:t xml:space="preserve">assurer des efforts synchronisés et des activités de réduction progressive harmonisées, </w:t>
      </w:r>
      <w:r>
        <w:rPr>
          <w:lang w:val="fr-FR"/>
        </w:rPr>
        <w:t>tout particulièrement</w:t>
      </w:r>
      <w:r w:rsidRPr="009E2300">
        <w:rPr>
          <w:lang w:val="fr-FR"/>
        </w:rPr>
        <w:t xml:space="preserve"> pour les PME, allégeant ainsi la charge pesant sur l</w:t>
      </w:r>
      <w:r>
        <w:rPr>
          <w:lang w:val="fr-FR"/>
        </w:rPr>
        <w:t>’</w:t>
      </w:r>
      <w:r w:rsidRPr="009E2300">
        <w:rPr>
          <w:lang w:val="fr-FR"/>
        </w:rPr>
        <w:t>industrie.</w:t>
      </w:r>
    </w:p>
    <w:p w14:paraId="2A345CD9" w14:textId="77777777" w:rsidR="00A54BFC" w:rsidRPr="000A3231" w:rsidRDefault="00A54BFC" w:rsidP="00A54BFC">
      <w:pPr>
        <w:pStyle w:val="Heading1"/>
        <w:numPr>
          <w:ilvl w:val="0"/>
          <w:numId w:val="1"/>
        </w:numPr>
        <w:shd w:val="clear" w:color="auto" w:fill="FFFFFF" w:themeFill="background1"/>
      </w:pPr>
      <w:r w:rsidRPr="009E2300">
        <w:rPr>
          <w:lang w:val="fr-FR"/>
        </w:rPr>
        <w:t>Quant aux questions de prix, on s</w:t>
      </w:r>
      <w:r>
        <w:rPr>
          <w:lang w:val="fr-FR"/>
        </w:rPr>
        <w:t>’</w:t>
      </w:r>
      <w:r w:rsidRPr="009E2300">
        <w:rPr>
          <w:lang w:val="fr-FR"/>
        </w:rPr>
        <w:t>attachera à</w:t>
      </w:r>
      <w:r>
        <w:rPr>
          <w:lang w:val="fr-FR"/>
        </w:rPr>
        <w:t> </w:t>
      </w:r>
      <w:r w:rsidRPr="009E2300">
        <w:rPr>
          <w:lang w:val="fr-FR"/>
        </w:rPr>
        <w:t>explorer les possibilités de cofinancement à l</w:t>
      </w:r>
      <w:r>
        <w:rPr>
          <w:lang w:val="fr-FR"/>
        </w:rPr>
        <w:t>’</w:t>
      </w:r>
      <w:r w:rsidRPr="009E2300">
        <w:rPr>
          <w:lang w:val="fr-FR"/>
        </w:rPr>
        <w:t>aide d</w:t>
      </w:r>
      <w:r>
        <w:rPr>
          <w:lang w:val="fr-FR"/>
        </w:rPr>
        <w:t>’</w:t>
      </w:r>
      <w:r w:rsidRPr="009E2300">
        <w:rPr>
          <w:lang w:val="fr-FR"/>
        </w:rPr>
        <w:t>instruments financiers multilatéraux et bilatéraux afin de soutenir les dépenses d</w:t>
      </w:r>
      <w:r>
        <w:rPr>
          <w:lang w:val="fr-FR"/>
        </w:rPr>
        <w:t>’</w:t>
      </w:r>
      <w:r w:rsidRPr="009E2300">
        <w:rPr>
          <w:lang w:val="fr-FR"/>
        </w:rPr>
        <w:t xml:space="preserve">investissements élevées nécessaires à la modernisation des infrastructures de sécurité et à la conversion des sites de fabrication, avec des mécanismes de financement qui prennent en compte et compensent les surcoûts liés à la certification ATEX, </w:t>
      </w:r>
      <w:r>
        <w:rPr>
          <w:lang w:val="fr-FR"/>
        </w:rPr>
        <w:t>à l’</w:t>
      </w:r>
      <w:r w:rsidRPr="009E2300">
        <w:rPr>
          <w:lang w:val="fr-FR"/>
        </w:rPr>
        <w:t>alimentation de secours pour système</w:t>
      </w:r>
      <w:r>
        <w:rPr>
          <w:lang w:val="fr-FR"/>
        </w:rPr>
        <w:t>s</w:t>
      </w:r>
      <w:r w:rsidRPr="009E2300">
        <w:rPr>
          <w:lang w:val="fr-FR"/>
        </w:rPr>
        <w:t xml:space="preserve"> à base de CO₂ et aux équipements de sécurité avancés.</w:t>
      </w:r>
      <w:r w:rsidRPr="000A3231">
        <w:t xml:space="preserve"> </w:t>
      </w:r>
      <w:r w:rsidRPr="009E2300">
        <w:rPr>
          <w:lang w:val="fr-FR"/>
        </w:rPr>
        <w:t>L</w:t>
      </w:r>
      <w:r>
        <w:rPr>
          <w:lang w:val="fr-FR"/>
        </w:rPr>
        <w:t>’</w:t>
      </w:r>
      <w:r w:rsidRPr="009E2300">
        <w:rPr>
          <w:lang w:val="fr-FR"/>
        </w:rPr>
        <w:t>accès à un financement abordable pour les PME devrait être soutenu par des volets d</w:t>
      </w:r>
      <w:r>
        <w:rPr>
          <w:lang w:val="fr-FR"/>
        </w:rPr>
        <w:t>’</w:t>
      </w:r>
      <w:r w:rsidRPr="009E2300">
        <w:rPr>
          <w:lang w:val="fr-FR"/>
        </w:rPr>
        <w:t>assistance technique ou par une coopération avec les institutions de financement du développement, tandis que les économies d</w:t>
      </w:r>
      <w:r>
        <w:rPr>
          <w:lang w:val="fr-FR"/>
        </w:rPr>
        <w:t>’</w:t>
      </w:r>
      <w:r w:rsidRPr="009E2300">
        <w:rPr>
          <w:lang w:val="fr-FR"/>
        </w:rPr>
        <w:t>échelle devraient être encouragées en soutenant des projets de conversion sectoriels ou multinationaux permettant l</w:t>
      </w:r>
      <w:r>
        <w:rPr>
          <w:lang w:val="fr-FR"/>
        </w:rPr>
        <w:t>’</w:t>
      </w:r>
      <w:r w:rsidRPr="009E2300">
        <w:rPr>
          <w:lang w:val="fr-FR"/>
        </w:rPr>
        <w:t>achat groupé de composants et la réduction des coûts unitaires.</w:t>
      </w:r>
      <w:r w:rsidRPr="000A3231">
        <w:t xml:space="preserve"> </w:t>
      </w:r>
      <w:r w:rsidRPr="009E2300">
        <w:rPr>
          <w:lang w:val="fr-FR"/>
        </w:rPr>
        <w:t>Les tendances des prix des matières premières et les risques de change doivent également être surveillés conformément aux cadres de gestion des risques du projet, accompagnés si nécessaire de dispositions relatives aux ajustements budgétaires.</w:t>
      </w:r>
    </w:p>
    <w:p w14:paraId="35DAC68D" w14:textId="77777777" w:rsidR="00A54BFC" w:rsidRDefault="00A54BFC" w:rsidP="00A54BFC">
      <w:pPr>
        <w:pStyle w:val="Heading1"/>
        <w:numPr>
          <w:ilvl w:val="0"/>
          <w:numId w:val="1"/>
        </w:numPr>
        <w:shd w:val="clear" w:color="auto" w:fill="FFFFFF" w:themeFill="background1"/>
        <w:rPr>
          <w:lang w:val="fr-FR"/>
        </w:rPr>
      </w:pPr>
      <w:r w:rsidRPr="00A44635">
        <w:rPr>
          <w:lang w:val="fr-FR"/>
        </w:rPr>
        <w:t>Pour répondre aux exigences techniques et autres défis, les efforts devraient se concentrer sur le soutien au développement, à l’harmonisation et à l’application des normes de sécurité nationales et, le cas échéant, régionales pour les applications de frigorigènes A2L, A3 et CO₂, en s’appuyant sur les normes internationales pertinentes, parallèlement à des investissements dans des programmes de formation dédiés et axés sur le marché, destinés aux techniciens, ingénieurs et responsables de la sécurité, sur la manipulation, l’installation et l’entretien en toute sécurité des équipements à faible PRP.</w:t>
      </w:r>
      <w:r w:rsidRPr="000A3231">
        <w:t xml:space="preserve"> </w:t>
      </w:r>
      <w:r w:rsidRPr="00A44635">
        <w:rPr>
          <w:lang w:val="fr-FR"/>
        </w:rPr>
        <w:t xml:space="preserve">Il importe de soutenir la mise en place ou le renforcement d’installations d’essais et de certification accréditées pour les chaînes de fabrication converties afin de permettre une vérification de conformité rentable et rapide. Il faudra également effectuer des évaluations de l’acceptation par le marché et mener des campagnes de sensibilisation ciblant les installateurs, </w:t>
      </w:r>
      <w:r w:rsidRPr="00A44635">
        <w:rPr>
          <w:lang w:val="fr-FR"/>
        </w:rPr>
        <w:lastRenderedPageBreak/>
        <w:t>les détaillants et les consommateurs en vue de renforcer la confiance dans les technologies de remplacement à faible PRP.</w:t>
      </w:r>
      <w:r w:rsidRPr="000A3231">
        <w:t xml:space="preserve"> </w:t>
      </w:r>
      <w:r w:rsidRPr="00A44635">
        <w:rPr>
          <w:lang w:val="fr-FR"/>
        </w:rPr>
        <w:t xml:space="preserve">Les fabricants devront être encouragés à prendre en compte les exigences d’efficacité énergétique dès le début, notamment </w:t>
      </w:r>
      <w:r>
        <w:rPr>
          <w:lang w:val="fr-FR"/>
        </w:rPr>
        <w:t xml:space="preserve">en préparant </w:t>
      </w:r>
      <w:r w:rsidRPr="00A44635">
        <w:rPr>
          <w:lang w:val="fr-FR"/>
        </w:rPr>
        <w:t>la transition vers les obligations des NMPE, et de renforcer les capacités réglementaires des pays visés à l’article 5 afin d’élaborer, d’appliquer et de mettre à jour systématiquement les normes techniques et les réglementations environnementales relatives à la gestion des frigorigènes à faible PRP.</w:t>
      </w:r>
    </w:p>
    <w:p w14:paraId="24FFE145" w14:textId="77777777" w:rsidR="00A54BFC" w:rsidRPr="00650CEA" w:rsidRDefault="00A54BFC" w:rsidP="00A54BFC">
      <w:pPr>
        <w:pStyle w:val="Heading1"/>
        <w:keepNext/>
        <w:widowControl w:val="0"/>
        <w:numPr>
          <w:ilvl w:val="0"/>
          <w:numId w:val="0"/>
        </w:numPr>
        <w:shd w:val="clear" w:color="auto" w:fill="FFFFFF" w:themeFill="background1"/>
        <w:rPr>
          <w:rFonts w:eastAsia="Arial"/>
          <w:b/>
          <w:bCs/>
        </w:rPr>
      </w:pPr>
      <w:r>
        <w:rPr>
          <w:rFonts w:eastAsia="Arial"/>
          <w:b/>
          <w:bCs/>
          <w:lang w:val="fr-FR"/>
        </w:rPr>
        <w:t>O</w:t>
      </w:r>
      <w:r w:rsidRPr="009E2300">
        <w:rPr>
          <w:rFonts w:eastAsia="Arial"/>
          <w:b/>
          <w:bCs/>
          <w:lang w:val="fr-FR"/>
        </w:rPr>
        <w:t xml:space="preserve">bservations du </w:t>
      </w:r>
      <w:r>
        <w:rPr>
          <w:rFonts w:eastAsia="Arial"/>
          <w:b/>
          <w:bCs/>
          <w:lang w:val="fr-FR"/>
        </w:rPr>
        <w:t>secrétariat</w:t>
      </w:r>
      <w:r w:rsidRPr="009E2300">
        <w:rPr>
          <w:rFonts w:eastAsia="Arial"/>
          <w:b/>
          <w:bCs/>
        </w:rPr>
        <w:t xml:space="preserve"> </w:t>
      </w:r>
    </w:p>
    <w:p w14:paraId="0771E9F0" w14:textId="77777777" w:rsidR="00A54BFC" w:rsidRPr="000A3231" w:rsidRDefault="00A54BFC" w:rsidP="00A54BFC">
      <w:pPr>
        <w:pStyle w:val="Heading1"/>
        <w:keepNext/>
        <w:widowControl w:val="0"/>
        <w:numPr>
          <w:ilvl w:val="0"/>
          <w:numId w:val="1"/>
        </w:numPr>
        <w:shd w:val="clear" w:color="auto" w:fill="FFFFFF" w:themeFill="background1"/>
      </w:pPr>
      <w:r w:rsidRPr="009E2300">
        <w:rPr>
          <w:lang w:val="fr-FR"/>
        </w:rPr>
        <w:t xml:space="preserve">Le </w:t>
      </w:r>
      <w:r>
        <w:rPr>
          <w:lang w:val="fr-FR"/>
        </w:rPr>
        <w:t>secrétariat</w:t>
      </w:r>
      <w:r w:rsidRPr="009E2300">
        <w:rPr>
          <w:lang w:val="fr-FR"/>
        </w:rPr>
        <w:t xml:space="preserve"> a également noté que le temps est un facteur essentiel pour surmonter les difficultés liées aux chaînes d</w:t>
      </w:r>
      <w:r>
        <w:rPr>
          <w:lang w:val="fr-FR"/>
        </w:rPr>
        <w:t>’</w:t>
      </w:r>
      <w:r w:rsidRPr="009E2300">
        <w:rPr>
          <w:lang w:val="fr-FR"/>
        </w:rPr>
        <w:t>approvisionnement, car la maturité du marché et les économies d</w:t>
      </w:r>
      <w:r>
        <w:rPr>
          <w:lang w:val="fr-FR"/>
        </w:rPr>
        <w:t>’</w:t>
      </w:r>
      <w:r w:rsidRPr="009E2300">
        <w:rPr>
          <w:lang w:val="fr-FR"/>
        </w:rPr>
        <w:t>échelle ne peuvent avoir lieu que grâce au développement d</w:t>
      </w:r>
      <w:r>
        <w:rPr>
          <w:lang w:val="fr-FR"/>
        </w:rPr>
        <w:t>’</w:t>
      </w:r>
      <w:r w:rsidRPr="009E2300">
        <w:rPr>
          <w:lang w:val="fr-FR"/>
        </w:rPr>
        <w:t>une infrastructure d</w:t>
      </w:r>
      <w:r>
        <w:rPr>
          <w:lang w:val="fr-FR"/>
        </w:rPr>
        <w:t>’</w:t>
      </w:r>
      <w:r w:rsidRPr="009E2300">
        <w:rPr>
          <w:lang w:val="fr-FR"/>
        </w:rPr>
        <w:t>approvisionnement plus large, équitable et non monopolistique.</w:t>
      </w:r>
      <w:r w:rsidRPr="000A3231">
        <w:t xml:space="preserve"> </w:t>
      </w:r>
      <w:r w:rsidRPr="009E2300">
        <w:rPr>
          <w:lang w:val="fr-FR"/>
        </w:rPr>
        <w:t>Ce point doit s</w:t>
      </w:r>
      <w:r>
        <w:rPr>
          <w:lang w:val="fr-FR"/>
        </w:rPr>
        <w:t>’</w:t>
      </w:r>
      <w:r w:rsidRPr="009E2300">
        <w:rPr>
          <w:lang w:val="fr-FR"/>
        </w:rPr>
        <w:t>accompagner de l</w:t>
      </w:r>
      <w:r>
        <w:rPr>
          <w:lang w:val="fr-FR"/>
        </w:rPr>
        <w:t>’</w:t>
      </w:r>
      <w:r w:rsidRPr="009E2300">
        <w:rPr>
          <w:lang w:val="fr-FR"/>
        </w:rPr>
        <w:t>acceptation par le marché, de la compétitivité des produits et de la confiance des consommateurs dans les équipements de réfrigération, de climatisation et de pompes à chaleur.</w:t>
      </w:r>
      <w:r w:rsidRPr="000A3231">
        <w:t xml:space="preserve"> </w:t>
      </w:r>
      <w:r w:rsidRPr="009E2300">
        <w:rPr>
          <w:lang w:val="fr-FR"/>
        </w:rPr>
        <w:t>Le temps nécessaire pour parvenir à ces conditions varie selon les pays visés à l</w:t>
      </w:r>
      <w:r>
        <w:rPr>
          <w:lang w:val="fr-FR"/>
        </w:rPr>
        <w:t>’</w:t>
      </w:r>
      <w:r w:rsidRPr="009E2300">
        <w:rPr>
          <w:lang w:val="fr-FR"/>
        </w:rPr>
        <w:t>article 5 et peut être considérablement plus long dans les pays dont le marché est limité, à moins qu</w:t>
      </w:r>
      <w:r>
        <w:rPr>
          <w:lang w:val="fr-FR"/>
        </w:rPr>
        <w:t>’</w:t>
      </w:r>
      <w:r w:rsidRPr="009E2300">
        <w:rPr>
          <w:lang w:val="fr-FR"/>
        </w:rPr>
        <w:t>on ne parvienne à une accélération de l</w:t>
      </w:r>
      <w:r>
        <w:rPr>
          <w:lang w:val="fr-FR"/>
        </w:rPr>
        <w:t>’</w:t>
      </w:r>
      <w:r w:rsidRPr="009E2300">
        <w:rPr>
          <w:lang w:val="fr-FR"/>
        </w:rPr>
        <w:t>adoption des technologies à faible PRP au niveau régional.</w:t>
      </w:r>
    </w:p>
    <w:p w14:paraId="382855CF" w14:textId="77777777" w:rsidR="00A54BFC" w:rsidRPr="000A3231" w:rsidRDefault="00A54BFC" w:rsidP="00A54BFC">
      <w:pPr>
        <w:pStyle w:val="Heading1"/>
        <w:keepNext/>
        <w:widowControl w:val="0"/>
        <w:numPr>
          <w:ilvl w:val="0"/>
          <w:numId w:val="1"/>
        </w:numPr>
        <w:shd w:val="clear" w:color="auto" w:fill="FFFFFF" w:themeFill="background1"/>
      </w:pPr>
      <w:r w:rsidRPr="009E2300">
        <w:rPr>
          <w:lang w:val="fr-FR"/>
        </w:rPr>
        <w:t>Les difficultés liées à la chaîne d</w:t>
      </w:r>
      <w:r>
        <w:rPr>
          <w:lang w:val="fr-FR"/>
        </w:rPr>
        <w:t>’</w:t>
      </w:r>
      <w:r w:rsidRPr="009E2300">
        <w:rPr>
          <w:lang w:val="fr-FR"/>
        </w:rPr>
        <w:t xml:space="preserve">approvisionnement décrites dans </w:t>
      </w:r>
      <w:r>
        <w:rPr>
          <w:lang w:val="fr-FR"/>
        </w:rPr>
        <w:t>l</w:t>
      </w:r>
      <w:r w:rsidRPr="009E2300">
        <w:rPr>
          <w:lang w:val="fr-FR"/>
        </w:rPr>
        <w:t xml:space="preserve">e </w:t>
      </w:r>
      <w:r>
        <w:rPr>
          <w:lang w:val="fr-FR"/>
        </w:rPr>
        <w:t xml:space="preserve">présent </w:t>
      </w:r>
      <w:r w:rsidRPr="009E2300">
        <w:rPr>
          <w:lang w:val="fr-FR"/>
        </w:rPr>
        <w:t>document ne se limitent pas à des projets ou des pays individuels ; elles témoignent des obstacles systémiques à l</w:t>
      </w:r>
      <w:r>
        <w:rPr>
          <w:lang w:val="fr-FR"/>
        </w:rPr>
        <w:t>’</w:t>
      </w:r>
      <w:r w:rsidRPr="009E2300">
        <w:rPr>
          <w:lang w:val="fr-FR"/>
        </w:rPr>
        <w:t>adoption à grande échelle des technologies à base de frigorigènes à faible PRP dans le secteur de la réfrigération, de la climatisation et des pompes à chaleur dans les pays visés à l</w:t>
      </w:r>
      <w:r>
        <w:rPr>
          <w:lang w:val="fr-FR"/>
        </w:rPr>
        <w:t>’</w:t>
      </w:r>
      <w:r w:rsidRPr="009E2300">
        <w:rPr>
          <w:lang w:val="fr-FR"/>
        </w:rPr>
        <w:t>article 5.</w:t>
      </w:r>
      <w:r w:rsidRPr="000A3231">
        <w:t xml:space="preserve"> </w:t>
      </w:r>
      <w:r w:rsidRPr="00F54B4C">
        <w:rPr>
          <w:lang w:val="fr-FR"/>
        </w:rPr>
        <w:t>Les problèmes de disponibilité, les coûts élevés et le manque de capacités techniques sont étroitement liés et se renforcent mutuellement.</w:t>
      </w:r>
      <w:r w:rsidRPr="000A3231">
        <w:t xml:space="preserve"> </w:t>
      </w:r>
      <w:r w:rsidRPr="00F54B4C">
        <w:rPr>
          <w:lang w:val="fr-FR"/>
        </w:rPr>
        <w:t>Une prise en main efficace impliquera une action coordonnée entre les agences d</w:t>
      </w:r>
      <w:r>
        <w:rPr>
          <w:lang w:val="fr-FR"/>
        </w:rPr>
        <w:t>’</w:t>
      </w:r>
      <w:r w:rsidRPr="00F54B4C">
        <w:rPr>
          <w:lang w:val="fr-FR"/>
        </w:rPr>
        <w:t>exécution, les gouvernements, les parties prenantes de l</w:t>
      </w:r>
      <w:r>
        <w:rPr>
          <w:lang w:val="fr-FR"/>
        </w:rPr>
        <w:t>’</w:t>
      </w:r>
      <w:r w:rsidRPr="00F54B4C">
        <w:rPr>
          <w:lang w:val="fr-FR"/>
        </w:rPr>
        <w:t>industrie et le Fonds multilatéral.</w:t>
      </w:r>
    </w:p>
    <w:p w14:paraId="7E70B3D2" w14:textId="77777777" w:rsidR="00A54BFC" w:rsidRPr="000A3231" w:rsidRDefault="00A54BFC" w:rsidP="00A54BFC">
      <w:pPr>
        <w:pStyle w:val="Heading1"/>
        <w:keepNext/>
        <w:numPr>
          <w:ilvl w:val="0"/>
          <w:numId w:val="1"/>
        </w:numPr>
        <w:shd w:val="clear" w:color="auto" w:fill="FFFFFF" w:themeFill="background1"/>
      </w:pPr>
      <w:r w:rsidRPr="00F54B4C">
        <w:rPr>
          <w:lang w:val="fr-FR"/>
        </w:rPr>
        <w:t>La gravité des défis varie considérablement selon les sous-secteurs.</w:t>
      </w:r>
      <w:r w:rsidRPr="000A3231">
        <w:t xml:space="preserve"> </w:t>
      </w:r>
      <w:r w:rsidRPr="00F54B4C">
        <w:rPr>
          <w:lang w:val="fr-FR"/>
        </w:rPr>
        <w:t>La réfrigération commerciale et la fabrication au sein des PME sont confrontées</w:t>
      </w:r>
      <w:r>
        <w:rPr>
          <w:lang w:val="fr-FR"/>
        </w:rPr>
        <w:t xml:space="preserve"> à</w:t>
      </w:r>
      <w:r w:rsidRPr="00F54B4C">
        <w:rPr>
          <w:lang w:val="fr-FR"/>
        </w:rPr>
        <w:t xml:space="preserve"> un ensemble</w:t>
      </w:r>
      <w:r>
        <w:rPr>
          <w:lang w:val="fr-FR"/>
        </w:rPr>
        <w:t> </w:t>
      </w:r>
      <w:r w:rsidRPr="00F54B4C">
        <w:rPr>
          <w:lang w:val="fr-FR"/>
        </w:rPr>
        <w:t>d</w:t>
      </w:r>
      <w:r>
        <w:rPr>
          <w:lang w:val="fr-FR"/>
        </w:rPr>
        <w:t>’</w:t>
      </w:r>
      <w:r w:rsidRPr="00F54B4C">
        <w:rPr>
          <w:lang w:val="fr-FR"/>
        </w:rPr>
        <w:t xml:space="preserve">obstacles particulièrement complexes, du fait de la diversité des frigorigènes utilisés, des exigences techniques liées à la conception des systèmes et des </w:t>
      </w:r>
      <w:r>
        <w:rPr>
          <w:lang w:val="fr-FR"/>
        </w:rPr>
        <w:t xml:space="preserve">faibles </w:t>
      </w:r>
      <w:r w:rsidRPr="00F54B4C">
        <w:rPr>
          <w:lang w:val="fr-FR"/>
        </w:rPr>
        <w:t>ressources financières et humaines</w:t>
      </w:r>
      <w:r>
        <w:rPr>
          <w:lang w:val="fr-FR"/>
        </w:rPr>
        <w:t xml:space="preserve"> </w:t>
      </w:r>
      <w:r w:rsidRPr="00F54B4C">
        <w:rPr>
          <w:lang w:val="fr-FR"/>
        </w:rPr>
        <w:t>disponibles.</w:t>
      </w:r>
      <w:r w:rsidRPr="000A3231">
        <w:t xml:space="preserve"> </w:t>
      </w:r>
      <w:r w:rsidRPr="00F54B4C">
        <w:rPr>
          <w:lang w:val="fr-FR"/>
        </w:rPr>
        <w:t>Les sous-secteurs de la climatisation résidentielle et commerciale bénéficient d</w:t>
      </w:r>
      <w:r>
        <w:rPr>
          <w:lang w:val="fr-FR"/>
        </w:rPr>
        <w:t>’</w:t>
      </w:r>
      <w:r w:rsidRPr="00F54B4C">
        <w:rPr>
          <w:lang w:val="fr-FR"/>
        </w:rPr>
        <w:t>une meilleure connaissance du marché en lien avec le HFC-32, mais continuent de se heurter à des obstacles liés à la réglementation, à la certification et à la sensibilisation.</w:t>
      </w:r>
      <w:r w:rsidRPr="000A3231">
        <w:t xml:space="preserve"> </w:t>
      </w:r>
      <w:r w:rsidRPr="00F54B4C">
        <w:rPr>
          <w:lang w:val="fr-FR"/>
        </w:rPr>
        <w:t>Les projets de réfrigération domestique, bien que se trouvant encore dans une première phase de conversion et destinés aux fabricants d</w:t>
      </w:r>
      <w:r>
        <w:rPr>
          <w:lang w:val="fr-FR"/>
        </w:rPr>
        <w:t>’</w:t>
      </w:r>
      <w:r w:rsidRPr="00F54B4C">
        <w:rPr>
          <w:lang w:val="fr-FR"/>
        </w:rPr>
        <w:t>équipement d</w:t>
      </w:r>
      <w:r>
        <w:rPr>
          <w:lang w:val="fr-FR"/>
        </w:rPr>
        <w:t>’</w:t>
      </w:r>
      <w:r w:rsidRPr="00F54B4C">
        <w:rPr>
          <w:lang w:val="fr-FR"/>
        </w:rPr>
        <w:t>origine (OEM) disposant d</w:t>
      </w:r>
      <w:r>
        <w:rPr>
          <w:lang w:val="fr-FR"/>
        </w:rPr>
        <w:t>’</w:t>
      </w:r>
      <w:r w:rsidRPr="00F54B4C">
        <w:rPr>
          <w:lang w:val="fr-FR"/>
        </w:rPr>
        <w:t>une faible capacité de production, rencontreront probablement des difficultés de disponibilité et de coût</w:t>
      </w:r>
      <w:r>
        <w:rPr>
          <w:lang w:val="fr-FR"/>
        </w:rPr>
        <w:t>s</w:t>
      </w:r>
      <w:r w:rsidRPr="00F54B4C">
        <w:rPr>
          <w:lang w:val="fr-FR"/>
        </w:rPr>
        <w:t xml:space="preserve"> à mesure que leur mise en œuvre progresse.</w:t>
      </w:r>
    </w:p>
    <w:p w14:paraId="44AF8663" w14:textId="77777777" w:rsidR="00A54BFC" w:rsidRPr="000A3231" w:rsidRDefault="00A54BFC" w:rsidP="00A54BFC">
      <w:pPr>
        <w:pStyle w:val="Heading1"/>
        <w:keepLines/>
        <w:widowControl w:val="0"/>
        <w:numPr>
          <w:ilvl w:val="0"/>
          <w:numId w:val="1"/>
        </w:numPr>
        <w:shd w:val="clear" w:color="auto" w:fill="FFFFFF" w:themeFill="background1"/>
      </w:pPr>
      <w:r w:rsidRPr="00126CFB">
        <w:rPr>
          <w:lang w:val="fr-FR"/>
        </w:rPr>
        <w:t xml:space="preserve">Le </w:t>
      </w:r>
      <w:r>
        <w:rPr>
          <w:lang w:val="fr-FR"/>
        </w:rPr>
        <w:t>secrétariat</w:t>
      </w:r>
      <w:r w:rsidRPr="00126CFB">
        <w:rPr>
          <w:lang w:val="fr-FR"/>
        </w:rPr>
        <w:t xml:space="preserve"> note qu</w:t>
      </w:r>
      <w:r>
        <w:rPr>
          <w:lang w:val="fr-FR"/>
        </w:rPr>
        <w:t>’</w:t>
      </w:r>
      <w:r w:rsidRPr="00126CFB">
        <w:rPr>
          <w:lang w:val="fr-FR"/>
        </w:rPr>
        <w:t>un environnement proactif et favorable, comprenant des cadres normatifs solides, une main-d</w:t>
      </w:r>
      <w:r>
        <w:rPr>
          <w:lang w:val="fr-FR"/>
        </w:rPr>
        <w:t>’</w:t>
      </w:r>
      <w:r w:rsidRPr="00126CFB">
        <w:rPr>
          <w:lang w:val="fr-FR"/>
        </w:rPr>
        <w:t>œuvre qualifiée et des chaînes d</w:t>
      </w:r>
      <w:r>
        <w:rPr>
          <w:lang w:val="fr-FR"/>
        </w:rPr>
        <w:t>’</w:t>
      </w:r>
      <w:r w:rsidRPr="00126CFB">
        <w:rPr>
          <w:lang w:val="fr-FR"/>
        </w:rPr>
        <w:t>approvisionnement diversifiées, est fondamental pour assurer la réussite des projets de conversion.</w:t>
      </w:r>
      <w:r w:rsidRPr="000A3231">
        <w:t xml:space="preserve"> </w:t>
      </w:r>
      <w:r w:rsidRPr="00126CFB">
        <w:rPr>
          <w:lang w:val="fr-FR"/>
        </w:rPr>
        <w:t>Un soutien du Fonds multilatéral qui tiendra compte non seulement des surcoûts d</w:t>
      </w:r>
      <w:r>
        <w:rPr>
          <w:lang w:val="fr-FR"/>
        </w:rPr>
        <w:t>’</w:t>
      </w:r>
      <w:r w:rsidRPr="00126CFB">
        <w:rPr>
          <w:lang w:val="fr-FR"/>
        </w:rPr>
        <w:t>investissement, mais aussi des facteurs favorisant la conversion au niveau de la chaîne d</w:t>
      </w:r>
      <w:r>
        <w:rPr>
          <w:lang w:val="fr-FR"/>
        </w:rPr>
        <w:t>’</w:t>
      </w:r>
      <w:r w:rsidRPr="00126CFB">
        <w:rPr>
          <w:lang w:val="fr-FR"/>
        </w:rPr>
        <w:t>approvisionnement en amont et des capacités, sera essentiel pour mener à bien des transitions technologiques durables à grande échelle.</w:t>
      </w:r>
    </w:p>
    <w:p w14:paraId="1CC34AA0" w14:textId="77777777" w:rsidR="00A54BFC" w:rsidRPr="000A3231" w:rsidRDefault="00A54BFC" w:rsidP="00A54BFC">
      <w:pPr>
        <w:pStyle w:val="Heading1"/>
        <w:keepLines/>
        <w:widowControl w:val="0"/>
        <w:numPr>
          <w:ilvl w:val="0"/>
          <w:numId w:val="1"/>
        </w:numPr>
        <w:shd w:val="clear" w:color="auto" w:fill="FFFFFF" w:themeFill="background1"/>
      </w:pPr>
      <w:r w:rsidRPr="00126CFB">
        <w:rPr>
          <w:lang w:val="fr-FR"/>
        </w:rPr>
        <w:t>L</w:t>
      </w:r>
      <w:r>
        <w:rPr>
          <w:lang w:val="fr-FR"/>
        </w:rPr>
        <w:t>’</w:t>
      </w:r>
      <w:r w:rsidRPr="00126CFB">
        <w:rPr>
          <w:lang w:val="fr-FR"/>
        </w:rPr>
        <w:t>analyse présentée dans ce document ne comprend pas de données de prix spécifiques pour les frigorigènes ou les composants des systèmes, qu</w:t>
      </w:r>
      <w:r>
        <w:rPr>
          <w:lang w:val="fr-FR"/>
        </w:rPr>
        <w:t>’</w:t>
      </w:r>
      <w:r w:rsidRPr="00126CFB">
        <w:rPr>
          <w:lang w:val="fr-FR"/>
        </w:rPr>
        <w:t>il s</w:t>
      </w:r>
      <w:r>
        <w:rPr>
          <w:lang w:val="fr-FR"/>
        </w:rPr>
        <w:t>’</w:t>
      </w:r>
      <w:r w:rsidRPr="00126CFB">
        <w:rPr>
          <w:lang w:val="fr-FR"/>
        </w:rPr>
        <w:t>agisse d</w:t>
      </w:r>
      <w:r>
        <w:rPr>
          <w:lang w:val="fr-FR"/>
        </w:rPr>
        <w:t>’</w:t>
      </w:r>
      <w:r w:rsidRPr="00126CFB">
        <w:rPr>
          <w:lang w:val="fr-FR"/>
        </w:rPr>
        <w:t>options conventionnelles ou de remplacement, et n</w:t>
      </w:r>
      <w:r>
        <w:rPr>
          <w:lang w:val="fr-FR"/>
        </w:rPr>
        <w:t>’</w:t>
      </w:r>
      <w:r w:rsidRPr="00126CFB">
        <w:rPr>
          <w:lang w:val="fr-FR"/>
        </w:rPr>
        <w:t>aborde pas non plus la répartition des parts de marché régionales, en raison de la disponibilité limitée des données et de l</w:t>
      </w:r>
      <w:r>
        <w:rPr>
          <w:lang w:val="fr-FR"/>
        </w:rPr>
        <w:t>’</w:t>
      </w:r>
      <w:r w:rsidRPr="00126CFB">
        <w:rPr>
          <w:lang w:val="fr-FR"/>
        </w:rPr>
        <w:t>évolution rapide du marché des frigorigènes de remplacement au cours de ces dernières années.</w:t>
      </w:r>
      <w:r w:rsidRPr="000A3231">
        <w:t xml:space="preserve"> </w:t>
      </w:r>
      <w:r w:rsidRPr="00126CFB">
        <w:rPr>
          <w:lang w:val="fr-FR"/>
        </w:rPr>
        <w:t>Les contraintes économiques découlant de l</w:t>
      </w:r>
      <w:r>
        <w:rPr>
          <w:lang w:val="fr-FR"/>
        </w:rPr>
        <w:t>’</w:t>
      </w:r>
      <w:r w:rsidRPr="00126CFB">
        <w:rPr>
          <w:lang w:val="fr-FR"/>
        </w:rPr>
        <w:t>instabilité mondiale ou régionale et des restrictions liées au commerce n</w:t>
      </w:r>
      <w:r>
        <w:rPr>
          <w:lang w:val="fr-FR"/>
        </w:rPr>
        <w:t>’</w:t>
      </w:r>
      <w:r w:rsidRPr="00126CFB">
        <w:rPr>
          <w:lang w:val="fr-FR"/>
        </w:rPr>
        <w:t>entraient pas non plus dans le champ d</w:t>
      </w:r>
      <w:r>
        <w:rPr>
          <w:lang w:val="fr-FR"/>
        </w:rPr>
        <w:t>’</w:t>
      </w:r>
      <w:r w:rsidRPr="00126CFB">
        <w:rPr>
          <w:lang w:val="fr-FR"/>
        </w:rPr>
        <w:t>application de la présente analyse.</w:t>
      </w:r>
      <w:r w:rsidRPr="000A3231">
        <w:t xml:space="preserve"> </w:t>
      </w:r>
      <w:r w:rsidRPr="00126CFB">
        <w:rPr>
          <w:lang w:val="fr-FR"/>
        </w:rPr>
        <w:t>Un suivi régulier des difficultés liées à la chaîne d</w:t>
      </w:r>
      <w:r>
        <w:rPr>
          <w:lang w:val="fr-FR"/>
        </w:rPr>
        <w:t>’</w:t>
      </w:r>
      <w:r w:rsidRPr="00126CFB">
        <w:rPr>
          <w:lang w:val="fr-FR"/>
        </w:rPr>
        <w:t xml:space="preserve">approvisionnement, à mesure que progressent les projets de préparation des investissements et de conversion, permettrait au Comité exécutif de mieux </w:t>
      </w:r>
      <w:r>
        <w:rPr>
          <w:lang w:val="fr-FR"/>
        </w:rPr>
        <w:t>faire la distinction entre</w:t>
      </w:r>
      <w:r w:rsidRPr="00126CFB">
        <w:rPr>
          <w:lang w:val="fr-FR"/>
        </w:rPr>
        <w:t xml:space="preserve"> les difficultés susceptibles de se résoudre par le biais de la dynamique du marché </w:t>
      </w:r>
      <w:r>
        <w:rPr>
          <w:lang w:val="fr-FR"/>
        </w:rPr>
        <w:t>et</w:t>
      </w:r>
      <w:r w:rsidRPr="00126CFB">
        <w:rPr>
          <w:lang w:val="fr-FR"/>
        </w:rPr>
        <w:t xml:space="preserve"> celles qui persistent en tant qu</w:t>
      </w:r>
      <w:r>
        <w:rPr>
          <w:lang w:val="fr-FR"/>
        </w:rPr>
        <w:t>’</w:t>
      </w:r>
      <w:r w:rsidRPr="00126CFB">
        <w:rPr>
          <w:lang w:val="fr-FR"/>
        </w:rPr>
        <w:t>obstacles structurels nécessitant un soutien plus poussé.</w:t>
      </w:r>
    </w:p>
    <w:p w14:paraId="0B129A9E" w14:textId="77777777" w:rsidR="00A54BFC" w:rsidRPr="00126CFB" w:rsidRDefault="00A54BFC" w:rsidP="00A54BFC">
      <w:pPr>
        <w:keepNext/>
        <w:widowControl w:val="0"/>
        <w:shd w:val="clear" w:color="auto" w:fill="FFFFFF" w:themeFill="background1"/>
        <w:spacing w:before="240" w:after="240"/>
        <w:jc w:val="left"/>
        <w:rPr>
          <w:b/>
          <w:bCs/>
        </w:rPr>
      </w:pPr>
      <w:r w:rsidRPr="00126CFB">
        <w:rPr>
          <w:b/>
          <w:bCs/>
          <w:lang w:val="fr-FR"/>
        </w:rPr>
        <w:lastRenderedPageBreak/>
        <w:t>Recommandation</w:t>
      </w:r>
    </w:p>
    <w:p w14:paraId="63C2659B" w14:textId="77777777" w:rsidR="00A54BFC" w:rsidRPr="000A3231" w:rsidRDefault="00A54BFC" w:rsidP="00A54BFC">
      <w:pPr>
        <w:pStyle w:val="Heading1"/>
        <w:keepLines/>
        <w:widowControl w:val="0"/>
        <w:numPr>
          <w:ilvl w:val="0"/>
          <w:numId w:val="1"/>
        </w:numPr>
        <w:shd w:val="clear" w:color="auto" w:fill="FFFFFF" w:themeFill="background1"/>
      </w:pPr>
      <w:r w:rsidRPr="00126CFB">
        <w:rPr>
          <w:lang w:val="fr-FR"/>
        </w:rPr>
        <w:t>Le Comité exécutif pourrait envisager :</w:t>
      </w:r>
    </w:p>
    <w:p w14:paraId="33C0CCB7" w14:textId="1FC448C6" w:rsidR="00A54BFC" w:rsidRPr="000A3231" w:rsidRDefault="00A54BFC" w:rsidP="00DE5F34">
      <w:pPr>
        <w:pStyle w:val="Heading2"/>
      </w:pPr>
      <w:r w:rsidRPr="00126CFB">
        <w:rPr>
          <w:lang w:val="fr-FR"/>
        </w:rPr>
        <w:t>De prendre note des difficultés rencontrées dans la mise en œuvre de projets de conversion dans le secteur de la réfrigération, de la climatisation et des pompes à chaleur résultant des problèmes liés à la chaîne d</w:t>
      </w:r>
      <w:r>
        <w:rPr>
          <w:lang w:val="fr-FR"/>
        </w:rPr>
        <w:t>’</w:t>
      </w:r>
      <w:r w:rsidRPr="00126CFB">
        <w:rPr>
          <w:lang w:val="fr-FR"/>
        </w:rPr>
        <w:t xml:space="preserve">approvisionnement, ainsi que des </w:t>
      </w:r>
      <w:r>
        <w:rPr>
          <w:lang w:val="fr-FR"/>
        </w:rPr>
        <w:t xml:space="preserve">moyens possibles pour surmonter </w:t>
      </w:r>
      <w:r w:rsidRPr="00126CFB">
        <w:rPr>
          <w:lang w:val="fr-FR"/>
        </w:rPr>
        <w:t xml:space="preserve">ces défis, figurant dans le document </w:t>
      </w:r>
      <w:r w:rsidRPr="00126CFB">
        <w:rPr>
          <w:lang w:val="fr-FR"/>
        </w:rPr>
        <w:fldChar w:fldCharType="begin"/>
      </w:r>
      <w:r w:rsidRPr="00126CFB">
        <w:rPr>
          <w:lang w:val="fr-FR"/>
        </w:rPr>
        <w:instrText xml:space="preserve"> DOCPROPERTY "Document number"  \* MERGEFORMAT </w:instrText>
      </w:r>
      <w:r w:rsidRPr="00126CFB">
        <w:rPr>
          <w:lang w:val="fr-FR"/>
        </w:rPr>
        <w:fldChar w:fldCharType="separate"/>
      </w:r>
      <w:r w:rsidRPr="00126CFB">
        <w:rPr>
          <w:lang w:val="fr-FR"/>
        </w:rPr>
        <w:t>UNEP/OzL.Pro/ExCom/98/57</w:t>
      </w:r>
      <w:r w:rsidRPr="00126CFB">
        <w:rPr>
          <w:lang w:val="fr-FR"/>
        </w:rPr>
        <w:fldChar w:fldCharType="end"/>
      </w:r>
      <w:r w:rsidRPr="00126CFB">
        <w:rPr>
          <w:lang w:val="fr-FR"/>
        </w:rPr>
        <w:t> ;</w:t>
      </w:r>
    </w:p>
    <w:p w14:paraId="067A676B" w14:textId="77777777" w:rsidR="00A54BFC" w:rsidRPr="000A3231" w:rsidRDefault="00A54BFC" w:rsidP="00A54BFC">
      <w:pPr>
        <w:pStyle w:val="Heading2"/>
        <w:numPr>
          <w:ilvl w:val="1"/>
          <w:numId w:val="1"/>
        </w:numPr>
        <w:shd w:val="clear" w:color="auto" w:fill="FFFFFF" w:themeFill="background1"/>
      </w:pPr>
      <w:r w:rsidRPr="0029295E">
        <w:rPr>
          <w:lang w:val="fr-FR"/>
        </w:rPr>
        <w:t>D</w:t>
      </w:r>
      <w:r>
        <w:rPr>
          <w:lang w:val="fr-FR"/>
        </w:rPr>
        <w:t>e d</w:t>
      </w:r>
      <w:r w:rsidRPr="0029295E">
        <w:rPr>
          <w:lang w:val="fr-FR"/>
        </w:rPr>
        <w:t>emander aux agences bilatérales et d</w:t>
      </w:r>
      <w:r>
        <w:rPr>
          <w:lang w:val="fr-FR"/>
        </w:rPr>
        <w:t>’</w:t>
      </w:r>
      <w:r w:rsidRPr="0029295E">
        <w:rPr>
          <w:lang w:val="fr-FR"/>
        </w:rPr>
        <w:t>exécution de prendre en compte les difficultés liées à la chaîne d</w:t>
      </w:r>
      <w:r>
        <w:rPr>
          <w:lang w:val="fr-FR"/>
        </w:rPr>
        <w:t>’</w:t>
      </w:r>
      <w:r w:rsidRPr="0029295E">
        <w:rPr>
          <w:lang w:val="fr-FR"/>
        </w:rPr>
        <w:t xml:space="preserve">approvisionnement et les </w:t>
      </w:r>
      <w:r>
        <w:rPr>
          <w:lang w:val="fr-FR"/>
        </w:rPr>
        <w:t>moyens</w:t>
      </w:r>
      <w:r w:rsidRPr="0029295E">
        <w:rPr>
          <w:lang w:val="fr-FR"/>
        </w:rPr>
        <w:t xml:space="preserve"> possibles pour </w:t>
      </w:r>
      <w:r>
        <w:rPr>
          <w:lang w:val="fr-FR"/>
        </w:rPr>
        <w:t>y remédier</w:t>
      </w:r>
      <w:r w:rsidRPr="0029295E">
        <w:rPr>
          <w:lang w:val="fr-FR"/>
        </w:rPr>
        <w:t>, lors de la conception et de la mise en œuvre des projets de conversion, notamment dans les rapports sur l</w:t>
      </w:r>
      <w:r>
        <w:rPr>
          <w:lang w:val="fr-FR"/>
        </w:rPr>
        <w:t>’</w:t>
      </w:r>
      <w:r w:rsidRPr="0029295E">
        <w:rPr>
          <w:lang w:val="fr-FR"/>
        </w:rPr>
        <w:t xml:space="preserve">avancement des projets et </w:t>
      </w:r>
      <w:r>
        <w:rPr>
          <w:lang w:val="fr-FR"/>
        </w:rPr>
        <w:t xml:space="preserve">lors de leur </w:t>
      </w:r>
      <w:r w:rsidRPr="0029295E">
        <w:rPr>
          <w:lang w:val="fr-FR"/>
        </w:rPr>
        <w:t xml:space="preserve">achèvement ; </w:t>
      </w:r>
    </w:p>
    <w:p w14:paraId="20DE2CAB" w14:textId="77777777" w:rsidR="00A54BFC" w:rsidRPr="000A3231" w:rsidRDefault="00A54BFC" w:rsidP="00A54BFC">
      <w:pPr>
        <w:pStyle w:val="Heading2"/>
        <w:numPr>
          <w:ilvl w:val="1"/>
          <w:numId w:val="1"/>
        </w:numPr>
        <w:shd w:val="clear" w:color="auto" w:fill="FFFFFF" w:themeFill="background1"/>
      </w:pPr>
      <w:r w:rsidRPr="0029295E">
        <w:rPr>
          <w:lang w:val="fr-FR"/>
        </w:rPr>
        <w:t>De</w:t>
      </w:r>
      <w:r>
        <w:rPr>
          <w:lang w:val="fr-FR"/>
        </w:rPr>
        <w:t xml:space="preserve"> de</w:t>
      </w:r>
      <w:r w:rsidRPr="0029295E">
        <w:rPr>
          <w:lang w:val="fr-FR"/>
        </w:rPr>
        <w:t xml:space="preserve">mander au </w:t>
      </w:r>
      <w:r>
        <w:rPr>
          <w:lang w:val="fr-FR"/>
        </w:rPr>
        <w:t>secrétariat</w:t>
      </w:r>
      <w:r w:rsidRPr="0029295E">
        <w:rPr>
          <w:lang w:val="fr-FR"/>
        </w:rPr>
        <w:t xml:space="preserve"> d</w:t>
      </w:r>
      <w:r>
        <w:rPr>
          <w:lang w:val="fr-FR"/>
        </w:rPr>
        <w:t>’</w:t>
      </w:r>
      <w:r w:rsidRPr="0029295E">
        <w:rPr>
          <w:lang w:val="fr-FR"/>
        </w:rPr>
        <w:t>inclure, le cas échéant, dans les documents de réunion relatifs aux propositions de projets soumises à l</w:t>
      </w:r>
      <w:r>
        <w:rPr>
          <w:lang w:val="fr-FR"/>
        </w:rPr>
        <w:t>’</w:t>
      </w:r>
      <w:r w:rsidRPr="0029295E">
        <w:rPr>
          <w:lang w:val="fr-FR"/>
        </w:rPr>
        <w:t>examen du Comité exécutif, une section consacrée aux difficultés liées à la chaîne d</w:t>
      </w:r>
      <w:r>
        <w:rPr>
          <w:lang w:val="fr-FR"/>
        </w:rPr>
        <w:t>’</w:t>
      </w:r>
      <w:r w:rsidRPr="0029295E">
        <w:rPr>
          <w:lang w:val="fr-FR"/>
        </w:rPr>
        <w:t>approvisionnement.</w:t>
      </w:r>
      <w:r w:rsidRPr="000A3231">
        <w:t xml:space="preserve"> </w:t>
      </w:r>
    </w:p>
    <w:p w14:paraId="066469D3" w14:textId="77777777" w:rsidR="00A54BFC" w:rsidRPr="000A3231" w:rsidRDefault="00A54BFC" w:rsidP="00A54BFC">
      <w:pPr>
        <w:pStyle w:val="ListParagraph"/>
        <w:shd w:val="clear" w:color="auto" w:fill="FFFFFF" w:themeFill="background1"/>
        <w:ind w:left="1440"/>
        <w:sectPr w:rsidR="00A54BFC" w:rsidRPr="000A3231" w:rsidSect="00B3336D">
          <w:headerReference w:type="even" r:id="rId20"/>
          <w:pgSz w:w="12240" w:h="15840" w:code="1"/>
          <w:pgMar w:top="432" w:right="1296" w:bottom="432" w:left="1296" w:header="475" w:footer="475" w:gutter="0"/>
          <w:pgNumType w:start="1"/>
          <w:cols w:space="720"/>
          <w:titlePg/>
          <w:docGrid w:linePitch="299"/>
        </w:sectPr>
      </w:pPr>
    </w:p>
    <w:p w14:paraId="553C84FD" w14:textId="77777777" w:rsidR="00A54BFC" w:rsidRPr="000A3231" w:rsidRDefault="00A54BFC" w:rsidP="00A54BFC">
      <w:pPr>
        <w:pStyle w:val="ListParagraph"/>
        <w:shd w:val="clear" w:color="auto" w:fill="FFFFFF" w:themeFill="background1"/>
        <w:ind w:left="1440"/>
      </w:pPr>
    </w:p>
    <w:p w14:paraId="0DC6C6BD" w14:textId="77777777" w:rsidR="00A54BFC" w:rsidRPr="000A3231" w:rsidRDefault="00A54BFC" w:rsidP="00A54BFC">
      <w:pPr>
        <w:pStyle w:val="Heading1"/>
        <w:numPr>
          <w:ilvl w:val="0"/>
          <w:numId w:val="0"/>
        </w:numPr>
        <w:shd w:val="clear" w:color="auto" w:fill="FFFFFF" w:themeFill="background1"/>
        <w:jc w:val="center"/>
        <w:rPr>
          <w:rFonts w:asciiTheme="majorBidi" w:hAnsiTheme="majorBidi" w:cstheme="majorBidi"/>
          <w:b/>
          <w:bCs/>
        </w:rPr>
      </w:pPr>
      <w:r w:rsidRPr="0029295E">
        <w:rPr>
          <w:rFonts w:asciiTheme="majorBidi" w:hAnsiTheme="majorBidi" w:cstheme="majorBidi"/>
          <w:b/>
          <w:bCs/>
          <w:lang w:val="fr-FR"/>
        </w:rPr>
        <w:t>Annexe I</w:t>
      </w:r>
    </w:p>
    <w:p w14:paraId="1DC2F88F" w14:textId="77777777" w:rsidR="00A54BFC" w:rsidRPr="000A3231" w:rsidRDefault="00A54BFC" w:rsidP="00A54BFC">
      <w:pPr>
        <w:pStyle w:val="Heading1"/>
        <w:numPr>
          <w:ilvl w:val="0"/>
          <w:numId w:val="0"/>
        </w:numPr>
        <w:shd w:val="clear" w:color="auto" w:fill="FFFFFF" w:themeFill="background1"/>
        <w:spacing w:after="360"/>
        <w:jc w:val="center"/>
        <w:rPr>
          <w:rFonts w:asciiTheme="majorBidi" w:hAnsiTheme="majorBidi" w:cstheme="majorBidi"/>
          <w:b/>
          <w:bCs/>
        </w:rPr>
      </w:pPr>
      <w:r>
        <w:rPr>
          <w:rFonts w:asciiTheme="majorBidi" w:hAnsiTheme="majorBidi" w:cstheme="majorBidi"/>
          <w:b/>
          <w:bCs/>
          <w:lang w:val="fr-FR"/>
        </w:rPr>
        <w:t>APERÇU</w:t>
      </w:r>
      <w:r w:rsidRPr="0029295E">
        <w:rPr>
          <w:rFonts w:asciiTheme="majorBidi" w:hAnsiTheme="majorBidi" w:cstheme="majorBidi"/>
          <w:b/>
          <w:bCs/>
          <w:lang w:val="fr-FR"/>
        </w:rPr>
        <w:t xml:space="preserve"> DU QUESTIONNAIRE VISANT À RECUEILLIR DES COMMENTAIRES SUR LES PROBLÈMES LIÉS À LA CHAÎNE D</w:t>
      </w:r>
      <w:r>
        <w:rPr>
          <w:rFonts w:asciiTheme="majorBidi" w:hAnsiTheme="majorBidi" w:cstheme="majorBidi"/>
          <w:b/>
          <w:bCs/>
          <w:lang w:val="fr-FR"/>
        </w:rPr>
        <w:t>’</w:t>
      </w:r>
      <w:r w:rsidRPr="0029295E">
        <w:rPr>
          <w:rFonts w:asciiTheme="majorBidi" w:hAnsiTheme="majorBidi" w:cstheme="majorBidi"/>
          <w:b/>
          <w:bCs/>
          <w:lang w:val="fr-FR"/>
        </w:rPr>
        <w:t>APPROVISIONNEMENT POUR LA RÉFRIGÉRATION, LA CLIMATISATION ET LES POMPES À CHALEUR DANS LE CADRE DES PROJETS DE CONVERSION EN COURS EN VERTU DES KIP</w:t>
      </w:r>
    </w:p>
    <w:p w14:paraId="5BC64CC1" w14:textId="77777777" w:rsidR="00A54BFC" w:rsidRPr="000A3231" w:rsidRDefault="00A54BFC" w:rsidP="00A54BFC">
      <w:pPr>
        <w:shd w:val="clear" w:color="auto" w:fill="FFFFFF" w:themeFill="background1"/>
        <w:rPr>
          <w:rFonts w:asciiTheme="majorBidi" w:hAnsiTheme="majorBidi" w:cstheme="majorBidi"/>
          <w:b/>
          <w:bCs/>
        </w:rPr>
      </w:pPr>
      <w:r w:rsidRPr="0029295E">
        <w:rPr>
          <w:rFonts w:asciiTheme="majorBidi" w:hAnsiTheme="majorBidi" w:cstheme="majorBidi"/>
          <w:b/>
          <w:bCs/>
          <w:lang w:val="fr-FR"/>
        </w:rPr>
        <w:t>Tableau 1 : Aperçu du questionnaire conçu pour recueillir les expériences des agences d</w:t>
      </w:r>
      <w:r>
        <w:rPr>
          <w:rFonts w:asciiTheme="majorBidi" w:hAnsiTheme="majorBidi" w:cstheme="majorBidi"/>
          <w:b/>
          <w:bCs/>
          <w:lang w:val="fr-FR"/>
        </w:rPr>
        <w:t>’</w:t>
      </w:r>
      <w:r w:rsidRPr="0029295E">
        <w:rPr>
          <w:rFonts w:asciiTheme="majorBidi" w:hAnsiTheme="majorBidi" w:cstheme="majorBidi"/>
          <w:b/>
          <w:bCs/>
          <w:lang w:val="fr-FR"/>
        </w:rPr>
        <w:t>exécution dans le cadre de la mise en œuvre des conversions concernant la disponibilité, les prix et les aspects techniques des frigorigènes</w:t>
      </w:r>
      <w:r>
        <w:rPr>
          <w:rFonts w:asciiTheme="majorBidi" w:hAnsiTheme="majorBidi" w:cstheme="majorBidi"/>
          <w:b/>
          <w:bCs/>
          <w:lang w:val="fr-FR"/>
        </w:rPr>
        <w:t xml:space="preserve"> </w:t>
      </w:r>
      <w:r w:rsidRPr="0029295E">
        <w:rPr>
          <w:rFonts w:asciiTheme="majorBidi" w:hAnsiTheme="majorBidi" w:cstheme="majorBidi"/>
          <w:b/>
          <w:bCs/>
          <w:lang w:val="fr-FR"/>
        </w:rPr>
        <w:t xml:space="preserve">de remplacement et des équipements/composants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555"/>
        <w:gridCol w:w="2268"/>
        <w:gridCol w:w="2460"/>
        <w:gridCol w:w="2355"/>
      </w:tblGrid>
      <w:tr w:rsidR="00A54BFC" w:rsidRPr="00650CEA" w14:paraId="41A9570B" w14:textId="77777777" w:rsidTr="00381C70">
        <w:trPr>
          <w:trHeight w:val="191"/>
        </w:trPr>
        <w:tc>
          <w:tcPr>
            <w:tcW w:w="1350" w:type="pct"/>
          </w:tcPr>
          <w:p w14:paraId="617B7AE7" w14:textId="77777777" w:rsidR="00A54BFC" w:rsidRPr="0029295E" w:rsidRDefault="00A54BFC" w:rsidP="00381C70">
            <w:pPr>
              <w:shd w:val="clear" w:color="auto" w:fill="FFFFFF" w:themeFill="background1"/>
              <w:jc w:val="center"/>
              <w:rPr>
                <w:rFonts w:asciiTheme="majorBidi" w:eastAsia="Times New Roman" w:hAnsiTheme="majorBidi" w:cstheme="majorBidi"/>
                <w:b/>
                <w:bCs/>
                <w:sz w:val="20"/>
                <w:szCs w:val="20"/>
                <w:lang w:eastAsia="en-CA"/>
              </w:rPr>
            </w:pPr>
            <w:r w:rsidRPr="0029295E">
              <w:rPr>
                <w:rFonts w:eastAsia="Times New Roman"/>
                <w:b/>
                <w:bCs/>
                <w:sz w:val="20"/>
                <w:szCs w:val="20"/>
                <w:lang w:val="fr-FR" w:eastAsia="en-CA"/>
              </w:rPr>
              <w:t>Domaine couvert</w:t>
            </w:r>
          </w:p>
        </w:tc>
        <w:tc>
          <w:tcPr>
            <w:tcW w:w="3650" w:type="pct"/>
            <w:gridSpan w:val="3"/>
          </w:tcPr>
          <w:p w14:paraId="5926D43F" w14:textId="77777777" w:rsidR="00A54BFC" w:rsidRPr="00650CEA" w:rsidRDefault="00A54BFC" w:rsidP="00381C70">
            <w:pPr>
              <w:shd w:val="clear" w:color="auto" w:fill="FFFFFF" w:themeFill="background1"/>
              <w:jc w:val="center"/>
              <w:rPr>
                <w:rFonts w:asciiTheme="majorBidi" w:eastAsia="Times New Roman" w:hAnsiTheme="majorBidi" w:cstheme="majorBidi"/>
                <w:b/>
                <w:bCs/>
                <w:sz w:val="20"/>
                <w:szCs w:val="20"/>
                <w:lang w:eastAsia="en-CA"/>
              </w:rPr>
            </w:pPr>
            <w:r w:rsidRPr="0029295E">
              <w:rPr>
                <w:rFonts w:asciiTheme="majorBidi" w:eastAsia="Times New Roman" w:hAnsiTheme="majorBidi" w:cstheme="majorBidi"/>
                <w:b/>
                <w:bCs/>
                <w:sz w:val="20"/>
                <w:szCs w:val="20"/>
                <w:lang w:val="fr-FR" w:eastAsia="en-CA"/>
              </w:rPr>
              <w:t>Exemples de problèmes</w:t>
            </w:r>
            <w:r>
              <w:rPr>
                <w:rFonts w:asciiTheme="majorBidi" w:eastAsia="Times New Roman" w:hAnsiTheme="majorBidi" w:cstheme="majorBidi"/>
                <w:b/>
                <w:bCs/>
                <w:sz w:val="20"/>
                <w:szCs w:val="20"/>
                <w:lang w:val="fr-FR" w:eastAsia="en-CA"/>
              </w:rPr>
              <w:t> </w:t>
            </w:r>
          </w:p>
        </w:tc>
      </w:tr>
      <w:tr w:rsidR="00A54BFC" w:rsidRPr="00041141" w14:paraId="21F9E94C" w14:textId="77777777" w:rsidTr="00381C70">
        <w:trPr>
          <w:trHeight w:val="465"/>
        </w:trPr>
        <w:tc>
          <w:tcPr>
            <w:tcW w:w="1350" w:type="pct"/>
            <w:vMerge w:val="restart"/>
          </w:tcPr>
          <w:p w14:paraId="187D18E4"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r w:rsidRPr="0029295E">
              <w:rPr>
                <w:rFonts w:eastAsia="Times New Roman"/>
                <w:sz w:val="20"/>
                <w:szCs w:val="20"/>
                <w:lang w:val="fr-FR" w:eastAsia="en-CA"/>
              </w:rPr>
              <w:t>Chaîne d</w:t>
            </w:r>
            <w:r>
              <w:rPr>
                <w:rFonts w:eastAsia="Times New Roman"/>
                <w:sz w:val="20"/>
                <w:szCs w:val="20"/>
                <w:lang w:val="fr-FR" w:eastAsia="en-CA"/>
              </w:rPr>
              <w:t>’</w:t>
            </w:r>
            <w:r w:rsidRPr="0029295E">
              <w:rPr>
                <w:rFonts w:eastAsia="Times New Roman"/>
                <w:sz w:val="20"/>
                <w:szCs w:val="20"/>
                <w:lang w:val="fr-FR" w:eastAsia="en-CA"/>
              </w:rPr>
              <w:t>approvisionnement en frigorigènes de remplacement, pièces et composants, et équipements/composants (chaîne</w:t>
            </w:r>
            <w:r>
              <w:rPr>
                <w:rFonts w:eastAsia="Times New Roman"/>
                <w:sz w:val="20"/>
                <w:szCs w:val="20"/>
                <w:lang w:val="fr-FR" w:eastAsia="en-CA"/>
              </w:rPr>
              <w:t>s</w:t>
            </w:r>
            <w:r w:rsidRPr="0029295E">
              <w:rPr>
                <w:rFonts w:eastAsia="Times New Roman"/>
                <w:sz w:val="20"/>
                <w:szCs w:val="20"/>
                <w:lang w:val="fr-FR" w:eastAsia="en-CA"/>
              </w:rPr>
              <w:t xml:space="preserve"> de fabrication et produits finis</w:t>
            </w:r>
            <w:r w:rsidRPr="0029295E">
              <w:rPr>
                <w:rFonts w:asciiTheme="majorBidi" w:eastAsia="Times New Roman" w:hAnsiTheme="majorBidi" w:cstheme="majorBidi"/>
                <w:color w:val="000000"/>
                <w:sz w:val="20"/>
                <w:szCs w:val="20"/>
                <w:lang w:val="fr-FR" w:eastAsia="en-CA"/>
              </w:rPr>
              <w:t>)</w:t>
            </w:r>
          </w:p>
          <w:p w14:paraId="123098C8" w14:textId="77777777" w:rsidR="00A54BFC" w:rsidRPr="000A3231" w:rsidRDefault="00A54BFC" w:rsidP="00381C70">
            <w:pPr>
              <w:pStyle w:val="ListParagraph"/>
              <w:shd w:val="clear" w:color="auto" w:fill="FFFFFF" w:themeFill="background1"/>
              <w:jc w:val="left"/>
              <w:rPr>
                <w:rFonts w:asciiTheme="majorBidi" w:hAnsiTheme="majorBidi" w:cstheme="majorBidi"/>
                <w:b/>
                <w:bCs/>
                <w:sz w:val="20"/>
                <w:szCs w:val="20"/>
                <w:lang w:eastAsia="en-CA"/>
              </w:rPr>
            </w:pPr>
          </w:p>
        </w:tc>
        <w:tc>
          <w:tcPr>
            <w:tcW w:w="1201" w:type="pct"/>
          </w:tcPr>
          <w:p w14:paraId="6D61DBBD" w14:textId="77777777" w:rsidR="00A54BFC" w:rsidRPr="0029295E" w:rsidRDefault="00A54BFC" w:rsidP="00381C70">
            <w:pPr>
              <w:shd w:val="clear" w:color="auto" w:fill="FFFFFF" w:themeFill="background1"/>
              <w:jc w:val="left"/>
              <w:rPr>
                <w:rFonts w:asciiTheme="majorBidi" w:eastAsia="Times New Roman" w:hAnsiTheme="majorBidi" w:cstheme="majorBidi"/>
                <w:sz w:val="20"/>
                <w:szCs w:val="20"/>
                <w:lang w:eastAsia="en-CA"/>
              </w:rPr>
            </w:pPr>
            <w:r w:rsidRPr="0029295E">
              <w:rPr>
                <w:rFonts w:asciiTheme="majorBidi" w:eastAsia="Times New Roman" w:hAnsiTheme="majorBidi" w:cstheme="majorBidi"/>
                <w:b/>
                <w:bCs/>
                <w:sz w:val="20"/>
                <w:szCs w:val="20"/>
                <w:lang w:val="fr-FR" w:eastAsia="en-CA"/>
              </w:rPr>
              <w:t>Problèmes de disponibilité</w:t>
            </w:r>
          </w:p>
        </w:tc>
        <w:tc>
          <w:tcPr>
            <w:tcW w:w="1300" w:type="pct"/>
          </w:tcPr>
          <w:p w14:paraId="5E37CC82" w14:textId="77777777" w:rsidR="00A54BFC" w:rsidRPr="00650CEA" w:rsidRDefault="00A54BFC" w:rsidP="00381C70">
            <w:pPr>
              <w:shd w:val="clear" w:color="auto" w:fill="FFFFFF" w:themeFill="background1"/>
              <w:jc w:val="left"/>
              <w:rPr>
                <w:rFonts w:asciiTheme="majorBidi" w:eastAsia="Times New Roman" w:hAnsiTheme="majorBidi" w:cstheme="majorBidi"/>
                <w:sz w:val="20"/>
                <w:szCs w:val="20"/>
                <w:lang w:eastAsia="en-CA"/>
              </w:rPr>
            </w:pPr>
            <w:r w:rsidRPr="0029295E">
              <w:rPr>
                <w:rFonts w:asciiTheme="majorBidi" w:eastAsia="Times New Roman" w:hAnsiTheme="majorBidi" w:cstheme="majorBidi"/>
                <w:b/>
                <w:bCs/>
                <w:sz w:val="20"/>
                <w:szCs w:val="20"/>
                <w:lang w:val="fr-FR" w:eastAsia="en-CA"/>
              </w:rPr>
              <w:t>Problèmes de prix</w:t>
            </w:r>
            <w:r w:rsidRPr="0029295E">
              <w:rPr>
                <w:rFonts w:asciiTheme="majorBidi" w:eastAsia="Times New Roman" w:hAnsiTheme="majorBidi" w:cstheme="majorBidi"/>
                <w:b/>
                <w:bCs/>
                <w:sz w:val="20"/>
                <w:szCs w:val="20"/>
                <w:lang w:eastAsia="en-CA"/>
              </w:rPr>
              <w:t xml:space="preserve"> </w:t>
            </w:r>
          </w:p>
        </w:tc>
        <w:tc>
          <w:tcPr>
            <w:tcW w:w="1150" w:type="pct"/>
          </w:tcPr>
          <w:p w14:paraId="1DAD71F8"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r w:rsidRPr="0029295E">
              <w:rPr>
                <w:rFonts w:asciiTheme="majorBidi" w:eastAsia="Times New Roman" w:hAnsiTheme="majorBidi" w:cstheme="majorBidi"/>
                <w:b/>
                <w:bCs/>
                <w:sz w:val="20"/>
                <w:szCs w:val="20"/>
                <w:lang w:val="fr-FR" w:eastAsia="en-CA"/>
              </w:rPr>
              <w:t>Spécifications</w:t>
            </w:r>
            <w:r>
              <w:rPr>
                <w:rFonts w:asciiTheme="majorBidi" w:eastAsia="Times New Roman" w:hAnsiTheme="majorBidi" w:cstheme="majorBidi"/>
                <w:b/>
                <w:bCs/>
                <w:sz w:val="20"/>
                <w:szCs w:val="20"/>
                <w:lang w:val="fr-FR" w:eastAsia="en-CA"/>
              </w:rPr>
              <w:t> </w:t>
            </w:r>
            <w:r w:rsidRPr="0029295E">
              <w:rPr>
                <w:rFonts w:asciiTheme="majorBidi" w:eastAsia="Times New Roman" w:hAnsiTheme="majorBidi" w:cstheme="majorBidi"/>
                <w:b/>
                <w:bCs/>
                <w:sz w:val="20"/>
                <w:szCs w:val="20"/>
                <w:lang w:val="fr-FR" w:eastAsia="en-CA"/>
              </w:rPr>
              <w:t>techniques et autres obstacles</w:t>
            </w:r>
          </w:p>
        </w:tc>
      </w:tr>
      <w:tr w:rsidR="00A54BFC" w:rsidRPr="00041141" w14:paraId="0C6EE4C3" w14:textId="77777777" w:rsidTr="00381C70">
        <w:trPr>
          <w:trHeight w:val="427"/>
        </w:trPr>
        <w:tc>
          <w:tcPr>
            <w:tcW w:w="1350" w:type="pct"/>
            <w:vMerge/>
          </w:tcPr>
          <w:p w14:paraId="0B77D6EA" w14:textId="77777777" w:rsidR="00A54BFC" w:rsidRPr="000A3231" w:rsidRDefault="00A54BFC" w:rsidP="00A54BFC">
            <w:pPr>
              <w:pStyle w:val="ListParagraph"/>
              <w:numPr>
                <w:ilvl w:val="0"/>
                <w:numId w:val="12"/>
              </w:numPr>
              <w:shd w:val="clear" w:color="auto" w:fill="FFFFFF" w:themeFill="background1"/>
              <w:spacing w:line="259" w:lineRule="auto"/>
              <w:jc w:val="left"/>
              <w:rPr>
                <w:rFonts w:asciiTheme="majorBidi" w:hAnsiTheme="majorBidi" w:cstheme="majorBidi"/>
                <w:b/>
                <w:bCs/>
                <w:sz w:val="20"/>
                <w:szCs w:val="20"/>
              </w:rPr>
            </w:pPr>
          </w:p>
        </w:tc>
        <w:tc>
          <w:tcPr>
            <w:tcW w:w="1201" w:type="pct"/>
          </w:tcPr>
          <w:p w14:paraId="0F7C7B5E" w14:textId="77777777" w:rsidR="00A54BFC" w:rsidRPr="000A3231"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Disponibilité sur le marché local</w:t>
            </w:r>
          </w:p>
        </w:tc>
        <w:tc>
          <w:tcPr>
            <w:tcW w:w="1300" w:type="pct"/>
          </w:tcPr>
          <w:p w14:paraId="35958D01" w14:textId="77777777" w:rsidR="00A54BFC" w:rsidRPr="000A3231"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Prix ​​pour les OEM</w:t>
            </w:r>
            <w:r>
              <w:rPr>
                <w:rFonts w:asciiTheme="majorBidi" w:eastAsia="Times New Roman" w:hAnsiTheme="majorBidi" w:cstheme="majorBidi"/>
                <w:color w:val="000000"/>
                <w:sz w:val="20"/>
                <w:szCs w:val="20"/>
                <w:lang w:val="fr-FR" w:eastAsia="en-CA"/>
              </w:rPr>
              <w:t> </w:t>
            </w:r>
            <w:r w:rsidRPr="0029295E">
              <w:rPr>
                <w:rFonts w:asciiTheme="majorBidi" w:eastAsia="Times New Roman" w:hAnsiTheme="majorBidi" w:cstheme="majorBidi"/>
                <w:color w:val="000000"/>
                <w:sz w:val="20"/>
                <w:szCs w:val="20"/>
                <w:lang w:val="fr-FR" w:eastAsia="en-CA"/>
              </w:rPr>
              <w:t>comparé au prix du marché international</w:t>
            </w:r>
          </w:p>
        </w:tc>
        <w:tc>
          <w:tcPr>
            <w:tcW w:w="1150" w:type="pct"/>
          </w:tcPr>
          <w:p w14:paraId="454F409F" w14:textId="77777777" w:rsidR="00A54BFC" w:rsidRPr="000A3231"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Adaptation aux conditions d</w:t>
            </w:r>
            <w:r>
              <w:rPr>
                <w:rFonts w:asciiTheme="majorBidi" w:eastAsia="Times New Roman" w:hAnsiTheme="majorBidi" w:cstheme="majorBidi"/>
                <w:color w:val="000000"/>
                <w:sz w:val="20"/>
                <w:szCs w:val="20"/>
                <w:lang w:val="fr-FR" w:eastAsia="en-CA"/>
              </w:rPr>
              <w:t>’</w:t>
            </w:r>
            <w:r w:rsidRPr="0029295E">
              <w:rPr>
                <w:rFonts w:asciiTheme="majorBidi" w:eastAsia="Times New Roman" w:hAnsiTheme="majorBidi" w:cstheme="majorBidi"/>
                <w:color w:val="000000"/>
                <w:sz w:val="20"/>
                <w:szCs w:val="20"/>
                <w:lang w:val="fr-FR" w:eastAsia="en-CA"/>
              </w:rPr>
              <w:t>exploitation locales</w:t>
            </w:r>
          </w:p>
        </w:tc>
      </w:tr>
      <w:tr w:rsidR="00A54BFC" w:rsidRPr="00041141" w14:paraId="1019ED5C" w14:textId="77777777" w:rsidTr="00381C70">
        <w:trPr>
          <w:trHeight w:val="530"/>
        </w:trPr>
        <w:tc>
          <w:tcPr>
            <w:tcW w:w="1350" w:type="pct"/>
            <w:vMerge/>
          </w:tcPr>
          <w:p w14:paraId="154ACDE1" w14:textId="77777777" w:rsidR="00A54BFC" w:rsidRPr="000A3231" w:rsidRDefault="00A54BFC" w:rsidP="00A54BFC">
            <w:pPr>
              <w:pStyle w:val="ListParagraph"/>
              <w:numPr>
                <w:ilvl w:val="0"/>
                <w:numId w:val="12"/>
              </w:numPr>
              <w:shd w:val="clear" w:color="auto" w:fill="FFFFFF" w:themeFill="background1"/>
              <w:spacing w:line="259" w:lineRule="auto"/>
              <w:jc w:val="left"/>
              <w:rPr>
                <w:rFonts w:asciiTheme="majorBidi" w:hAnsiTheme="majorBidi" w:cstheme="majorBidi"/>
                <w:b/>
                <w:bCs/>
                <w:sz w:val="20"/>
                <w:szCs w:val="20"/>
              </w:rPr>
            </w:pPr>
          </w:p>
        </w:tc>
        <w:tc>
          <w:tcPr>
            <w:tcW w:w="1201" w:type="pct"/>
          </w:tcPr>
          <w:p w14:paraId="71C8FDB0" w14:textId="77777777" w:rsidR="00A54BFC" w:rsidRPr="000A3231"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Possibilité de commander à l</w:t>
            </w:r>
            <w:r>
              <w:rPr>
                <w:rFonts w:asciiTheme="majorBidi" w:eastAsia="Times New Roman" w:hAnsiTheme="majorBidi" w:cstheme="majorBidi"/>
                <w:color w:val="000000"/>
                <w:sz w:val="20"/>
                <w:szCs w:val="20"/>
                <w:lang w:val="fr-FR" w:eastAsia="en-CA"/>
              </w:rPr>
              <w:t>’</w:t>
            </w:r>
            <w:r w:rsidRPr="0029295E">
              <w:rPr>
                <w:rFonts w:asciiTheme="majorBidi" w:eastAsia="Times New Roman" w:hAnsiTheme="majorBidi" w:cstheme="majorBidi"/>
                <w:color w:val="000000"/>
                <w:sz w:val="20"/>
                <w:szCs w:val="20"/>
                <w:lang w:val="fr-FR" w:eastAsia="en-CA"/>
              </w:rPr>
              <w:t>étranger</w:t>
            </w:r>
          </w:p>
        </w:tc>
        <w:tc>
          <w:tcPr>
            <w:tcW w:w="1300" w:type="pct"/>
          </w:tcPr>
          <w:p w14:paraId="46B937AE" w14:textId="77777777" w:rsidR="00A54BFC" w:rsidRPr="000A3231"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Prix ​​excessifs dus aux marges des fournisseurs locaux/régionaux</w:t>
            </w:r>
          </w:p>
        </w:tc>
        <w:tc>
          <w:tcPr>
            <w:tcW w:w="1150" w:type="pct"/>
          </w:tcPr>
          <w:p w14:paraId="4A99FA08" w14:textId="77777777" w:rsidR="00A54BFC" w:rsidRPr="000A3231"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Conformité aux exigences locales en matière de NMPE et d</w:t>
            </w:r>
            <w:r>
              <w:rPr>
                <w:rFonts w:asciiTheme="majorBidi" w:eastAsia="Times New Roman" w:hAnsiTheme="majorBidi" w:cstheme="majorBidi"/>
                <w:color w:val="000000"/>
                <w:sz w:val="20"/>
                <w:szCs w:val="20"/>
                <w:lang w:val="fr-FR" w:eastAsia="en-CA"/>
              </w:rPr>
              <w:t>’</w:t>
            </w:r>
            <w:r w:rsidRPr="0029295E">
              <w:rPr>
                <w:rFonts w:asciiTheme="majorBidi" w:eastAsia="Times New Roman" w:hAnsiTheme="majorBidi" w:cstheme="majorBidi"/>
                <w:color w:val="000000"/>
                <w:sz w:val="20"/>
                <w:szCs w:val="20"/>
                <w:lang w:val="fr-FR" w:eastAsia="en-CA"/>
              </w:rPr>
              <w:t>étiquetage énergétique</w:t>
            </w:r>
          </w:p>
        </w:tc>
      </w:tr>
      <w:tr w:rsidR="00A54BFC" w:rsidRPr="00041141" w14:paraId="4F9D4688" w14:textId="77777777" w:rsidTr="00381C70">
        <w:trPr>
          <w:trHeight w:val="300"/>
        </w:trPr>
        <w:tc>
          <w:tcPr>
            <w:tcW w:w="1350" w:type="pct"/>
            <w:vMerge/>
          </w:tcPr>
          <w:p w14:paraId="4DB39DD7" w14:textId="77777777" w:rsidR="00A54BFC" w:rsidRPr="000A3231" w:rsidRDefault="00A54BFC" w:rsidP="00A54BFC">
            <w:pPr>
              <w:pStyle w:val="ListParagraph"/>
              <w:numPr>
                <w:ilvl w:val="0"/>
                <w:numId w:val="12"/>
              </w:numPr>
              <w:shd w:val="clear" w:color="auto" w:fill="FFFFFF" w:themeFill="background1"/>
              <w:spacing w:line="259" w:lineRule="auto"/>
              <w:jc w:val="left"/>
              <w:rPr>
                <w:rFonts w:asciiTheme="majorBidi" w:hAnsiTheme="majorBidi" w:cstheme="majorBidi"/>
                <w:color w:val="000000"/>
                <w:sz w:val="20"/>
                <w:szCs w:val="20"/>
                <w:lang w:eastAsia="en-CA"/>
              </w:rPr>
            </w:pPr>
          </w:p>
        </w:tc>
        <w:tc>
          <w:tcPr>
            <w:tcW w:w="1201" w:type="pct"/>
          </w:tcPr>
          <w:p w14:paraId="7EBB1C84" w14:textId="77777777" w:rsidR="00A54BFC" w:rsidRPr="0029295E"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Délais de livraison</w:t>
            </w:r>
          </w:p>
        </w:tc>
        <w:tc>
          <w:tcPr>
            <w:tcW w:w="1300" w:type="pct"/>
          </w:tcPr>
          <w:p w14:paraId="6B41E4DE" w14:textId="77777777" w:rsidR="00A54BFC" w:rsidRPr="000A3231"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Coûts supplémentaires dus au volume d</w:t>
            </w:r>
            <w:r>
              <w:rPr>
                <w:rFonts w:asciiTheme="majorBidi" w:eastAsia="Times New Roman" w:hAnsiTheme="majorBidi" w:cstheme="majorBidi"/>
                <w:color w:val="000000"/>
                <w:sz w:val="20"/>
                <w:szCs w:val="20"/>
                <w:lang w:val="fr-FR" w:eastAsia="en-CA"/>
              </w:rPr>
              <w:t>’</w:t>
            </w:r>
            <w:r w:rsidRPr="0029295E">
              <w:rPr>
                <w:rFonts w:asciiTheme="majorBidi" w:eastAsia="Times New Roman" w:hAnsiTheme="majorBidi" w:cstheme="majorBidi"/>
                <w:color w:val="000000"/>
                <w:sz w:val="20"/>
                <w:szCs w:val="20"/>
                <w:lang w:val="fr-FR" w:eastAsia="en-CA"/>
              </w:rPr>
              <w:t>activité ou aux frais d</w:t>
            </w:r>
            <w:r>
              <w:rPr>
                <w:rFonts w:asciiTheme="majorBidi" w:eastAsia="Times New Roman" w:hAnsiTheme="majorBidi" w:cstheme="majorBidi"/>
                <w:color w:val="000000"/>
                <w:sz w:val="20"/>
                <w:szCs w:val="20"/>
                <w:lang w:val="fr-FR" w:eastAsia="en-CA"/>
              </w:rPr>
              <w:t>’</w:t>
            </w:r>
            <w:r w:rsidRPr="0029295E">
              <w:rPr>
                <w:rFonts w:asciiTheme="majorBidi" w:eastAsia="Times New Roman" w:hAnsiTheme="majorBidi" w:cstheme="majorBidi"/>
                <w:color w:val="000000"/>
                <w:sz w:val="20"/>
                <w:szCs w:val="20"/>
                <w:lang w:val="fr-FR" w:eastAsia="en-CA"/>
              </w:rPr>
              <w:t>expédition</w:t>
            </w:r>
          </w:p>
        </w:tc>
        <w:tc>
          <w:tcPr>
            <w:tcW w:w="1150" w:type="pct"/>
          </w:tcPr>
          <w:p w14:paraId="59F60EA9" w14:textId="77777777" w:rsidR="00A54BFC" w:rsidRPr="000A3231"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Problèmes liés aux normes ou codes locaux</w:t>
            </w:r>
          </w:p>
        </w:tc>
      </w:tr>
    </w:tbl>
    <w:p w14:paraId="5FA7A0C7" w14:textId="77777777" w:rsidR="00A54BFC" w:rsidRPr="000A3231" w:rsidRDefault="00A54BFC" w:rsidP="00A54BFC">
      <w:pPr>
        <w:shd w:val="clear" w:color="auto" w:fill="FFFFFF" w:themeFill="background1"/>
        <w:rPr>
          <w:rFonts w:asciiTheme="majorBidi" w:hAnsiTheme="majorBidi" w:cstheme="majorBidi"/>
        </w:rPr>
      </w:pPr>
    </w:p>
    <w:p w14:paraId="3CCFD62C" w14:textId="77777777" w:rsidR="00A54BFC" w:rsidRPr="000A3231" w:rsidRDefault="00A54BFC" w:rsidP="00A54BFC">
      <w:pPr>
        <w:shd w:val="clear" w:color="auto" w:fill="FFFFFF" w:themeFill="background1"/>
        <w:rPr>
          <w:rFonts w:asciiTheme="majorBidi" w:hAnsiTheme="majorBidi" w:cstheme="majorBidi"/>
          <w:b/>
          <w:bCs/>
        </w:rPr>
      </w:pPr>
      <w:r w:rsidRPr="002C6028">
        <w:rPr>
          <w:rFonts w:asciiTheme="majorBidi" w:hAnsiTheme="majorBidi" w:cstheme="majorBidi"/>
          <w:b/>
          <w:bCs/>
          <w:lang w:val="fr-FR"/>
        </w:rPr>
        <w:t xml:space="preserve">Tableau 2 : </w:t>
      </w:r>
      <w:r>
        <w:rPr>
          <w:rFonts w:asciiTheme="majorBidi" w:hAnsiTheme="majorBidi" w:cstheme="majorBidi"/>
          <w:b/>
          <w:bCs/>
          <w:lang w:val="fr-FR"/>
        </w:rPr>
        <w:t>Aperçu</w:t>
      </w:r>
      <w:r w:rsidRPr="002C6028">
        <w:rPr>
          <w:rFonts w:asciiTheme="majorBidi" w:hAnsiTheme="majorBidi" w:cstheme="majorBidi"/>
          <w:b/>
          <w:bCs/>
          <w:lang w:val="fr-FR"/>
        </w:rPr>
        <w:t xml:space="preserve"> du questionnaire conçu pour recueillir les commentaires des UNO par l</w:t>
      </w:r>
      <w:r>
        <w:rPr>
          <w:rFonts w:asciiTheme="majorBidi" w:hAnsiTheme="majorBidi" w:cstheme="majorBidi"/>
          <w:b/>
          <w:bCs/>
          <w:lang w:val="fr-FR"/>
        </w:rPr>
        <w:t>’</w:t>
      </w:r>
      <w:r w:rsidRPr="002C6028">
        <w:rPr>
          <w:rFonts w:asciiTheme="majorBidi" w:hAnsiTheme="majorBidi" w:cstheme="majorBidi"/>
          <w:b/>
          <w:bCs/>
          <w:lang w:val="fr-FR"/>
        </w:rPr>
        <w:t>intermédiaire des agences d</w:t>
      </w:r>
      <w:r>
        <w:rPr>
          <w:rFonts w:asciiTheme="majorBidi" w:hAnsiTheme="majorBidi" w:cstheme="majorBidi"/>
          <w:b/>
          <w:bCs/>
          <w:lang w:val="fr-FR"/>
        </w:rPr>
        <w:t>’</w:t>
      </w:r>
      <w:r w:rsidRPr="002C6028">
        <w:rPr>
          <w:rFonts w:asciiTheme="majorBidi" w:hAnsiTheme="majorBidi" w:cstheme="majorBidi"/>
          <w:b/>
          <w:bCs/>
          <w:lang w:val="fr-FR"/>
        </w:rPr>
        <w:t>exécution concernant les obstacles à la chaîne d</w:t>
      </w:r>
      <w:r>
        <w:rPr>
          <w:rFonts w:asciiTheme="majorBidi" w:hAnsiTheme="majorBidi" w:cstheme="majorBidi"/>
          <w:b/>
          <w:bCs/>
          <w:lang w:val="fr-FR"/>
        </w:rPr>
        <w:t>’</w:t>
      </w:r>
      <w:r w:rsidRPr="002C6028">
        <w:rPr>
          <w:rFonts w:asciiTheme="majorBidi" w:hAnsiTheme="majorBidi" w:cstheme="majorBidi"/>
          <w:b/>
          <w:bCs/>
          <w:lang w:val="fr-FR"/>
        </w:rPr>
        <w:t>approvisionnement locale</w:t>
      </w:r>
    </w:p>
    <w:tbl>
      <w:tblPr>
        <w:tblStyle w:val="TableGrid"/>
        <w:tblW w:w="0" w:type="auto"/>
        <w:tblLook w:val="04A0" w:firstRow="1" w:lastRow="0" w:firstColumn="1" w:lastColumn="0" w:noHBand="0" w:noVBand="1"/>
      </w:tblPr>
      <w:tblGrid>
        <w:gridCol w:w="2830"/>
        <w:gridCol w:w="6610"/>
      </w:tblGrid>
      <w:tr w:rsidR="00A54BFC" w:rsidRPr="00650CEA" w14:paraId="6FAEC36F" w14:textId="77777777" w:rsidTr="00381C70">
        <w:trPr>
          <w:trHeight w:val="225"/>
        </w:trPr>
        <w:tc>
          <w:tcPr>
            <w:tcW w:w="2830" w:type="dxa"/>
          </w:tcPr>
          <w:p w14:paraId="0C5834B2" w14:textId="77777777" w:rsidR="00A54BFC" w:rsidRPr="002C6028" w:rsidRDefault="00A54BFC" w:rsidP="00381C70">
            <w:pPr>
              <w:shd w:val="clear" w:color="auto" w:fill="FFFFFF" w:themeFill="background1"/>
              <w:jc w:val="center"/>
              <w:rPr>
                <w:rFonts w:asciiTheme="majorBidi" w:hAnsiTheme="majorBidi" w:cstheme="majorBidi"/>
                <w:b/>
                <w:bCs/>
                <w:sz w:val="20"/>
                <w:szCs w:val="20"/>
              </w:rPr>
            </w:pPr>
            <w:r w:rsidRPr="002C6028">
              <w:rPr>
                <w:rFonts w:asciiTheme="majorBidi" w:eastAsia="Times New Roman" w:hAnsiTheme="majorBidi" w:cstheme="majorBidi"/>
                <w:b/>
                <w:bCs/>
                <w:sz w:val="20"/>
                <w:szCs w:val="20"/>
                <w:lang w:val="fr-FR" w:eastAsia="en-CA"/>
              </w:rPr>
              <w:t>Domaine couvert</w:t>
            </w:r>
          </w:p>
        </w:tc>
        <w:tc>
          <w:tcPr>
            <w:tcW w:w="6610" w:type="dxa"/>
          </w:tcPr>
          <w:p w14:paraId="2EEA5AEB" w14:textId="77777777" w:rsidR="00A54BFC" w:rsidRPr="002C6028" w:rsidRDefault="00A54BFC" w:rsidP="00381C70">
            <w:pPr>
              <w:shd w:val="clear" w:color="auto" w:fill="FFFFFF" w:themeFill="background1"/>
              <w:jc w:val="center"/>
              <w:rPr>
                <w:rFonts w:asciiTheme="majorBidi" w:hAnsiTheme="majorBidi" w:cstheme="majorBidi"/>
                <w:b/>
                <w:bCs/>
                <w:sz w:val="20"/>
                <w:szCs w:val="20"/>
              </w:rPr>
            </w:pPr>
            <w:r w:rsidRPr="002C6028">
              <w:rPr>
                <w:rFonts w:asciiTheme="majorBidi" w:hAnsiTheme="majorBidi" w:cstheme="majorBidi"/>
                <w:b/>
                <w:bCs/>
                <w:sz w:val="20"/>
                <w:szCs w:val="20"/>
                <w:lang w:val="fr-FR"/>
              </w:rPr>
              <w:t>Exemples de problèmes</w:t>
            </w:r>
          </w:p>
        </w:tc>
      </w:tr>
      <w:tr w:rsidR="00A54BFC" w:rsidRPr="00041141" w14:paraId="04830C23" w14:textId="77777777" w:rsidTr="00381C70">
        <w:tc>
          <w:tcPr>
            <w:tcW w:w="2830" w:type="dxa"/>
            <w:vMerge w:val="restart"/>
            <w:vAlign w:val="center"/>
          </w:tcPr>
          <w:p w14:paraId="1E8C5FE7" w14:textId="77777777" w:rsidR="00A54BFC" w:rsidRPr="000A3231" w:rsidRDefault="00A54BFC" w:rsidP="00381C70">
            <w:pPr>
              <w:shd w:val="clear" w:color="auto" w:fill="FFFFFF" w:themeFill="background1"/>
              <w:jc w:val="left"/>
              <w:rPr>
                <w:rFonts w:asciiTheme="majorBidi" w:hAnsiTheme="majorBidi" w:cstheme="majorBidi"/>
                <w:sz w:val="20"/>
                <w:szCs w:val="20"/>
              </w:rPr>
            </w:pPr>
            <w:r w:rsidRPr="002C6028">
              <w:rPr>
                <w:rFonts w:asciiTheme="majorBidi" w:eastAsia="Times New Roman" w:hAnsiTheme="majorBidi" w:cstheme="majorBidi"/>
                <w:sz w:val="20"/>
                <w:szCs w:val="20"/>
                <w:lang w:val="fr-FR" w:eastAsia="en-CA"/>
              </w:rPr>
              <w:t>Fabricants locaux inclus dans les projets de conversion</w:t>
            </w:r>
          </w:p>
        </w:tc>
        <w:tc>
          <w:tcPr>
            <w:tcW w:w="6610" w:type="dxa"/>
            <w:vAlign w:val="center"/>
          </w:tcPr>
          <w:p w14:paraId="0A47EE06"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liés à l</w:t>
            </w:r>
            <w:r>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identification des sources d</w:t>
            </w:r>
            <w:r>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approvisionnement</w:t>
            </w:r>
          </w:p>
        </w:tc>
      </w:tr>
      <w:tr w:rsidR="00A54BFC" w:rsidRPr="00041141" w14:paraId="7D6D1059" w14:textId="77777777" w:rsidTr="00381C70">
        <w:tc>
          <w:tcPr>
            <w:tcW w:w="2830" w:type="dxa"/>
            <w:vMerge/>
            <w:vAlign w:val="center"/>
          </w:tcPr>
          <w:p w14:paraId="327557C8"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5AB56EEB"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Questions en relation avec les coûts</w:t>
            </w:r>
          </w:p>
        </w:tc>
      </w:tr>
      <w:tr w:rsidR="00A54BFC" w:rsidRPr="00041141" w14:paraId="02D0C865" w14:textId="77777777" w:rsidTr="00381C70">
        <w:tc>
          <w:tcPr>
            <w:tcW w:w="2830" w:type="dxa"/>
            <w:vMerge/>
            <w:vAlign w:val="center"/>
          </w:tcPr>
          <w:p w14:paraId="5C192483"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4B9A8AEF"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d</w:t>
            </w:r>
            <w:r>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expédition et de dédouanement</w:t>
            </w:r>
          </w:p>
        </w:tc>
      </w:tr>
      <w:tr w:rsidR="00A54BFC" w:rsidRPr="00041141" w14:paraId="7046465D" w14:textId="77777777" w:rsidTr="00381C70">
        <w:tc>
          <w:tcPr>
            <w:tcW w:w="2830" w:type="dxa"/>
            <w:vMerge/>
            <w:vAlign w:val="center"/>
          </w:tcPr>
          <w:p w14:paraId="1EA48ECE"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2A072C96"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 xml:space="preserve">Problèmes liés au coût du produit fini </w:t>
            </w:r>
            <w:r>
              <w:rPr>
                <w:rFonts w:asciiTheme="majorBidi" w:eastAsia="Times New Roman" w:hAnsiTheme="majorBidi" w:cstheme="majorBidi"/>
                <w:color w:val="000000"/>
                <w:sz w:val="20"/>
                <w:szCs w:val="20"/>
                <w:lang w:val="fr-FR" w:eastAsia="en-CA"/>
              </w:rPr>
              <w:t>par rapport à la t</w:t>
            </w:r>
            <w:r w:rsidRPr="002C6028">
              <w:rPr>
                <w:rFonts w:asciiTheme="majorBidi" w:eastAsia="Times New Roman" w:hAnsiTheme="majorBidi" w:cstheme="majorBidi"/>
                <w:color w:val="000000"/>
                <w:sz w:val="20"/>
                <w:szCs w:val="20"/>
                <w:lang w:val="fr-FR" w:eastAsia="en-CA"/>
              </w:rPr>
              <w:t>echnologie</w:t>
            </w:r>
            <w:r>
              <w:rPr>
                <w:rFonts w:asciiTheme="majorBidi" w:eastAsia="Times New Roman" w:hAnsiTheme="majorBidi" w:cstheme="majorBidi"/>
                <w:color w:val="000000"/>
                <w:sz w:val="20"/>
                <w:szCs w:val="20"/>
                <w:lang w:val="fr-FR" w:eastAsia="en-CA"/>
              </w:rPr>
              <w:t xml:space="preserve"> antérieure</w:t>
            </w:r>
          </w:p>
        </w:tc>
      </w:tr>
      <w:tr w:rsidR="00A54BFC" w:rsidRPr="00041141" w14:paraId="71BB6A29" w14:textId="77777777" w:rsidTr="00381C70">
        <w:tc>
          <w:tcPr>
            <w:tcW w:w="2830" w:type="dxa"/>
            <w:vMerge w:val="restart"/>
            <w:vAlign w:val="center"/>
          </w:tcPr>
          <w:p w14:paraId="53064FC0"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r w:rsidRPr="002C6028">
              <w:rPr>
                <w:rFonts w:asciiTheme="majorBidi" w:eastAsia="Times New Roman" w:hAnsiTheme="majorBidi" w:cstheme="majorBidi"/>
                <w:sz w:val="20"/>
                <w:szCs w:val="20"/>
                <w:lang w:val="fr-FR" w:eastAsia="en-CA"/>
              </w:rPr>
              <w:t>Autres fabricants locaux non inclus dans les projets de conversion</w:t>
            </w:r>
          </w:p>
        </w:tc>
        <w:tc>
          <w:tcPr>
            <w:tcW w:w="6610" w:type="dxa"/>
            <w:vAlign w:val="center"/>
          </w:tcPr>
          <w:p w14:paraId="342E5D3B"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liés à l</w:t>
            </w:r>
            <w:r>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identification des sources d</w:t>
            </w:r>
            <w:r>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approvisionnement</w:t>
            </w:r>
          </w:p>
        </w:tc>
      </w:tr>
      <w:tr w:rsidR="00A54BFC" w:rsidRPr="00041141" w14:paraId="50FAD33E" w14:textId="77777777" w:rsidTr="00381C70">
        <w:tc>
          <w:tcPr>
            <w:tcW w:w="2830" w:type="dxa"/>
            <w:vMerge/>
            <w:vAlign w:val="center"/>
          </w:tcPr>
          <w:p w14:paraId="3DE49CE8"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06644D6C"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Questions en relation avec les coûts</w:t>
            </w:r>
          </w:p>
        </w:tc>
      </w:tr>
      <w:tr w:rsidR="00A54BFC" w:rsidRPr="00041141" w14:paraId="110C4F3F" w14:textId="77777777" w:rsidTr="00381C70">
        <w:tc>
          <w:tcPr>
            <w:tcW w:w="2830" w:type="dxa"/>
            <w:vMerge/>
            <w:vAlign w:val="center"/>
          </w:tcPr>
          <w:p w14:paraId="4186D567"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6CB5AF20"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d</w:t>
            </w:r>
            <w:r>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expédition et de dédouanement</w:t>
            </w:r>
          </w:p>
        </w:tc>
      </w:tr>
      <w:tr w:rsidR="00A54BFC" w:rsidRPr="00041141" w14:paraId="2E81F575" w14:textId="77777777" w:rsidTr="00381C70">
        <w:tc>
          <w:tcPr>
            <w:tcW w:w="2830" w:type="dxa"/>
            <w:vMerge/>
            <w:vAlign w:val="center"/>
          </w:tcPr>
          <w:p w14:paraId="2048D7AA"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25865BF1"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 xml:space="preserve">Problèmes liés au coût du produit fini </w:t>
            </w:r>
            <w:r>
              <w:rPr>
                <w:rFonts w:asciiTheme="majorBidi" w:eastAsia="Times New Roman" w:hAnsiTheme="majorBidi" w:cstheme="majorBidi"/>
                <w:color w:val="000000"/>
                <w:sz w:val="20"/>
                <w:szCs w:val="20"/>
                <w:lang w:val="fr-FR" w:eastAsia="en-CA"/>
              </w:rPr>
              <w:t>par rapport à la t</w:t>
            </w:r>
            <w:r w:rsidRPr="002C6028">
              <w:rPr>
                <w:rFonts w:asciiTheme="majorBidi" w:eastAsia="Times New Roman" w:hAnsiTheme="majorBidi" w:cstheme="majorBidi"/>
                <w:color w:val="000000"/>
                <w:sz w:val="20"/>
                <w:szCs w:val="20"/>
                <w:lang w:val="fr-FR" w:eastAsia="en-CA"/>
              </w:rPr>
              <w:t>echnologie</w:t>
            </w:r>
            <w:r>
              <w:rPr>
                <w:rFonts w:asciiTheme="majorBidi" w:eastAsia="Times New Roman" w:hAnsiTheme="majorBidi" w:cstheme="majorBidi"/>
                <w:color w:val="000000"/>
                <w:sz w:val="20"/>
                <w:szCs w:val="20"/>
                <w:lang w:val="fr-FR" w:eastAsia="en-CA"/>
              </w:rPr>
              <w:t xml:space="preserve"> antérieure</w:t>
            </w:r>
          </w:p>
        </w:tc>
      </w:tr>
      <w:tr w:rsidR="00A54BFC" w:rsidRPr="00041141" w14:paraId="5EC2ADBA" w14:textId="77777777" w:rsidTr="00381C70">
        <w:tc>
          <w:tcPr>
            <w:tcW w:w="2830" w:type="dxa"/>
            <w:vMerge w:val="restart"/>
            <w:vAlign w:val="center"/>
          </w:tcPr>
          <w:p w14:paraId="4AB2593A"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r w:rsidRPr="002C6028">
              <w:rPr>
                <w:rFonts w:asciiTheme="majorBidi" w:eastAsia="Times New Roman" w:hAnsiTheme="majorBidi" w:cstheme="majorBidi"/>
                <w:sz w:val="20"/>
                <w:szCs w:val="20"/>
                <w:lang w:val="fr-FR" w:eastAsia="en-CA"/>
              </w:rPr>
              <w:t>Fournisseurs</w:t>
            </w:r>
            <w:r>
              <w:rPr>
                <w:rFonts w:asciiTheme="majorBidi" w:eastAsia="Times New Roman" w:hAnsiTheme="majorBidi" w:cstheme="majorBidi"/>
                <w:sz w:val="20"/>
                <w:szCs w:val="20"/>
                <w:lang w:val="fr-FR" w:eastAsia="en-CA"/>
              </w:rPr>
              <w:t> </w:t>
            </w:r>
            <w:r w:rsidRPr="002C6028">
              <w:rPr>
                <w:rFonts w:asciiTheme="majorBidi" w:eastAsia="Times New Roman" w:hAnsiTheme="majorBidi" w:cstheme="majorBidi"/>
                <w:sz w:val="20"/>
                <w:szCs w:val="20"/>
                <w:lang w:val="fr-FR" w:eastAsia="en-CA"/>
              </w:rPr>
              <w:t>de frigorigènes et de composants</w:t>
            </w:r>
          </w:p>
        </w:tc>
        <w:tc>
          <w:tcPr>
            <w:tcW w:w="6610" w:type="dxa"/>
            <w:vAlign w:val="center"/>
          </w:tcPr>
          <w:p w14:paraId="3715EA1A"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liés au volume de la demande</w:t>
            </w:r>
          </w:p>
        </w:tc>
      </w:tr>
      <w:tr w:rsidR="00A54BFC" w:rsidRPr="00041141" w14:paraId="3559451B" w14:textId="77777777" w:rsidTr="00381C70">
        <w:tc>
          <w:tcPr>
            <w:tcW w:w="2830" w:type="dxa"/>
            <w:vMerge/>
            <w:vAlign w:val="center"/>
          </w:tcPr>
          <w:p w14:paraId="6D8FA0F1"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3A1E3EBA"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d</w:t>
            </w:r>
            <w:r>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expédition et de conditionnement</w:t>
            </w:r>
          </w:p>
        </w:tc>
      </w:tr>
      <w:tr w:rsidR="00A54BFC" w:rsidRPr="00041141" w14:paraId="44A85010" w14:textId="77777777" w:rsidTr="00381C70">
        <w:tc>
          <w:tcPr>
            <w:tcW w:w="2830" w:type="dxa"/>
            <w:vMerge/>
            <w:vAlign w:val="center"/>
          </w:tcPr>
          <w:p w14:paraId="3CBCE6FD"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35F64B02"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liés au réseau de distribution</w:t>
            </w:r>
          </w:p>
        </w:tc>
      </w:tr>
      <w:tr w:rsidR="00A54BFC" w:rsidRPr="00041141" w14:paraId="0CC5953E" w14:textId="77777777" w:rsidTr="00381C70">
        <w:tc>
          <w:tcPr>
            <w:tcW w:w="2830" w:type="dxa"/>
            <w:vMerge w:val="restart"/>
            <w:vAlign w:val="center"/>
          </w:tcPr>
          <w:p w14:paraId="08144278" w14:textId="77777777" w:rsidR="00A54BFC" w:rsidRPr="002C6028" w:rsidRDefault="00A54BFC" w:rsidP="00381C70">
            <w:pPr>
              <w:shd w:val="clear" w:color="auto" w:fill="FFFFFF" w:themeFill="background1"/>
              <w:jc w:val="left"/>
              <w:rPr>
                <w:rFonts w:asciiTheme="majorBidi" w:eastAsia="Times New Roman" w:hAnsiTheme="majorBidi" w:cstheme="majorBidi"/>
                <w:sz w:val="20"/>
                <w:szCs w:val="20"/>
                <w:lang w:eastAsia="en-CA"/>
              </w:rPr>
            </w:pPr>
            <w:r w:rsidRPr="002C6028">
              <w:rPr>
                <w:rFonts w:asciiTheme="majorBidi" w:eastAsia="Times New Roman" w:hAnsiTheme="majorBidi" w:cstheme="majorBidi"/>
                <w:sz w:val="20"/>
                <w:szCs w:val="20"/>
                <w:lang w:val="fr-FR" w:eastAsia="en-CA"/>
              </w:rPr>
              <w:t>PME</w:t>
            </w:r>
          </w:p>
        </w:tc>
        <w:tc>
          <w:tcPr>
            <w:tcW w:w="6610" w:type="dxa"/>
            <w:vAlign w:val="center"/>
          </w:tcPr>
          <w:p w14:paraId="0C46A21B"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Disponibilité sur le marché local</w:t>
            </w:r>
          </w:p>
        </w:tc>
      </w:tr>
      <w:tr w:rsidR="00A54BFC" w:rsidRPr="00041141" w14:paraId="06DC5715" w14:textId="77777777" w:rsidTr="00381C70">
        <w:tc>
          <w:tcPr>
            <w:tcW w:w="2830" w:type="dxa"/>
            <w:vMerge/>
            <w:vAlign w:val="center"/>
          </w:tcPr>
          <w:p w14:paraId="12FB1E2E" w14:textId="77777777" w:rsidR="00A54BFC" w:rsidRPr="000A3231" w:rsidRDefault="00A54BFC" w:rsidP="00381C70">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46C17618"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Coût des frigorigènes ou des composants</w:t>
            </w:r>
          </w:p>
        </w:tc>
      </w:tr>
      <w:tr w:rsidR="00A54BFC" w:rsidRPr="00041141" w14:paraId="5036C808" w14:textId="77777777" w:rsidTr="00381C70">
        <w:tc>
          <w:tcPr>
            <w:tcW w:w="2830" w:type="dxa"/>
            <w:vMerge/>
            <w:vAlign w:val="center"/>
          </w:tcPr>
          <w:p w14:paraId="4E05645F" w14:textId="77777777" w:rsidR="00A54BFC" w:rsidRPr="000A3231" w:rsidRDefault="00A54BFC" w:rsidP="00381C70">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3FE85CA4"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Capacités techniques en matière de reconception et de sélection des composants appropriés</w:t>
            </w:r>
          </w:p>
        </w:tc>
      </w:tr>
      <w:tr w:rsidR="00A54BFC" w:rsidRPr="00041141" w14:paraId="7B2363A5" w14:textId="77777777" w:rsidTr="00381C70">
        <w:tc>
          <w:tcPr>
            <w:tcW w:w="2830" w:type="dxa"/>
            <w:vMerge/>
            <w:vAlign w:val="center"/>
          </w:tcPr>
          <w:p w14:paraId="60A4CD8B" w14:textId="77777777" w:rsidR="00A54BFC" w:rsidRPr="000A3231" w:rsidRDefault="00A54BFC" w:rsidP="00381C70">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2D6E4A41"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liés à la sécurité et à la logistique</w:t>
            </w:r>
          </w:p>
        </w:tc>
      </w:tr>
      <w:tr w:rsidR="00A54BFC" w:rsidRPr="00041141" w14:paraId="3FA0EFBB" w14:textId="77777777" w:rsidTr="00381C70">
        <w:tc>
          <w:tcPr>
            <w:tcW w:w="2830" w:type="dxa"/>
            <w:vMerge w:val="restart"/>
            <w:vAlign w:val="center"/>
          </w:tcPr>
          <w:p w14:paraId="17B2AE73"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r w:rsidRPr="002C6028">
              <w:rPr>
                <w:rFonts w:asciiTheme="majorBidi" w:eastAsia="Times New Roman" w:hAnsiTheme="majorBidi" w:cstheme="majorBidi"/>
                <w:sz w:val="20"/>
                <w:szCs w:val="20"/>
                <w:lang w:val="fr-FR" w:eastAsia="en-CA"/>
              </w:rPr>
              <w:t>Questions relatives aux réglementations ou aux normes</w:t>
            </w:r>
          </w:p>
        </w:tc>
        <w:tc>
          <w:tcPr>
            <w:tcW w:w="6610" w:type="dxa"/>
            <w:vAlign w:val="center"/>
          </w:tcPr>
          <w:p w14:paraId="3CDB2ED8"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Absence ou obsolescence des normes locales relatives aux frigorigènes ou aux produits finis de réfrigération, de climatisation et de pompes à chaleur</w:t>
            </w:r>
          </w:p>
        </w:tc>
      </w:tr>
      <w:tr w:rsidR="00A54BFC" w:rsidRPr="00041141" w14:paraId="2C468EFF" w14:textId="77777777" w:rsidTr="00381C70">
        <w:tc>
          <w:tcPr>
            <w:tcW w:w="2830" w:type="dxa"/>
            <w:vMerge/>
            <w:vAlign w:val="center"/>
          </w:tcPr>
          <w:p w14:paraId="1C19BBEB" w14:textId="77777777" w:rsidR="00A54BFC" w:rsidRPr="000A3231" w:rsidRDefault="00A54BFC" w:rsidP="00381C70">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224AD7D3"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Les nouveaux composants ne respectent pas les exigences locales des NMPE</w:t>
            </w:r>
          </w:p>
        </w:tc>
      </w:tr>
      <w:tr w:rsidR="00A54BFC" w:rsidRPr="00041141" w14:paraId="09BFC0E6" w14:textId="77777777" w:rsidTr="00381C70">
        <w:tc>
          <w:tcPr>
            <w:tcW w:w="2830" w:type="dxa"/>
            <w:vMerge/>
            <w:vAlign w:val="center"/>
          </w:tcPr>
          <w:p w14:paraId="29E8A235" w14:textId="77777777" w:rsidR="00A54BFC" w:rsidRPr="000A3231" w:rsidRDefault="00A54BFC" w:rsidP="00381C70">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5CA38F5D"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Conflit avec les codes du bâtiment</w:t>
            </w:r>
          </w:p>
        </w:tc>
      </w:tr>
      <w:tr w:rsidR="00A54BFC" w:rsidRPr="00041141" w14:paraId="0626C649" w14:textId="77777777" w:rsidTr="00381C70">
        <w:tc>
          <w:tcPr>
            <w:tcW w:w="2830" w:type="dxa"/>
            <w:vMerge/>
            <w:vAlign w:val="center"/>
          </w:tcPr>
          <w:p w14:paraId="1C57F06E" w14:textId="77777777" w:rsidR="00A54BFC" w:rsidRPr="000A3231" w:rsidRDefault="00A54BFC" w:rsidP="00381C70">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74AF5A44"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de sécurité pendant le transport, le fonctionnement et l</w:t>
            </w:r>
            <w:r>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entretien</w:t>
            </w:r>
          </w:p>
        </w:tc>
      </w:tr>
    </w:tbl>
    <w:p w14:paraId="1891A16F" w14:textId="77777777" w:rsidR="00A54BFC" w:rsidRPr="000A3231" w:rsidRDefault="00A54BFC" w:rsidP="00A54BFC">
      <w:pPr>
        <w:shd w:val="clear" w:color="auto" w:fill="FFFFFF" w:themeFill="background1"/>
        <w:sectPr w:rsidR="00A54BFC" w:rsidRPr="000A3231" w:rsidSect="00B3336D">
          <w:headerReference w:type="first" r:id="rId21"/>
          <w:footerReference w:type="first" r:id="rId22"/>
          <w:pgSz w:w="12240" w:h="15840" w:code="1"/>
          <w:pgMar w:top="720" w:right="1296" w:bottom="864" w:left="1296" w:header="475" w:footer="475" w:gutter="0"/>
          <w:pgNumType w:start="1"/>
          <w:cols w:space="720"/>
          <w:titlePg/>
          <w:docGrid w:linePitch="299"/>
        </w:sectPr>
      </w:pPr>
    </w:p>
    <w:p w14:paraId="25EADAAB" w14:textId="77777777" w:rsidR="00A54BFC" w:rsidRPr="000A3231" w:rsidRDefault="00A54BFC" w:rsidP="00A54BFC">
      <w:pPr>
        <w:pStyle w:val="Heading1"/>
        <w:numPr>
          <w:ilvl w:val="0"/>
          <w:numId w:val="0"/>
        </w:numPr>
        <w:shd w:val="clear" w:color="auto" w:fill="FFFFFF" w:themeFill="background1"/>
        <w:jc w:val="center"/>
        <w:rPr>
          <w:rFonts w:asciiTheme="majorBidi" w:hAnsiTheme="majorBidi" w:cstheme="majorBidi"/>
          <w:b/>
          <w:bCs/>
        </w:rPr>
      </w:pPr>
      <w:r w:rsidRPr="002C6028">
        <w:rPr>
          <w:rFonts w:asciiTheme="majorBidi" w:hAnsiTheme="majorBidi" w:cstheme="majorBidi"/>
          <w:b/>
          <w:bCs/>
          <w:lang w:val="fr-FR"/>
        </w:rPr>
        <w:lastRenderedPageBreak/>
        <w:t>Annexe II</w:t>
      </w:r>
    </w:p>
    <w:p w14:paraId="3DD3A691" w14:textId="77777777" w:rsidR="00A54BFC" w:rsidRPr="000A3231" w:rsidRDefault="00A54BFC" w:rsidP="00A54BFC">
      <w:pPr>
        <w:keepNext/>
        <w:shd w:val="clear" w:color="auto" w:fill="FFFFFF" w:themeFill="background1"/>
        <w:spacing w:after="360"/>
        <w:jc w:val="center"/>
        <w:rPr>
          <w:rFonts w:eastAsia="Times New Roman"/>
          <w:b/>
          <w:bCs/>
          <w:caps/>
          <w:lang w:eastAsia="en-US"/>
        </w:rPr>
      </w:pPr>
      <w:r w:rsidRPr="002C6028">
        <w:rPr>
          <w:rFonts w:eastAsia="Times New Roman"/>
          <w:b/>
          <w:bCs/>
          <w:caps/>
          <w:lang w:val="fr-FR" w:eastAsia="en-US"/>
        </w:rPr>
        <w:t>RÉSUMÉ DES CONCLUSIONS RELATIVES AUX DIFFICULTÉS RENCONTRÉS PAR LES PAYS VISÉS À L</w:t>
      </w:r>
      <w:r>
        <w:rPr>
          <w:rFonts w:eastAsia="Times New Roman"/>
          <w:b/>
          <w:bCs/>
          <w:caps/>
          <w:lang w:val="fr-FR" w:eastAsia="en-US"/>
        </w:rPr>
        <w:t>’</w:t>
      </w:r>
      <w:r w:rsidRPr="002C6028">
        <w:rPr>
          <w:rFonts w:eastAsia="Times New Roman"/>
          <w:b/>
          <w:bCs/>
          <w:caps/>
          <w:lang w:val="fr-FR" w:eastAsia="en-US"/>
        </w:rPr>
        <w:t>ARTICLE 5 DANS LA MISE EN ŒUVRE DE PROJETS DE CONVERSION EN RAISON DE PROBLÈMES LIÉS À LA CHAÎNE D</w:t>
      </w:r>
      <w:r>
        <w:rPr>
          <w:rFonts w:eastAsia="Times New Roman"/>
          <w:b/>
          <w:bCs/>
          <w:caps/>
          <w:lang w:val="fr-FR" w:eastAsia="en-US"/>
        </w:rPr>
        <w:t>’</w:t>
      </w:r>
      <w:r w:rsidRPr="002C6028">
        <w:rPr>
          <w:rFonts w:eastAsia="Times New Roman"/>
          <w:b/>
          <w:bCs/>
          <w:caps/>
          <w:lang w:val="fr-FR" w:eastAsia="en-US"/>
        </w:rPr>
        <w:t>APPROVISIONNEMENT</w:t>
      </w:r>
    </w:p>
    <w:bookmarkStart w:id="0" w:name="Slide_Number_1"/>
    <w:bookmarkEnd w:id="0"/>
    <w:p w14:paraId="7BA9D759" w14:textId="60705874" w:rsidR="00A54BFC" w:rsidRPr="000A3231" w:rsidRDefault="00324F1F" w:rsidP="00A54BFC">
      <w:pPr>
        <w:shd w:val="clear" w:color="auto" w:fill="FFFFFF" w:themeFill="background1"/>
        <w:ind w:left="57"/>
        <w:rPr>
          <w:i/>
          <w:iCs/>
          <w:sz w:val="20"/>
          <w:szCs w:val="20"/>
        </w:rPr>
      </w:pPr>
      <w:r w:rsidRPr="00650CEA">
        <w:rPr>
          <w:noProof/>
          <w:lang w:val="nl-NL" w:eastAsia="nl-NL"/>
        </w:rPr>
        <mc:AlternateContent>
          <mc:Choice Requires="wps">
            <w:drawing>
              <wp:anchor distT="0" distB="0" distL="114300" distR="114300" simplePos="0" relativeHeight="251668482" behindDoc="0" locked="0" layoutInCell="1" allowOverlap="1" wp14:anchorId="43635970" wp14:editId="46BAF8E5">
                <wp:simplePos x="0" y="0"/>
                <wp:positionH relativeFrom="column">
                  <wp:posOffset>1043940</wp:posOffset>
                </wp:positionH>
                <wp:positionV relativeFrom="paragraph">
                  <wp:posOffset>22860</wp:posOffset>
                </wp:positionV>
                <wp:extent cx="109220" cy="109220"/>
                <wp:effectExtent l="0" t="0" r="24130" b="24130"/>
                <wp:wrapNone/>
                <wp:docPr id="757790250" name="Shape 4"/>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C47A14"/>
                        </a:solidFill>
                        <a:ln w="12700">
                          <a:solidFill>
                            <a:srgbClr val="C47A14"/>
                          </a:solidFill>
                          <a:prstDash val="solid"/>
                        </a:ln>
                      </wps:spPr>
                      <wps:bodyPr/>
                    </wps:wsp>
                  </a:graphicData>
                </a:graphic>
              </wp:anchor>
            </w:drawing>
          </mc:Choice>
          <mc:Fallback>
            <w:pict>
              <v:rect w14:anchorId="391A1EE1" id="Shape 4" o:spid="_x0000_s1026" style="position:absolute;margin-left:82.2pt;margin-top:1.8pt;width:8.6pt;height:8.6pt;z-index:25166848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" fillcolor="#c47a14" strokecolor="#c47a14" strokeweight="1pt"/>
            </w:pict>
          </mc:Fallback>
        </mc:AlternateContent>
      </w:r>
      <w:r w:rsidR="00A54BFC" w:rsidRPr="00650CEA">
        <w:rPr>
          <w:noProof/>
          <w:lang w:val="nl-NL" w:eastAsia="nl-NL"/>
        </w:rPr>
        <mc:AlternateContent>
          <mc:Choice Requires="wps">
            <w:drawing>
              <wp:anchor distT="0" distB="0" distL="114300" distR="114300" simplePos="0" relativeHeight="251665410" behindDoc="0" locked="0" layoutInCell="1" allowOverlap="1" wp14:anchorId="04AF3BD2" wp14:editId="2DACABCA">
                <wp:simplePos x="0" y="0"/>
                <wp:positionH relativeFrom="column">
                  <wp:posOffset>1623695</wp:posOffset>
                </wp:positionH>
                <wp:positionV relativeFrom="paragraph">
                  <wp:posOffset>16510</wp:posOffset>
                </wp:positionV>
                <wp:extent cx="109220" cy="109220"/>
                <wp:effectExtent l="0" t="0" r="24130" b="24130"/>
                <wp:wrapNone/>
                <wp:docPr id="8" name="Shape 6"/>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1A5FA8"/>
                        </a:solidFill>
                        <a:ln w="12700">
                          <a:solidFill>
                            <a:srgbClr val="1A5FA8"/>
                          </a:solidFill>
                          <a:prstDash val="solid"/>
                        </a:ln>
                      </wps:spPr>
                      <wps:bodyPr/>
                    </wps:wsp>
                  </a:graphicData>
                </a:graphic>
                <wp14:sizeRelH relativeFrom="margin">
                  <wp14:pctWidth>0</wp14:pctWidth>
                </wp14:sizeRelH>
                <wp14:sizeRelV relativeFrom="margin">
                  <wp14:pctHeight>0</wp14:pctHeight>
                </wp14:sizeRelV>
              </wp:anchor>
            </w:drawing>
          </mc:Choice>
          <mc:Fallback>
            <w:pict>
              <v:rect w14:anchorId="10F09D9F" id="Shape 6" o:spid="_x0000_s1026" style="position:absolute;margin-left:127.85pt;margin-top:1.3pt;width:8.6pt;height:8.6pt;z-index:2516654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" fillcolor="#1a5fa8" strokecolor="#1a5fa8" strokeweight="1pt"/>
            </w:pict>
          </mc:Fallback>
        </mc:AlternateContent>
      </w:r>
      <w:r w:rsidR="00A54BFC" w:rsidRPr="00650CEA">
        <w:rPr>
          <w:noProof/>
          <w:lang w:val="nl-NL" w:eastAsia="nl-NL"/>
        </w:rPr>
        <mc:AlternateContent>
          <mc:Choice Requires="wps">
            <w:drawing>
              <wp:anchor distT="0" distB="0" distL="114300" distR="114300" simplePos="0" relativeHeight="251667458" behindDoc="0" locked="0" layoutInCell="1" allowOverlap="1" wp14:anchorId="1A575BE5" wp14:editId="246D1ADD">
                <wp:simplePos x="0" y="0"/>
                <wp:positionH relativeFrom="column">
                  <wp:posOffset>1624330</wp:posOffset>
                </wp:positionH>
                <wp:positionV relativeFrom="paragraph">
                  <wp:posOffset>31115</wp:posOffset>
                </wp:positionV>
                <wp:extent cx="109220" cy="109220"/>
                <wp:effectExtent l="0" t="0" r="24130" b="24130"/>
                <wp:wrapNone/>
                <wp:docPr id="1" name="Shape 6"/>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1A5FA8"/>
                        </a:solidFill>
                        <a:ln w="12700">
                          <a:solidFill>
                            <a:srgbClr val="1A5FA8"/>
                          </a:solidFill>
                          <a:prstDash val="solid"/>
                        </a:ln>
                      </wps:spPr>
                      <wps:bodyPr/>
                    </wps:wsp>
                  </a:graphicData>
                </a:graphic>
                <wp14:sizeRelH relativeFrom="margin">
                  <wp14:pctWidth>0</wp14:pctWidth>
                </wp14:sizeRelH>
                <wp14:sizeRelV relativeFrom="margin">
                  <wp14:pctHeight>0</wp14:pctHeight>
                </wp14:sizeRelV>
              </wp:anchor>
            </w:drawing>
          </mc:Choice>
          <mc:Fallback>
            <w:pict>
              <v:rect w14:anchorId="6DBD3327" id="Shape 6" o:spid="_x0000_s1026" style="position:absolute;margin-left:127.9pt;margin-top:2.45pt;width:8.6pt;height:8.6pt;z-index:2516674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" fillcolor="#1a5fa8" strokecolor="#1a5fa8" strokeweight="1pt"/>
            </w:pict>
          </mc:Fallback>
        </mc:AlternateContent>
      </w:r>
      <w:r w:rsidR="00A54BFC" w:rsidRPr="00650CEA">
        <w:rPr>
          <w:noProof/>
          <w:lang w:val="nl-NL" w:eastAsia="nl-NL"/>
        </w:rPr>
        <mc:AlternateContent>
          <mc:Choice Requires="wps">
            <w:drawing>
              <wp:anchor distT="0" distB="0" distL="114300" distR="114300" simplePos="0" relativeHeight="251663362" behindDoc="0" locked="0" layoutInCell="1" allowOverlap="1" wp14:anchorId="08AC4C62" wp14:editId="54FAF2A3">
                <wp:simplePos x="0" y="0"/>
                <wp:positionH relativeFrom="column">
                  <wp:posOffset>27305</wp:posOffset>
                </wp:positionH>
                <wp:positionV relativeFrom="paragraph">
                  <wp:posOffset>34290</wp:posOffset>
                </wp:positionV>
                <wp:extent cx="109728" cy="109728"/>
                <wp:effectExtent l="0" t="0" r="24130" b="24130"/>
                <wp:wrapNone/>
                <wp:docPr id="4" name="Shape 2"/>
                <wp:cNvGraphicFramePr/>
                <a:graphic xmlns:a="http://schemas.openxmlformats.org/drawingml/2006/main">
                  <a:graphicData uri="http://schemas.microsoft.com/office/word/2010/wordprocessingShape">
                    <wps:wsp>
                      <wps:cNvSpPr/>
                      <wps:spPr>
                        <a:xfrm>
                          <a:off x="0" y="0"/>
                          <a:ext cx="109728" cy="109728"/>
                        </a:xfrm>
                        <a:prstGeom prst="rect">
                          <a:avLst/>
                        </a:prstGeom>
                        <a:solidFill>
                          <a:srgbClr val="0D7D62"/>
                        </a:solidFill>
                        <a:ln w="12700">
                          <a:solidFill>
                            <a:srgbClr val="0D7D62"/>
                          </a:solidFill>
                          <a:prstDash val="solid"/>
                        </a:ln>
                      </wps:spPr>
                      <wps:bodyPr/>
                    </wps:wsp>
                  </a:graphicData>
                </a:graphic>
              </wp:anchor>
            </w:drawing>
          </mc:Choice>
          <mc:Fallback>
            <w:pict>
              <v:rect w14:anchorId="48FB07B5" id="Shape 2" o:spid="_x0000_s1026" style="position:absolute;margin-left:2.15pt;margin-top:2.7pt;width:8.65pt;height:8.65pt;z-index:25166336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" fillcolor="#0d7d62" strokecolor="#0d7d62" strokeweight="1pt"/>
            </w:pict>
          </mc:Fallback>
        </mc:AlternateContent>
      </w:r>
      <w:r w:rsidR="00A54BFC" w:rsidRPr="000A3231">
        <w:t>  </w:t>
      </w:r>
      <w:r w:rsidR="00A54BFC" w:rsidRPr="00650CEA">
        <w:rPr>
          <w:noProof/>
          <w:lang w:val="nl-NL" w:eastAsia="nl-NL"/>
        </w:rPr>
        <mc:AlternateContent>
          <mc:Choice Requires="wps">
            <w:drawing>
              <wp:anchor distT="0" distB="0" distL="114300" distR="114300" simplePos="0" relativeHeight="251666434" behindDoc="0" locked="0" layoutInCell="1" allowOverlap="1" wp14:anchorId="3A3B4968" wp14:editId="0F7BEDBB">
                <wp:simplePos x="0" y="0"/>
                <wp:positionH relativeFrom="column">
                  <wp:posOffset>27305</wp:posOffset>
                </wp:positionH>
                <wp:positionV relativeFrom="paragraph">
                  <wp:posOffset>34290</wp:posOffset>
                </wp:positionV>
                <wp:extent cx="109728" cy="109728"/>
                <wp:effectExtent l="0" t="0" r="24130" b="24130"/>
                <wp:wrapNone/>
                <wp:docPr id="122107607" name="Shape 2"/>
                <wp:cNvGraphicFramePr/>
                <a:graphic xmlns:a="http://schemas.openxmlformats.org/drawingml/2006/main">
                  <a:graphicData uri="http://schemas.microsoft.com/office/word/2010/wordprocessingShape">
                    <wps:wsp>
                      <wps:cNvSpPr/>
                      <wps:spPr>
                        <a:xfrm>
                          <a:off x="0" y="0"/>
                          <a:ext cx="109728" cy="109728"/>
                        </a:xfrm>
                        <a:prstGeom prst="rect">
                          <a:avLst/>
                        </a:prstGeom>
                        <a:solidFill>
                          <a:srgbClr val="0D7D62"/>
                        </a:solidFill>
                        <a:ln w="12700">
                          <a:solidFill>
                            <a:srgbClr val="0D7D62"/>
                          </a:solidFill>
                          <a:prstDash val="solid"/>
                        </a:ln>
                      </wps:spPr>
                      <wps:bodyPr/>
                    </wps:wsp>
                  </a:graphicData>
                </a:graphic>
              </wp:anchor>
            </w:drawing>
          </mc:Choice>
          <mc:Fallback>
            <w:pict>
              <v:rect w14:anchorId="536F775C" id="Shape 2" o:spid="_x0000_s1026" style="position:absolute;margin-left:2.15pt;margin-top:2.7pt;width:8.65pt;height:8.65pt;z-index:25166643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" fillcolor="#0d7d62" strokecolor="#0d7d62" strokeweight="1pt"/>
            </w:pict>
          </mc:Fallback>
        </mc:AlternateContent>
      </w:r>
      <w:r w:rsidR="00A54BFC" w:rsidRPr="000A3231">
        <w:t xml:space="preserve">  </w:t>
      </w:r>
      <w:r w:rsidR="00A54BFC" w:rsidRPr="000A3231">
        <w:rPr>
          <w:i/>
          <w:sz w:val="20"/>
          <w:szCs w:val="20"/>
        </w:rPr>
        <w:t>Disponibilité</w:t>
      </w:r>
      <w:r w:rsidR="00A54BFC" w:rsidRPr="000A3231">
        <w:rPr>
          <w:sz w:val="20"/>
          <w:szCs w:val="20"/>
        </w:rPr>
        <w:t> </w:t>
      </w:r>
      <w:r w:rsidR="00A54BFC">
        <w:rPr>
          <w:i/>
          <w:iCs/>
          <w:sz w:val="20"/>
          <w:szCs w:val="20"/>
          <w:lang w:val="fr-FR"/>
        </w:rPr>
        <w:t>  </w:t>
      </w:r>
      <w:r>
        <w:rPr>
          <w:i/>
          <w:iCs/>
          <w:sz w:val="20"/>
          <w:szCs w:val="20"/>
          <w:lang w:val="fr-FR"/>
        </w:rPr>
        <w:t xml:space="preserve">         </w:t>
      </w:r>
      <w:r w:rsidR="00A54BFC">
        <w:rPr>
          <w:i/>
          <w:iCs/>
          <w:sz w:val="20"/>
          <w:szCs w:val="20"/>
          <w:lang w:val="fr-FR"/>
        </w:rPr>
        <w:t xml:space="preserve">Prix  </w:t>
      </w:r>
      <w:r w:rsidR="00A54BFC">
        <w:rPr>
          <w:i/>
          <w:iCs/>
          <w:sz w:val="20"/>
          <w:szCs w:val="20"/>
          <w:lang w:val="fr-FR"/>
        </w:rPr>
        <w:tab/>
        <w:t>Questions</w:t>
      </w:r>
      <w:r w:rsidR="00A54BFC" w:rsidRPr="009A5AF2">
        <w:rPr>
          <w:i/>
          <w:iCs/>
          <w:sz w:val="20"/>
          <w:szCs w:val="20"/>
          <w:lang w:val="fr-FR"/>
        </w:rPr>
        <w:t xml:space="preserve"> techniques et autres</w:t>
      </w:r>
    </w:p>
    <w:tbl>
      <w:tblPr>
        <w:tblStyle w:val="TableGrid"/>
        <w:tblW w:w="0" w:type="auto"/>
        <w:tblLook w:val="04A0" w:firstRow="1" w:lastRow="0" w:firstColumn="1" w:lastColumn="0" w:noHBand="0" w:noVBand="1"/>
      </w:tblPr>
      <w:tblGrid>
        <w:gridCol w:w="2454"/>
        <w:gridCol w:w="4174"/>
        <w:gridCol w:w="3302"/>
        <w:gridCol w:w="3308"/>
      </w:tblGrid>
      <w:tr w:rsidR="00A54BFC" w:rsidRPr="00E943A4" w14:paraId="757AF86C" w14:textId="77777777" w:rsidTr="00381C70">
        <w:trPr>
          <w:tblHeader/>
        </w:trPr>
        <w:tc>
          <w:tcPr>
            <w:tcW w:w="2605" w:type="dxa"/>
            <w:tcBorders>
              <w:top w:val="single" w:sz="4" w:space="0" w:color="auto"/>
              <w:left w:val="single" w:sz="4" w:space="0" w:color="auto"/>
              <w:bottom w:val="single" w:sz="4" w:space="0" w:color="auto"/>
              <w:right w:val="single" w:sz="4" w:space="0" w:color="auto"/>
            </w:tcBorders>
          </w:tcPr>
          <w:p w14:paraId="3DB766E5" w14:textId="77777777" w:rsidR="00A54BFC" w:rsidRPr="000A3231" w:rsidRDefault="00A54BFC" w:rsidP="00381C70">
            <w:pPr>
              <w:shd w:val="clear" w:color="auto" w:fill="FFFFFF" w:themeFill="background1"/>
              <w:rPr>
                <w:rFonts w:asciiTheme="majorBidi" w:hAnsiTheme="majorBidi" w:cstheme="majorBidi"/>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14:paraId="3FF338E2" w14:textId="77777777" w:rsidR="00A54BFC" w:rsidRPr="009A5AF2" w:rsidRDefault="00A54BFC" w:rsidP="00381C70">
            <w:pPr>
              <w:shd w:val="clear" w:color="auto" w:fill="FFFFFF" w:themeFill="background1"/>
              <w:rPr>
                <w:rFonts w:asciiTheme="majorBidi" w:hAnsiTheme="majorBidi" w:cstheme="majorBidi"/>
                <w:b/>
                <w:bCs/>
                <w:sz w:val="20"/>
                <w:szCs w:val="20"/>
              </w:rPr>
            </w:pPr>
            <w:r w:rsidRPr="009A5AF2">
              <w:rPr>
                <w:rFonts w:asciiTheme="majorBidi" w:hAnsiTheme="majorBidi" w:cstheme="majorBidi"/>
                <w:b/>
                <w:bCs/>
                <w:sz w:val="20"/>
                <w:szCs w:val="20"/>
                <w:lang w:val="fr-FR"/>
              </w:rPr>
              <w:t>Disponibilité</w:t>
            </w:r>
          </w:p>
        </w:tc>
        <w:tc>
          <w:tcPr>
            <w:tcW w:w="3562" w:type="dxa"/>
            <w:tcBorders>
              <w:top w:val="single" w:sz="4" w:space="0" w:color="auto"/>
              <w:left w:val="single" w:sz="4" w:space="0" w:color="auto"/>
              <w:bottom w:val="single" w:sz="4" w:space="0" w:color="auto"/>
              <w:right w:val="single" w:sz="4" w:space="0" w:color="auto"/>
            </w:tcBorders>
            <w:hideMark/>
          </w:tcPr>
          <w:p w14:paraId="70D9F9D6" w14:textId="77777777" w:rsidR="00A54BFC" w:rsidRPr="009A5AF2" w:rsidRDefault="00A54BFC" w:rsidP="00381C70">
            <w:pPr>
              <w:shd w:val="clear" w:color="auto" w:fill="FFFFFF" w:themeFill="background1"/>
              <w:rPr>
                <w:rFonts w:asciiTheme="majorBidi" w:hAnsiTheme="majorBidi" w:cstheme="majorBidi"/>
                <w:b/>
                <w:bCs/>
                <w:sz w:val="20"/>
                <w:szCs w:val="20"/>
              </w:rPr>
            </w:pPr>
            <w:r w:rsidRPr="009A5AF2">
              <w:rPr>
                <w:rFonts w:asciiTheme="majorBidi" w:hAnsiTheme="majorBidi" w:cstheme="majorBidi"/>
                <w:b/>
                <w:bCs/>
                <w:sz w:val="20"/>
                <w:szCs w:val="20"/>
                <w:lang w:val="fr-FR"/>
              </w:rPr>
              <w:t>Prix</w:t>
            </w:r>
          </w:p>
        </w:tc>
        <w:tc>
          <w:tcPr>
            <w:tcW w:w="3562" w:type="dxa"/>
            <w:tcBorders>
              <w:top w:val="single" w:sz="4" w:space="0" w:color="auto"/>
              <w:left w:val="single" w:sz="4" w:space="0" w:color="auto"/>
              <w:bottom w:val="single" w:sz="4" w:space="0" w:color="auto"/>
              <w:right w:val="single" w:sz="4" w:space="0" w:color="auto"/>
            </w:tcBorders>
            <w:hideMark/>
          </w:tcPr>
          <w:p w14:paraId="7552685F" w14:textId="77777777" w:rsidR="00A54BFC" w:rsidRPr="009A5AF2" w:rsidRDefault="00A54BFC" w:rsidP="00381C70">
            <w:pPr>
              <w:shd w:val="clear" w:color="auto" w:fill="FFFFFF" w:themeFill="background1"/>
              <w:rPr>
                <w:rFonts w:asciiTheme="majorBidi" w:hAnsiTheme="majorBidi" w:cstheme="majorBidi"/>
                <w:b/>
                <w:bCs/>
                <w:sz w:val="20"/>
                <w:szCs w:val="20"/>
              </w:rPr>
            </w:pPr>
            <w:r w:rsidRPr="009A5AF2">
              <w:rPr>
                <w:rFonts w:asciiTheme="majorBidi" w:hAnsiTheme="majorBidi" w:cstheme="majorBidi"/>
                <w:b/>
                <w:bCs/>
                <w:sz w:val="20"/>
                <w:szCs w:val="20"/>
                <w:lang w:val="fr-FR"/>
              </w:rPr>
              <w:t>Questions techniques et autres</w:t>
            </w:r>
          </w:p>
        </w:tc>
      </w:tr>
      <w:tr w:rsidR="00A54BFC" w:rsidRPr="00041141" w14:paraId="04E9056B" w14:textId="77777777" w:rsidTr="00381C70">
        <w:trPr>
          <w:trHeight w:val="1916"/>
        </w:trPr>
        <w:tc>
          <w:tcPr>
            <w:tcW w:w="2605" w:type="dxa"/>
            <w:tcBorders>
              <w:top w:val="single" w:sz="4" w:space="0" w:color="auto"/>
              <w:left w:val="single" w:sz="4" w:space="0" w:color="auto"/>
              <w:bottom w:val="single" w:sz="4" w:space="0" w:color="auto"/>
              <w:right w:val="single" w:sz="4" w:space="0" w:color="auto"/>
            </w:tcBorders>
          </w:tcPr>
          <w:p w14:paraId="09994771" w14:textId="77777777" w:rsidR="00A54BFC" w:rsidRPr="009A5AF2" w:rsidRDefault="00A54BFC" w:rsidP="00381C70">
            <w:pPr>
              <w:shd w:val="clear" w:color="auto" w:fill="FFFFFF" w:themeFill="background1"/>
              <w:rPr>
                <w:rFonts w:asciiTheme="majorBidi" w:hAnsiTheme="majorBidi" w:cstheme="majorBidi"/>
                <w:sz w:val="20"/>
                <w:szCs w:val="20"/>
              </w:rPr>
            </w:pPr>
            <w:r w:rsidRPr="009A5AF2">
              <w:rPr>
                <w:rFonts w:asciiTheme="majorBidi" w:hAnsiTheme="majorBidi" w:cstheme="majorBidi"/>
                <w:b/>
                <w:bCs/>
                <w:sz w:val="20"/>
                <w:szCs w:val="20"/>
                <w:lang w:val="fr-FR"/>
              </w:rPr>
              <w:t>Réfrigération commerciale</w:t>
            </w:r>
          </w:p>
          <w:p w14:paraId="5856656F" w14:textId="77777777" w:rsidR="00A54BFC" w:rsidRPr="00E943A4" w:rsidRDefault="00A54BFC" w:rsidP="00381C70">
            <w:pPr>
              <w:shd w:val="clear" w:color="auto" w:fill="FFFFFF" w:themeFill="background1"/>
              <w:rPr>
                <w:rFonts w:asciiTheme="majorBidi" w:hAnsiTheme="majorBidi" w:cstheme="majorBidi"/>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14:paraId="057E33B0" w14:textId="77777777" w:rsidR="00A54BFC" w:rsidRPr="000A3231" w:rsidRDefault="00A54BFC" w:rsidP="00A54BFC">
            <w:pPr>
              <w:numPr>
                <w:ilvl w:val="0"/>
                <w:numId w:val="13"/>
              </w:numPr>
              <w:shd w:val="clear" w:color="auto" w:fill="FFFFFF" w:themeFill="background1"/>
              <w:rPr>
                <w:rFonts w:asciiTheme="majorBidi" w:hAnsiTheme="majorBidi" w:cstheme="majorBidi"/>
                <w:sz w:val="20"/>
                <w:szCs w:val="20"/>
              </w:rPr>
            </w:pPr>
            <w:r w:rsidRPr="009A5AF2">
              <w:rPr>
                <w:rFonts w:asciiTheme="majorBidi" w:hAnsiTheme="majorBidi" w:cstheme="majorBidi"/>
                <w:sz w:val="20"/>
                <w:szCs w:val="20"/>
                <w:lang w:val="fr-FR"/>
              </w:rPr>
              <w:t>Forte dépendance à l</w:t>
            </w:r>
            <w:r>
              <w:rPr>
                <w:rFonts w:asciiTheme="majorBidi" w:hAnsiTheme="majorBidi" w:cstheme="majorBidi"/>
                <w:sz w:val="20"/>
                <w:szCs w:val="20"/>
                <w:lang w:val="fr-FR"/>
              </w:rPr>
              <w:t>’</w:t>
            </w:r>
            <w:r w:rsidRPr="009A5AF2">
              <w:rPr>
                <w:rFonts w:asciiTheme="majorBidi" w:hAnsiTheme="majorBidi" w:cstheme="majorBidi"/>
                <w:sz w:val="20"/>
                <w:szCs w:val="20"/>
                <w:lang w:val="fr-FR"/>
              </w:rPr>
              <w:t>égard des importations de</w:t>
            </w:r>
            <w:r>
              <w:rPr>
                <w:rFonts w:asciiTheme="majorBidi" w:hAnsiTheme="majorBidi" w:cstheme="majorBidi"/>
                <w:sz w:val="20"/>
                <w:szCs w:val="20"/>
                <w:lang w:val="fr-FR"/>
              </w:rPr>
              <w:t> </w:t>
            </w:r>
            <w:r w:rsidRPr="009A5AF2">
              <w:rPr>
                <w:rFonts w:asciiTheme="majorBidi" w:hAnsiTheme="majorBidi" w:cstheme="majorBidi"/>
                <w:sz w:val="20"/>
                <w:szCs w:val="20"/>
                <w:lang w:val="fr-FR"/>
              </w:rPr>
              <w:t>frigorigènes, des compresseurs et d</w:t>
            </w:r>
            <w:r>
              <w:rPr>
                <w:rFonts w:asciiTheme="majorBidi" w:hAnsiTheme="majorBidi" w:cstheme="majorBidi"/>
                <w:sz w:val="20"/>
                <w:szCs w:val="20"/>
                <w:lang w:val="fr-FR"/>
              </w:rPr>
              <w:t>’</w:t>
            </w:r>
            <w:r w:rsidRPr="009A5AF2">
              <w:rPr>
                <w:rFonts w:asciiTheme="majorBidi" w:hAnsiTheme="majorBidi" w:cstheme="majorBidi"/>
                <w:sz w:val="20"/>
                <w:szCs w:val="20"/>
                <w:lang w:val="fr-FR"/>
              </w:rPr>
              <w:t>autres composants</w:t>
            </w:r>
          </w:p>
          <w:p w14:paraId="55918AAD" w14:textId="77777777" w:rsidR="00A54BFC" w:rsidRPr="000A3231" w:rsidRDefault="00A54BFC" w:rsidP="00A54BFC">
            <w:pPr>
              <w:numPr>
                <w:ilvl w:val="0"/>
                <w:numId w:val="13"/>
              </w:numPr>
              <w:shd w:val="clear" w:color="auto" w:fill="FFFFFF" w:themeFill="background1"/>
              <w:rPr>
                <w:rFonts w:asciiTheme="majorBidi" w:hAnsiTheme="majorBidi" w:cstheme="majorBidi"/>
                <w:sz w:val="20"/>
                <w:szCs w:val="20"/>
              </w:rPr>
            </w:pPr>
            <w:r w:rsidRPr="009A5AF2">
              <w:rPr>
                <w:rFonts w:asciiTheme="majorBidi" w:hAnsiTheme="majorBidi" w:cstheme="majorBidi"/>
                <w:sz w:val="20"/>
                <w:szCs w:val="20"/>
                <w:lang w:val="fr-FR"/>
              </w:rPr>
              <w:t xml:space="preserve">Composants certifiés en nombre limité pour les systèmes </w:t>
            </w:r>
            <w:r>
              <w:rPr>
                <w:rFonts w:asciiTheme="majorBidi" w:hAnsiTheme="majorBidi" w:cstheme="majorBidi"/>
                <w:sz w:val="20"/>
                <w:szCs w:val="20"/>
                <w:lang w:val="fr-FR"/>
              </w:rPr>
              <w:t xml:space="preserve">à base de </w:t>
            </w:r>
            <w:r w:rsidRPr="009A5AF2">
              <w:rPr>
                <w:rFonts w:asciiTheme="majorBidi" w:hAnsiTheme="majorBidi" w:cstheme="majorBidi"/>
                <w:sz w:val="20"/>
                <w:szCs w:val="20"/>
                <w:lang w:val="fr-FR"/>
              </w:rPr>
              <w:t>CO₂ et HC à grande échelle</w:t>
            </w:r>
          </w:p>
          <w:p w14:paraId="4B820156" w14:textId="77777777" w:rsidR="00A54BFC" w:rsidRPr="000A3231" w:rsidRDefault="00A54BFC" w:rsidP="00A54BFC">
            <w:pPr>
              <w:numPr>
                <w:ilvl w:val="0"/>
                <w:numId w:val="13"/>
              </w:numPr>
              <w:shd w:val="clear" w:color="auto" w:fill="FFFFFF" w:themeFill="background1"/>
              <w:jc w:val="left"/>
              <w:rPr>
                <w:rFonts w:asciiTheme="majorBidi" w:hAnsiTheme="majorBidi" w:cstheme="majorBidi"/>
                <w:sz w:val="20"/>
                <w:szCs w:val="20"/>
              </w:rPr>
            </w:pPr>
            <w:r w:rsidRPr="009A5AF2">
              <w:rPr>
                <w:rFonts w:asciiTheme="majorBidi" w:hAnsiTheme="majorBidi" w:cstheme="majorBidi"/>
                <w:sz w:val="20"/>
                <w:szCs w:val="20"/>
                <w:lang w:val="fr-FR"/>
              </w:rPr>
              <w:t>Retards d</w:t>
            </w:r>
            <w:r>
              <w:rPr>
                <w:rFonts w:asciiTheme="majorBidi" w:hAnsiTheme="majorBidi" w:cstheme="majorBidi"/>
                <w:sz w:val="20"/>
                <w:szCs w:val="20"/>
                <w:lang w:val="fr-FR"/>
              </w:rPr>
              <w:t>’</w:t>
            </w:r>
            <w:r w:rsidRPr="009A5AF2">
              <w:rPr>
                <w:rFonts w:asciiTheme="majorBidi" w:hAnsiTheme="majorBidi" w:cstheme="majorBidi"/>
                <w:sz w:val="20"/>
                <w:szCs w:val="20"/>
                <w:lang w:val="fr-FR"/>
              </w:rPr>
              <w:t>importation, problèmes d</w:t>
            </w:r>
            <w:r>
              <w:rPr>
                <w:rFonts w:asciiTheme="majorBidi" w:hAnsiTheme="majorBidi" w:cstheme="majorBidi"/>
                <w:sz w:val="20"/>
                <w:szCs w:val="20"/>
                <w:lang w:val="fr-FR"/>
              </w:rPr>
              <w:t>’</w:t>
            </w:r>
            <w:r w:rsidRPr="009A5AF2">
              <w:rPr>
                <w:rFonts w:asciiTheme="majorBidi" w:hAnsiTheme="majorBidi" w:cstheme="majorBidi"/>
                <w:sz w:val="20"/>
                <w:szCs w:val="20"/>
                <w:lang w:val="fr-FR"/>
              </w:rPr>
              <w:t>expédition et de dédouanement</w:t>
            </w:r>
          </w:p>
          <w:p w14:paraId="557A2F0F" w14:textId="77777777" w:rsidR="00A54BFC" w:rsidRPr="000A3231" w:rsidRDefault="00A54BFC" w:rsidP="00A54BFC">
            <w:pPr>
              <w:numPr>
                <w:ilvl w:val="0"/>
                <w:numId w:val="13"/>
              </w:numPr>
              <w:shd w:val="clear" w:color="auto" w:fill="FFFFFF" w:themeFill="background1"/>
              <w:rPr>
                <w:rFonts w:asciiTheme="majorBidi" w:hAnsiTheme="majorBidi" w:cstheme="majorBidi"/>
                <w:sz w:val="20"/>
                <w:szCs w:val="20"/>
              </w:rPr>
            </w:pPr>
            <w:r w:rsidRPr="009A5AF2">
              <w:rPr>
                <w:rFonts w:asciiTheme="majorBidi" w:hAnsiTheme="majorBidi" w:cstheme="majorBidi"/>
                <w:sz w:val="20"/>
                <w:szCs w:val="20"/>
                <w:lang w:val="fr-FR"/>
              </w:rPr>
              <w:t>Contrôles réglementaires insuffisants contre les frigorigènes non conformes</w:t>
            </w:r>
          </w:p>
        </w:tc>
        <w:tc>
          <w:tcPr>
            <w:tcW w:w="3562" w:type="dxa"/>
            <w:tcBorders>
              <w:top w:val="single" w:sz="4" w:space="0" w:color="auto"/>
              <w:left w:val="single" w:sz="4" w:space="0" w:color="auto"/>
              <w:bottom w:val="single" w:sz="4" w:space="0" w:color="auto"/>
              <w:right w:val="single" w:sz="4" w:space="0" w:color="auto"/>
            </w:tcBorders>
            <w:hideMark/>
          </w:tcPr>
          <w:p w14:paraId="4B6C4517" w14:textId="77777777" w:rsidR="00A54BFC" w:rsidRPr="000A3231" w:rsidRDefault="00A54BFC" w:rsidP="00A54BFC">
            <w:pPr>
              <w:numPr>
                <w:ilvl w:val="0"/>
                <w:numId w:val="14"/>
              </w:numPr>
              <w:shd w:val="clear" w:color="auto" w:fill="FFFFFF" w:themeFill="background1"/>
              <w:rPr>
                <w:rFonts w:asciiTheme="majorBidi" w:hAnsiTheme="majorBidi" w:cstheme="majorBidi"/>
                <w:sz w:val="20"/>
                <w:szCs w:val="20"/>
              </w:rPr>
            </w:pPr>
            <w:r w:rsidRPr="009A5AF2">
              <w:rPr>
                <w:rFonts w:asciiTheme="majorBidi" w:hAnsiTheme="majorBidi" w:cstheme="majorBidi"/>
                <w:sz w:val="20"/>
                <w:szCs w:val="20"/>
                <w:lang w:val="fr-FR"/>
              </w:rPr>
              <w:t>Investissements importants pour les améliorations de sécurité (ventilation, détection des fuites)</w:t>
            </w:r>
          </w:p>
          <w:p w14:paraId="13A359C0" w14:textId="77777777" w:rsidR="00A54BFC" w:rsidRPr="000A3231" w:rsidRDefault="00A54BFC" w:rsidP="00A54BFC">
            <w:pPr>
              <w:numPr>
                <w:ilvl w:val="0"/>
                <w:numId w:val="14"/>
              </w:numPr>
              <w:shd w:val="clear" w:color="auto" w:fill="FFFFFF" w:themeFill="background1"/>
              <w:rPr>
                <w:rFonts w:asciiTheme="majorBidi" w:hAnsiTheme="majorBidi" w:cstheme="majorBidi"/>
                <w:sz w:val="20"/>
                <w:szCs w:val="20"/>
              </w:rPr>
            </w:pPr>
            <w:r w:rsidRPr="009A5AF2">
              <w:rPr>
                <w:rFonts w:asciiTheme="majorBidi" w:hAnsiTheme="majorBidi" w:cstheme="majorBidi"/>
                <w:sz w:val="20"/>
                <w:szCs w:val="20"/>
                <w:lang w:val="fr-FR"/>
              </w:rPr>
              <w:t xml:space="preserve">Coûts des compresseurs de 30 à 35 % supérieurs pour les systèmes </w:t>
            </w:r>
            <w:r>
              <w:rPr>
                <w:rFonts w:asciiTheme="majorBidi" w:hAnsiTheme="majorBidi" w:cstheme="majorBidi"/>
                <w:sz w:val="20"/>
                <w:szCs w:val="20"/>
                <w:lang w:val="fr-FR"/>
              </w:rPr>
              <w:t xml:space="preserve">à base de </w:t>
            </w:r>
            <w:r w:rsidRPr="009A5AF2">
              <w:rPr>
                <w:rFonts w:asciiTheme="majorBidi" w:hAnsiTheme="majorBidi" w:cstheme="majorBidi"/>
                <w:sz w:val="20"/>
                <w:szCs w:val="20"/>
                <w:lang w:val="fr-FR"/>
              </w:rPr>
              <w:t>HC et CO₂</w:t>
            </w:r>
          </w:p>
          <w:p w14:paraId="7CB6DEC8" w14:textId="77777777" w:rsidR="00A54BFC" w:rsidRPr="000A3231" w:rsidRDefault="00A54BFC" w:rsidP="00A54BFC">
            <w:pPr>
              <w:numPr>
                <w:ilvl w:val="0"/>
                <w:numId w:val="14"/>
              </w:numPr>
              <w:shd w:val="clear" w:color="auto" w:fill="FFFFFF" w:themeFill="background1"/>
              <w:rPr>
                <w:rFonts w:asciiTheme="majorBidi" w:hAnsiTheme="majorBidi" w:cstheme="majorBidi"/>
                <w:sz w:val="20"/>
                <w:szCs w:val="20"/>
              </w:rPr>
            </w:pPr>
            <w:r w:rsidRPr="009A5AF2">
              <w:rPr>
                <w:rFonts w:asciiTheme="majorBidi" w:hAnsiTheme="majorBidi" w:cstheme="majorBidi"/>
                <w:sz w:val="20"/>
                <w:szCs w:val="20"/>
                <w:lang w:val="fr-FR"/>
              </w:rPr>
              <w:t>Coûts supplémentaires pour les équipements certifiés ATEX et l</w:t>
            </w:r>
            <w:r>
              <w:rPr>
                <w:rFonts w:asciiTheme="majorBidi" w:hAnsiTheme="majorBidi" w:cstheme="majorBidi"/>
                <w:sz w:val="20"/>
                <w:szCs w:val="20"/>
                <w:lang w:val="fr-FR"/>
              </w:rPr>
              <w:t>’</w:t>
            </w:r>
            <w:r w:rsidRPr="009A5AF2">
              <w:rPr>
                <w:rFonts w:asciiTheme="majorBidi" w:hAnsiTheme="majorBidi" w:cstheme="majorBidi"/>
                <w:sz w:val="20"/>
                <w:szCs w:val="20"/>
                <w:lang w:val="fr-FR"/>
              </w:rPr>
              <w:t>alimentation de secours pour systèmes CO₂</w:t>
            </w:r>
          </w:p>
          <w:p w14:paraId="0E8D9C2A" w14:textId="77777777" w:rsidR="00A54BFC" w:rsidRPr="000A3231" w:rsidRDefault="00A54BFC" w:rsidP="00A54BFC">
            <w:pPr>
              <w:numPr>
                <w:ilvl w:val="0"/>
                <w:numId w:val="14"/>
              </w:numPr>
              <w:shd w:val="clear" w:color="auto" w:fill="FFFFFF" w:themeFill="background1"/>
              <w:rPr>
                <w:rFonts w:asciiTheme="majorBidi" w:hAnsiTheme="majorBidi" w:cstheme="majorBidi"/>
                <w:sz w:val="20"/>
                <w:szCs w:val="20"/>
              </w:rPr>
            </w:pPr>
            <w:r w:rsidRPr="009A5AF2">
              <w:rPr>
                <w:rFonts w:asciiTheme="majorBidi" w:hAnsiTheme="majorBidi" w:cstheme="majorBidi"/>
                <w:sz w:val="20"/>
                <w:szCs w:val="20"/>
                <w:lang w:val="fr-FR"/>
              </w:rPr>
              <w:t>Volatilité des prix des matières premières et exposition aux fluctuations des taux de change</w:t>
            </w:r>
          </w:p>
        </w:tc>
        <w:tc>
          <w:tcPr>
            <w:tcW w:w="3562" w:type="dxa"/>
            <w:tcBorders>
              <w:top w:val="single" w:sz="4" w:space="0" w:color="auto"/>
              <w:left w:val="single" w:sz="4" w:space="0" w:color="auto"/>
              <w:bottom w:val="single" w:sz="4" w:space="0" w:color="auto"/>
              <w:right w:val="single" w:sz="4" w:space="0" w:color="auto"/>
            </w:tcBorders>
            <w:hideMark/>
          </w:tcPr>
          <w:p w14:paraId="69ACB452" w14:textId="77777777" w:rsidR="00A54BFC" w:rsidRPr="000A3231" w:rsidRDefault="00A54BFC" w:rsidP="00A54BFC">
            <w:pPr>
              <w:numPr>
                <w:ilvl w:val="0"/>
                <w:numId w:val="15"/>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Capacité de conception limitée pour les systèmes en cascade de CO₂ et d</w:t>
            </w:r>
            <w:r>
              <w:rPr>
                <w:rFonts w:asciiTheme="majorBidi" w:hAnsiTheme="majorBidi" w:cstheme="majorBidi"/>
                <w:sz w:val="20"/>
                <w:szCs w:val="20"/>
                <w:lang w:val="fr-FR"/>
              </w:rPr>
              <w:t>’</w:t>
            </w:r>
            <w:r w:rsidRPr="003075C2">
              <w:rPr>
                <w:rFonts w:asciiTheme="majorBidi" w:hAnsiTheme="majorBidi" w:cstheme="majorBidi"/>
                <w:sz w:val="20"/>
                <w:szCs w:val="20"/>
                <w:lang w:val="fr-FR"/>
              </w:rPr>
              <w:t>hydrocarbures</w:t>
            </w:r>
          </w:p>
          <w:p w14:paraId="218EAF6B" w14:textId="77777777" w:rsidR="00A54BFC" w:rsidRPr="000A3231" w:rsidRDefault="00A54BFC" w:rsidP="00A54BFC">
            <w:pPr>
              <w:numPr>
                <w:ilvl w:val="0"/>
                <w:numId w:val="15"/>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Manque de main-d</w:t>
            </w:r>
            <w:r>
              <w:rPr>
                <w:rFonts w:asciiTheme="majorBidi" w:hAnsiTheme="majorBidi" w:cstheme="majorBidi"/>
                <w:sz w:val="20"/>
                <w:szCs w:val="20"/>
                <w:lang w:val="fr-FR"/>
              </w:rPr>
              <w:t>’</w:t>
            </w:r>
            <w:r w:rsidRPr="003075C2">
              <w:rPr>
                <w:rFonts w:asciiTheme="majorBidi" w:hAnsiTheme="majorBidi" w:cstheme="majorBidi"/>
                <w:sz w:val="20"/>
                <w:szCs w:val="20"/>
                <w:lang w:val="fr-FR"/>
              </w:rPr>
              <w:t>œuvre qualifiée pour la manipulation des</w:t>
            </w:r>
            <w:r>
              <w:rPr>
                <w:rFonts w:asciiTheme="majorBidi" w:hAnsiTheme="majorBidi" w:cstheme="majorBidi"/>
                <w:sz w:val="20"/>
                <w:szCs w:val="20"/>
                <w:lang w:val="fr-FR"/>
              </w:rPr>
              <w:t> </w:t>
            </w:r>
            <w:r w:rsidRPr="003075C2">
              <w:rPr>
                <w:rFonts w:asciiTheme="majorBidi" w:hAnsiTheme="majorBidi" w:cstheme="majorBidi"/>
                <w:sz w:val="20"/>
                <w:szCs w:val="20"/>
                <w:lang w:val="fr-FR"/>
              </w:rPr>
              <w:t>frigorigènes inflammables</w:t>
            </w:r>
          </w:p>
          <w:p w14:paraId="79EC587C" w14:textId="77777777" w:rsidR="00A54BFC" w:rsidRPr="000A3231" w:rsidRDefault="00A54BFC" w:rsidP="00A54BFC">
            <w:pPr>
              <w:numPr>
                <w:ilvl w:val="0"/>
                <w:numId w:val="15"/>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Normes nationales et méthodes d</w:t>
            </w:r>
            <w:r>
              <w:rPr>
                <w:rFonts w:asciiTheme="majorBidi" w:hAnsiTheme="majorBidi" w:cstheme="majorBidi"/>
                <w:sz w:val="20"/>
                <w:szCs w:val="20"/>
                <w:lang w:val="fr-FR"/>
              </w:rPr>
              <w:t>’</w:t>
            </w:r>
            <w:r w:rsidRPr="003075C2">
              <w:rPr>
                <w:rFonts w:asciiTheme="majorBidi" w:hAnsiTheme="majorBidi" w:cstheme="majorBidi"/>
                <w:sz w:val="20"/>
                <w:szCs w:val="20"/>
                <w:lang w:val="fr-FR"/>
              </w:rPr>
              <w:t>essai obsolètes</w:t>
            </w:r>
          </w:p>
          <w:p w14:paraId="7B0B8B39" w14:textId="77777777" w:rsidR="00A54BFC" w:rsidRPr="000A3231" w:rsidRDefault="00A54BFC" w:rsidP="00A54BFC">
            <w:pPr>
              <w:numPr>
                <w:ilvl w:val="0"/>
                <w:numId w:val="15"/>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Défaillances des compresseurs sous des températures tropicales élevées</w:t>
            </w:r>
          </w:p>
        </w:tc>
      </w:tr>
      <w:tr w:rsidR="00A54BFC" w:rsidRPr="00041141" w14:paraId="5CF53A79" w14:textId="77777777" w:rsidTr="00381C70">
        <w:tc>
          <w:tcPr>
            <w:tcW w:w="2605" w:type="dxa"/>
            <w:tcBorders>
              <w:top w:val="single" w:sz="4" w:space="0" w:color="auto"/>
              <w:left w:val="single" w:sz="4" w:space="0" w:color="auto"/>
              <w:bottom w:val="single" w:sz="4" w:space="0" w:color="auto"/>
              <w:right w:val="single" w:sz="4" w:space="0" w:color="auto"/>
            </w:tcBorders>
          </w:tcPr>
          <w:p w14:paraId="7A818926" w14:textId="77777777" w:rsidR="00A54BFC" w:rsidRPr="003075C2" w:rsidRDefault="00A54BFC" w:rsidP="00381C70">
            <w:pPr>
              <w:shd w:val="clear" w:color="auto" w:fill="FFFFFF" w:themeFill="background1"/>
              <w:rPr>
                <w:rFonts w:asciiTheme="majorBidi" w:hAnsiTheme="majorBidi" w:cstheme="majorBidi"/>
                <w:b/>
                <w:bCs/>
                <w:sz w:val="20"/>
                <w:szCs w:val="20"/>
              </w:rPr>
            </w:pPr>
            <w:r w:rsidRPr="003075C2">
              <w:rPr>
                <w:rFonts w:asciiTheme="majorBidi" w:hAnsiTheme="majorBidi" w:cstheme="majorBidi"/>
                <w:b/>
                <w:bCs/>
                <w:sz w:val="20"/>
                <w:szCs w:val="20"/>
                <w:lang w:val="fr-FR"/>
              </w:rPr>
              <w:t>Réfrigération</w:t>
            </w:r>
            <w:r>
              <w:rPr>
                <w:rFonts w:asciiTheme="majorBidi" w:hAnsiTheme="majorBidi" w:cstheme="majorBidi"/>
                <w:b/>
                <w:bCs/>
                <w:sz w:val="20"/>
                <w:szCs w:val="20"/>
                <w:lang w:val="fr-FR"/>
              </w:rPr>
              <w:t xml:space="preserve"> d</w:t>
            </w:r>
            <w:r w:rsidRPr="003075C2">
              <w:rPr>
                <w:rFonts w:asciiTheme="majorBidi" w:hAnsiTheme="majorBidi" w:cstheme="majorBidi"/>
                <w:b/>
                <w:bCs/>
                <w:sz w:val="20"/>
                <w:szCs w:val="20"/>
                <w:lang w:val="fr-FR"/>
              </w:rPr>
              <w:t>omestique</w:t>
            </w:r>
          </w:p>
          <w:p w14:paraId="5677683F" w14:textId="77777777" w:rsidR="00A54BFC" w:rsidRPr="00E943A4" w:rsidRDefault="00A54BFC" w:rsidP="00381C70">
            <w:pPr>
              <w:shd w:val="clear" w:color="auto" w:fill="FFFFFF" w:themeFill="background1"/>
              <w:rPr>
                <w:rFonts w:asciiTheme="majorBidi" w:hAnsiTheme="majorBidi" w:cstheme="majorBidi"/>
                <w:b/>
                <w:bCs/>
                <w:sz w:val="20"/>
                <w:szCs w:val="20"/>
                <w:lang w:val="en-US"/>
              </w:rPr>
            </w:pPr>
          </w:p>
        </w:tc>
        <w:tc>
          <w:tcPr>
            <w:tcW w:w="11641" w:type="dxa"/>
            <w:gridSpan w:val="3"/>
            <w:tcBorders>
              <w:top w:val="single" w:sz="4" w:space="0" w:color="auto"/>
              <w:left w:val="single" w:sz="4" w:space="0" w:color="auto"/>
              <w:bottom w:val="single" w:sz="4" w:space="0" w:color="auto"/>
              <w:right w:val="single" w:sz="4" w:space="0" w:color="auto"/>
            </w:tcBorders>
            <w:hideMark/>
          </w:tcPr>
          <w:p w14:paraId="3DE71307" w14:textId="77777777" w:rsidR="00A54BFC" w:rsidRPr="000A3231" w:rsidRDefault="00A54BFC" w:rsidP="00381C70">
            <w:p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Les projets n</w:t>
            </w:r>
            <w:r>
              <w:rPr>
                <w:rFonts w:asciiTheme="majorBidi" w:hAnsiTheme="majorBidi" w:cstheme="majorBidi"/>
                <w:sz w:val="20"/>
                <w:szCs w:val="20"/>
                <w:lang w:val="fr-FR"/>
              </w:rPr>
              <w:t>’</w:t>
            </w:r>
            <w:r w:rsidRPr="003075C2">
              <w:rPr>
                <w:rFonts w:asciiTheme="majorBidi" w:hAnsiTheme="majorBidi" w:cstheme="majorBidi"/>
                <w:sz w:val="20"/>
                <w:szCs w:val="20"/>
                <w:lang w:val="fr-FR"/>
              </w:rPr>
              <w:t>ont pas encore commencé.</w:t>
            </w:r>
          </w:p>
          <w:p w14:paraId="64D1BAB9" w14:textId="77777777" w:rsidR="00A54BFC" w:rsidRPr="000A3231" w:rsidRDefault="00A54BFC" w:rsidP="00381C70">
            <w:p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Les défis attendus incluent des pénuries de compresseurs aux hydrocarbures/ HC/ compatibles, des investissements de sécurité plus élevés et une adaptation des chaînes de fabrication aux frigorigènes inflammables.</w:t>
            </w:r>
          </w:p>
        </w:tc>
      </w:tr>
      <w:tr w:rsidR="00A54BFC" w:rsidRPr="00041141" w14:paraId="1C0DE35F" w14:textId="77777777" w:rsidTr="00381C70">
        <w:tc>
          <w:tcPr>
            <w:tcW w:w="2605" w:type="dxa"/>
            <w:tcBorders>
              <w:top w:val="single" w:sz="4" w:space="0" w:color="auto"/>
              <w:left w:val="single" w:sz="4" w:space="0" w:color="auto"/>
              <w:bottom w:val="single" w:sz="4" w:space="0" w:color="auto"/>
              <w:right w:val="single" w:sz="4" w:space="0" w:color="auto"/>
            </w:tcBorders>
          </w:tcPr>
          <w:p w14:paraId="46D12A0B" w14:textId="77777777" w:rsidR="00A54BFC" w:rsidRPr="003075C2" w:rsidRDefault="00A54BFC" w:rsidP="00381C70">
            <w:pPr>
              <w:shd w:val="clear" w:color="auto" w:fill="FFFFFF" w:themeFill="background1"/>
              <w:rPr>
                <w:rFonts w:asciiTheme="majorBidi" w:hAnsiTheme="majorBidi" w:cstheme="majorBidi"/>
                <w:b/>
                <w:bCs/>
                <w:sz w:val="20"/>
                <w:szCs w:val="20"/>
              </w:rPr>
            </w:pPr>
            <w:r w:rsidRPr="003075C2">
              <w:rPr>
                <w:rFonts w:asciiTheme="majorBidi" w:hAnsiTheme="majorBidi" w:cstheme="majorBidi"/>
                <w:b/>
                <w:bCs/>
                <w:sz w:val="20"/>
                <w:szCs w:val="20"/>
                <w:lang w:val="fr-FR"/>
              </w:rPr>
              <w:t>Climatis</w:t>
            </w:r>
            <w:r>
              <w:rPr>
                <w:rFonts w:asciiTheme="majorBidi" w:hAnsiTheme="majorBidi" w:cstheme="majorBidi"/>
                <w:b/>
                <w:bCs/>
                <w:sz w:val="20"/>
                <w:szCs w:val="20"/>
                <w:lang w:val="fr-FR"/>
              </w:rPr>
              <w:t>ation</w:t>
            </w:r>
            <w:r w:rsidRPr="003075C2">
              <w:rPr>
                <w:rFonts w:asciiTheme="majorBidi" w:hAnsiTheme="majorBidi" w:cstheme="majorBidi"/>
                <w:b/>
                <w:bCs/>
                <w:sz w:val="20"/>
                <w:szCs w:val="20"/>
                <w:lang w:val="fr-FR"/>
              </w:rPr>
              <w:t xml:space="preserve"> résidentiel</w:t>
            </w:r>
            <w:r>
              <w:rPr>
                <w:rFonts w:asciiTheme="majorBidi" w:hAnsiTheme="majorBidi" w:cstheme="majorBidi"/>
                <w:b/>
                <w:bCs/>
                <w:sz w:val="20"/>
                <w:szCs w:val="20"/>
                <w:lang w:val="fr-FR"/>
              </w:rPr>
              <w:t>le</w:t>
            </w:r>
          </w:p>
          <w:p w14:paraId="6146CC06" w14:textId="77777777" w:rsidR="00A54BFC" w:rsidRPr="00E943A4" w:rsidRDefault="00A54BFC" w:rsidP="00381C70">
            <w:pPr>
              <w:shd w:val="clear" w:color="auto" w:fill="FFFFFF" w:themeFill="background1"/>
              <w:rPr>
                <w:rFonts w:asciiTheme="majorBidi" w:hAnsiTheme="majorBidi" w:cstheme="majorBidi"/>
                <w:b/>
                <w:bCs/>
                <w:sz w:val="20"/>
                <w:szCs w:val="20"/>
                <w:lang w:val="en-US"/>
              </w:rPr>
            </w:pPr>
          </w:p>
        </w:tc>
        <w:tc>
          <w:tcPr>
            <w:tcW w:w="4517" w:type="dxa"/>
            <w:tcBorders>
              <w:top w:val="single" w:sz="4" w:space="0" w:color="auto"/>
              <w:left w:val="single" w:sz="4" w:space="0" w:color="auto"/>
              <w:bottom w:val="single" w:sz="4" w:space="0" w:color="auto"/>
              <w:right w:val="single" w:sz="4" w:space="0" w:color="auto"/>
            </w:tcBorders>
            <w:hideMark/>
          </w:tcPr>
          <w:p w14:paraId="740DEED3" w14:textId="77777777" w:rsidR="00A54BFC" w:rsidRPr="000A3231" w:rsidRDefault="00A54BFC" w:rsidP="00A54BFC">
            <w:pPr>
              <w:numPr>
                <w:ilvl w:val="0"/>
                <w:numId w:val="16"/>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Le HFC-32 est adéquat mais dépendant des importations ; la base de fournisseurs est limitée.</w:t>
            </w:r>
          </w:p>
          <w:p w14:paraId="558FFD07" w14:textId="77777777" w:rsidR="00A54BFC" w:rsidRPr="000A3231" w:rsidRDefault="00A54BFC" w:rsidP="00A54BFC">
            <w:pPr>
              <w:numPr>
                <w:ilvl w:val="0"/>
                <w:numId w:val="16"/>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Pénurie historique de compresseurs HFC-32 de grande capacité</w:t>
            </w:r>
          </w:p>
          <w:p w14:paraId="0FEAD06F" w14:textId="77777777" w:rsidR="00A54BFC" w:rsidRPr="000A3231" w:rsidRDefault="00A54BFC" w:rsidP="00A54BFC">
            <w:pPr>
              <w:numPr>
                <w:ilvl w:val="0"/>
                <w:numId w:val="16"/>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Regroupement de la demande nécessaire pour déclencher des cycles de production.</w:t>
            </w:r>
          </w:p>
        </w:tc>
        <w:tc>
          <w:tcPr>
            <w:tcW w:w="3562" w:type="dxa"/>
            <w:tcBorders>
              <w:top w:val="single" w:sz="4" w:space="0" w:color="auto"/>
              <w:left w:val="single" w:sz="4" w:space="0" w:color="auto"/>
              <w:bottom w:val="single" w:sz="4" w:space="0" w:color="auto"/>
              <w:right w:val="single" w:sz="4" w:space="0" w:color="auto"/>
            </w:tcBorders>
            <w:hideMark/>
          </w:tcPr>
          <w:p w14:paraId="3E4AF277" w14:textId="77777777" w:rsidR="00A54BFC" w:rsidRPr="000A3231" w:rsidRDefault="00A54BFC" w:rsidP="00A54BFC">
            <w:pPr>
              <w:numPr>
                <w:ilvl w:val="0"/>
                <w:numId w:val="17"/>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Les prix sont liés à la volatilité des marchés internationaux des matières premières</w:t>
            </w:r>
          </w:p>
          <w:p w14:paraId="5C448549" w14:textId="77777777" w:rsidR="00A54BFC" w:rsidRPr="000A3231" w:rsidRDefault="00A54BFC" w:rsidP="00A54BFC">
            <w:pPr>
              <w:numPr>
                <w:ilvl w:val="0"/>
                <w:numId w:val="17"/>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Les systèmes à base de HFC-32 sont plus chers que les systèmes avec HFC-22 / R-410A.</w:t>
            </w:r>
          </w:p>
          <w:p w14:paraId="4BBA3B5A" w14:textId="77777777" w:rsidR="00A54BFC" w:rsidRPr="000A3231" w:rsidRDefault="00A54BFC" w:rsidP="00A54BFC">
            <w:pPr>
              <w:numPr>
                <w:ilvl w:val="0"/>
                <w:numId w:val="17"/>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La hausse des coûts logistiques dépasse les budgets fixes des projets</w:t>
            </w:r>
          </w:p>
        </w:tc>
        <w:tc>
          <w:tcPr>
            <w:tcW w:w="3562" w:type="dxa"/>
            <w:tcBorders>
              <w:top w:val="single" w:sz="4" w:space="0" w:color="auto"/>
              <w:left w:val="single" w:sz="4" w:space="0" w:color="auto"/>
              <w:bottom w:val="single" w:sz="4" w:space="0" w:color="auto"/>
              <w:right w:val="single" w:sz="4" w:space="0" w:color="auto"/>
            </w:tcBorders>
            <w:hideMark/>
          </w:tcPr>
          <w:p w14:paraId="4283D2DF" w14:textId="77777777" w:rsidR="00A54BFC" w:rsidRPr="000A3231" w:rsidRDefault="00A54BFC" w:rsidP="00A54BFC">
            <w:pPr>
              <w:numPr>
                <w:ilvl w:val="0"/>
                <w:numId w:val="18"/>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Les risques d</w:t>
            </w:r>
            <w:r>
              <w:rPr>
                <w:rFonts w:asciiTheme="majorBidi" w:hAnsiTheme="majorBidi" w:cstheme="majorBidi"/>
                <w:sz w:val="20"/>
                <w:szCs w:val="20"/>
                <w:lang w:val="fr-FR"/>
              </w:rPr>
              <w:t>’</w:t>
            </w:r>
            <w:r w:rsidRPr="003075C2">
              <w:rPr>
                <w:rFonts w:asciiTheme="majorBidi" w:hAnsiTheme="majorBidi" w:cstheme="majorBidi"/>
                <w:sz w:val="20"/>
                <w:szCs w:val="20"/>
                <w:lang w:val="fr-FR"/>
              </w:rPr>
              <w:t>inflammabilité limitent l</w:t>
            </w:r>
            <w:r>
              <w:rPr>
                <w:rFonts w:asciiTheme="majorBidi" w:hAnsiTheme="majorBidi" w:cstheme="majorBidi"/>
                <w:sz w:val="20"/>
                <w:szCs w:val="20"/>
                <w:lang w:val="fr-FR"/>
              </w:rPr>
              <w:t>’</w:t>
            </w:r>
            <w:r w:rsidRPr="003075C2">
              <w:rPr>
                <w:rFonts w:asciiTheme="majorBidi" w:hAnsiTheme="majorBidi" w:cstheme="majorBidi"/>
                <w:sz w:val="20"/>
                <w:szCs w:val="20"/>
                <w:lang w:val="fr-FR"/>
              </w:rPr>
              <w:t>acceptation par le marché</w:t>
            </w:r>
          </w:p>
          <w:p w14:paraId="563D936C" w14:textId="77777777" w:rsidR="00A54BFC" w:rsidRPr="000A3231" w:rsidRDefault="00A54BFC" w:rsidP="00A54BFC">
            <w:pPr>
              <w:numPr>
                <w:ilvl w:val="0"/>
                <w:numId w:val="18"/>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Coûts de certification élevés ; peu de fournisseurs accrédités</w:t>
            </w:r>
          </w:p>
          <w:p w14:paraId="134D6AFB" w14:textId="77777777" w:rsidR="00A54BFC" w:rsidRPr="000A3231" w:rsidRDefault="00A54BFC" w:rsidP="00A54BFC">
            <w:pPr>
              <w:numPr>
                <w:ilvl w:val="0"/>
                <w:numId w:val="18"/>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Conformité aux normes de sécurité : limites de charge, caractéristiques des composants, formation</w:t>
            </w:r>
          </w:p>
        </w:tc>
      </w:tr>
      <w:tr w:rsidR="00A54BFC" w:rsidRPr="00041141" w14:paraId="295789D3" w14:textId="77777777" w:rsidTr="00381C70">
        <w:tc>
          <w:tcPr>
            <w:tcW w:w="2605" w:type="dxa"/>
            <w:tcBorders>
              <w:top w:val="single" w:sz="4" w:space="0" w:color="auto"/>
              <w:left w:val="single" w:sz="4" w:space="0" w:color="auto"/>
              <w:bottom w:val="single" w:sz="4" w:space="0" w:color="auto"/>
              <w:right w:val="single" w:sz="4" w:space="0" w:color="auto"/>
            </w:tcBorders>
          </w:tcPr>
          <w:p w14:paraId="5BD8723A" w14:textId="77777777" w:rsidR="00A54BFC" w:rsidRPr="003075C2" w:rsidRDefault="00A54BFC" w:rsidP="00381C70">
            <w:pPr>
              <w:shd w:val="clear" w:color="auto" w:fill="FFFFFF" w:themeFill="background1"/>
              <w:rPr>
                <w:rFonts w:asciiTheme="majorBidi" w:hAnsiTheme="majorBidi" w:cstheme="majorBidi"/>
                <w:b/>
                <w:bCs/>
                <w:sz w:val="20"/>
                <w:szCs w:val="20"/>
              </w:rPr>
            </w:pPr>
            <w:r w:rsidRPr="003075C2">
              <w:rPr>
                <w:rFonts w:asciiTheme="majorBidi" w:hAnsiTheme="majorBidi" w:cstheme="majorBidi"/>
                <w:b/>
                <w:bCs/>
                <w:sz w:val="20"/>
                <w:szCs w:val="20"/>
                <w:lang w:val="fr-FR"/>
              </w:rPr>
              <w:t>Climatisation commercial</w:t>
            </w:r>
            <w:r>
              <w:rPr>
                <w:rFonts w:asciiTheme="majorBidi" w:hAnsiTheme="majorBidi" w:cstheme="majorBidi"/>
                <w:b/>
                <w:bCs/>
                <w:sz w:val="20"/>
                <w:szCs w:val="20"/>
                <w:lang w:val="fr-FR"/>
              </w:rPr>
              <w:t>e</w:t>
            </w:r>
          </w:p>
          <w:p w14:paraId="19A2F630" w14:textId="77777777" w:rsidR="00A54BFC" w:rsidRPr="00E943A4" w:rsidRDefault="00A54BFC" w:rsidP="00381C70">
            <w:pPr>
              <w:shd w:val="clear" w:color="auto" w:fill="FFFFFF" w:themeFill="background1"/>
              <w:rPr>
                <w:rFonts w:asciiTheme="majorBidi" w:hAnsiTheme="majorBidi" w:cstheme="majorBidi"/>
                <w:b/>
                <w:bCs/>
                <w:sz w:val="20"/>
                <w:szCs w:val="20"/>
                <w:lang w:val="en-US"/>
              </w:rPr>
            </w:pPr>
          </w:p>
        </w:tc>
        <w:tc>
          <w:tcPr>
            <w:tcW w:w="4517" w:type="dxa"/>
            <w:tcBorders>
              <w:top w:val="single" w:sz="4" w:space="0" w:color="auto"/>
              <w:left w:val="single" w:sz="4" w:space="0" w:color="auto"/>
              <w:bottom w:val="single" w:sz="4" w:space="0" w:color="auto"/>
              <w:right w:val="single" w:sz="4" w:space="0" w:color="auto"/>
            </w:tcBorders>
            <w:hideMark/>
          </w:tcPr>
          <w:p w14:paraId="1BCB3E1F" w14:textId="77777777" w:rsidR="00A54BFC" w:rsidRPr="000A3231" w:rsidRDefault="00A54BFC" w:rsidP="00A54BFC">
            <w:pPr>
              <w:numPr>
                <w:ilvl w:val="0"/>
                <w:numId w:val="22"/>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Forte dépendance à l</w:t>
            </w:r>
            <w:r>
              <w:rPr>
                <w:rFonts w:asciiTheme="majorBidi" w:hAnsiTheme="majorBidi" w:cstheme="majorBidi"/>
                <w:sz w:val="20"/>
                <w:szCs w:val="20"/>
                <w:lang w:val="fr-FR"/>
              </w:rPr>
              <w:t>’</w:t>
            </w:r>
            <w:r w:rsidRPr="007F783D">
              <w:rPr>
                <w:rFonts w:asciiTheme="majorBidi" w:hAnsiTheme="majorBidi" w:cstheme="majorBidi"/>
                <w:sz w:val="20"/>
                <w:szCs w:val="20"/>
                <w:lang w:val="fr-FR"/>
              </w:rPr>
              <w:t>égard des compresseurs, du cuivre et des composants électronique</w:t>
            </w:r>
            <w:r>
              <w:rPr>
                <w:rFonts w:asciiTheme="majorBidi" w:hAnsiTheme="majorBidi" w:cstheme="majorBidi"/>
                <w:sz w:val="20"/>
                <w:szCs w:val="20"/>
                <w:lang w:val="fr-FR"/>
              </w:rPr>
              <w:t>s</w:t>
            </w:r>
            <w:r w:rsidRPr="007F783D">
              <w:rPr>
                <w:rFonts w:asciiTheme="majorBidi" w:hAnsiTheme="majorBidi" w:cstheme="majorBidi"/>
                <w:sz w:val="20"/>
                <w:szCs w:val="20"/>
                <w:lang w:val="fr-FR"/>
              </w:rPr>
              <w:t xml:space="preserve"> pour </w:t>
            </w:r>
            <w:r w:rsidRPr="0097550B">
              <w:rPr>
                <w:rFonts w:asciiTheme="majorBidi" w:hAnsiTheme="majorBidi" w:cstheme="majorBidi"/>
                <w:sz w:val="20"/>
                <w:szCs w:val="20"/>
                <w:lang w:val="fr-FR"/>
              </w:rPr>
              <w:t>onduleurs i</w:t>
            </w:r>
            <w:r w:rsidRPr="007F783D">
              <w:rPr>
                <w:rFonts w:asciiTheme="majorBidi" w:hAnsiTheme="majorBidi" w:cstheme="majorBidi"/>
                <w:sz w:val="20"/>
                <w:szCs w:val="20"/>
                <w:lang w:val="fr-FR"/>
              </w:rPr>
              <w:t>mportés</w:t>
            </w:r>
          </w:p>
          <w:p w14:paraId="5F1AE4F4" w14:textId="77777777" w:rsidR="00A54BFC" w:rsidRPr="000A3231" w:rsidRDefault="00A54BFC" w:rsidP="00A54BFC">
            <w:pPr>
              <w:numPr>
                <w:ilvl w:val="0"/>
                <w:numId w:val="22"/>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L</w:t>
            </w:r>
            <w:r>
              <w:rPr>
                <w:rFonts w:asciiTheme="majorBidi" w:hAnsiTheme="majorBidi" w:cstheme="majorBidi"/>
                <w:sz w:val="20"/>
                <w:szCs w:val="20"/>
                <w:lang w:val="fr-FR"/>
              </w:rPr>
              <w:t>’</w:t>
            </w:r>
            <w:r w:rsidRPr="007F783D">
              <w:rPr>
                <w:rFonts w:asciiTheme="majorBidi" w:hAnsiTheme="majorBidi" w:cstheme="majorBidi"/>
                <w:sz w:val="20"/>
                <w:szCs w:val="20"/>
                <w:lang w:val="fr-FR"/>
              </w:rPr>
              <w:t>approvisionnement en HFC-32 s</w:t>
            </w:r>
            <w:r>
              <w:rPr>
                <w:rFonts w:asciiTheme="majorBidi" w:hAnsiTheme="majorBidi" w:cstheme="majorBidi"/>
                <w:sz w:val="20"/>
                <w:szCs w:val="20"/>
                <w:lang w:val="fr-FR"/>
              </w:rPr>
              <w:t>’</w:t>
            </w:r>
            <w:r w:rsidRPr="007F783D">
              <w:rPr>
                <w:rFonts w:asciiTheme="majorBidi" w:hAnsiTheme="majorBidi" w:cstheme="majorBidi"/>
                <w:sz w:val="20"/>
                <w:szCs w:val="20"/>
                <w:lang w:val="fr-FR"/>
              </w:rPr>
              <w:t>est amélioré mais reste instable ; l</w:t>
            </w:r>
            <w:r>
              <w:rPr>
                <w:rFonts w:asciiTheme="majorBidi" w:hAnsiTheme="majorBidi" w:cstheme="majorBidi"/>
                <w:sz w:val="20"/>
                <w:szCs w:val="20"/>
                <w:lang w:val="fr-FR"/>
              </w:rPr>
              <w:t>’</w:t>
            </w:r>
            <w:r w:rsidRPr="007F783D">
              <w:rPr>
                <w:rFonts w:asciiTheme="majorBidi" w:hAnsiTheme="majorBidi" w:cstheme="majorBidi"/>
                <w:sz w:val="20"/>
                <w:szCs w:val="20"/>
                <w:lang w:val="fr-FR"/>
              </w:rPr>
              <w:t>infrastructure de stockage est limitée</w:t>
            </w:r>
          </w:p>
          <w:p w14:paraId="25CE5F9A" w14:textId="77777777" w:rsidR="00A54BFC" w:rsidRPr="000A3231" w:rsidRDefault="00A54BFC" w:rsidP="00A54BFC">
            <w:pPr>
              <w:numPr>
                <w:ilvl w:val="0"/>
                <w:numId w:val="22"/>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lastRenderedPageBreak/>
              <w:t>Les fabricants non soutenus par le Fonds multilatéral sont confrontés à des obstacles plus importants en matière d</w:t>
            </w:r>
            <w:r>
              <w:rPr>
                <w:rFonts w:asciiTheme="majorBidi" w:hAnsiTheme="majorBidi" w:cstheme="majorBidi"/>
                <w:sz w:val="20"/>
                <w:szCs w:val="20"/>
                <w:lang w:val="fr-FR"/>
              </w:rPr>
              <w:t>’</w:t>
            </w:r>
            <w:r w:rsidRPr="007F783D">
              <w:rPr>
                <w:rFonts w:asciiTheme="majorBidi" w:hAnsiTheme="majorBidi" w:cstheme="majorBidi"/>
                <w:sz w:val="20"/>
                <w:szCs w:val="20"/>
                <w:lang w:val="fr-FR"/>
              </w:rPr>
              <w:t>accès à la technologie</w:t>
            </w:r>
          </w:p>
        </w:tc>
        <w:tc>
          <w:tcPr>
            <w:tcW w:w="3562" w:type="dxa"/>
            <w:tcBorders>
              <w:top w:val="single" w:sz="4" w:space="0" w:color="auto"/>
              <w:left w:val="single" w:sz="4" w:space="0" w:color="auto"/>
              <w:bottom w:val="single" w:sz="4" w:space="0" w:color="auto"/>
              <w:right w:val="single" w:sz="4" w:space="0" w:color="auto"/>
            </w:tcBorders>
            <w:hideMark/>
          </w:tcPr>
          <w:p w14:paraId="79364D31" w14:textId="77777777" w:rsidR="00A54BFC" w:rsidRPr="000A3231" w:rsidRDefault="00A54BFC" w:rsidP="00A54BFC">
            <w:pPr>
              <w:numPr>
                <w:ilvl w:val="0"/>
                <w:numId w:val="20"/>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lastRenderedPageBreak/>
              <w:t>Hausse des prix du cuivre et de l</w:t>
            </w:r>
            <w:r>
              <w:rPr>
                <w:rFonts w:asciiTheme="majorBidi" w:hAnsiTheme="majorBidi" w:cstheme="majorBidi"/>
                <w:sz w:val="20"/>
                <w:szCs w:val="20"/>
                <w:lang w:val="fr-FR"/>
              </w:rPr>
              <w:t>’</w:t>
            </w:r>
            <w:r w:rsidRPr="007F783D">
              <w:rPr>
                <w:rFonts w:asciiTheme="majorBidi" w:hAnsiTheme="majorBidi" w:cstheme="majorBidi"/>
                <w:sz w:val="20"/>
                <w:szCs w:val="20"/>
                <w:lang w:val="fr-FR"/>
              </w:rPr>
              <w:t>aluminium (échangeurs de chaleur)</w:t>
            </w:r>
          </w:p>
          <w:p w14:paraId="333C3E1F" w14:textId="77777777" w:rsidR="00A54BFC" w:rsidRPr="000A3231" w:rsidRDefault="00A54BFC" w:rsidP="00A54BFC">
            <w:pPr>
              <w:numPr>
                <w:ilvl w:val="0"/>
                <w:numId w:val="20"/>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Investissements élevés pour des composants de pointe à haut rendement énergétique</w:t>
            </w:r>
          </w:p>
          <w:p w14:paraId="292805B4" w14:textId="77777777" w:rsidR="00A54BFC" w:rsidRPr="000A3231" w:rsidRDefault="00A54BFC" w:rsidP="00A54BFC">
            <w:pPr>
              <w:numPr>
                <w:ilvl w:val="0"/>
                <w:numId w:val="20"/>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lastRenderedPageBreak/>
              <w:t xml:space="preserve">Les PME ayant un accès limité au financement sont confrontés à de fortes pressions sur les coûts </w:t>
            </w:r>
          </w:p>
        </w:tc>
        <w:tc>
          <w:tcPr>
            <w:tcW w:w="3562" w:type="dxa"/>
            <w:tcBorders>
              <w:top w:val="single" w:sz="4" w:space="0" w:color="auto"/>
              <w:left w:val="single" w:sz="4" w:space="0" w:color="auto"/>
              <w:bottom w:val="single" w:sz="4" w:space="0" w:color="auto"/>
              <w:right w:val="single" w:sz="4" w:space="0" w:color="auto"/>
            </w:tcBorders>
            <w:hideMark/>
          </w:tcPr>
          <w:p w14:paraId="7F6F8714" w14:textId="77777777" w:rsidR="00A54BFC" w:rsidRPr="000A3231" w:rsidRDefault="00A54BFC" w:rsidP="00A54BFC">
            <w:pPr>
              <w:numPr>
                <w:ilvl w:val="0"/>
                <w:numId w:val="19"/>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lastRenderedPageBreak/>
              <w:t>Compétences locales limitées pour les systèmes de grande capacité à faible PRP</w:t>
            </w:r>
          </w:p>
          <w:p w14:paraId="749E0F69" w14:textId="77777777" w:rsidR="00A54BFC" w:rsidRPr="000A3231" w:rsidRDefault="00A54BFC" w:rsidP="00A54BFC">
            <w:pPr>
              <w:numPr>
                <w:ilvl w:val="0"/>
                <w:numId w:val="19"/>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Manque de techniciens certifiés pour les systèmes A2L/A3</w:t>
            </w:r>
          </w:p>
          <w:p w14:paraId="6EC226CD" w14:textId="77777777" w:rsidR="00A54BFC" w:rsidRPr="000A3231" w:rsidRDefault="00A54BFC" w:rsidP="00A54BFC">
            <w:pPr>
              <w:numPr>
                <w:ilvl w:val="0"/>
                <w:numId w:val="19"/>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lastRenderedPageBreak/>
              <w:t>La réglementation en matière de sécurité A2L est encore en évolution dans certains pays.</w:t>
            </w:r>
          </w:p>
        </w:tc>
      </w:tr>
      <w:tr w:rsidR="00A54BFC" w:rsidRPr="00041141" w14:paraId="68894152" w14:textId="77777777" w:rsidTr="00381C70">
        <w:trPr>
          <w:trHeight w:val="1383"/>
        </w:trPr>
        <w:tc>
          <w:tcPr>
            <w:tcW w:w="2605" w:type="dxa"/>
            <w:tcBorders>
              <w:top w:val="single" w:sz="4" w:space="0" w:color="auto"/>
              <w:left w:val="single" w:sz="4" w:space="0" w:color="auto"/>
              <w:bottom w:val="single" w:sz="4" w:space="0" w:color="auto"/>
              <w:right w:val="single" w:sz="4" w:space="0" w:color="auto"/>
            </w:tcBorders>
          </w:tcPr>
          <w:p w14:paraId="1E4F272A" w14:textId="77777777" w:rsidR="00A54BFC" w:rsidRPr="007F783D" w:rsidRDefault="00A54BFC" w:rsidP="00381C70">
            <w:pPr>
              <w:shd w:val="clear" w:color="auto" w:fill="FFFFFF" w:themeFill="background1"/>
              <w:rPr>
                <w:rFonts w:asciiTheme="majorBidi" w:hAnsiTheme="majorBidi" w:cstheme="majorBidi"/>
                <w:b/>
                <w:bCs/>
                <w:sz w:val="20"/>
                <w:szCs w:val="20"/>
              </w:rPr>
            </w:pPr>
            <w:r w:rsidRPr="007F783D">
              <w:rPr>
                <w:rFonts w:asciiTheme="majorBidi" w:hAnsiTheme="majorBidi" w:cstheme="majorBidi"/>
                <w:b/>
                <w:bCs/>
                <w:sz w:val="20"/>
                <w:szCs w:val="20"/>
                <w:lang w:val="fr-FR"/>
              </w:rPr>
              <w:lastRenderedPageBreak/>
              <w:t>PME manufacturières</w:t>
            </w:r>
          </w:p>
          <w:p w14:paraId="5D9E42FC" w14:textId="77777777" w:rsidR="00A54BFC" w:rsidRPr="00E943A4" w:rsidRDefault="00A54BFC" w:rsidP="00381C70">
            <w:pPr>
              <w:shd w:val="clear" w:color="auto" w:fill="FFFFFF" w:themeFill="background1"/>
              <w:rPr>
                <w:rFonts w:asciiTheme="majorBidi" w:hAnsiTheme="majorBidi" w:cstheme="majorBidi"/>
                <w:b/>
                <w:bCs/>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14:paraId="1B7C9763" w14:textId="77777777" w:rsidR="00A54BFC" w:rsidRPr="000A3231" w:rsidRDefault="00A54BFC" w:rsidP="00A54BFC">
            <w:pPr>
              <w:numPr>
                <w:ilvl w:val="0"/>
                <w:numId w:val="23"/>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Les marchés d</w:t>
            </w:r>
            <w:r>
              <w:rPr>
                <w:rFonts w:asciiTheme="majorBidi" w:hAnsiTheme="majorBidi" w:cstheme="majorBidi"/>
                <w:sz w:val="20"/>
                <w:szCs w:val="20"/>
                <w:lang w:val="fr-FR"/>
              </w:rPr>
              <w:t>’</w:t>
            </w:r>
            <w:r w:rsidRPr="007F783D">
              <w:rPr>
                <w:rFonts w:asciiTheme="majorBidi" w:hAnsiTheme="majorBidi" w:cstheme="majorBidi"/>
                <w:sz w:val="20"/>
                <w:szCs w:val="20"/>
                <w:lang w:val="fr-FR"/>
              </w:rPr>
              <w:t>importateurs fortement concentrés en limitent l</w:t>
            </w:r>
            <w:r>
              <w:rPr>
                <w:rFonts w:asciiTheme="majorBidi" w:hAnsiTheme="majorBidi" w:cstheme="majorBidi"/>
                <w:sz w:val="20"/>
                <w:szCs w:val="20"/>
                <w:lang w:val="fr-FR"/>
              </w:rPr>
              <w:t>’</w:t>
            </w:r>
            <w:r w:rsidRPr="007F783D">
              <w:rPr>
                <w:rFonts w:asciiTheme="majorBidi" w:hAnsiTheme="majorBidi" w:cstheme="majorBidi"/>
                <w:sz w:val="20"/>
                <w:szCs w:val="20"/>
                <w:lang w:val="fr-FR"/>
              </w:rPr>
              <w:t>accès</w:t>
            </w:r>
          </w:p>
          <w:p w14:paraId="15C882A4" w14:textId="77777777" w:rsidR="00A54BFC" w:rsidRPr="000A3231" w:rsidRDefault="00A54BFC" w:rsidP="00A54BFC">
            <w:pPr>
              <w:numPr>
                <w:ilvl w:val="0"/>
                <w:numId w:val="23"/>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Exigences minimales pour les commandes et coûts d</w:t>
            </w:r>
            <w:r>
              <w:rPr>
                <w:rFonts w:asciiTheme="majorBidi" w:hAnsiTheme="majorBidi" w:cstheme="majorBidi"/>
                <w:sz w:val="20"/>
                <w:szCs w:val="20"/>
                <w:lang w:val="fr-FR"/>
              </w:rPr>
              <w:t>’</w:t>
            </w:r>
            <w:r w:rsidRPr="007F783D">
              <w:rPr>
                <w:rFonts w:asciiTheme="majorBidi" w:hAnsiTheme="majorBidi" w:cstheme="majorBidi"/>
                <w:sz w:val="20"/>
                <w:szCs w:val="20"/>
                <w:lang w:val="fr-FR"/>
              </w:rPr>
              <w:t>importation élevés</w:t>
            </w:r>
          </w:p>
          <w:p w14:paraId="4848809B" w14:textId="77777777" w:rsidR="00A54BFC" w:rsidRPr="000A3231" w:rsidRDefault="00A54BFC" w:rsidP="00A54BFC">
            <w:pPr>
              <w:numPr>
                <w:ilvl w:val="0"/>
                <w:numId w:val="23"/>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La disponibilité des composants diminue pour les charges plus importantes</w:t>
            </w:r>
          </w:p>
          <w:p w14:paraId="207A8889" w14:textId="77777777" w:rsidR="00A54BFC" w:rsidRPr="000A3231" w:rsidRDefault="00A54BFC" w:rsidP="00A54BFC">
            <w:pPr>
              <w:numPr>
                <w:ilvl w:val="0"/>
                <w:numId w:val="22"/>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Outils spécialisés limités pour la fabrication avec HC</w:t>
            </w:r>
          </w:p>
        </w:tc>
        <w:tc>
          <w:tcPr>
            <w:tcW w:w="3562" w:type="dxa"/>
            <w:tcBorders>
              <w:top w:val="single" w:sz="4" w:space="0" w:color="auto"/>
              <w:left w:val="single" w:sz="4" w:space="0" w:color="auto"/>
              <w:bottom w:val="single" w:sz="4" w:space="0" w:color="auto"/>
              <w:right w:val="single" w:sz="4" w:space="0" w:color="auto"/>
            </w:tcBorders>
            <w:hideMark/>
          </w:tcPr>
          <w:p w14:paraId="17D4BB86" w14:textId="77777777" w:rsidR="00A54BFC" w:rsidRPr="000A3231" w:rsidRDefault="00A54BFC" w:rsidP="00A54BFC">
            <w:pPr>
              <w:numPr>
                <w:ilvl w:val="0"/>
                <w:numId w:val="21"/>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Coûts des compresseurs élevés pour les systèmes HC, A2L et CO₂</w:t>
            </w:r>
          </w:p>
          <w:p w14:paraId="572ACFA8" w14:textId="77777777" w:rsidR="00A54BFC" w:rsidRPr="000A3231" w:rsidRDefault="00A54BFC" w:rsidP="00A54BFC">
            <w:pPr>
              <w:numPr>
                <w:ilvl w:val="0"/>
                <w:numId w:val="21"/>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Investissement nécessaire pour les mises à niveau de sécurité et les composants ATEX</w:t>
            </w:r>
          </w:p>
          <w:p w14:paraId="206D40EA" w14:textId="77777777" w:rsidR="00A54BFC" w:rsidRPr="000A3231" w:rsidRDefault="00A54BFC" w:rsidP="00A54BFC">
            <w:pPr>
              <w:numPr>
                <w:ilvl w:val="0"/>
                <w:numId w:val="21"/>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La taille réduite du marché, les risques de change et les taxes nuisent à la compétitivité</w:t>
            </w:r>
          </w:p>
          <w:p w14:paraId="1A602588" w14:textId="77777777" w:rsidR="00A54BFC" w:rsidRPr="007F783D" w:rsidRDefault="00A54BFC" w:rsidP="00A54BFC">
            <w:pPr>
              <w:numPr>
                <w:ilvl w:val="0"/>
                <w:numId w:val="20"/>
              </w:numPr>
              <w:shd w:val="clear" w:color="auto" w:fill="FFFFFF" w:themeFill="background1"/>
              <w:rPr>
                <w:rFonts w:asciiTheme="majorBidi" w:hAnsiTheme="majorBidi" w:cstheme="majorBidi"/>
                <w:sz w:val="20"/>
                <w:szCs w:val="20"/>
                <w:lang w:val="fr-FR"/>
              </w:rPr>
            </w:pPr>
            <w:r w:rsidRPr="007F783D">
              <w:rPr>
                <w:rFonts w:asciiTheme="majorBidi" w:hAnsiTheme="majorBidi" w:cstheme="majorBidi"/>
                <w:sz w:val="20"/>
                <w:szCs w:val="20"/>
                <w:lang w:val="fr-FR"/>
              </w:rPr>
              <w:t>La concurrence multinationale intense érode les marges</w:t>
            </w:r>
          </w:p>
        </w:tc>
        <w:tc>
          <w:tcPr>
            <w:tcW w:w="3562" w:type="dxa"/>
            <w:tcBorders>
              <w:top w:val="single" w:sz="4" w:space="0" w:color="auto"/>
              <w:left w:val="single" w:sz="4" w:space="0" w:color="auto"/>
              <w:bottom w:val="single" w:sz="4" w:space="0" w:color="auto"/>
              <w:right w:val="single" w:sz="4" w:space="0" w:color="auto"/>
            </w:tcBorders>
            <w:hideMark/>
          </w:tcPr>
          <w:p w14:paraId="758C81AF" w14:textId="77777777" w:rsidR="00A54BFC" w:rsidRPr="000A3231" w:rsidRDefault="00A54BFC" w:rsidP="00A54BFC">
            <w:pPr>
              <w:numPr>
                <w:ilvl w:val="0"/>
                <w:numId w:val="19"/>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Lacunes importantes dans la refonte du système et les capacités des procédures de sécurité</w:t>
            </w:r>
          </w:p>
          <w:p w14:paraId="2A580804" w14:textId="77777777" w:rsidR="00A54BFC" w:rsidRPr="000A3231" w:rsidRDefault="00A54BFC" w:rsidP="00A54BFC">
            <w:pPr>
              <w:numPr>
                <w:ilvl w:val="0"/>
                <w:numId w:val="19"/>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Accès limité à l</w:t>
            </w:r>
            <w:r>
              <w:rPr>
                <w:rFonts w:asciiTheme="majorBidi" w:hAnsiTheme="majorBidi" w:cstheme="majorBidi"/>
                <w:sz w:val="20"/>
                <w:szCs w:val="20"/>
                <w:lang w:val="fr-FR"/>
              </w:rPr>
              <w:t>’</w:t>
            </w:r>
            <w:r w:rsidRPr="007F783D">
              <w:rPr>
                <w:rFonts w:asciiTheme="majorBidi" w:hAnsiTheme="majorBidi" w:cstheme="majorBidi"/>
                <w:sz w:val="20"/>
                <w:szCs w:val="20"/>
                <w:lang w:val="fr-FR"/>
              </w:rPr>
              <w:t>assistance technique et au personnel qualifié</w:t>
            </w:r>
          </w:p>
          <w:p w14:paraId="0E385B98" w14:textId="77777777" w:rsidR="00A54BFC" w:rsidRPr="000A3231" w:rsidRDefault="00A54BFC" w:rsidP="00A54BFC">
            <w:pPr>
              <w:numPr>
                <w:ilvl w:val="0"/>
                <w:numId w:val="19"/>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La transition vers les NMPE alourdit les obligations relatives à la conformité</w:t>
            </w:r>
          </w:p>
          <w:p w14:paraId="231E9D67" w14:textId="77777777" w:rsidR="00A54BFC" w:rsidRPr="000A3231" w:rsidRDefault="00A54BFC" w:rsidP="00A54BFC">
            <w:pPr>
              <w:numPr>
                <w:ilvl w:val="0"/>
                <w:numId w:val="19"/>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Faible connaissance des réglementations et des mécanismes de soutien</w:t>
            </w:r>
          </w:p>
        </w:tc>
      </w:tr>
    </w:tbl>
    <w:p w14:paraId="749BDCE0" w14:textId="77777777" w:rsidR="00A54BFC" w:rsidRDefault="00A54BFC" w:rsidP="00A54BFC">
      <w:pPr>
        <w:shd w:val="clear" w:color="auto" w:fill="FFFFFF" w:themeFill="background1"/>
        <w:rPr>
          <w:rFonts w:asciiTheme="majorBidi" w:hAnsiTheme="majorBidi" w:cstheme="majorBidi"/>
          <w:sz w:val="20"/>
          <w:szCs w:val="20"/>
        </w:rPr>
      </w:pPr>
    </w:p>
    <w:tbl>
      <w:tblPr>
        <w:tblStyle w:val="TableGrid"/>
        <w:tblW w:w="5004"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9"/>
        <w:gridCol w:w="2652"/>
        <w:gridCol w:w="2652"/>
        <w:gridCol w:w="2652"/>
        <w:gridCol w:w="2654"/>
      </w:tblGrid>
      <w:tr w:rsidR="00EC0039" w:rsidRPr="009B0D30" w14:paraId="7CF946D4" w14:textId="77777777" w:rsidTr="00773B5B">
        <w:trPr>
          <w:trHeight w:val="482"/>
        </w:trPr>
        <w:tc>
          <w:tcPr>
            <w:tcW w:w="999" w:type="pct"/>
          </w:tcPr>
          <w:p w14:paraId="2B3BC9F1" w14:textId="77777777" w:rsidR="00EC0039" w:rsidRPr="00A01F2A" w:rsidRDefault="00EC0039" w:rsidP="00773B5B">
            <w:pPr>
              <w:rPr>
                <w:sz w:val="36"/>
                <w:szCs w:val="36"/>
              </w:rPr>
            </w:pPr>
          </w:p>
        </w:tc>
        <w:tc>
          <w:tcPr>
            <w:tcW w:w="1000" w:type="pct"/>
          </w:tcPr>
          <w:p w14:paraId="2FBEF7D2" w14:textId="77777777" w:rsidR="00EC0039" w:rsidRPr="009B0D30" w:rsidRDefault="00EC0039" w:rsidP="00773B5B">
            <w:pPr>
              <w:contextualSpacing/>
            </w:pPr>
          </w:p>
        </w:tc>
        <w:tc>
          <w:tcPr>
            <w:tcW w:w="1000" w:type="pct"/>
            <w:tcBorders>
              <w:bottom w:val="single" w:sz="4" w:space="0" w:color="auto"/>
            </w:tcBorders>
          </w:tcPr>
          <w:p w14:paraId="4C3601E3" w14:textId="77777777" w:rsidR="00EC0039" w:rsidRPr="009B0D30" w:rsidRDefault="00EC0039" w:rsidP="00773B5B">
            <w:pPr>
              <w:contextualSpacing/>
            </w:pPr>
          </w:p>
        </w:tc>
        <w:tc>
          <w:tcPr>
            <w:tcW w:w="1000" w:type="pct"/>
          </w:tcPr>
          <w:p w14:paraId="4EF3500F" w14:textId="77777777" w:rsidR="00EC0039" w:rsidRPr="009B0D30" w:rsidRDefault="00EC0039" w:rsidP="00773B5B"/>
        </w:tc>
        <w:tc>
          <w:tcPr>
            <w:tcW w:w="1001" w:type="pct"/>
          </w:tcPr>
          <w:p w14:paraId="67532D2F" w14:textId="77777777" w:rsidR="00EC0039" w:rsidRPr="009B0D30" w:rsidRDefault="00EC0039" w:rsidP="00773B5B"/>
        </w:tc>
      </w:tr>
    </w:tbl>
    <w:p w14:paraId="021F1C4B" w14:textId="77777777" w:rsidR="00EC0039" w:rsidRPr="00A01F2A" w:rsidRDefault="00EC0039" w:rsidP="00EC0039">
      <w:pPr>
        <w:pStyle w:val="Heading1"/>
        <w:numPr>
          <w:ilvl w:val="0"/>
          <w:numId w:val="0"/>
        </w:numPr>
        <w:rPr>
          <w:sz w:val="6"/>
          <w:szCs w:val="6"/>
        </w:rPr>
      </w:pPr>
    </w:p>
    <w:p w14:paraId="0EE967B2" w14:textId="77777777" w:rsidR="00EC0039" w:rsidRPr="000A3231" w:rsidRDefault="00EC0039" w:rsidP="00A54BFC">
      <w:pPr>
        <w:shd w:val="clear" w:color="auto" w:fill="FFFFFF" w:themeFill="background1"/>
        <w:rPr>
          <w:rFonts w:asciiTheme="majorBidi" w:hAnsiTheme="majorBidi" w:cstheme="majorBidi"/>
          <w:sz w:val="20"/>
          <w:szCs w:val="20"/>
        </w:rPr>
      </w:pPr>
    </w:p>
    <w:p w14:paraId="0D4DAC4D" w14:textId="77777777" w:rsidR="00A01F2A" w:rsidRPr="00A54BFC" w:rsidRDefault="00A01F2A" w:rsidP="00A01F2A">
      <w:pPr>
        <w:pStyle w:val="Heading1"/>
        <w:numPr>
          <w:ilvl w:val="0"/>
          <w:numId w:val="0"/>
        </w:numPr>
        <w:rPr>
          <w:sz w:val="6"/>
          <w:szCs w:val="6"/>
        </w:rPr>
      </w:pPr>
    </w:p>
    <w:sectPr w:rsidR="00A01F2A" w:rsidRPr="00A54BFC" w:rsidSect="00B3336D">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1296" w:bottom="1350" w:left="1296" w:header="475"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9924C" w14:textId="77777777" w:rsidR="00050E6F" w:rsidRDefault="00050E6F" w:rsidP="004A504B">
      <w:r>
        <w:separator/>
      </w:r>
    </w:p>
  </w:endnote>
  <w:endnote w:type="continuationSeparator" w:id="0">
    <w:p w14:paraId="6A1A4057" w14:textId="77777777" w:rsidR="00050E6F" w:rsidRDefault="00050E6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542700"/>
      <w:docPartObj>
        <w:docPartGallery w:val="Page Numbers (Bottom of Page)"/>
        <w:docPartUnique/>
      </w:docPartObj>
    </w:sdtPr>
    <w:sdtEndPr>
      <w:rPr>
        <w:noProof/>
      </w:rPr>
    </w:sdtEndPr>
    <w:sdtContent>
      <w:p w14:paraId="0D2DE43C" w14:textId="044DD98E" w:rsidR="00207BE2" w:rsidRDefault="00207B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817149"/>
      <w:docPartObj>
        <w:docPartGallery w:val="Page Numbers (Bottom of Page)"/>
        <w:docPartUnique/>
      </w:docPartObj>
    </w:sdtPr>
    <w:sdtEndPr>
      <w:rPr>
        <w:noProof/>
      </w:rPr>
    </w:sdtEndPr>
    <w:sdtContent>
      <w:p w14:paraId="65147C43" w14:textId="77777777" w:rsidR="00A54BFC" w:rsidRDefault="00A54BFC">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99A76" w14:textId="77777777" w:rsidR="00A54BFC" w:rsidRPr="009B4BB9" w:rsidRDefault="00A54BFC" w:rsidP="00B42ED2">
    <w:pPr>
      <w:pBdr>
        <w:top w:val="single" w:sz="4" w:space="1" w:color="auto"/>
        <w:left w:val="single" w:sz="4" w:space="4" w:color="auto"/>
        <w:bottom w:val="single" w:sz="4" w:space="1" w:color="auto"/>
        <w:right w:val="single" w:sz="4" w:space="4" w:color="auto"/>
      </w:pBdr>
      <w:jc w:val="center"/>
      <w:rPr>
        <w:sz w:val="8"/>
        <w:szCs w:val="8"/>
      </w:rPr>
    </w:pPr>
  </w:p>
  <w:p w14:paraId="333273FB" w14:textId="071ADC64" w:rsidR="00982581" w:rsidRDefault="00A54BFC" w:rsidP="00982581">
    <w:pPr>
      <w:pBdr>
        <w:top w:val="single" w:sz="4" w:space="1" w:color="auto"/>
        <w:left w:val="single" w:sz="4" w:space="4" w:color="auto"/>
        <w:bottom w:val="single" w:sz="4" w:space="1" w:color="auto"/>
        <w:right w:val="single" w:sz="4" w:space="4" w:color="auto"/>
      </w:pBdr>
      <w:spacing w:after="60"/>
      <w:jc w:val="center"/>
      <w:rPr>
        <w:rFonts w:cs="MS Serif"/>
        <w:sz w:val="18"/>
        <w:szCs w:val="18"/>
        <w:lang w:val="fr-FR"/>
      </w:rPr>
    </w:pPr>
    <w:r w:rsidRPr="000A3231">
      <w:rPr>
        <w:sz w:val="18"/>
        <w:szCs w:val="18"/>
      </w:rPr>
      <w:t xml:space="preserve">Les documents </w:t>
    </w:r>
    <w:r w:rsidRPr="00C72ACD">
      <w:rPr>
        <w:rFonts w:cs="MS Serif"/>
        <w:sz w:val="18"/>
        <w:szCs w:val="18"/>
        <w:lang w:val="fr-FR"/>
      </w:rPr>
      <w:t>de présession du Comité exécutif du Fonds multilatéral aux fins d’application du Protocole de Montréal</w:t>
    </w:r>
    <w:r w:rsidRPr="000A3231">
      <w:rPr>
        <w:sz w:val="18"/>
        <w:szCs w:val="18"/>
      </w:rPr>
      <w:t xml:space="preserve"> </w:t>
    </w:r>
    <w:r w:rsidRPr="00C72ACD">
      <w:rPr>
        <w:rFonts w:cs="MS Serif"/>
        <w:sz w:val="18"/>
        <w:szCs w:val="18"/>
        <w:lang w:val="fr-FR"/>
      </w:rPr>
      <w:t>sont présentés sous réserve des décisions pouvant être prises par le Comité exécutif après leur publication</w:t>
    </w:r>
    <w:r>
      <w:rPr>
        <w:rFonts w:cs="MS Serif"/>
        <w:sz w:val="18"/>
        <w:szCs w:val="18"/>
        <w:lang w:val="fr-FR"/>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462764"/>
      <w:docPartObj>
        <w:docPartGallery w:val="Page Numbers (Bottom of Page)"/>
        <w:docPartUnique/>
      </w:docPartObj>
    </w:sdtPr>
    <w:sdtEndPr>
      <w:rPr>
        <w:noProof/>
      </w:rPr>
    </w:sdtEndPr>
    <w:sdtContent>
      <w:p w14:paraId="2965EF68" w14:textId="77777777" w:rsidR="00A54BFC" w:rsidRDefault="00A54BF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69E2AF1" w14:textId="77777777" w:rsidR="00A54BFC" w:rsidRDefault="00A54B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C61DA" w14:textId="77777777" w:rsidR="00A01F2A" w:rsidRPr="0033525D" w:rsidRDefault="00A01F2A">
    <w:pPr>
      <w:jc w:val="center"/>
    </w:pPr>
    <w:r>
      <w:fldChar w:fldCharType="begin"/>
    </w:r>
    <w:r>
      <w:instrText xml:space="preserve"> PAGE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DBD5" w14:textId="77777777" w:rsidR="00A01F2A" w:rsidRPr="0033525D" w:rsidRDefault="00A01F2A">
    <w:pPr>
      <w:jc w:val="center"/>
    </w:pPr>
    <w:r>
      <w:fldChar w:fldCharType="begin"/>
    </w:r>
    <w:r>
      <w:instrText xml:space="preserve"> PAGE </w:instrText>
    </w:r>
    <w:r>
      <w:fldChar w:fldCharType="separate"/>
    </w:r>
    <w:r>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190742"/>
      <w:docPartObj>
        <w:docPartGallery w:val="Page Numbers (Bottom of Page)"/>
        <w:docPartUnique/>
      </w:docPartObj>
    </w:sdtPr>
    <w:sdtEndPr>
      <w:rPr>
        <w:noProof/>
      </w:rPr>
    </w:sdtEndPr>
    <w:sdtContent>
      <w:p w14:paraId="77172F9F" w14:textId="77777777" w:rsidR="00A01F2A" w:rsidRDefault="00A01F2A">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A5D9A" w14:textId="77777777" w:rsidR="00050E6F" w:rsidRDefault="00050E6F" w:rsidP="004A504B">
      <w:r>
        <w:separator/>
      </w:r>
    </w:p>
  </w:footnote>
  <w:footnote w:type="continuationSeparator" w:id="0">
    <w:p w14:paraId="5A67268B" w14:textId="77777777" w:rsidR="00050E6F" w:rsidRDefault="00050E6F" w:rsidP="004A504B">
      <w:r>
        <w:continuationSeparator/>
      </w:r>
    </w:p>
  </w:footnote>
  <w:footnote w:id="1">
    <w:p w14:paraId="35610BB1" w14:textId="74C6007E" w:rsidR="00E0061C" w:rsidRPr="001E1147" w:rsidRDefault="00EB6BDA" w:rsidP="00E0061C">
      <w:pPr>
        <w:pStyle w:val="FootnoteText"/>
        <w:spacing w:after="120"/>
      </w:pPr>
      <w:r>
        <w:rPr>
          <w:rStyle w:val="FootnoteReference"/>
        </w:rPr>
        <w:footnoteRef/>
      </w:r>
      <w:r>
        <w:t xml:space="preserve"> UNEP/OzL.Pro/ExCom/99/1</w:t>
      </w:r>
    </w:p>
  </w:footnote>
  <w:footnote w:id="2">
    <w:p w14:paraId="205BD555" w14:textId="77777777" w:rsidR="00A54BFC" w:rsidRPr="000A3231" w:rsidRDefault="00A54BFC" w:rsidP="00A54BFC">
      <w:pPr>
        <w:pStyle w:val="FootnoteText"/>
      </w:pPr>
      <w:r w:rsidRPr="001A24C6">
        <w:rPr>
          <w:rStyle w:val="FootnoteReference"/>
        </w:rPr>
        <w:footnoteRef/>
      </w:r>
      <w:r w:rsidRPr="000A3231">
        <w:t xml:space="preserve"> UNEP/OzL.Pro/ExCom/98/1</w:t>
      </w:r>
    </w:p>
  </w:footnote>
  <w:footnote w:id="3">
    <w:p w14:paraId="7E13F2C5" w14:textId="77777777" w:rsidR="00A54BFC" w:rsidRDefault="00A54BFC" w:rsidP="00A54BFC">
      <w:pPr>
        <w:pStyle w:val="FootnoteText"/>
        <w:rPr>
          <w:lang w:val="fr-FR"/>
        </w:rPr>
      </w:pPr>
      <w:r>
        <w:rPr>
          <w:rStyle w:val="FootnoteReference"/>
        </w:rPr>
        <w:footnoteRef/>
      </w:r>
      <w:r w:rsidRPr="000A3231">
        <w:t xml:space="preserve"> </w:t>
      </w:r>
      <w:r w:rsidRPr="007F783D">
        <w:rPr>
          <w:lang w:val="fr-FR"/>
        </w:rPr>
        <w:t xml:space="preserve">Les paragraphes 8 à 10 du document UNEP/OzL.Pro/ExCom/96/2 résument les observations recueillies par le </w:t>
      </w:r>
      <w:r>
        <w:rPr>
          <w:lang w:val="fr-FR"/>
        </w:rPr>
        <w:t>s</w:t>
      </w:r>
      <w:r w:rsidRPr="007F783D">
        <w:rPr>
          <w:lang w:val="fr-FR"/>
        </w:rPr>
        <w:t xml:space="preserve">ecrétariat lors des réunions de coordination inter-agences </w:t>
      </w:r>
      <w:r>
        <w:rPr>
          <w:lang w:val="fr-FR"/>
        </w:rPr>
        <w:t xml:space="preserve">(IACM) </w:t>
      </w:r>
      <w:r w:rsidRPr="007F783D">
        <w:rPr>
          <w:lang w:val="fr-FR"/>
        </w:rPr>
        <w:t xml:space="preserve">et </w:t>
      </w:r>
      <w:r>
        <w:rPr>
          <w:lang w:val="fr-FR"/>
        </w:rPr>
        <w:t xml:space="preserve">répondent </w:t>
      </w:r>
      <w:r w:rsidRPr="007F783D">
        <w:rPr>
          <w:lang w:val="fr-FR"/>
        </w:rPr>
        <w:t>à la demande formulée lors de la 95</w:t>
      </w:r>
      <w:r w:rsidRPr="007F783D">
        <w:rPr>
          <w:vertAlign w:val="superscript"/>
          <w:lang w:val="fr-FR"/>
        </w:rPr>
        <w:t>e</w:t>
      </w:r>
      <w:r w:rsidRPr="007F783D">
        <w:rPr>
          <w:lang w:val="fr-FR"/>
        </w:rPr>
        <w:t xml:space="preserve"> réunion, au titre du point de l</w:t>
      </w:r>
      <w:r>
        <w:rPr>
          <w:lang w:val="fr-FR"/>
        </w:rPr>
        <w:t>’</w:t>
      </w:r>
      <w:r w:rsidRPr="007F783D">
        <w:rPr>
          <w:lang w:val="fr-FR"/>
        </w:rPr>
        <w:t>ordre du jour « Questions diverses »</w:t>
      </w:r>
      <w:r>
        <w:rPr>
          <w:lang w:val="fr-FR"/>
        </w:rPr>
        <w:t>.</w:t>
      </w:r>
    </w:p>
    <w:p w14:paraId="5DBC4CBB" w14:textId="77777777" w:rsidR="001F202C" w:rsidRPr="000A3231" w:rsidRDefault="001F202C" w:rsidP="00A54BFC">
      <w:pPr>
        <w:pStyle w:val="FootnoteText"/>
      </w:pPr>
    </w:p>
  </w:footnote>
  <w:footnote w:id="4">
    <w:p w14:paraId="5E55680D" w14:textId="77777777" w:rsidR="00A54BFC" w:rsidRPr="000A3231" w:rsidRDefault="00A54BFC" w:rsidP="00A54BFC">
      <w:pPr>
        <w:pStyle w:val="FootnoteText"/>
        <w:ind w:right="-90"/>
        <w:rPr>
          <w:b/>
          <w:bCs/>
        </w:rPr>
      </w:pPr>
      <w:r w:rsidRPr="00A96589">
        <w:rPr>
          <w:rStyle w:val="FootnoteReference"/>
        </w:rPr>
        <w:footnoteRef/>
      </w:r>
      <w:r w:rsidRPr="000A3231">
        <w:t xml:space="preserve"> </w:t>
      </w:r>
      <w:r w:rsidRPr="007F783D">
        <w:rPr>
          <w:lang w:val="fr-FR"/>
        </w:rPr>
        <w:t>Selon la norme 34 de l</w:t>
      </w:r>
      <w:r>
        <w:rPr>
          <w:lang w:val="fr-FR"/>
        </w:rPr>
        <w:t>’</w:t>
      </w:r>
      <w:r w:rsidRPr="007F783D">
        <w:rPr>
          <w:lang w:val="fr-FR"/>
        </w:rPr>
        <w:t>ASHRAE (American Society of Heating, Refrigerating and Air-Conditioning Engineers), les  frigorigènes sont classés à l</w:t>
      </w:r>
      <w:r>
        <w:rPr>
          <w:lang w:val="fr-FR"/>
        </w:rPr>
        <w:t>’</w:t>
      </w:r>
      <w:r w:rsidRPr="007F783D">
        <w:rPr>
          <w:lang w:val="fr-FR"/>
        </w:rPr>
        <w:t>aide d</w:t>
      </w:r>
      <w:r>
        <w:rPr>
          <w:lang w:val="fr-FR"/>
        </w:rPr>
        <w:t>’</w:t>
      </w:r>
      <w:r w:rsidRPr="007F783D">
        <w:rPr>
          <w:lang w:val="fr-FR"/>
        </w:rPr>
        <w:t>une combinaison constituée d</w:t>
      </w:r>
      <w:r>
        <w:rPr>
          <w:lang w:val="fr-FR"/>
        </w:rPr>
        <w:t>’</w:t>
      </w:r>
      <w:r w:rsidRPr="007F783D">
        <w:rPr>
          <w:lang w:val="fr-FR"/>
        </w:rPr>
        <w:t>une lettre désignant leur toxicité et d</w:t>
      </w:r>
      <w:r>
        <w:rPr>
          <w:lang w:val="fr-FR"/>
        </w:rPr>
        <w:t>’</w:t>
      </w:r>
      <w:r w:rsidRPr="007F783D">
        <w:rPr>
          <w:lang w:val="fr-FR"/>
        </w:rPr>
        <w:t>un chiffre désignant leur inflammabilité.</w:t>
      </w:r>
      <w:r w:rsidRPr="000A3231">
        <w:t xml:space="preserve"> </w:t>
      </w:r>
      <w:r w:rsidRPr="007F783D">
        <w:rPr>
          <w:lang w:val="fr-FR"/>
        </w:rPr>
        <w:t>A2L fait référence à des frigorigènes légèrement inflammables et A3 à des frigorigènes très inflammables</w:t>
      </w:r>
    </w:p>
  </w:footnote>
  <w:footnote w:id="5">
    <w:p w14:paraId="0D859790" w14:textId="77777777" w:rsidR="00A54BFC" w:rsidRPr="000A3231" w:rsidRDefault="00A54BFC" w:rsidP="00A54BFC">
      <w:pPr>
        <w:pStyle w:val="FootnoteText"/>
      </w:pPr>
      <w:r w:rsidRPr="00A96589">
        <w:rPr>
          <w:rStyle w:val="FootnoteReference"/>
        </w:rPr>
        <w:footnoteRef/>
      </w:r>
      <w:r w:rsidRPr="000A3231">
        <w:t xml:space="preserve"> </w:t>
      </w:r>
      <w:r w:rsidRPr="007F783D">
        <w:rPr>
          <w:lang w:val="fr-FR"/>
        </w:rPr>
        <w:t>Référence au tableau 11 « Prix moyens des HCFC, des HFC et des substances de remplacement » du document UNEP/OzL.Pro/ExCom/98/5</w:t>
      </w:r>
    </w:p>
  </w:footnote>
  <w:footnote w:id="6">
    <w:p w14:paraId="591424CF" w14:textId="77777777" w:rsidR="00A54BFC" w:rsidRPr="000A3231" w:rsidRDefault="00A54BFC" w:rsidP="00A54BFC">
      <w:pPr>
        <w:pStyle w:val="FootnoteText"/>
      </w:pPr>
      <w:r>
        <w:rPr>
          <w:rStyle w:val="FootnoteReference"/>
        </w:rPr>
        <w:footnoteRef/>
      </w:r>
      <w:r w:rsidRPr="000A3231">
        <w:t xml:space="preserve"> </w:t>
      </w:r>
      <w:r w:rsidRPr="007F783D">
        <w:rPr>
          <w:lang w:val="fr-FR"/>
        </w:rPr>
        <w:t>Chiffre indicatif fourni par les agences d</w:t>
      </w:r>
      <w:r>
        <w:rPr>
          <w:lang w:val="fr-FR"/>
        </w:rPr>
        <w:t>’</w:t>
      </w:r>
      <w:r w:rsidRPr="007F783D">
        <w:rPr>
          <w:lang w:val="fr-FR"/>
        </w:rPr>
        <w:t>exécution sur la base de l</w:t>
      </w:r>
      <w:r>
        <w:rPr>
          <w:lang w:val="fr-FR"/>
        </w:rPr>
        <w:t>’</w:t>
      </w:r>
      <w:r w:rsidRPr="007F783D">
        <w:rPr>
          <w:lang w:val="fr-FR"/>
        </w:rPr>
        <w:t>expérience acquise dans le cadre de projets de conversion en cours.</w:t>
      </w:r>
    </w:p>
  </w:footnote>
  <w:footnote w:id="7">
    <w:p w14:paraId="74D50D8F" w14:textId="77777777" w:rsidR="00A54BFC" w:rsidRPr="000A3231" w:rsidRDefault="00A54BFC" w:rsidP="00A54BFC">
      <w:pPr>
        <w:pStyle w:val="FootnoteText"/>
      </w:pPr>
      <w:r>
        <w:rPr>
          <w:rStyle w:val="FootnoteReference"/>
        </w:rPr>
        <w:footnoteRef/>
      </w:r>
      <w:r w:rsidRPr="000A3231">
        <w:t xml:space="preserve"> </w:t>
      </w:r>
      <w:r w:rsidRPr="007F783D">
        <w:rPr>
          <w:lang w:val="fr-FR"/>
        </w:rPr>
        <w:t>ATEX : fait référence aux directives de l</w:t>
      </w:r>
      <w:r>
        <w:rPr>
          <w:lang w:val="fr-FR"/>
        </w:rPr>
        <w:t>’</w:t>
      </w:r>
      <w:r w:rsidRPr="007F783D">
        <w:rPr>
          <w:lang w:val="fr-FR"/>
        </w:rPr>
        <w:t>Union européenne (UE) qui réglementent les équipements et les environnements de travail en atmosphère explosive.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1D26C" w14:textId="77777777" w:rsidR="00655169" w:rsidRPr="001E0970" w:rsidRDefault="00655169" w:rsidP="00655169">
    <w:pPr>
      <w:jc w:val="right"/>
    </w:pPr>
    <w:fldSimple w:instr=" DOCPROPERTY &quot;Document number&quot;  \* MERGEFORMAT ">
      <w:r>
        <w:t>UNEP/OzL.Pro/ExCom/98/57</w:t>
      </w:r>
    </w:fldSimple>
  </w:p>
  <w:p w14:paraId="7285DABC" w14:textId="77777777" w:rsidR="00655169" w:rsidRDefault="00655169">
    <w:pPr>
      <w:pStyle w:val="Header"/>
    </w:pPr>
  </w:p>
  <w:p w14:paraId="5B7A3F4C" w14:textId="77777777" w:rsidR="00655169" w:rsidRDefault="006551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0D225" w14:textId="5874F091" w:rsidR="00A54BFC" w:rsidRPr="001E0970" w:rsidRDefault="00A2742A" w:rsidP="001948BF">
    <w:pPr>
      <w:jc w:val="right"/>
    </w:pPr>
    <w:fldSimple w:instr=" DOCPROPERTY &quot;Document number&quot;  \* MERGEFORMAT ">
      <w:r>
        <w:t>UNEP/OzL.Pro/ExCom/98/57</w:t>
      </w:r>
    </w:fldSimple>
  </w:p>
  <w:p w14:paraId="08FA9AE7" w14:textId="77777777" w:rsidR="00A54BFC" w:rsidRDefault="00A54BFC">
    <w:pPr>
      <w:pStyle w:val="Header"/>
    </w:pPr>
  </w:p>
  <w:p w14:paraId="11155202" w14:textId="77777777" w:rsidR="00A54BFC" w:rsidRDefault="00A54B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6F767" w14:textId="549D51CD" w:rsidR="001948BF" w:rsidRPr="001E0970" w:rsidRDefault="00A2742A" w:rsidP="001948BF">
    <w:pPr>
      <w:jc w:val="left"/>
    </w:pPr>
    <w:fldSimple w:instr=" DOCPROPERTY &quot;Document number&quot;  \* MERGEFORMAT ">
      <w:r>
        <w:t>UNEP/OzL.Pro/ExCom/98/57</w:t>
      </w:r>
    </w:fldSimple>
  </w:p>
  <w:p w14:paraId="059E127F" w14:textId="77777777" w:rsidR="001948BF" w:rsidRDefault="001948BF">
    <w:pPr>
      <w:pStyle w:val="Header"/>
    </w:pPr>
  </w:p>
  <w:p w14:paraId="1C385114" w14:textId="77777777" w:rsidR="001948BF" w:rsidRDefault="001948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5E" w14:textId="76408257" w:rsidR="00A54BFC" w:rsidRPr="00A54BFC" w:rsidRDefault="00A54BFC" w:rsidP="00B42ED2">
    <w:pPr>
      <w:jc w:val="right"/>
      <w:rPr>
        <w:lang w:val="en-CA"/>
      </w:rPr>
    </w:pPr>
    <w:r>
      <w:fldChar w:fldCharType="begin"/>
    </w:r>
    <w:r w:rsidRPr="00A54BFC">
      <w:rPr>
        <w:lang w:val="en-CA"/>
      </w:rPr>
      <w:instrText xml:space="preserve"> DOCPROPERTY "Document number"  \* MERGEFORMAT </w:instrText>
    </w:r>
    <w:r>
      <w:fldChar w:fldCharType="separate"/>
    </w:r>
    <w:r w:rsidR="00A2742A">
      <w:rPr>
        <w:lang w:val="en-CA"/>
      </w:rPr>
      <w:t>UNEP/OzL.Pro/ExCom/98/57</w:t>
    </w:r>
    <w:r>
      <w:fldChar w:fldCharType="end"/>
    </w:r>
  </w:p>
  <w:p w14:paraId="464F42C3" w14:textId="77777777" w:rsidR="00A54BFC" w:rsidRPr="00A54BFC" w:rsidRDefault="00A54BFC" w:rsidP="00B42ED2">
    <w:pPr>
      <w:pStyle w:val="Header"/>
      <w:jc w:val="right"/>
      <w:rPr>
        <w:lang w:val="en-CA"/>
      </w:rPr>
    </w:pPr>
    <w:r w:rsidRPr="00A54BFC">
      <w:rPr>
        <w:lang w:val="en-CA"/>
      </w:rPr>
      <w:t>Annexe I</w:t>
    </w:r>
  </w:p>
  <w:p w14:paraId="69C0FAEB" w14:textId="77777777" w:rsidR="00A54BFC" w:rsidRPr="00A54BFC" w:rsidRDefault="00A54BFC" w:rsidP="00B42ED2">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51BF" w14:textId="72498B76" w:rsidR="00A01F2A" w:rsidRPr="00A2742A" w:rsidRDefault="00A01F2A">
    <w:pPr>
      <w:rPr>
        <w:lang w:val="en-CA"/>
      </w:rPr>
    </w:pPr>
    <w:r>
      <w:fldChar w:fldCharType="begin"/>
    </w:r>
    <w:r w:rsidRPr="00A2742A">
      <w:rPr>
        <w:lang w:val="en-CA"/>
      </w:rPr>
      <w:instrText xml:space="preserve"> DOCPROPERTY "Document number"  \* MERGEFORMAT </w:instrText>
    </w:r>
    <w:r>
      <w:fldChar w:fldCharType="separate"/>
    </w:r>
    <w:r w:rsidR="00A2742A" w:rsidRPr="00A2742A">
      <w:rPr>
        <w:lang w:val="en-CA"/>
      </w:rPr>
      <w:t>UNEP/OzL.Pro/ExCom/98/57</w:t>
    </w:r>
    <w:r>
      <w:fldChar w:fldCharType="end"/>
    </w:r>
  </w:p>
  <w:p w14:paraId="4DB62A1A" w14:textId="385932FE" w:rsidR="00A2742A" w:rsidRPr="00110ED1" w:rsidRDefault="00A2742A" w:rsidP="00A2742A">
    <w:pPr>
      <w:pStyle w:val="Header"/>
      <w:jc w:val="left"/>
      <w:rPr>
        <w:lang w:val="en-US"/>
      </w:rPr>
    </w:pPr>
    <w:r w:rsidRPr="00110ED1">
      <w:rPr>
        <w:lang w:val="en-US"/>
      </w:rPr>
      <w:t>Annex</w:t>
    </w:r>
    <w:r w:rsidR="00C968FA">
      <w:rPr>
        <w:lang w:val="en-US"/>
      </w:rPr>
      <w:t>e</w:t>
    </w:r>
    <w:r w:rsidRPr="00110ED1">
      <w:rPr>
        <w:lang w:val="en-US"/>
      </w:rPr>
      <w:t xml:space="preserve"> II</w:t>
    </w:r>
  </w:p>
  <w:p w14:paraId="0F0C4CCF" w14:textId="77777777" w:rsidR="00A01F2A" w:rsidRPr="00A2742A" w:rsidRDefault="00A01F2A">
    <w:pPr>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40EBC" w14:textId="77777777" w:rsidR="00A01F2A" w:rsidRPr="0033525D" w:rsidRDefault="00A01F2A">
    <w:pPr>
      <w:jc w:val="right"/>
    </w:pPr>
    <w:fldSimple w:instr=" DOCPROPERTY &quot;Document number&quot;  \* MERGEFORMAT ">
      <w:r>
        <w:t>UNEP/OzL.Pro/ExCom/98/1</w:t>
      </w:r>
    </w:fldSimple>
  </w:p>
  <w:p w14:paraId="0F460AFB" w14:textId="77777777" w:rsidR="00A01F2A" w:rsidRPr="0033525D" w:rsidRDefault="00A01F2A"/>
  <w:p w14:paraId="0D1FFA01" w14:textId="77777777" w:rsidR="00A01F2A" w:rsidRPr="0033525D" w:rsidRDefault="00A01F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99E3" w14:textId="183B2BF0" w:rsidR="00A01F2A" w:rsidRPr="00110ED1" w:rsidRDefault="00A01F2A" w:rsidP="00DD2AE5">
    <w:pPr>
      <w:jc w:val="right"/>
      <w:rPr>
        <w:lang w:val="en-US"/>
      </w:rPr>
    </w:pPr>
    <w:r>
      <w:fldChar w:fldCharType="begin"/>
    </w:r>
    <w:r w:rsidRPr="00110ED1">
      <w:rPr>
        <w:lang w:val="en-US"/>
      </w:rPr>
      <w:instrText xml:space="preserve"> DOCPROPERTY "Document number"  \* MERGEFORMAT </w:instrText>
    </w:r>
    <w:r>
      <w:fldChar w:fldCharType="separate"/>
    </w:r>
    <w:r w:rsidR="00A2742A">
      <w:rPr>
        <w:lang w:val="en-US"/>
      </w:rPr>
      <w:t>UNEP/OzL.Pro/ExCom/98/57</w:t>
    </w:r>
    <w:r>
      <w:fldChar w:fldCharType="end"/>
    </w:r>
  </w:p>
  <w:p w14:paraId="6AF16EBB" w14:textId="0E283A82" w:rsidR="00A01F2A" w:rsidRPr="00110ED1" w:rsidRDefault="00A01F2A" w:rsidP="00B95E88">
    <w:pPr>
      <w:pStyle w:val="Header"/>
      <w:jc w:val="right"/>
      <w:rPr>
        <w:lang w:val="en-US"/>
      </w:rPr>
    </w:pPr>
    <w:r w:rsidRPr="00110ED1">
      <w:rPr>
        <w:lang w:val="en-US"/>
      </w:rPr>
      <w:t>Annex</w:t>
    </w:r>
    <w:r w:rsidR="00C968FA">
      <w:rPr>
        <w:lang w:val="en-US"/>
      </w:rPr>
      <w:t>e</w:t>
    </w:r>
    <w:r w:rsidRPr="00110ED1">
      <w:rPr>
        <w:lang w:val="en-US"/>
      </w:rPr>
      <w:t xml:space="preserve"> II</w:t>
    </w:r>
  </w:p>
  <w:p w14:paraId="4B31F0E5" w14:textId="77777777" w:rsidR="00A01F2A" w:rsidRPr="00110ED1" w:rsidRDefault="00A01F2A" w:rsidP="00B95E88">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032F3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514DA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821D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6C24A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02CFFA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90CF4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042839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1A05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BCD3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E8C2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46AC9E2"/>
    <w:lvl w:ilvl="0">
      <w:start w:val="1"/>
      <w:numFmt w:val="decimal"/>
      <w:pStyle w:val="Heading1"/>
      <w:lvlText w:val="%1."/>
      <w:lvlJc w:val="left"/>
      <w:pPr>
        <w:tabs>
          <w:tab w:val="num" w:pos="0"/>
        </w:tabs>
        <w:ind w:left="0" w:firstLine="0"/>
      </w:pPr>
      <w:rPr>
        <w:rFonts w:hint="default"/>
        <w:i w:val="0"/>
        <w:iCs w:val="0"/>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C77F71"/>
    <w:multiLevelType w:val="hybridMultilevel"/>
    <w:tmpl w:val="69101786"/>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3" w15:restartNumberingAfterBreak="0">
    <w:nsid w:val="10B63E01"/>
    <w:multiLevelType w:val="hybridMultilevel"/>
    <w:tmpl w:val="93FEF398"/>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D754ACF"/>
    <w:multiLevelType w:val="hybridMultilevel"/>
    <w:tmpl w:val="2B7A7594"/>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354412"/>
    <w:multiLevelType w:val="hybridMultilevel"/>
    <w:tmpl w:val="5066E94E"/>
    <w:lvl w:ilvl="0" w:tplc="04090015">
      <w:start w:val="1"/>
      <w:numFmt w:val="upp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8" w15:restartNumberingAfterBreak="0">
    <w:nsid w:val="3B0E3F05"/>
    <w:multiLevelType w:val="hybridMultilevel"/>
    <w:tmpl w:val="1F8A7A20"/>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2160D1E"/>
    <w:multiLevelType w:val="hybridMultilevel"/>
    <w:tmpl w:val="47061A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B861E0"/>
    <w:multiLevelType w:val="hybridMultilevel"/>
    <w:tmpl w:val="ED020B34"/>
    <w:lvl w:ilvl="0" w:tplc="230E1B1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2513883"/>
    <w:multiLevelType w:val="hybridMultilevel"/>
    <w:tmpl w:val="3B6C0EE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8310AEB"/>
    <w:multiLevelType w:val="hybridMultilevel"/>
    <w:tmpl w:val="1BCA67BE"/>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1" w15:restartNumberingAfterBreak="0">
    <w:nsid w:val="5FD06867"/>
    <w:multiLevelType w:val="hybridMultilevel"/>
    <w:tmpl w:val="1BBAFB2A"/>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1387D57"/>
    <w:multiLevelType w:val="hybridMultilevel"/>
    <w:tmpl w:val="CDB07E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643E6375"/>
    <w:multiLevelType w:val="hybridMultilevel"/>
    <w:tmpl w:val="B8682770"/>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6" w15:restartNumberingAfterBreak="0">
    <w:nsid w:val="7B84543E"/>
    <w:multiLevelType w:val="hybridMultilevel"/>
    <w:tmpl w:val="5AA0468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7E100F2A"/>
    <w:multiLevelType w:val="hybridMultilevel"/>
    <w:tmpl w:val="65F4A8DE"/>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1793548327">
    <w:abstractNumId w:val="15"/>
  </w:num>
  <w:num w:numId="3" w16cid:durableId="1137381005">
    <w:abstractNumId w:val="25"/>
  </w:num>
  <w:num w:numId="4" w16cid:durableId="671107749">
    <w:abstractNumId w:val="26"/>
  </w:num>
  <w:num w:numId="5" w16cid:durableId="1526870837">
    <w:abstractNumId w:val="37"/>
  </w:num>
  <w:num w:numId="6" w16cid:durableId="1051735893">
    <w:abstractNumId w:val="32"/>
  </w:num>
  <w:num w:numId="7" w16cid:durableId="1791509857">
    <w:abstractNumId w:val="21"/>
  </w:num>
  <w:num w:numId="8" w16cid:durableId="1074813681">
    <w:abstractNumId w:val="28"/>
  </w:num>
  <w:num w:numId="9" w16cid:durableId="1725564835">
    <w:abstractNumId w:val="19"/>
  </w:num>
  <w:num w:numId="10" w16cid:durableId="1269001707">
    <w:abstractNumId w:val="35"/>
  </w:num>
  <w:num w:numId="11" w16cid:durableId="716710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4756676">
    <w:abstractNumId w:val="23"/>
  </w:num>
  <w:num w:numId="13" w16cid:durableId="27292903">
    <w:abstractNumId w:val="31"/>
  </w:num>
  <w:num w:numId="14" w16cid:durableId="590711">
    <w:abstractNumId w:val="29"/>
  </w:num>
  <w:num w:numId="15" w16cid:durableId="258491343">
    <w:abstractNumId w:val="36"/>
  </w:num>
  <w:num w:numId="16" w16cid:durableId="1419986958">
    <w:abstractNumId w:val="18"/>
  </w:num>
  <w:num w:numId="17" w16cid:durableId="1864784855">
    <w:abstractNumId w:val="20"/>
  </w:num>
  <w:num w:numId="18" w16cid:durableId="658844154">
    <w:abstractNumId w:val="27"/>
  </w:num>
  <w:num w:numId="19" w16cid:durableId="1366566025">
    <w:abstractNumId w:val="34"/>
  </w:num>
  <w:num w:numId="20" w16cid:durableId="1283145270">
    <w:abstractNumId w:val="33"/>
  </w:num>
  <w:num w:numId="21" w16cid:durableId="881670364">
    <w:abstractNumId w:val="14"/>
  </w:num>
  <w:num w:numId="22" w16cid:durableId="1675572765">
    <w:abstractNumId w:val="11"/>
  </w:num>
  <w:num w:numId="23" w16cid:durableId="2043478300">
    <w:abstractNumId w:val="13"/>
  </w:num>
  <w:num w:numId="24" w16cid:durableId="164907707">
    <w:abstractNumId w:val="17"/>
  </w:num>
  <w:num w:numId="25" w16cid:durableId="1628852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32480942">
    <w:abstractNumId w:val="9"/>
  </w:num>
  <w:num w:numId="27" w16cid:durableId="1922442915">
    <w:abstractNumId w:val="7"/>
  </w:num>
  <w:num w:numId="28" w16cid:durableId="784888328">
    <w:abstractNumId w:val="6"/>
  </w:num>
  <w:num w:numId="29" w16cid:durableId="1138573329">
    <w:abstractNumId w:val="5"/>
  </w:num>
  <w:num w:numId="30" w16cid:durableId="1793356223">
    <w:abstractNumId w:val="4"/>
  </w:num>
  <w:num w:numId="31" w16cid:durableId="1350373201">
    <w:abstractNumId w:val="8"/>
  </w:num>
  <w:num w:numId="32" w16cid:durableId="1087111872">
    <w:abstractNumId w:val="3"/>
  </w:num>
  <w:num w:numId="33" w16cid:durableId="100342243">
    <w:abstractNumId w:val="2"/>
  </w:num>
  <w:num w:numId="34" w16cid:durableId="688222613">
    <w:abstractNumId w:val="1"/>
  </w:num>
  <w:num w:numId="35" w16cid:durableId="1734935725">
    <w:abstractNumId w:val="0"/>
  </w:num>
  <w:num w:numId="36" w16cid:durableId="2096824688">
    <w:abstractNumId w:val="16"/>
  </w:num>
  <w:num w:numId="37" w16cid:durableId="1695694475">
    <w:abstractNumId w:val="16"/>
    <w:lvlOverride w:ilvl="0">
      <w:startOverride w:val="1"/>
    </w:lvlOverride>
  </w:num>
  <w:num w:numId="38" w16cid:durableId="1440444108">
    <w:abstractNumId w:val="30"/>
  </w:num>
  <w:num w:numId="39" w16cid:durableId="2125342863">
    <w:abstractNumId w:val="22"/>
  </w:num>
  <w:num w:numId="40" w16cid:durableId="868487625">
    <w:abstractNumId w:val="24"/>
  </w:num>
  <w:num w:numId="41" w16cid:durableId="728916903">
    <w:abstractNumId w:val="12"/>
  </w:num>
  <w:num w:numId="42" w16cid:durableId="19605275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01F2A"/>
    <w:rsid w:val="00000FED"/>
    <w:rsid w:val="0000125E"/>
    <w:rsid w:val="00001AB9"/>
    <w:rsid w:val="00003D27"/>
    <w:rsid w:val="0000434E"/>
    <w:rsid w:val="0001485A"/>
    <w:rsid w:val="00016FBD"/>
    <w:rsid w:val="000219FC"/>
    <w:rsid w:val="00021A4C"/>
    <w:rsid w:val="00022BDD"/>
    <w:rsid w:val="00023BB5"/>
    <w:rsid w:val="00027178"/>
    <w:rsid w:val="00031260"/>
    <w:rsid w:val="000327D0"/>
    <w:rsid w:val="00036482"/>
    <w:rsid w:val="00036522"/>
    <w:rsid w:val="0003681A"/>
    <w:rsid w:val="00042BA4"/>
    <w:rsid w:val="0004366A"/>
    <w:rsid w:val="00045EFD"/>
    <w:rsid w:val="0004742D"/>
    <w:rsid w:val="00050E6F"/>
    <w:rsid w:val="000534C2"/>
    <w:rsid w:val="000554FD"/>
    <w:rsid w:val="000565EB"/>
    <w:rsid w:val="00056D6E"/>
    <w:rsid w:val="00065035"/>
    <w:rsid w:val="00065D34"/>
    <w:rsid w:val="00072840"/>
    <w:rsid w:val="00072B13"/>
    <w:rsid w:val="00073A74"/>
    <w:rsid w:val="00075027"/>
    <w:rsid w:val="00076CEE"/>
    <w:rsid w:val="00080ED0"/>
    <w:rsid w:val="00084B30"/>
    <w:rsid w:val="00084C67"/>
    <w:rsid w:val="00085B8F"/>
    <w:rsid w:val="000861CC"/>
    <w:rsid w:val="00087AFC"/>
    <w:rsid w:val="00090481"/>
    <w:rsid w:val="00090B07"/>
    <w:rsid w:val="00091A22"/>
    <w:rsid w:val="00092DFB"/>
    <w:rsid w:val="000948E7"/>
    <w:rsid w:val="00095D68"/>
    <w:rsid w:val="00096A11"/>
    <w:rsid w:val="000A134A"/>
    <w:rsid w:val="000A6DE1"/>
    <w:rsid w:val="000A78CC"/>
    <w:rsid w:val="000B1CE5"/>
    <w:rsid w:val="000B324E"/>
    <w:rsid w:val="000B3375"/>
    <w:rsid w:val="000B564E"/>
    <w:rsid w:val="000C7EF8"/>
    <w:rsid w:val="000D3111"/>
    <w:rsid w:val="000E07BC"/>
    <w:rsid w:val="000E0B5F"/>
    <w:rsid w:val="000E19D5"/>
    <w:rsid w:val="000E1DE9"/>
    <w:rsid w:val="000E2313"/>
    <w:rsid w:val="000E3086"/>
    <w:rsid w:val="000E45E1"/>
    <w:rsid w:val="000F1CD4"/>
    <w:rsid w:val="000F4103"/>
    <w:rsid w:val="000F70A7"/>
    <w:rsid w:val="00102E11"/>
    <w:rsid w:val="00103AF4"/>
    <w:rsid w:val="00104568"/>
    <w:rsid w:val="001049B8"/>
    <w:rsid w:val="00106BDD"/>
    <w:rsid w:val="0011062E"/>
    <w:rsid w:val="00110ED1"/>
    <w:rsid w:val="001139D2"/>
    <w:rsid w:val="0011771A"/>
    <w:rsid w:val="001211E7"/>
    <w:rsid w:val="00123EA2"/>
    <w:rsid w:val="00133195"/>
    <w:rsid w:val="00135980"/>
    <w:rsid w:val="001362B5"/>
    <w:rsid w:val="001363FB"/>
    <w:rsid w:val="001413D2"/>
    <w:rsid w:val="00142FB8"/>
    <w:rsid w:val="00144CA5"/>
    <w:rsid w:val="001464E9"/>
    <w:rsid w:val="0015376B"/>
    <w:rsid w:val="00154357"/>
    <w:rsid w:val="00157E86"/>
    <w:rsid w:val="0016394D"/>
    <w:rsid w:val="00164719"/>
    <w:rsid w:val="00166A5E"/>
    <w:rsid w:val="00166FC4"/>
    <w:rsid w:val="001677AC"/>
    <w:rsid w:val="001731CA"/>
    <w:rsid w:val="00183573"/>
    <w:rsid w:val="001908E2"/>
    <w:rsid w:val="00190A61"/>
    <w:rsid w:val="001913CB"/>
    <w:rsid w:val="0019266B"/>
    <w:rsid w:val="00192AA0"/>
    <w:rsid w:val="001948BF"/>
    <w:rsid w:val="00196357"/>
    <w:rsid w:val="001A0112"/>
    <w:rsid w:val="001A113A"/>
    <w:rsid w:val="001A13FA"/>
    <w:rsid w:val="001A3342"/>
    <w:rsid w:val="001A3E3D"/>
    <w:rsid w:val="001A4651"/>
    <w:rsid w:val="001A4DEB"/>
    <w:rsid w:val="001B1E40"/>
    <w:rsid w:val="001B6793"/>
    <w:rsid w:val="001C254A"/>
    <w:rsid w:val="001C6DEA"/>
    <w:rsid w:val="001C764E"/>
    <w:rsid w:val="001C7B9B"/>
    <w:rsid w:val="001D1BCD"/>
    <w:rsid w:val="001D4ADA"/>
    <w:rsid w:val="001D68CA"/>
    <w:rsid w:val="001E1052"/>
    <w:rsid w:val="001E1675"/>
    <w:rsid w:val="001E212B"/>
    <w:rsid w:val="001E21B1"/>
    <w:rsid w:val="001E2CEB"/>
    <w:rsid w:val="001E2F93"/>
    <w:rsid w:val="001E47BD"/>
    <w:rsid w:val="001E61E5"/>
    <w:rsid w:val="001F202C"/>
    <w:rsid w:val="001F2159"/>
    <w:rsid w:val="00203CA8"/>
    <w:rsid w:val="00205FFE"/>
    <w:rsid w:val="0020601D"/>
    <w:rsid w:val="002062C0"/>
    <w:rsid w:val="00207BE2"/>
    <w:rsid w:val="0021133E"/>
    <w:rsid w:val="00213C2C"/>
    <w:rsid w:val="00222C8E"/>
    <w:rsid w:val="00227F4F"/>
    <w:rsid w:val="002310E7"/>
    <w:rsid w:val="002338A1"/>
    <w:rsid w:val="002361BB"/>
    <w:rsid w:val="002365BB"/>
    <w:rsid w:val="00236B1C"/>
    <w:rsid w:val="00237199"/>
    <w:rsid w:val="002376F3"/>
    <w:rsid w:val="0024191C"/>
    <w:rsid w:val="00241BC5"/>
    <w:rsid w:val="00251DFF"/>
    <w:rsid w:val="00251FF9"/>
    <w:rsid w:val="0025289F"/>
    <w:rsid w:val="00253222"/>
    <w:rsid w:val="00256136"/>
    <w:rsid w:val="00262E06"/>
    <w:rsid w:val="002709B2"/>
    <w:rsid w:val="00274606"/>
    <w:rsid w:val="0027567B"/>
    <w:rsid w:val="00280CFE"/>
    <w:rsid w:val="00283077"/>
    <w:rsid w:val="00284C69"/>
    <w:rsid w:val="00291880"/>
    <w:rsid w:val="002A2001"/>
    <w:rsid w:val="002A27DE"/>
    <w:rsid w:val="002A3541"/>
    <w:rsid w:val="002A3FCA"/>
    <w:rsid w:val="002A58C6"/>
    <w:rsid w:val="002A5C99"/>
    <w:rsid w:val="002B72E9"/>
    <w:rsid w:val="002C3A12"/>
    <w:rsid w:val="002D179F"/>
    <w:rsid w:val="002D6A27"/>
    <w:rsid w:val="002E1D44"/>
    <w:rsid w:val="002E36BE"/>
    <w:rsid w:val="002E3935"/>
    <w:rsid w:val="002E46E3"/>
    <w:rsid w:val="002E5B06"/>
    <w:rsid w:val="002F55DD"/>
    <w:rsid w:val="002F6E3D"/>
    <w:rsid w:val="002F74D5"/>
    <w:rsid w:val="0030065C"/>
    <w:rsid w:val="00303EB0"/>
    <w:rsid w:val="00304C03"/>
    <w:rsid w:val="00311465"/>
    <w:rsid w:val="003167A6"/>
    <w:rsid w:val="00324F1F"/>
    <w:rsid w:val="00327D85"/>
    <w:rsid w:val="003306E1"/>
    <w:rsid w:val="003320E4"/>
    <w:rsid w:val="0033525D"/>
    <w:rsid w:val="003378DC"/>
    <w:rsid w:val="00340640"/>
    <w:rsid w:val="003414F3"/>
    <w:rsid w:val="00341837"/>
    <w:rsid w:val="00341CCE"/>
    <w:rsid w:val="0034267B"/>
    <w:rsid w:val="00344A55"/>
    <w:rsid w:val="00344B52"/>
    <w:rsid w:val="003455DE"/>
    <w:rsid w:val="00345A42"/>
    <w:rsid w:val="00352531"/>
    <w:rsid w:val="003526A2"/>
    <w:rsid w:val="0035553A"/>
    <w:rsid w:val="0035613E"/>
    <w:rsid w:val="00363EE9"/>
    <w:rsid w:val="00365DA2"/>
    <w:rsid w:val="00372F19"/>
    <w:rsid w:val="00375F06"/>
    <w:rsid w:val="00376128"/>
    <w:rsid w:val="0037742E"/>
    <w:rsid w:val="0038245A"/>
    <w:rsid w:val="003837A1"/>
    <w:rsid w:val="00385788"/>
    <w:rsid w:val="0039337A"/>
    <w:rsid w:val="0039490E"/>
    <w:rsid w:val="00396605"/>
    <w:rsid w:val="003A3189"/>
    <w:rsid w:val="003B3973"/>
    <w:rsid w:val="003B3AB8"/>
    <w:rsid w:val="003B4DBC"/>
    <w:rsid w:val="003B569D"/>
    <w:rsid w:val="003B5D8B"/>
    <w:rsid w:val="003C3C0E"/>
    <w:rsid w:val="003D0C07"/>
    <w:rsid w:val="003D4FAC"/>
    <w:rsid w:val="003D6F6F"/>
    <w:rsid w:val="003E4534"/>
    <w:rsid w:val="003E7906"/>
    <w:rsid w:val="003F0D53"/>
    <w:rsid w:val="003F1F9E"/>
    <w:rsid w:val="003F3C50"/>
    <w:rsid w:val="003F3F1B"/>
    <w:rsid w:val="003F5ED4"/>
    <w:rsid w:val="003F6543"/>
    <w:rsid w:val="0040042A"/>
    <w:rsid w:val="00400FBD"/>
    <w:rsid w:val="00405734"/>
    <w:rsid w:val="00406356"/>
    <w:rsid w:val="00406A6A"/>
    <w:rsid w:val="00406B22"/>
    <w:rsid w:val="004103C2"/>
    <w:rsid w:val="00410E81"/>
    <w:rsid w:val="00413B85"/>
    <w:rsid w:val="0042285F"/>
    <w:rsid w:val="004320B0"/>
    <w:rsid w:val="00432279"/>
    <w:rsid w:val="004328A7"/>
    <w:rsid w:val="00434C74"/>
    <w:rsid w:val="00442CBE"/>
    <w:rsid w:val="00450AA6"/>
    <w:rsid w:val="004553F8"/>
    <w:rsid w:val="0045623A"/>
    <w:rsid w:val="00456915"/>
    <w:rsid w:val="00456EB4"/>
    <w:rsid w:val="00457876"/>
    <w:rsid w:val="004666B8"/>
    <w:rsid w:val="004669D1"/>
    <w:rsid w:val="00470584"/>
    <w:rsid w:val="004718F3"/>
    <w:rsid w:val="00473BD4"/>
    <w:rsid w:val="004749E1"/>
    <w:rsid w:val="00475040"/>
    <w:rsid w:val="004777CC"/>
    <w:rsid w:val="0048686F"/>
    <w:rsid w:val="00491DA8"/>
    <w:rsid w:val="00493D40"/>
    <w:rsid w:val="00496E09"/>
    <w:rsid w:val="00497217"/>
    <w:rsid w:val="004A0A07"/>
    <w:rsid w:val="004A465C"/>
    <w:rsid w:val="004A504B"/>
    <w:rsid w:val="004A6911"/>
    <w:rsid w:val="004B54E0"/>
    <w:rsid w:val="004B7384"/>
    <w:rsid w:val="004C04C5"/>
    <w:rsid w:val="004C2249"/>
    <w:rsid w:val="004C30E7"/>
    <w:rsid w:val="004C4269"/>
    <w:rsid w:val="004C4B3F"/>
    <w:rsid w:val="004C548F"/>
    <w:rsid w:val="004D0FB5"/>
    <w:rsid w:val="004D4D70"/>
    <w:rsid w:val="004D6236"/>
    <w:rsid w:val="004D7C74"/>
    <w:rsid w:val="004D7F47"/>
    <w:rsid w:val="004E2F62"/>
    <w:rsid w:val="004E4C07"/>
    <w:rsid w:val="004E4DBB"/>
    <w:rsid w:val="004E602B"/>
    <w:rsid w:val="004E6B6C"/>
    <w:rsid w:val="004E7F9C"/>
    <w:rsid w:val="004F3493"/>
    <w:rsid w:val="00503BE3"/>
    <w:rsid w:val="00504518"/>
    <w:rsid w:val="00504AE0"/>
    <w:rsid w:val="00504E58"/>
    <w:rsid w:val="00512B09"/>
    <w:rsid w:val="00512C3E"/>
    <w:rsid w:val="00513B0E"/>
    <w:rsid w:val="00513FD5"/>
    <w:rsid w:val="0051710D"/>
    <w:rsid w:val="00521A49"/>
    <w:rsid w:val="00522C75"/>
    <w:rsid w:val="005236C0"/>
    <w:rsid w:val="005251A0"/>
    <w:rsid w:val="005251C0"/>
    <w:rsid w:val="00527D4D"/>
    <w:rsid w:val="00530703"/>
    <w:rsid w:val="005361DF"/>
    <w:rsid w:val="005420E9"/>
    <w:rsid w:val="00543B0C"/>
    <w:rsid w:val="00543CFD"/>
    <w:rsid w:val="005467FC"/>
    <w:rsid w:val="00553564"/>
    <w:rsid w:val="005544DF"/>
    <w:rsid w:val="00554EB6"/>
    <w:rsid w:val="005550B9"/>
    <w:rsid w:val="00555D75"/>
    <w:rsid w:val="00560DF0"/>
    <w:rsid w:val="00562249"/>
    <w:rsid w:val="00574427"/>
    <w:rsid w:val="00574C02"/>
    <w:rsid w:val="00577D7F"/>
    <w:rsid w:val="005814EB"/>
    <w:rsid w:val="005830D3"/>
    <w:rsid w:val="005865B5"/>
    <w:rsid w:val="00586BCE"/>
    <w:rsid w:val="005913AE"/>
    <w:rsid w:val="00591AF8"/>
    <w:rsid w:val="005947FE"/>
    <w:rsid w:val="005968B0"/>
    <w:rsid w:val="00597523"/>
    <w:rsid w:val="005A6635"/>
    <w:rsid w:val="005A68C5"/>
    <w:rsid w:val="005B1174"/>
    <w:rsid w:val="005B17B5"/>
    <w:rsid w:val="005B29B7"/>
    <w:rsid w:val="005B48FF"/>
    <w:rsid w:val="005B5601"/>
    <w:rsid w:val="005B594D"/>
    <w:rsid w:val="005B63C9"/>
    <w:rsid w:val="005C5589"/>
    <w:rsid w:val="005C5B80"/>
    <w:rsid w:val="005C7764"/>
    <w:rsid w:val="005C7A40"/>
    <w:rsid w:val="005D1A3F"/>
    <w:rsid w:val="005D1E4E"/>
    <w:rsid w:val="005E785F"/>
    <w:rsid w:val="005F0157"/>
    <w:rsid w:val="005F0CC0"/>
    <w:rsid w:val="005F2619"/>
    <w:rsid w:val="005F7631"/>
    <w:rsid w:val="005F784E"/>
    <w:rsid w:val="005F7A1B"/>
    <w:rsid w:val="00600A67"/>
    <w:rsid w:val="006012A7"/>
    <w:rsid w:val="00601BFD"/>
    <w:rsid w:val="006024C7"/>
    <w:rsid w:val="00605AA4"/>
    <w:rsid w:val="006141C1"/>
    <w:rsid w:val="0061522F"/>
    <w:rsid w:val="00615791"/>
    <w:rsid w:val="006158D5"/>
    <w:rsid w:val="0061650C"/>
    <w:rsid w:val="006177A4"/>
    <w:rsid w:val="00621914"/>
    <w:rsid w:val="006228CD"/>
    <w:rsid w:val="006256F1"/>
    <w:rsid w:val="00625D83"/>
    <w:rsid w:val="00626125"/>
    <w:rsid w:val="00643292"/>
    <w:rsid w:val="00643857"/>
    <w:rsid w:val="00645D3D"/>
    <w:rsid w:val="006465B1"/>
    <w:rsid w:val="00646ADA"/>
    <w:rsid w:val="0064700A"/>
    <w:rsid w:val="00655169"/>
    <w:rsid w:val="006623E7"/>
    <w:rsid w:val="00662B80"/>
    <w:rsid w:val="00664E63"/>
    <w:rsid w:val="00672946"/>
    <w:rsid w:val="006733E2"/>
    <w:rsid w:val="00673DF8"/>
    <w:rsid w:val="00674CC8"/>
    <w:rsid w:val="00674EA9"/>
    <w:rsid w:val="006759DA"/>
    <w:rsid w:val="00682720"/>
    <w:rsid w:val="006833F6"/>
    <w:rsid w:val="006852C7"/>
    <w:rsid w:val="00687328"/>
    <w:rsid w:val="00695A4B"/>
    <w:rsid w:val="00697F8B"/>
    <w:rsid w:val="006A0347"/>
    <w:rsid w:val="006A642A"/>
    <w:rsid w:val="006A7948"/>
    <w:rsid w:val="006B38D2"/>
    <w:rsid w:val="006B61AD"/>
    <w:rsid w:val="006C1727"/>
    <w:rsid w:val="006C32FD"/>
    <w:rsid w:val="006C48B7"/>
    <w:rsid w:val="006C5100"/>
    <w:rsid w:val="006C54BC"/>
    <w:rsid w:val="006D0FCC"/>
    <w:rsid w:val="006E0D57"/>
    <w:rsid w:val="006E2FED"/>
    <w:rsid w:val="006E53AB"/>
    <w:rsid w:val="006E7396"/>
    <w:rsid w:val="006F39D2"/>
    <w:rsid w:val="006F5F9A"/>
    <w:rsid w:val="006F6061"/>
    <w:rsid w:val="006F6B40"/>
    <w:rsid w:val="006F7E21"/>
    <w:rsid w:val="00704796"/>
    <w:rsid w:val="007048E2"/>
    <w:rsid w:val="0070616B"/>
    <w:rsid w:val="00706FDA"/>
    <w:rsid w:val="007071A6"/>
    <w:rsid w:val="00711F9A"/>
    <w:rsid w:val="00713810"/>
    <w:rsid w:val="00713C87"/>
    <w:rsid w:val="00715298"/>
    <w:rsid w:val="00716A17"/>
    <w:rsid w:val="0071746D"/>
    <w:rsid w:val="00720EE7"/>
    <w:rsid w:val="00723E5B"/>
    <w:rsid w:val="00725003"/>
    <w:rsid w:val="007250A8"/>
    <w:rsid w:val="007303A5"/>
    <w:rsid w:val="00730B3E"/>
    <w:rsid w:val="0073271C"/>
    <w:rsid w:val="00734070"/>
    <w:rsid w:val="0073420B"/>
    <w:rsid w:val="00734899"/>
    <w:rsid w:val="007357BE"/>
    <w:rsid w:val="007359B4"/>
    <w:rsid w:val="00737C8B"/>
    <w:rsid w:val="007416DA"/>
    <w:rsid w:val="00741B70"/>
    <w:rsid w:val="0074402F"/>
    <w:rsid w:val="007440CC"/>
    <w:rsid w:val="0074685D"/>
    <w:rsid w:val="0074760E"/>
    <w:rsid w:val="00754ABA"/>
    <w:rsid w:val="00760F9F"/>
    <w:rsid w:val="007648EA"/>
    <w:rsid w:val="00767726"/>
    <w:rsid w:val="00770B71"/>
    <w:rsid w:val="007715DA"/>
    <w:rsid w:val="00772373"/>
    <w:rsid w:val="00772C82"/>
    <w:rsid w:val="007734A1"/>
    <w:rsid w:val="00776B38"/>
    <w:rsid w:val="00782EC9"/>
    <w:rsid w:val="00783EA9"/>
    <w:rsid w:val="00786518"/>
    <w:rsid w:val="00787117"/>
    <w:rsid w:val="00790C50"/>
    <w:rsid w:val="00791C13"/>
    <w:rsid w:val="00795131"/>
    <w:rsid w:val="00795354"/>
    <w:rsid w:val="007A1546"/>
    <w:rsid w:val="007A228C"/>
    <w:rsid w:val="007A2807"/>
    <w:rsid w:val="007A368E"/>
    <w:rsid w:val="007A5868"/>
    <w:rsid w:val="007A60F4"/>
    <w:rsid w:val="007A7C0D"/>
    <w:rsid w:val="007B04CE"/>
    <w:rsid w:val="007B1CF3"/>
    <w:rsid w:val="007B3D87"/>
    <w:rsid w:val="007B49B3"/>
    <w:rsid w:val="007B598C"/>
    <w:rsid w:val="007B6871"/>
    <w:rsid w:val="007B6897"/>
    <w:rsid w:val="007B7086"/>
    <w:rsid w:val="007C0031"/>
    <w:rsid w:val="007C1C13"/>
    <w:rsid w:val="007C339D"/>
    <w:rsid w:val="007C3D33"/>
    <w:rsid w:val="007C4332"/>
    <w:rsid w:val="007C76DD"/>
    <w:rsid w:val="007C7DE2"/>
    <w:rsid w:val="007D294A"/>
    <w:rsid w:val="007D37F2"/>
    <w:rsid w:val="007D47D2"/>
    <w:rsid w:val="007D53DC"/>
    <w:rsid w:val="007D6EC0"/>
    <w:rsid w:val="007D7E1D"/>
    <w:rsid w:val="007E0687"/>
    <w:rsid w:val="007E19C5"/>
    <w:rsid w:val="007E4AD1"/>
    <w:rsid w:val="007E4AF2"/>
    <w:rsid w:val="007E5FA1"/>
    <w:rsid w:val="007E7D5D"/>
    <w:rsid w:val="007E7E14"/>
    <w:rsid w:val="007F0BED"/>
    <w:rsid w:val="007F0DB8"/>
    <w:rsid w:val="007F2069"/>
    <w:rsid w:val="007F4AEF"/>
    <w:rsid w:val="007F616E"/>
    <w:rsid w:val="00802196"/>
    <w:rsid w:val="00803C85"/>
    <w:rsid w:val="00805165"/>
    <w:rsid w:val="00806097"/>
    <w:rsid w:val="008063BA"/>
    <w:rsid w:val="00810730"/>
    <w:rsid w:val="0081133E"/>
    <w:rsid w:val="00813B1D"/>
    <w:rsid w:val="00813E14"/>
    <w:rsid w:val="00815C72"/>
    <w:rsid w:val="00821DFA"/>
    <w:rsid w:val="008229B7"/>
    <w:rsid w:val="008260B5"/>
    <w:rsid w:val="008356D5"/>
    <w:rsid w:val="00840D2E"/>
    <w:rsid w:val="00843664"/>
    <w:rsid w:val="00846DD2"/>
    <w:rsid w:val="008522B7"/>
    <w:rsid w:val="008568CB"/>
    <w:rsid w:val="00863230"/>
    <w:rsid w:val="008717D8"/>
    <w:rsid w:val="0087188D"/>
    <w:rsid w:val="0087215C"/>
    <w:rsid w:val="00874F2C"/>
    <w:rsid w:val="00884A4D"/>
    <w:rsid w:val="008875FE"/>
    <w:rsid w:val="00887F8E"/>
    <w:rsid w:val="00890195"/>
    <w:rsid w:val="00890B4F"/>
    <w:rsid w:val="00893193"/>
    <w:rsid w:val="00896234"/>
    <w:rsid w:val="00896AA2"/>
    <w:rsid w:val="00897E43"/>
    <w:rsid w:val="00897FD4"/>
    <w:rsid w:val="008A089A"/>
    <w:rsid w:val="008A3367"/>
    <w:rsid w:val="008A3855"/>
    <w:rsid w:val="008A3AB1"/>
    <w:rsid w:val="008A3ABA"/>
    <w:rsid w:val="008B2ED4"/>
    <w:rsid w:val="008C2559"/>
    <w:rsid w:val="008C3782"/>
    <w:rsid w:val="008C4731"/>
    <w:rsid w:val="008C5738"/>
    <w:rsid w:val="008C736A"/>
    <w:rsid w:val="008C7EAD"/>
    <w:rsid w:val="008D54B1"/>
    <w:rsid w:val="008D5C2E"/>
    <w:rsid w:val="008D6152"/>
    <w:rsid w:val="008E24AF"/>
    <w:rsid w:val="008E66BF"/>
    <w:rsid w:val="008F0F81"/>
    <w:rsid w:val="008F443B"/>
    <w:rsid w:val="009063E3"/>
    <w:rsid w:val="00912276"/>
    <w:rsid w:val="00912AA5"/>
    <w:rsid w:val="009149A2"/>
    <w:rsid w:val="009153F1"/>
    <w:rsid w:val="00915677"/>
    <w:rsid w:val="00915D01"/>
    <w:rsid w:val="0092047A"/>
    <w:rsid w:val="00921204"/>
    <w:rsid w:val="00923540"/>
    <w:rsid w:val="00926767"/>
    <w:rsid w:val="00927DDD"/>
    <w:rsid w:val="00931D86"/>
    <w:rsid w:val="00934412"/>
    <w:rsid w:val="00935D0A"/>
    <w:rsid w:val="009361D5"/>
    <w:rsid w:val="009405D5"/>
    <w:rsid w:val="00943014"/>
    <w:rsid w:val="0094377F"/>
    <w:rsid w:val="00945AEA"/>
    <w:rsid w:val="00947A51"/>
    <w:rsid w:val="00952A41"/>
    <w:rsid w:val="009601C1"/>
    <w:rsid w:val="00963668"/>
    <w:rsid w:val="009659F4"/>
    <w:rsid w:val="00967514"/>
    <w:rsid w:val="00970CD5"/>
    <w:rsid w:val="00970D60"/>
    <w:rsid w:val="00975908"/>
    <w:rsid w:val="00976682"/>
    <w:rsid w:val="00982552"/>
    <w:rsid w:val="00982581"/>
    <w:rsid w:val="00984F36"/>
    <w:rsid w:val="00985280"/>
    <w:rsid w:val="00985819"/>
    <w:rsid w:val="0098608C"/>
    <w:rsid w:val="00991408"/>
    <w:rsid w:val="009945CB"/>
    <w:rsid w:val="00995C28"/>
    <w:rsid w:val="00996BE7"/>
    <w:rsid w:val="009A546B"/>
    <w:rsid w:val="009A59A6"/>
    <w:rsid w:val="009A5F21"/>
    <w:rsid w:val="009A6597"/>
    <w:rsid w:val="009A7ADC"/>
    <w:rsid w:val="009B1CB9"/>
    <w:rsid w:val="009B38D5"/>
    <w:rsid w:val="009B6B52"/>
    <w:rsid w:val="009B70F1"/>
    <w:rsid w:val="009C19B7"/>
    <w:rsid w:val="009C1F7D"/>
    <w:rsid w:val="009C401F"/>
    <w:rsid w:val="009D3CF8"/>
    <w:rsid w:val="009D53F2"/>
    <w:rsid w:val="009D7C51"/>
    <w:rsid w:val="009E0622"/>
    <w:rsid w:val="009E1315"/>
    <w:rsid w:val="009E1A0E"/>
    <w:rsid w:val="009E2EB0"/>
    <w:rsid w:val="009E3F46"/>
    <w:rsid w:val="009F2553"/>
    <w:rsid w:val="009F36BF"/>
    <w:rsid w:val="009F3980"/>
    <w:rsid w:val="00A01F2A"/>
    <w:rsid w:val="00A0320A"/>
    <w:rsid w:val="00A03C9E"/>
    <w:rsid w:val="00A05FE0"/>
    <w:rsid w:val="00A10243"/>
    <w:rsid w:val="00A111B6"/>
    <w:rsid w:val="00A2094D"/>
    <w:rsid w:val="00A2742A"/>
    <w:rsid w:val="00A318B6"/>
    <w:rsid w:val="00A33B71"/>
    <w:rsid w:val="00A42A99"/>
    <w:rsid w:val="00A4489A"/>
    <w:rsid w:val="00A4494B"/>
    <w:rsid w:val="00A47530"/>
    <w:rsid w:val="00A47602"/>
    <w:rsid w:val="00A5151A"/>
    <w:rsid w:val="00A54BFC"/>
    <w:rsid w:val="00A55C26"/>
    <w:rsid w:val="00A619A9"/>
    <w:rsid w:val="00A6632B"/>
    <w:rsid w:val="00A67FE0"/>
    <w:rsid w:val="00A70F8B"/>
    <w:rsid w:val="00A72D4F"/>
    <w:rsid w:val="00A73A67"/>
    <w:rsid w:val="00A80DF0"/>
    <w:rsid w:val="00A823F6"/>
    <w:rsid w:val="00A84B41"/>
    <w:rsid w:val="00A852F9"/>
    <w:rsid w:val="00A87BA5"/>
    <w:rsid w:val="00A91A3E"/>
    <w:rsid w:val="00A91DF7"/>
    <w:rsid w:val="00A91FC6"/>
    <w:rsid w:val="00A924D8"/>
    <w:rsid w:val="00A92663"/>
    <w:rsid w:val="00A97459"/>
    <w:rsid w:val="00AA0A89"/>
    <w:rsid w:val="00AA7319"/>
    <w:rsid w:val="00AB4FEC"/>
    <w:rsid w:val="00AB7364"/>
    <w:rsid w:val="00AC01AA"/>
    <w:rsid w:val="00AC1142"/>
    <w:rsid w:val="00AC3935"/>
    <w:rsid w:val="00AC4F72"/>
    <w:rsid w:val="00AD04BD"/>
    <w:rsid w:val="00AD295A"/>
    <w:rsid w:val="00AD50AA"/>
    <w:rsid w:val="00AD56BF"/>
    <w:rsid w:val="00AD7296"/>
    <w:rsid w:val="00AD74D4"/>
    <w:rsid w:val="00AE0B5F"/>
    <w:rsid w:val="00AE2F5A"/>
    <w:rsid w:val="00AE5144"/>
    <w:rsid w:val="00AE58E6"/>
    <w:rsid w:val="00AE655C"/>
    <w:rsid w:val="00AE7283"/>
    <w:rsid w:val="00AF2EF7"/>
    <w:rsid w:val="00AF3778"/>
    <w:rsid w:val="00AF5905"/>
    <w:rsid w:val="00AF741A"/>
    <w:rsid w:val="00B02351"/>
    <w:rsid w:val="00B03603"/>
    <w:rsid w:val="00B04161"/>
    <w:rsid w:val="00B056F9"/>
    <w:rsid w:val="00B07707"/>
    <w:rsid w:val="00B07F1A"/>
    <w:rsid w:val="00B102E3"/>
    <w:rsid w:val="00B10BA2"/>
    <w:rsid w:val="00B11E3D"/>
    <w:rsid w:val="00B13355"/>
    <w:rsid w:val="00B13D67"/>
    <w:rsid w:val="00B14137"/>
    <w:rsid w:val="00B1647A"/>
    <w:rsid w:val="00B17E82"/>
    <w:rsid w:val="00B20997"/>
    <w:rsid w:val="00B25221"/>
    <w:rsid w:val="00B260E8"/>
    <w:rsid w:val="00B3195E"/>
    <w:rsid w:val="00B3336D"/>
    <w:rsid w:val="00B37D09"/>
    <w:rsid w:val="00B40021"/>
    <w:rsid w:val="00B44406"/>
    <w:rsid w:val="00B454C4"/>
    <w:rsid w:val="00B479D1"/>
    <w:rsid w:val="00B55263"/>
    <w:rsid w:val="00B55E20"/>
    <w:rsid w:val="00B575BA"/>
    <w:rsid w:val="00B61D91"/>
    <w:rsid w:val="00B6496A"/>
    <w:rsid w:val="00B64E36"/>
    <w:rsid w:val="00B6765A"/>
    <w:rsid w:val="00B67711"/>
    <w:rsid w:val="00B72B81"/>
    <w:rsid w:val="00B758AB"/>
    <w:rsid w:val="00B76429"/>
    <w:rsid w:val="00B77BB7"/>
    <w:rsid w:val="00B82D52"/>
    <w:rsid w:val="00B84E8E"/>
    <w:rsid w:val="00B86702"/>
    <w:rsid w:val="00B87F83"/>
    <w:rsid w:val="00B87FD8"/>
    <w:rsid w:val="00B90D7A"/>
    <w:rsid w:val="00B956D4"/>
    <w:rsid w:val="00BA0D38"/>
    <w:rsid w:val="00BA2BDC"/>
    <w:rsid w:val="00BA7432"/>
    <w:rsid w:val="00BA7BEF"/>
    <w:rsid w:val="00BB03E6"/>
    <w:rsid w:val="00BB7035"/>
    <w:rsid w:val="00BB7C1F"/>
    <w:rsid w:val="00BC1AA0"/>
    <w:rsid w:val="00BC3835"/>
    <w:rsid w:val="00BC6A55"/>
    <w:rsid w:val="00BC6D5D"/>
    <w:rsid w:val="00BC6E4D"/>
    <w:rsid w:val="00BC7EB9"/>
    <w:rsid w:val="00BD2643"/>
    <w:rsid w:val="00BD42C2"/>
    <w:rsid w:val="00BD43CD"/>
    <w:rsid w:val="00BD6464"/>
    <w:rsid w:val="00BD6558"/>
    <w:rsid w:val="00BD7287"/>
    <w:rsid w:val="00BD7B60"/>
    <w:rsid w:val="00BE02FD"/>
    <w:rsid w:val="00BE08BF"/>
    <w:rsid w:val="00BE2209"/>
    <w:rsid w:val="00BE3C0E"/>
    <w:rsid w:val="00BF1996"/>
    <w:rsid w:val="00BF1F7C"/>
    <w:rsid w:val="00BF1FAA"/>
    <w:rsid w:val="00BF3214"/>
    <w:rsid w:val="00BF71DE"/>
    <w:rsid w:val="00BF7E5F"/>
    <w:rsid w:val="00C00DB1"/>
    <w:rsid w:val="00C01C48"/>
    <w:rsid w:val="00C04648"/>
    <w:rsid w:val="00C06FED"/>
    <w:rsid w:val="00C11CD9"/>
    <w:rsid w:val="00C11D7E"/>
    <w:rsid w:val="00C14E85"/>
    <w:rsid w:val="00C15867"/>
    <w:rsid w:val="00C1674D"/>
    <w:rsid w:val="00C17298"/>
    <w:rsid w:val="00C2296D"/>
    <w:rsid w:val="00C23155"/>
    <w:rsid w:val="00C2402F"/>
    <w:rsid w:val="00C2435F"/>
    <w:rsid w:val="00C33206"/>
    <w:rsid w:val="00C334CC"/>
    <w:rsid w:val="00C40C41"/>
    <w:rsid w:val="00C43175"/>
    <w:rsid w:val="00C447EC"/>
    <w:rsid w:val="00C45885"/>
    <w:rsid w:val="00C4641F"/>
    <w:rsid w:val="00C50F22"/>
    <w:rsid w:val="00C57971"/>
    <w:rsid w:val="00C66318"/>
    <w:rsid w:val="00C6751F"/>
    <w:rsid w:val="00C67A87"/>
    <w:rsid w:val="00C71BC0"/>
    <w:rsid w:val="00C71DE8"/>
    <w:rsid w:val="00C730F9"/>
    <w:rsid w:val="00C73C42"/>
    <w:rsid w:val="00C73EFF"/>
    <w:rsid w:val="00C76BA4"/>
    <w:rsid w:val="00C804BE"/>
    <w:rsid w:val="00C83A48"/>
    <w:rsid w:val="00C848EA"/>
    <w:rsid w:val="00C85865"/>
    <w:rsid w:val="00C85E85"/>
    <w:rsid w:val="00C92C8C"/>
    <w:rsid w:val="00C968FA"/>
    <w:rsid w:val="00CA2EAE"/>
    <w:rsid w:val="00CA34D4"/>
    <w:rsid w:val="00CA3A9B"/>
    <w:rsid w:val="00CA4AC1"/>
    <w:rsid w:val="00CA6F72"/>
    <w:rsid w:val="00CB0316"/>
    <w:rsid w:val="00CB0317"/>
    <w:rsid w:val="00CB0B11"/>
    <w:rsid w:val="00CB2633"/>
    <w:rsid w:val="00CB46B8"/>
    <w:rsid w:val="00CB4945"/>
    <w:rsid w:val="00CB4A18"/>
    <w:rsid w:val="00CB5354"/>
    <w:rsid w:val="00CC14A1"/>
    <w:rsid w:val="00CC4AE5"/>
    <w:rsid w:val="00CC6A14"/>
    <w:rsid w:val="00CC6E10"/>
    <w:rsid w:val="00CC70A3"/>
    <w:rsid w:val="00CC7F83"/>
    <w:rsid w:val="00CD53C3"/>
    <w:rsid w:val="00CD55DA"/>
    <w:rsid w:val="00CD574E"/>
    <w:rsid w:val="00CE49F4"/>
    <w:rsid w:val="00CE4C22"/>
    <w:rsid w:val="00CE63BF"/>
    <w:rsid w:val="00CE63CC"/>
    <w:rsid w:val="00CE756E"/>
    <w:rsid w:val="00CF2563"/>
    <w:rsid w:val="00CF41EC"/>
    <w:rsid w:val="00CF5D04"/>
    <w:rsid w:val="00CF613E"/>
    <w:rsid w:val="00D039B1"/>
    <w:rsid w:val="00D04DE4"/>
    <w:rsid w:val="00D04ECA"/>
    <w:rsid w:val="00D063F1"/>
    <w:rsid w:val="00D14F22"/>
    <w:rsid w:val="00D21107"/>
    <w:rsid w:val="00D21677"/>
    <w:rsid w:val="00D23345"/>
    <w:rsid w:val="00D242A3"/>
    <w:rsid w:val="00D24723"/>
    <w:rsid w:val="00D249C4"/>
    <w:rsid w:val="00D278A3"/>
    <w:rsid w:val="00D31777"/>
    <w:rsid w:val="00D340B2"/>
    <w:rsid w:val="00D42237"/>
    <w:rsid w:val="00D47089"/>
    <w:rsid w:val="00D4718A"/>
    <w:rsid w:val="00D50D20"/>
    <w:rsid w:val="00D50D31"/>
    <w:rsid w:val="00D57918"/>
    <w:rsid w:val="00D620FF"/>
    <w:rsid w:val="00D644A6"/>
    <w:rsid w:val="00D731B5"/>
    <w:rsid w:val="00D73DC6"/>
    <w:rsid w:val="00D7430E"/>
    <w:rsid w:val="00D74C1A"/>
    <w:rsid w:val="00D75205"/>
    <w:rsid w:val="00D754C1"/>
    <w:rsid w:val="00D77A35"/>
    <w:rsid w:val="00D800D5"/>
    <w:rsid w:val="00D81494"/>
    <w:rsid w:val="00D81B3E"/>
    <w:rsid w:val="00D90C70"/>
    <w:rsid w:val="00D90E49"/>
    <w:rsid w:val="00D92673"/>
    <w:rsid w:val="00DA11A5"/>
    <w:rsid w:val="00DA166F"/>
    <w:rsid w:val="00DA53FF"/>
    <w:rsid w:val="00DA7718"/>
    <w:rsid w:val="00DB01E9"/>
    <w:rsid w:val="00DB6539"/>
    <w:rsid w:val="00DB7F4F"/>
    <w:rsid w:val="00DC2A72"/>
    <w:rsid w:val="00DC3098"/>
    <w:rsid w:val="00DC692A"/>
    <w:rsid w:val="00DC6A10"/>
    <w:rsid w:val="00DC6D65"/>
    <w:rsid w:val="00DD05A5"/>
    <w:rsid w:val="00DD502B"/>
    <w:rsid w:val="00DE13F5"/>
    <w:rsid w:val="00DE1887"/>
    <w:rsid w:val="00DE1D5E"/>
    <w:rsid w:val="00DE258C"/>
    <w:rsid w:val="00DE2CC3"/>
    <w:rsid w:val="00DE2EB8"/>
    <w:rsid w:val="00DE3835"/>
    <w:rsid w:val="00DE3F39"/>
    <w:rsid w:val="00DE4AE0"/>
    <w:rsid w:val="00DE5F34"/>
    <w:rsid w:val="00DE657E"/>
    <w:rsid w:val="00DE7307"/>
    <w:rsid w:val="00DF1D98"/>
    <w:rsid w:val="00DF4704"/>
    <w:rsid w:val="00DF6528"/>
    <w:rsid w:val="00E0061C"/>
    <w:rsid w:val="00E013D5"/>
    <w:rsid w:val="00E024AA"/>
    <w:rsid w:val="00E06673"/>
    <w:rsid w:val="00E07A64"/>
    <w:rsid w:val="00E10975"/>
    <w:rsid w:val="00E11474"/>
    <w:rsid w:val="00E125FB"/>
    <w:rsid w:val="00E14D1D"/>
    <w:rsid w:val="00E1693E"/>
    <w:rsid w:val="00E16D12"/>
    <w:rsid w:val="00E20584"/>
    <w:rsid w:val="00E217AA"/>
    <w:rsid w:val="00E250F1"/>
    <w:rsid w:val="00E25408"/>
    <w:rsid w:val="00E26B1A"/>
    <w:rsid w:val="00E32E6B"/>
    <w:rsid w:val="00E33106"/>
    <w:rsid w:val="00E34091"/>
    <w:rsid w:val="00E3550D"/>
    <w:rsid w:val="00E446C6"/>
    <w:rsid w:val="00E50035"/>
    <w:rsid w:val="00E53175"/>
    <w:rsid w:val="00E57893"/>
    <w:rsid w:val="00E614E0"/>
    <w:rsid w:val="00E72DD6"/>
    <w:rsid w:val="00E73F7F"/>
    <w:rsid w:val="00E746D5"/>
    <w:rsid w:val="00E812BB"/>
    <w:rsid w:val="00E965E3"/>
    <w:rsid w:val="00EA2887"/>
    <w:rsid w:val="00EA429F"/>
    <w:rsid w:val="00EA4F9E"/>
    <w:rsid w:val="00EA5557"/>
    <w:rsid w:val="00EA6D3B"/>
    <w:rsid w:val="00EB00AD"/>
    <w:rsid w:val="00EB02F5"/>
    <w:rsid w:val="00EB03E7"/>
    <w:rsid w:val="00EB136C"/>
    <w:rsid w:val="00EB3D59"/>
    <w:rsid w:val="00EB480E"/>
    <w:rsid w:val="00EB5EC6"/>
    <w:rsid w:val="00EB6BDA"/>
    <w:rsid w:val="00EB74ED"/>
    <w:rsid w:val="00EB7B36"/>
    <w:rsid w:val="00EB7FC9"/>
    <w:rsid w:val="00EC0039"/>
    <w:rsid w:val="00ED408D"/>
    <w:rsid w:val="00ED45F1"/>
    <w:rsid w:val="00ED7137"/>
    <w:rsid w:val="00ED7A2B"/>
    <w:rsid w:val="00EE191C"/>
    <w:rsid w:val="00EE2119"/>
    <w:rsid w:val="00EE7380"/>
    <w:rsid w:val="00EF3175"/>
    <w:rsid w:val="00EF5684"/>
    <w:rsid w:val="00EF65CE"/>
    <w:rsid w:val="00EF705B"/>
    <w:rsid w:val="00F00349"/>
    <w:rsid w:val="00F01CE5"/>
    <w:rsid w:val="00F036EB"/>
    <w:rsid w:val="00F036FF"/>
    <w:rsid w:val="00F03BD5"/>
    <w:rsid w:val="00F0459E"/>
    <w:rsid w:val="00F04EEC"/>
    <w:rsid w:val="00F064EF"/>
    <w:rsid w:val="00F07236"/>
    <w:rsid w:val="00F07B67"/>
    <w:rsid w:val="00F1248E"/>
    <w:rsid w:val="00F12CA2"/>
    <w:rsid w:val="00F14041"/>
    <w:rsid w:val="00F16279"/>
    <w:rsid w:val="00F21088"/>
    <w:rsid w:val="00F2351E"/>
    <w:rsid w:val="00F327E7"/>
    <w:rsid w:val="00F32A5F"/>
    <w:rsid w:val="00F34966"/>
    <w:rsid w:val="00F35284"/>
    <w:rsid w:val="00F35746"/>
    <w:rsid w:val="00F36371"/>
    <w:rsid w:val="00F36C78"/>
    <w:rsid w:val="00F41701"/>
    <w:rsid w:val="00F435B3"/>
    <w:rsid w:val="00F43B2B"/>
    <w:rsid w:val="00F447C7"/>
    <w:rsid w:val="00F554A9"/>
    <w:rsid w:val="00F60CC4"/>
    <w:rsid w:val="00F67F6F"/>
    <w:rsid w:val="00F70C2D"/>
    <w:rsid w:val="00F70DCB"/>
    <w:rsid w:val="00F716FD"/>
    <w:rsid w:val="00F721B6"/>
    <w:rsid w:val="00F75C5F"/>
    <w:rsid w:val="00F77841"/>
    <w:rsid w:val="00F80355"/>
    <w:rsid w:val="00F80496"/>
    <w:rsid w:val="00F81E24"/>
    <w:rsid w:val="00F91A78"/>
    <w:rsid w:val="00F924A5"/>
    <w:rsid w:val="00F9314E"/>
    <w:rsid w:val="00FA1805"/>
    <w:rsid w:val="00FA2652"/>
    <w:rsid w:val="00FA29EE"/>
    <w:rsid w:val="00FA31C1"/>
    <w:rsid w:val="00FA54D3"/>
    <w:rsid w:val="00FA6349"/>
    <w:rsid w:val="00FB0C81"/>
    <w:rsid w:val="00FB27D8"/>
    <w:rsid w:val="00FC2200"/>
    <w:rsid w:val="00FC2540"/>
    <w:rsid w:val="00FD1BF9"/>
    <w:rsid w:val="00FD3B2A"/>
    <w:rsid w:val="00FD3DCC"/>
    <w:rsid w:val="00FD4012"/>
    <w:rsid w:val="00FD55FE"/>
    <w:rsid w:val="00FD7F76"/>
    <w:rsid w:val="00FE09A1"/>
    <w:rsid w:val="00FE2449"/>
    <w:rsid w:val="00FE3364"/>
    <w:rsid w:val="00FF0204"/>
    <w:rsid w:val="00FF0B73"/>
    <w:rsid w:val="00FF1B8E"/>
    <w:rsid w:val="00FF3AED"/>
    <w:rsid w:val="00FF52CB"/>
    <w:rsid w:val="00FF5867"/>
    <w:rsid w:val="00FF5C6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EB0354"/>
  <w15:chartTrackingRefBased/>
  <w15:docId w15:val="{3B4D57C1-9390-4DA7-8469-C2DDB30D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A"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25"/>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25"/>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25"/>
      </w:numPr>
      <w:spacing w:before="240" w:after="60"/>
      <w:outlineLvl w:val="3"/>
    </w:pPr>
  </w:style>
  <w:style w:type="paragraph" w:styleId="Heading5">
    <w:name w:val="heading 5"/>
    <w:basedOn w:val="Normal"/>
    <w:next w:val="Normal"/>
    <w:link w:val="Heading5Char"/>
    <w:qFormat/>
    <w:rsid w:val="00821DFA"/>
    <w:pPr>
      <w:numPr>
        <w:ilvl w:val="4"/>
        <w:numId w:val="25"/>
      </w:numPr>
      <w:spacing w:after="240"/>
      <w:outlineLvl w:val="4"/>
    </w:pPr>
  </w:style>
  <w:style w:type="paragraph" w:styleId="Heading6">
    <w:name w:val="heading 6"/>
    <w:basedOn w:val="Normal"/>
    <w:next w:val="Normal"/>
    <w:link w:val="Heading6Char"/>
    <w:qFormat/>
    <w:rsid w:val="00A5151A"/>
    <w:pPr>
      <w:numPr>
        <w:ilvl w:val="5"/>
        <w:numId w:val="25"/>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5"/>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2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fr-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fr-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fr-CA"/>
    </w:rPr>
  </w:style>
  <w:style w:type="character" w:customStyle="1" w:styleId="Heading5Char">
    <w:name w:val="Heading 5 Char"/>
    <w:basedOn w:val="DefaultParagraphFont"/>
    <w:link w:val="Heading5"/>
    <w:rsid w:val="00821DFA"/>
    <w:rPr>
      <w:sz w:val="22"/>
      <w:szCs w:val="22"/>
      <w:lang w:val="fr-CA"/>
    </w:rPr>
  </w:style>
  <w:style w:type="character" w:customStyle="1" w:styleId="Heading6Char">
    <w:name w:val="Heading 6 Char"/>
    <w:basedOn w:val="DefaultParagraphFont"/>
    <w:link w:val="Heading6"/>
    <w:rsid w:val="00720EE7"/>
    <w:rPr>
      <w:rFonts w:ascii="Arial" w:hAnsi="Arial"/>
      <w:i/>
      <w:sz w:val="22"/>
      <w:szCs w:val="22"/>
      <w:lang w:val="fr-CA"/>
    </w:rPr>
  </w:style>
  <w:style w:type="character" w:customStyle="1" w:styleId="Heading7Char">
    <w:name w:val="Heading 7 Char"/>
    <w:basedOn w:val="DefaultParagraphFont"/>
    <w:link w:val="Heading7"/>
    <w:rsid w:val="00720EE7"/>
    <w:rPr>
      <w:rFonts w:ascii="Arial" w:hAnsi="Arial"/>
      <w:sz w:val="22"/>
      <w:szCs w:val="22"/>
      <w:lang w:val="fr-CA"/>
    </w:rPr>
  </w:style>
  <w:style w:type="character" w:customStyle="1" w:styleId="Heading8Char">
    <w:name w:val="Heading 8 Char"/>
    <w:basedOn w:val="DefaultParagraphFont"/>
    <w:link w:val="Heading8"/>
    <w:rsid w:val="00720EE7"/>
    <w:rPr>
      <w:b/>
      <w:sz w:val="22"/>
      <w:szCs w:val="22"/>
      <w:lang w:val="fr-CA"/>
    </w:rPr>
  </w:style>
  <w:style w:type="character" w:customStyle="1" w:styleId="Heading9Char">
    <w:name w:val="Heading 9 Char"/>
    <w:basedOn w:val="DefaultParagraphFont"/>
    <w:link w:val="Heading9"/>
    <w:rsid w:val="00720EE7"/>
    <w:rPr>
      <w:rFonts w:ascii="Arial" w:hAnsi="Arial"/>
      <w:i/>
      <w:sz w:val="18"/>
      <w:szCs w:val="22"/>
      <w:lang w:val="fr-CA"/>
    </w:rPr>
  </w:style>
  <w:style w:type="numbering" w:customStyle="1" w:styleId="1111111">
    <w:name w:val="1 / 1.1 / 1.1.11"/>
    <w:basedOn w:val="NoList"/>
    <w:next w:val="111111"/>
    <w:semiHidden/>
    <w:rsid w:val="00720EE7"/>
    <w:pPr>
      <w:numPr>
        <w:numId w:val="8"/>
      </w:numPr>
    </w:pPr>
  </w:style>
  <w:style w:type="character" w:customStyle="1" w:styleId="HeaderChar">
    <w:name w:val="Header Char"/>
    <w:basedOn w:val="DefaultParagraphFont"/>
    <w:link w:val="Header"/>
    <w:rsid w:val="00720EE7"/>
    <w:rPr>
      <w:sz w:val="22"/>
      <w:szCs w:val="22"/>
      <w:lang w:val="fr-CA"/>
    </w:rPr>
  </w:style>
  <w:style w:type="character" w:customStyle="1" w:styleId="FooterChar">
    <w:name w:val="Footer Char"/>
    <w:basedOn w:val="DefaultParagraphFont"/>
    <w:link w:val="Footer"/>
    <w:uiPriority w:val="99"/>
    <w:rsid w:val="00720EE7"/>
    <w:rPr>
      <w:sz w:val="22"/>
      <w:szCs w:val="22"/>
      <w:lang w:val="fr-CA"/>
    </w:rPr>
  </w:style>
  <w:style w:type="numbering" w:customStyle="1" w:styleId="1ai1">
    <w:name w:val="1 / a / i1"/>
    <w:basedOn w:val="NoList"/>
    <w:next w:val="1ai"/>
    <w:semiHidden/>
    <w:rsid w:val="00720EE7"/>
    <w:pPr>
      <w:numPr>
        <w:numId w:val="9"/>
      </w:numPr>
    </w:pPr>
  </w:style>
  <w:style w:type="numbering" w:customStyle="1" w:styleId="ArticleSection1">
    <w:name w:val="Article / Section1"/>
    <w:basedOn w:val="NoList"/>
    <w:next w:val="ArticleSection"/>
    <w:semiHidden/>
    <w:rsid w:val="00720EE7"/>
    <w:pPr>
      <w:numPr>
        <w:numId w:val="10"/>
      </w:numPr>
    </w:pPr>
  </w:style>
  <w:style w:type="character" w:customStyle="1" w:styleId="BodyText3Char">
    <w:name w:val="Body Text 3 Char"/>
    <w:basedOn w:val="DefaultParagraphFont"/>
    <w:link w:val="BodyText3"/>
    <w:semiHidden/>
    <w:rsid w:val="00720EE7"/>
    <w:rPr>
      <w:sz w:val="16"/>
      <w:szCs w:val="16"/>
      <w:lang w:val="fr-CA"/>
    </w:rPr>
  </w:style>
  <w:style w:type="character" w:customStyle="1" w:styleId="BodyTextIndent3Char">
    <w:name w:val="Body Text Indent 3 Char"/>
    <w:basedOn w:val="DefaultParagraphFont"/>
    <w:link w:val="BodyTextIndent3"/>
    <w:semiHidden/>
    <w:rsid w:val="00720EE7"/>
    <w:rPr>
      <w:sz w:val="16"/>
      <w:szCs w:val="16"/>
      <w:lang w:val="fr-CA"/>
    </w:rPr>
  </w:style>
  <w:style w:type="character" w:customStyle="1" w:styleId="PlainTextChar">
    <w:name w:val="Plain Text Char"/>
    <w:basedOn w:val="DefaultParagraphFont"/>
    <w:link w:val="PlainText"/>
    <w:semiHidden/>
    <w:rsid w:val="00720EE7"/>
    <w:rPr>
      <w:rFonts w:ascii="Courier New" w:hAnsi="Courier New" w:cs="Courier New"/>
      <w:szCs w:val="22"/>
      <w:lang w:val="fr-CA"/>
    </w:rPr>
  </w:style>
  <w:style w:type="character" w:customStyle="1" w:styleId="SubtitleChar">
    <w:name w:val="Subtitle Char"/>
    <w:basedOn w:val="DefaultParagraphFont"/>
    <w:link w:val="Subtitle"/>
    <w:rsid w:val="00720EE7"/>
    <w:rPr>
      <w:rFonts w:ascii="Arial" w:hAnsi="Arial" w:cs="Arial"/>
      <w:sz w:val="22"/>
      <w:szCs w:val="22"/>
      <w:lang w:val="fr-CA"/>
    </w:rPr>
  </w:style>
  <w:style w:type="character" w:customStyle="1" w:styleId="TitleChar">
    <w:name w:val="Title Char"/>
    <w:basedOn w:val="DefaultParagraphFont"/>
    <w:link w:val="Title"/>
    <w:rsid w:val="00720EE7"/>
    <w:rPr>
      <w:rFonts w:ascii="Arial" w:hAnsi="Arial" w:cs="Arial"/>
      <w:b/>
      <w:bCs/>
      <w:kern w:val="28"/>
      <w:sz w:val="22"/>
      <w:szCs w:val="22"/>
      <w:lang w:val="fr-CA"/>
    </w:rPr>
  </w:style>
  <w:style w:type="character" w:customStyle="1" w:styleId="DateChar">
    <w:name w:val="Date Char"/>
    <w:basedOn w:val="DefaultParagraphFont"/>
    <w:link w:val="Date"/>
    <w:rsid w:val="00720EE7"/>
    <w:rPr>
      <w:sz w:val="22"/>
      <w:szCs w:val="22"/>
      <w:lang w:val="fr-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fr-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fr-CA"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1211E7"/>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1211E7"/>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211E7"/>
    <w:rPr>
      <w:rFonts w:eastAsia="Times New Roman"/>
      <w:sz w:val="20"/>
      <w:szCs w:val="20"/>
      <w:lang w:eastAsia="en-US"/>
    </w:rPr>
  </w:style>
  <w:style w:type="character" w:customStyle="1" w:styleId="EndnoteTextChar">
    <w:name w:val="Endnote Text Char"/>
    <w:basedOn w:val="DefaultParagraphFont"/>
    <w:link w:val="EndnoteText"/>
    <w:uiPriority w:val="99"/>
    <w:semiHidden/>
    <w:rsid w:val="001211E7"/>
    <w:rPr>
      <w:rFonts w:eastAsia="Times New Roman"/>
      <w:lang w:val="fr-CA" w:eastAsia="en-US"/>
    </w:rPr>
  </w:style>
  <w:style w:type="character" w:styleId="EndnoteReference">
    <w:name w:val="endnote reference"/>
    <w:basedOn w:val="DefaultParagraphFont"/>
    <w:uiPriority w:val="99"/>
    <w:semiHidden/>
    <w:unhideWhenUsed/>
    <w:rsid w:val="001211E7"/>
    <w:rPr>
      <w:vertAlign w:val="superscript"/>
    </w:rPr>
  </w:style>
  <w:style w:type="character" w:customStyle="1" w:styleId="ui-provider">
    <w:name w:val="ui-provider"/>
    <w:basedOn w:val="DefaultParagraphFont"/>
    <w:rsid w:val="001211E7"/>
  </w:style>
  <w:style w:type="paragraph" w:styleId="Caption">
    <w:name w:val="caption"/>
    <w:basedOn w:val="Normal"/>
    <w:next w:val="Normal"/>
    <w:uiPriority w:val="35"/>
    <w:qFormat/>
    <w:rsid w:val="001211E7"/>
    <w:pPr>
      <w:spacing w:after="80"/>
      <w:jc w:val="center"/>
    </w:pPr>
    <w:rPr>
      <w:rFonts w:eastAsia="Times New Roman"/>
      <w:bCs/>
      <w:color w:val="7F7F7F" w:themeColor="text1" w:themeTint="80"/>
      <w:sz w:val="20"/>
      <w:lang w:eastAsia="es-MX"/>
    </w:rPr>
  </w:style>
  <w:style w:type="paragraph" w:customStyle="1" w:styleId="Footer1">
    <w:name w:val="Footer1"/>
    <w:basedOn w:val="Normal"/>
    <w:rsid w:val="001211E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eastAsia="en-US"/>
    </w:rPr>
  </w:style>
  <w:style w:type="table" w:customStyle="1" w:styleId="8">
    <w:name w:val="8"/>
    <w:basedOn w:val="TableNormal"/>
    <w:rsid w:val="001211E7"/>
    <w:rPr>
      <w:rFonts w:eastAsia="Times New Roman"/>
      <w:sz w:val="22"/>
      <w:szCs w:val="22"/>
      <w:lang w:eastAsia="es-MX"/>
    </w:rPr>
    <w:tblPr>
      <w:tblStyleRowBandSize w:val="1"/>
      <w:tblStyleColBandSize w:val="1"/>
      <w:tblInd w:w="0" w:type="nil"/>
      <w:tblCellMar>
        <w:top w:w="100" w:type="dxa"/>
        <w:left w:w="100" w:type="dxa"/>
        <w:bottom w:w="100" w:type="dxa"/>
        <w:right w:w="100" w:type="dxa"/>
      </w:tblCellMar>
    </w:tblPr>
  </w:style>
  <w:style w:type="table" w:customStyle="1" w:styleId="1">
    <w:name w:val="学术论文的三线表1"/>
    <w:basedOn w:val="TableNormal"/>
    <w:next w:val="TableGrid"/>
    <w:qFormat/>
    <w:rsid w:val="001211E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ptBold">
    <w:name w:val="Style 10 pt Bold"/>
    <w:basedOn w:val="Normal"/>
    <w:rsid w:val="001211E7"/>
    <w:rPr>
      <w:rFonts w:eastAsia="Times New Roman"/>
      <w:b/>
      <w:bCs/>
      <w:sz w:val="20"/>
      <w:szCs w:val="20"/>
      <w:lang w:eastAsia="en-US"/>
    </w:rPr>
  </w:style>
  <w:style w:type="table" w:styleId="GridTable6Colorful">
    <w:name w:val="Grid Table 6 Colorful"/>
    <w:basedOn w:val="TableNormal"/>
    <w:uiPriority w:val="51"/>
    <w:rsid w:val="00A01F2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astertabel6kleurrijk1">
    <w:name w:val="Rastertabel 6 kleurrijk1"/>
    <w:basedOn w:val="TableNormal"/>
    <w:uiPriority w:val="51"/>
    <w:rsid w:val="00A54BFC"/>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alutation">
    <w:name w:val="Salutation"/>
    <w:basedOn w:val="Normal"/>
    <w:next w:val="Normal"/>
    <w:link w:val="SalutationChar"/>
    <w:uiPriority w:val="99"/>
    <w:semiHidden/>
    <w:unhideWhenUsed/>
    <w:rsid w:val="00A54BFC"/>
    <w:rPr>
      <w:lang w:val="en-CA"/>
    </w:rPr>
  </w:style>
  <w:style w:type="character" w:customStyle="1" w:styleId="SalutationChar">
    <w:name w:val="Salutation Char"/>
    <w:basedOn w:val="DefaultParagraphFont"/>
    <w:link w:val="Salutation"/>
    <w:uiPriority w:val="99"/>
    <w:semiHidden/>
    <w:rsid w:val="00A54BFC"/>
    <w:rPr>
      <w:sz w:val="22"/>
      <w:szCs w:val="22"/>
      <w:lang w:val="en-CA"/>
    </w:rPr>
  </w:style>
  <w:style w:type="paragraph" w:styleId="EnvelopeAddress">
    <w:name w:val="envelope address"/>
    <w:basedOn w:val="Normal"/>
    <w:uiPriority w:val="99"/>
    <w:semiHidden/>
    <w:unhideWhenUsed/>
    <w:rsid w:val="00A54BFC"/>
    <w:pPr>
      <w:framePr w:w="7920" w:h="1980" w:hRule="exact" w:hSpace="141" w:wrap="auto" w:hAnchor="page" w:xAlign="center" w:yAlign="bottom"/>
      <w:ind w:left="2880"/>
    </w:pPr>
    <w:rPr>
      <w:rFonts w:asciiTheme="majorHAnsi" w:eastAsiaTheme="majorEastAsia" w:hAnsiTheme="majorHAnsi" w:cstheme="majorBidi"/>
      <w:sz w:val="24"/>
      <w:szCs w:val="24"/>
      <w:lang w:val="en-CA"/>
    </w:rPr>
  </w:style>
  <w:style w:type="paragraph" w:styleId="Closing">
    <w:name w:val="Closing"/>
    <w:basedOn w:val="Normal"/>
    <w:link w:val="ClosingChar"/>
    <w:uiPriority w:val="99"/>
    <w:semiHidden/>
    <w:unhideWhenUsed/>
    <w:rsid w:val="00A54BFC"/>
    <w:pPr>
      <w:ind w:left="4252"/>
    </w:pPr>
    <w:rPr>
      <w:lang w:val="en-CA"/>
    </w:rPr>
  </w:style>
  <w:style w:type="character" w:customStyle="1" w:styleId="ClosingChar">
    <w:name w:val="Closing Char"/>
    <w:basedOn w:val="DefaultParagraphFont"/>
    <w:link w:val="Closing"/>
    <w:uiPriority w:val="99"/>
    <w:semiHidden/>
    <w:rsid w:val="00A54BFC"/>
    <w:rPr>
      <w:sz w:val="22"/>
      <w:szCs w:val="22"/>
      <w:lang w:val="en-CA"/>
    </w:rPr>
  </w:style>
  <w:style w:type="paragraph" w:styleId="EnvelopeReturn">
    <w:name w:val="envelope return"/>
    <w:basedOn w:val="Normal"/>
    <w:uiPriority w:val="99"/>
    <w:semiHidden/>
    <w:unhideWhenUsed/>
    <w:rsid w:val="00A54BFC"/>
    <w:rPr>
      <w:rFonts w:asciiTheme="majorHAnsi" w:eastAsiaTheme="majorEastAsia" w:hAnsiTheme="majorHAnsi" w:cstheme="majorBidi"/>
      <w:sz w:val="20"/>
      <w:szCs w:val="20"/>
      <w:lang w:val="en-CA"/>
    </w:rPr>
  </w:style>
  <w:style w:type="paragraph" w:styleId="MessageHeader">
    <w:name w:val="Message Header"/>
    <w:basedOn w:val="Normal"/>
    <w:link w:val="MessageHeaderChar"/>
    <w:uiPriority w:val="99"/>
    <w:semiHidden/>
    <w:unhideWhenUsed/>
    <w:rsid w:val="00A54BF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CA"/>
    </w:rPr>
  </w:style>
  <w:style w:type="character" w:customStyle="1" w:styleId="MessageHeaderChar">
    <w:name w:val="Message Header Char"/>
    <w:basedOn w:val="DefaultParagraphFont"/>
    <w:link w:val="MessageHeader"/>
    <w:uiPriority w:val="99"/>
    <w:semiHidden/>
    <w:rsid w:val="00A54BFC"/>
    <w:rPr>
      <w:rFonts w:asciiTheme="majorHAnsi" w:eastAsiaTheme="majorEastAsia" w:hAnsiTheme="majorHAnsi" w:cstheme="majorBidi"/>
      <w:sz w:val="24"/>
      <w:szCs w:val="24"/>
      <w:shd w:val="pct20" w:color="auto" w:fill="auto"/>
      <w:lang w:val="en-CA"/>
    </w:rPr>
  </w:style>
  <w:style w:type="paragraph" w:styleId="Bibliography">
    <w:name w:val="Bibliography"/>
    <w:basedOn w:val="Normal"/>
    <w:next w:val="Normal"/>
    <w:uiPriority w:val="37"/>
    <w:semiHidden/>
    <w:unhideWhenUsed/>
    <w:rsid w:val="00A54BFC"/>
    <w:rPr>
      <w:lang w:val="en-CA"/>
    </w:rPr>
  </w:style>
  <w:style w:type="paragraph" w:styleId="TableofAuthorities">
    <w:name w:val="table of authorities"/>
    <w:basedOn w:val="Normal"/>
    <w:next w:val="Normal"/>
    <w:uiPriority w:val="99"/>
    <w:semiHidden/>
    <w:unhideWhenUsed/>
    <w:rsid w:val="00A54BFC"/>
    <w:pPr>
      <w:ind w:left="220" w:hanging="220"/>
    </w:pPr>
    <w:rPr>
      <w:lang w:val="en-CA"/>
    </w:rPr>
  </w:style>
  <w:style w:type="paragraph" w:styleId="DocumentMap">
    <w:name w:val="Document Map"/>
    <w:basedOn w:val="Normal"/>
    <w:link w:val="DocumentMapChar"/>
    <w:uiPriority w:val="99"/>
    <w:semiHidden/>
    <w:unhideWhenUsed/>
    <w:rsid w:val="00A54BFC"/>
    <w:rPr>
      <w:rFonts w:ascii="Segoe UI" w:hAnsi="Segoe UI" w:cs="Segoe UI"/>
      <w:sz w:val="16"/>
      <w:szCs w:val="16"/>
      <w:lang w:val="en-CA"/>
    </w:rPr>
  </w:style>
  <w:style w:type="character" w:customStyle="1" w:styleId="DocumentMapChar">
    <w:name w:val="Document Map Char"/>
    <w:basedOn w:val="DefaultParagraphFont"/>
    <w:link w:val="DocumentMap"/>
    <w:uiPriority w:val="99"/>
    <w:semiHidden/>
    <w:rsid w:val="00A54BFC"/>
    <w:rPr>
      <w:rFonts w:ascii="Segoe UI" w:hAnsi="Segoe UI" w:cs="Segoe UI"/>
      <w:sz w:val="16"/>
      <w:szCs w:val="16"/>
      <w:lang w:val="en-CA"/>
    </w:rPr>
  </w:style>
  <w:style w:type="paragraph" w:styleId="IntenseQuote">
    <w:name w:val="Intense Quote"/>
    <w:basedOn w:val="Normal"/>
    <w:next w:val="Normal"/>
    <w:link w:val="IntenseQuoteChar"/>
    <w:uiPriority w:val="30"/>
    <w:qFormat/>
    <w:rsid w:val="00A54BFC"/>
    <w:pPr>
      <w:pBdr>
        <w:top w:val="single" w:sz="4" w:space="10" w:color="4F81BD" w:themeColor="accent1"/>
        <w:bottom w:val="single" w:sz="4" w:space="10" w:color="4F81BD" w:themeColor="accent1"/>
      </w:pBdr>
      <w:spacing w:before="360" w:after="360"/>
      <w:ind w:left="864" w:right="864"/>
      <w:jc w:val="center"/>
    </w:pPr>
    <w:rPr>
      <w:i/>
      <w:iCs/>
      <w:color w:val="4F81BD" w:themeColor="accent1"/>
      <w:lang w:val="en-CA"/>
    </w:rPr>
  </w:style>
  <w:style w:type="character" w:customStyle="1" w:styleId="IntenseQuoteChar">
    <w:name w:val="Intense Quote Char"/>
    <w:basedOn w:val="DefaultParagraphFont"/>
    <w:link w:val="IntenseQuote"/>
    <w:uiPriority w:val="30"/>
    <w:rsid w:val="00A54BFC"/>
    <w:rPr>
      <w:i/>
      <w:iCs/>
      <w:color w:val="4F81BD" w:themeColor="accent1"/>
      <w:sz w:val="22"/>
      <w:szCs w:val="22"/>
      <w:lang w:val="en-CA"/>
    </w:rPr>
  </w:style>
  <w:style w:type="paragraph" w:styleId="E-mailSignature">
    <w:name w:val="E-mail Signature"/>
    <w:basedOn w:val="Normal"/>
    <w:link w:val="E-mailSignatureChar"/>
    <w:uiPriority w:val="99"/>
    <w:semiHidden/>
    <w:unhideWhenUsed/>
    <w:rsid w:val="00A54BFC"/>
    <w:rPr>
      <w:lang w:val="en-CA"/>
    </w:rPr>
  </w:style>
  <w:style w:type="character" w:customStyle="1" w:styleId="E-mailSignatureChar">
    <w:name w:val="E-mail Signature Char"/>
    <w:basedOn w:val="DefaultParagraphFont"/>
    <w:link w:val="E-mailSignature"/>
    <w:uiPriority w:val="99"/>
    <w:semiHidden/>
    <w:rsid w:val="00A54BFC"/>
    <w:rPr>
      <w:sz w:val="22"/>
      <w:szCs w:val="22"/>
      <w:lang w:val="en-CA"/>
    </w:rPr>
  </w:style>
  <w:style w:type="paragraph" w:styleId="Signature">
    <w:name w:val="Signature"/>
    <w:basedOn w:val="Normal"/>
    <w:link w:val="SignatureChar"/>
    <w:uiPriority w:val="99"/>
    <w:semiHidden/>
    <w:unhideWhenUsed/>
    <w:rsid w:val="00A54BFC"/>
    <w:pPr>
      <w:ind w:left="4252"/>
    </w:pPr>
    <w:rPr>
      <w:lang w:val="en-CA"/>
    </w:rPr>
  </w:style>
  <w:style w:type="character" w:customStyle="1" w:styleId="SignatureChar">
    <w:name w:val="Signature Char"/>
    <w:basedOn w:val="DefaultParagraphFont"/>
    <w:link w:val="Signature"/>
    <w:uiPriority w:val="99"/>
    <w:semiHidden/>
    <w:rsid w:val="00A54BFC"/>
    <w:rPr>
      <w:sz w:val="22"/>
      <w:szCs w:val="22"/>
      <w:lang w:val="en-CA"/>
    </w:rPr>
  </w:style>
  <w:style w:type="paragraph" w:styleId="HTMLPreformatted">
    <w:name w:val="HTML Preformatted"/>
    <w:basedOn w:val="Normal"/>
    <w:link w:val="HTMLPreformattedChar"/>
    <w:uiPriority w:val="99"/>
    <w:semiHidden/>
    <w:unhideWhenUsed/>
    <w:rsid w:val="00A54BFC"/>
    <w:rPr>
      <w:rFonts w:ascii="Consolas" w:hAnsi="Consolas"/>
      <w:sz w:val="20"/>
      <w:szCs w:val="20"/>
      <w:lang w:val="en-CA"/>
    </w:rPr>
  </w:style>
  <w:style w:type="character" w:customStyle="1" w:styleId="HTMLPreformattedChar">
    <w:name w:val="HTML Preformatted Char"/>
    <w:basedOn w:val="DefaultParagraphFont"/>
    <w:link w:val="HTMLPreformatted"/>
    <w:uiPriority w:val="99"/>
    <w:semiHidden/>
    <w:rsid w:val="00A54BFC"/>
    <w:rPr>
      <w:rFonts w:ascii="Consolas" w:hAnsi="Consolas"/>
      <w:lang w:val="en-CA"/>
    </w:rPr>
  </w:style>
  <w:style w:type="paragraph" w:styleId="HTMLAddress">
    <w:name w:val="HTML Address"/>
    <w:basedOn w:val="Normal"/>
    <w:link w:val="HTMLAddressChar"/>
    <w:uiPriority w:val="99"/>
    <w:semiHidden/>
    <w:unhideWhenUsed/>
    <w:rsid w:val="00A54BFC"/>
    <w:rPr>
      <w:i/>
      <w:iCs/>
      <w:lang w:val="en-CA"/>
    </w:rPr>
  </w:style>
  <w:style w:type="character" w:customStyle="1" w:styleId="HTMLAddressChar">
    <w:name w:val="HTML Address Char"/>
    <w:basedOn w:val="DefaultParagraphFont"/>
    <w:link w:val="HTMLAddress"/>
    <w:uiPriority w:val="99"/>
    <w:semiHidden/>
    <w:rsid w:val="00A54BFC"/>
    <w:rPr>
      <w:i/>
      <w:iCs/>
      <w:sz w:val="22"/>
      <w:szCs w:val="22"/>
      <w:lang w:val="en-CA"/>
    </w:rPr>
  </w:style>
  <w:style w:type="paragraph" w:styleId="Index1">
    <w:name w:val="index 1"/>
    <w:basedOn w:val="Normal"/>
    <w:next w:val="Normal"/>
    <w:uiPriority w:val="99"/>
    <w:semiHidden/>
    <w:unhideWhenUsed/>
    <w:rsid w:val="00A54BFC"/>
    <w:pPr>
      <w:ind w:left="220" w:hanging="220"/>
    </w:pPr>
    <w:rPr>
      <w:lang w:val="en-CA"/>
    </w:rPr>
  </w:style>
  <w:style w:type="paragraph" w:styleId="Index2">
    <w:name w:val="index 2"/>
    <w:basedOn w:val="Normal"/>
    <w:next w:val="Normal"/>
    <w:uiPriority w:val="99"/>
    <w:semiHidden/>
    <w:unhideWhenUsed/>
    <w:rsid w:val="00A54BFC"/>
    <w:pPr>
      <w:ind w:left="440" w:hanging="220"/>
    </w:pPr>
    <w:rPr>
      <w:lang w:val="en-CA"/>
    </w:rPr>
  </w:style>
  <w:style w:type="paragraph" w:styleId="Index3">
    <w:name w:val="index 3"/>
    <w:basedOn w:val="Normal"/>
    <w:next w:val="Normal"/>
    <w:uiPriority w:val="99"/>
    <w:semiHidden/>
    <w:unhideWhenUsed/>
    <w:rsid w:val="00A54BFC"/>
    <w:pPr>
      <w:ind w:left="660" w:hanging="220"/>
    </w:pPr>
    <w:rPr>
      <w:lang w:val="en-CA"/>
    </w:rPr>
  </w:style>
  <w:style w:type="paragraph" w:styleId="Index4">
    <w:name w:val="index 4"/>
    <w:basedOn w:val="Normal"/>
    <w:next w:val="Normal"/>
    <w:uiPriority w:val="99"/>
    <w:semiHidden/>
    <w:unhideWhenUsed/>
    <w:rsid w:val="00A54BFC"/>
    <w:pPr>
      <w:ind w:left="880" w:hanging="220"/>
    </w:pPr>
    <w:rPr>
      <w:lang w:val="en-CA"/>
    </w:rPr>
  </w:style>
  <w:style w:type="paragraph" w:styleId="Index5">
    <w:name w:val="index 5"/>
    <w:basedOn w:val="Normal"/>
    <w:next w:val="Normal"/>
    <w:uiPriority w:val="99"/>
    <w:semiHidden/>
    <w:unhideWhenUsed/>
    <w:rsid w:val="00A54BFC"/>
    <w:pPr>
      <w:ind w:left="1100" w:hanging="220"/>
    </w:pPr>
    <w:rPr>
      <w:lang w:val="en-CA"/>
    </w:rPr>
  </w:style>
  <w:style w:type="paragraph" w:styleId="Index6">
    <w:name w:val="index 6"/>
    <w:basedOn w:val="Normal"/>
    <w:next w:val="Normal"/>
    <w:uiPriority w:val="99"/>
    <w:semiHidden/>
    <w:unhideWhenUsed/>
    <w:rsid w:val="00A54BFC"/>
    <w:pPr>
      <w:ind w:left="1320" w:hanging="220"/>
    </w:pPr>
    <w:rPr>
      <w:lang w:val="en-CA"/>
    </w:rPr>
  </w:style>
  <w:style w:type="paragraph" w:styleId="Index7">
    <w:name w:val="index 7"/>
    <w:basedOn w:val="Normal"/>
    <w:next w:val="Normal"/>
    <w:uiPriority w:val="99"/>
    <w:semiHidden/>
    <w:unhideWhenUsed/>
    <w:rsid w:val="00A54BFC"/>
    <w:pPr>
      <w:ind w:left="1540" w:hanging="220"/>
    </w:pPr>
    <w:rPr>
      <w:lang w:val="en-CA"/>
    </w:rPr>
  </w:style>
  <w:style w:type="paragraph" w:styleId="Index8">
    <w:name w:val="index 8"/>
    <w:basedOn w:val="Normal"/>
    <w:next w:val="Normal"/>
    <w:uiPriority w:val="99"/>
    <w:semiHidden/>
    <w:unhideWhenUsed/>
    <w:rsid w:val="00A54BFC"/>
    <w:pPr>
      <w:ind w:left="1760" w:hanging="220"/>
    </w:pPr>
    <w:rPr>
      <w:lang w:val="en-CA"/>
    </w:rPr>
  </w:style>
  <w:style w:type="paragraph" w:styleId="Index9">
    <w:name w:val="index 9"/>
    <w:basedOn w:val="Normal"/>
    <w:next w:val="Normal"/>
    <w:uiPriority w:val="99"/>
    <w:semiHidden/>
    <w:unhideWhenUsed/>
    <w:rsid w:val="00A54BFC"/>
    <w:pPr>
      <w:ind w:left="1980" w:hanging="220"/>
    </w:pPr>
    <w:rPr>
      <w:lang w:val="en-CA"/>
    </w:rPr>
  </w:style>
  <w:style w:type="paragraph" w:styleId="IndexHeading">
    <w:name w:val="index heading"/>
    <w:basedOn w:val="Normal"/>
    <w:next w:val="Index1"/>
    <w:uiPriority w:val="99"/>
    <w:semiHidden/>
    <w:unhideWhenUsed/>
    <w:rsid w:val="00A54BFC"/>
    <w:rPr>
      <w:rFonts w:asciiTheme="majorHAnsi" w:eastAsiaTheme="majorEastAsia" w:hAnsiTheme="majorHAnsi" w:cstheme="majorBidi"/>
      <w:b/>
      <w:bCs/>
      <w:lang w:val="en-CA"/>
    </w:rPr>
  </w:style>
  <w:style w:type="paragraph" w:styleId="TOC1">
    <w:name w:val="toc 1"/>
    <w:basedOn w:val="Normal"/>
    <w:next w:val="Normal"/>
    <w:uiPriority w:val="39"/>
    <w:semiHidden/>
    <w:unhideWhenUsed/>
    <w:rsid w:val="00A54BFC"/>
    <w:pPr>
      <w:spacing w:after="100"/>
    </w:pPr>
    <w:rPr>
      <w:lang w:val="en-CA"/>
    </w:rPr>
  </w:style>
  <w:style w:type="paragraph" w:styleId="TOC2">
    <w:name w:val="toc 2"/>
    <w:basedOn w:val="Normal"/>
    <w:next w:val="Normal"/>
    <w:uiPriority w:val="39"/>
    <w:semiHidden/>
    <w:unhideWhenUsed/>
    <w:rsid w:val="00A54BFC"/>
    <w:pPr>
      <w:spacing w:after="100"/>
      <w:ind w:left="220"/>
    </w:pPr>
    <w:rPr>
      <w:lang w:val="en-CA"/>
    </w:rPr>
  </w:style>
  <w:style w:type="paragraph" w:styleId="TOC3">
    <w:name w:val="toc 3"/>
    <w:basedOn w:val="Normal"/>
    <w:next w:val="Normal"/>
    <w:uiPriority w:val="39"/>
    <w:semiHidden/>
    <w:unhideWhenUsed/>
    <w:rsid w:val="00A54BFC"/>
    <w:pPr>
      <w:spacing w:after="100"/>
      <w:ind w:left="440"/>
    </w:pPr>
    <w:rPr>
      <w:lang w:val="en-CA"/>
    </w:rPr>
  </w:style>
  <w:style w:type="paragraph" w:styleId="TOC4">
    <w:name w:val="toc 4"/>
    <w:basedOn w:val="Normal"/>
    <w:next w:val="Normal"/>
    <w:uiPriority w:val="39"/>
    <w:semiHidden/>
    <w:unhideWhenUsed/>
    <w:rsid w:val="00A54BFC"/>
    <w:pPr>
      <w:spacing w:after="100"/>
      <w:ind w:left="660"/>
    </w:pPr>
    <w:rPr>
      <w:lang w:val="en-CA"/>
    </w:rPr>
  </w:style>
  <w:style w:type="paragraph" w:styleId="TOC5">
    <w:name w:val="toc 5"/>
    <w:basedOn w:val="Normal"/>
    <w:next w:val="Normal"/>
    <w:uiPriority w:val="39"/>
    <w:semiHidden/>
    <w:unhideWhenUsed/>
    <w:rsid w:val="00A54BFC"/>
    <w:pPr>
      <w:spacing w:after="100"/>
      <w:ind w:left="880"/>
    </w:pPr>
    <w:rPr>
      <w:lang w:val="en-CA"/>
    </w:rPr>
  </w:style>
  <w:style w:type="paragraph" w:styleId="TOC6">
    <w:name w:val="toc 6"/>
    <w:basedOn w:val="Normal"/>
    <w:next w:val="Normal"/>
    <w:uiPriority w:val="39"/>
    <w:semiHidden/>
    <w:unhideWhenUsed/>
    <w:rsid w:val="00A54BFC"/>
    <w:pPr>
      <w:spacing w:after="100"/>
      <w:ind w:left="1100"/>
    </w:pPr>
    <w:rPr>
      <w:lang w:val="en-CA"/>
    </w:rPr>
  </w:style>
  <w:style w:type="paragraph" w:styleId="TOC7">
    <w:name w:val="toc 7"/>
    <w:basedOn w:val="Normal"/>
    <w:next w:val="Normal"/>
    <w:uiPriority w:val="39"/>
    <w:semiHidden/>
    <w:unhideWhenUsed/>
    <w:rsid w:val="00A54BFC"/>
    <w:pPr>
      <w:spacing w:after="100"/>
      <w:ind w:left="1320"/>
    </w:pPr>
    <w:rPr>
      <w:lang w:val="en-CA"/>
    </w:rPr>
  </w:style>
  <w:style w:type="paragraph" w:styleId="TOC8">
    <w:name w:val="toc 8"/>
    <w:basedOn w:val="Normal"/>
    <w:next w:val="Normal"/>
    <w:uiPriority w:val="39"/>
    <w:semiHidden/>
    <w:unhideWhenUsed/>
    <w:rsid w:val="00A54BFC"/>
    <w:pPr>
      <w:spacing w:after="100"/>
      <w:ind w:left="1540"/>
    </w:pPr>
    <w:rPr>
      <w:lang w:val="en-CA"/>
    </w:rPr>
  </w:style>
  <w:style w:type="paragraph" w:styleId="TOC9">
    <w:name w:val="toc 9"/>
    <w:basedOn w:val="Normal"/>
    <w:next w:val="Normal"/>
    <w:uiPriority w:val="39"/>
    <w:semiHidden/>
    <w:unhideWhenUsed/>
    <w:rsid w:val="00A54BFC"/>
    <w:pPr>
      <w:spacing w:after="100"/>
      <w:ind w:left="1760"/>
    </w:pPr>
    <w:rPr>
      <w:lang w:val="en-CA"/>
    </w:rPr>
  </w:style>
  <w:style w:type="paragraph" w:styleId="TOAHeading">
    <w:name w:val="toa heading"/>
    <w:basedOn w:val="Normal"/>
    <w:next w:val="Normal"/>
    <w:uiPriority w:val="99"/>
    <w:semiHidden/>
    <w:unhideWhenUsed/>
    <w:rsid w:val="00A54BFC"/>
    <w:pPr>
      <w:spacing w:before="120"/>
    </w:pPr>
    <w:rPr>
      <w:rFonts w:asciiTheme="majorHAnsi" w:eastAsiaTheme="majorEastAsia" w:hAnsiTheme="majorHAnsi" w:cstheme="majorBidi"/>
      <w:b/>
      <w:bCs/>
      <w:sz w:val="24"/>
      <w:szCs w:val="24"/>
      <w:lang w:val="en-CA"/>
    </w:rPr>
  </w:style>
  <w:style w:type="paragraph" w:styleId="TOCHeading">
    <w:name w:val="TOC Heading"/>
    <w:basedOn w:val="Heading1"/>
    <w:next w:val="Normal"/>
    <w:uiPriority w:val="39"/>
    <w:semiHidden/>
    <w:unhideWhenUsed/>
    <w:qFormat/>
    <w:rsid w:val="00A54BFC"/>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lang w:val="en-CA"/>
    </w:rPr>
  </w:style>
  <w:style w:type="paragraph" w:styleId="List">
    <w:name w:val="List"/>
    <w:basedOn w:val="Normal"/>
    <w:uiPriority w:val="99"/>
    <w:semiHidden/>
    <w:unhideWhenUsed/>
    <w:rsid w:val="00A54BFC"/>
    <w:pPr>
      <w:ind w:left="283" w:hanging="283"/>
      <w:contextualSpacing/>
    </w:pPr>
    <w:rPr>
      <w:lang w:val="en-CA"/>
    </w:rPr>
  </w:style>
  <w:style w:type="paragraph" w:styleId="List2">
    <w:name w:val="List 2"/>
    <w:basedOn w:val="Normal"/>
    <w:uiPriority w:val="99"/>
    <w:semiHidden/>
    <w:unhideWhenUsed/>
    <w:rsid w:val="00A54BFC"/>
    <w:pPr>
      <w:ind w:left="566" w:hanging="283"/>
      <w:contextualSpacing/>
    </w:pPr>
    <w:rPr>
      <w:lang w:val="en-CA"/>
    </w:rPr>
  </w:style>
  <w:style w:type="paragraph" w:styleId="List3">
    <w:name w:val="List 3"/>
    <w:basedOn w:val="Normal"/>
    <w:uiPriority w:val="99"/>
    <w:semiHidden/>
    <w:unhideWhenUsed/>
    <w:rsid w:val="00A54BFC"/>
    <w:pPr>
      <w:ind w:left="849" w:hanging="283"/>
      <w:contextualSpacing/>
    </w:pPr>
    <w:rPr>
      <w:lang w:val="en-CA"/>
    </w:rPr>
  </w:style>
  <w:style w:type="paragraph" w:styleId="List4">
    <w:name w:val="List 4"/>
    <w:basedOn w:val="Normal"/>
    <w:uiPriority w:val="99"/>
    <w:semiHidden/>
    <w:unhideWhenUsed/>
    <w:rsid w:val="00A54BFC"/>
    <w:pPr>
      <w:ind w:left="1132" w:hanging="283"/>
      <w:contextualSpacing/>
    </w:pPr>
    <w:rPr>
      <w:lang w:val="en-CA"/>
    </w:rPr>
  </w:style>
  <w:style w:type="paragraph" w:styleId="List5">
    <w:name w:val="List 5"/>
    <w:basedOn w:val="Normal"/>
    <w:uiPriority w:val="99"/>
    <w:semiHidden/>
    <w:unhideWhenUsed/>
    <w:rsid w:val="00A54BFC"/>
    <w:pPr>
      <w:ind w:left="1415" w:hanging="283"/>
      <w:contextualSpacing/>
    </w:pPr>
    <w:rPr>
      <w:lang w:val="en-CA"/>
    </w:rPr>
  </w:style>
  <w:style w:type="paragraph" w:styleId="TableofFigures">
    <w:name w:val="table of figures"/>
    <w:basedOn w:val="Normal"/>
    <w:next w:val="Normal"/>
    <w:uiPriority w:val="99"/>
    <w:semiHidden/>
    <w:unhideWhenUsed/>
    <w:rsid w:val="00A54BFC"/>
    <w:rPr>
      <w:lang w:val="en-CA"/>
    </w:rPr>
  </w:style>
  <w:style w:type="paragraph" w:styleId="ListBullet">
    <w:name w:val="List Bullet"/>
    <w:basedOn w:val="Normal"/>
    <w:uiPriority w:val="99"/>
    <w:semiHidden/>
    <w:unhideWhenUsed/>
    <w:rsid w:val="00A54BFC"/>
    <w:pPr>
      <w:numPr>
        <w:numId w:val="26"/>
      </w:numPr>
      <w:tabs>
        <w:tab w:val="clear" w:pos="360"/>
      </w:tabs>
      <w:ind w:left="0" w:firstLine="0"/>
      <w:contextualSpacing/>
    </w:pPr>
    <w:rPr>
      <w:lang w:val="en-CA"/>
    </w:rPr>
  </w:style>
  <w:style w:type="paragraph" w:styleId="ListBullet2">
    <w:name w:val="List Bullet 2"/>
    <w:basedOn w:val="Normal"/>
    <w:uiPriority w:val="99"/>
    <w:semiHidden/>
    <w:unhideWhenUsed/>
    <w:rsid w:val="00A54BFC"/>
    <w:pPr>
      <w:numPr>
        <w:numId w:val="27"/>
      </w:numPr>
      <w:tabs>
        <w:tab w:val="clear" w:pos="720"/>
      </w:tabs>
      <w:ind w:left="0" w:firstLine="0"/>
      <w:contextualSpacing/>
    </w:pPr>
    <w:rPr>
      <w:lang w:val="en-CA"/>
    </w:rPr>
  </w:style>
  <w:style w:type="paragraph" w:styleId="ListBullet3">
    <w:name w:val="List Bullet 3"/>
    <w:basedOn w:val="Normal"/>
    <w:uiPriority w:val="99"/>
    <w:semiHidden/>
    <w:unhideWhenUsed/>
    <w:rsid w:val="00A54BFC"/>
    <w:pPr>
      <w:numPr>
        <w:numId w:val="28"/>
      </w:numPr>
      <w:tabs>
        <w:tab w:val="clear" w:pos="1080"/>
      </w:tabs>
      <w:ind w:left="0" w:firstLine="0"/>
      <w:contextualSpacing/>
    </w:pPr>
    <w:rPr>
      <w:lang w:val="en-CA"/>
    </w:rPr>
  </w:style>
  <w:style w:type="paragraph" w:styleId="ListBullet4">
    <w:name w:val="List Bullet 4"/>
    <w:basedOn w:val="Normal"/>
    <w:uiPriority w:val="99"/>
    <w:semiHidden/>
    <w:unhideWhenUsed/>
    <w:rsid w:val="00A54BFC"/>
    <w:pPr>
      <w:numPr>
        <w:numId w:val="29"/>
      </w:numPr>
      <w:tabs>
        <w:tab w:val="clear" w:pos="1440"/>
      </w:tabs>
      <w:ind w:left="0" w:firstLine="0"/>
      <w:contextualSpacing/>
    </w:pPr>
    <w:rPr>
      <w:lang w:val="en-CA"/>
    </w:rPr>
  </w:style>
  <w:style w:type="paragraph" w:styleId="ListBullet5">
    <w:name w:val="List Bullet 5"/>
    <w:basedOn w:val="Normal"/>
    <w:uiPriority w:val="99"/>
    <w:semiHidden/>
    <w:unhideWhenUsed/>
    <w:rsid w:val="00A54BFC"/>
    <w:pPr>
      <w:numPr>
        <w:numId w:val="30"/>
      </w:numPr>
      <w:tabs>
        <w:tab w:val="clear" w:pos="1800"/>
      </w:tabs>
      <w:ind w:left="0" w:firstLine="0"/>
      <w:contextualSpacing/>
    </w:pPr>
    <w:rPr>
      <w:lang w:val="en-CA"/>
    </w:rPr>
  </w:style>
  <w:style w:type="paragraph" w:styleId="ListNumber">
    <w:name w:val="List Number"/>
    <w:basedOn w:val="Normal"/>
    <w:uiPriority w:val="99"/>
    <w:semiHidden/>
    <w:unhideWhenUsed/>
    <w:rsid w:val="00A54BFC"/>
    <w:pPr>
      <w:numPr>
        <w:numId w:val="31"/>
      </w:numPr>
      <w:tabs>
        <w:tab w:val="clear" w:pos="360"/>
      </w:tabs>
      <w:ind w:left="0" w:firstLine="0"/>
      <w:contextualSpacing/>
    </w:pPr>
    <w:rPr>
      <w:lang w:val="en-CA"/>
    </w:rPr>
  </w:style>
  <w:style w:type="paragraph" w:styleId="ListNumber2">
    <w:name w:val="List Number 2"/>
    <w:basedOn w:val="Normal"/>
    <w:uiPriority w:val="99"/>
    <w:semiHidden/>
    <w:unhideWhenUsed/>
    <w:rsid w:val="00A54BFC"/>
    <w:pPr>
      <w:numPr>
        <w:numId w:val="32"/>
      </w:numPr>
      <w:tabs>
        <w:tab w:val="clear" w:pos="643"/>
      </w:tabs>
      <w:ind w:left="0" w:firstLine="0"/>
      <w:contextualSpacing/>
    </w:pPr>
    <w:rPr>
      <w:lang w:val="en-CA"/>
    </w:rPr>
  </w:style>
  <w:style w:type="paragraph" w:styleId="ListNumber3">
    <w:name w:val="List Number 3"/>
    <w:basedOn w:val="Normal"/>
    <w:uiPriority w:val="99"/>
    <w:semiHidden/>
    <w:unhideWhenUsed/>
    <w:rsid w:val="00A54BFC"/>
    <w:pPr>
      <w:numPr>
        <w:numId w:val="33"/>
      </w:numPr>
      <w:tabs>
        <w:tab w:val="clear" w:pos="926"/>
      </w:tabs>
      <w:ind w:left="0" w:firstLine="0"/>
      <w:contextualSpacing/>
    </w:pPr>
    <w:rPr>
      <w:lang w:val="en-CA"/>
    </w:rPr>
  </w:style>
  <w:style w:type="paragraph" w:styleId="ListNumber4">
    <w:name w:val="List Number 4"/>
    <w:basedOn w:val="Normal"/>
    <w:uiPriority w:val="99"/>
    <w:semiHidden/>
    <w:unhideWhenUsed/>
    <w:rsid w:val="00A54BFC"/>
    <w:pPr>
      <w:numPr>
        <w:numId w:val="34"/>
      </w:numPr>
      <w:tabs>
        <w:tab w:val="clear" w:pos="1209"/>
      </w:tabs>
      <w:ind w:left="0" w:firstLine="0"/>
      <w:contextualSpacing/>
    </w:pPr>
    <w:rPr>
      <w:lang w:val="en-CA"/>
    </w:rPr>
  </w:style>
  <w:style w:type="paragraph" w:styleId="ListNumber5">
    <w:name w:val="List Number 5"/>
    <w:basedOn w:val="Normal"/>
    <w:uiPriority w:val="99"/>
    <w:semiHidden/>
    <w:unhideWhenUsed/>
    <w:rsid w:val="00A54BFC"/>
    <w:pPr>
      <w:numPr>
        <w:numId w:val="35"/>
      </w:numPr>
      <w:tabs>
        <w:tab w:val="clear" w:pos="1492"/>
      </w:tabs>
      <w:ind w:left="0" w:firstLine="0"/>
      <w:contextualSpacing/>
    </w:pPr>
    <w:rPr>
      <w:lang w:val="en-CA"/>
    </w:rPr>
  </w:style>
  <w:style w:type="paragraph" w:styleId="ListContinue">
    <w:name w:val="List Continue"/>
    <w:basedOn w:val="Normal"/>
    <w:uiPriority w:val="99"/>
    <w:semiHidden/>
    <w:unhideWhenUsed/>
    <w:rsid w:val="00A54BFC"/>
    <w:pPr>
      <w:spacing w:after="120"/>
      <w:ind w:left="283"/>
      <w:contextualSpacing/>
    </w:pPr>
    <w:rPr>
      <w:lang w:val="en-CA"/>
    </w:rPr>
  </w:style>
  <w:style w:type="paragraph" w:styleId="ListContinue2">
    <w:name w:val="List Continue 2"/>
    <w:basedOn w:val="Normal"/>
    <w:uiPriority w:val="99"/>
    <w:semiHidden/>
    <w:unhideWhenUsed/>
    <w:rsid w:val="00A54BFC"/>
    <w:pPr>
      <w:spacing w:after="120"/>
      <w:ind w:left="566"/>
      <w:contextualSpacing/>
    </w:pPr>
    <w:rPr>
      <w:lang w:val="en-CA"/>
    </w:rPr>
  </w:style>
  <w:style w:type="paragraph" w:styleId="ListContinue3">
    <w:name w:val="List Continue 3"/>
    <w:basedOn w:val="Normal"/>
    <w:uiPriority w:val="99"/>
    <w:semiHidden/>
    <w:unhideWhenUsed/>
    <w:rsid w:val="00A54BFC"/>
    <w:pPr>
      <w:spacing w:after="120"/>
      <w:ind w:left="849"/>
      <w:contextualSpacing/>
    </w:pPr>
    <w:rPr>
      <w:lang w:val="en-CA"/>
    </w:rPr>
  </w:style>
  <w:style w:type="paragraph" w:styleId="ListContinue4">
    <w:name w:val="List Continue 4"/>
    <w:basedOn w:val="Normal"/>
    <w:uiPriority w:val="99"/>
    <w:semiHidden/>
    <w:unhideWhenUsed/>
    <w:rsid w:val="00A54BFC"/>
    <w:pPr>
      <w:spacing w:after="120"/>
      <w:ind w:left="1132"/>
      <w:contextualSpacing/>
    </w:pPr>
    <w:rPr>
      <w:lang w:val="en-CA"/>
    </w:rPr>
  </w:style>
  <w:style w:type="paragraph" w:styleId="ListContinue5">
    <w:name w:val="List Continue 5"/>
    <w:basedOn w:val="Normal"/>
    <w:uiPriority w:val="99"/>
    <w:semiHidden/>
    <w:unhideWhenUsed/>
    <w:rsid w:val="00A54BFC"/>
    <w:pPr>
      <w:spacing w:after="120"/>
      <w:ind w:left="1415"/>
      <w:contextualSpacing/>
    </w:pPr>
    <w:rPr>
      <w:lang w:val="en-CA"/>
    </w:rPr>
  </w:style>
  <w:style w:type="paragraph" w:styleId="MacroText">
    <w:name w:val="macro"/>
    <w:link w:val="MacroTextChar"/>
    <w:uiPriority w:val="99"/>
    <w:semiHidden/>
    <w:unhideWhenUsed/>
    <w:rsid w:val="00A54BFC"/>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en-CA"/>
    </w:rPr>
  </w:style>
  <w:style w:type="character" w:customStyle="1" w:styleId="MacroTextChar">
    <w:name w:val="Macro Text Char"/>
    <w:basedOn w:val="DefaultParagraphFont"/>
    <w:link w:val="MacroText"/>
    <w:uiPriority w:val="99"/>
    <w:semiHidden/>
    <w:rsid w:val="00A54BFC"/>
    <w:rPr>
      <w:rFonts w:ascii="Consolas" w:hAnsi="Consolas"/>
      <w:lang w:val="en-CA"/>
    </w:rPr>
  </w:style>
  <w:style w:type="paragraph" w:styleId="NoteHeading">
    <w:name w:val="Note Heading"/>
    <w:basedOn w:val="Normal"/>
    <w:next w:val="Normal"/>
    <w:link w:val="NoteHeadingChar"/>
    <w:uiPriority w:val="99"/>
    <w:semiHidden/>
    <w:unhideWhenUsed/>
    <w:rsid w:val="00A54BFC"/>
    <w:rPr>
      <w:lang w:val="en-CA"/>
    </w:rPr>
  </w:style>
  <w:style w:type="character" w:customStyle="1" w:styleId="NoteHeadingChar">
    <w:name w:val="Note Heading Char"/>
    <w:basedOn w:val="DefaultParagraphFont"/>
    <w:link w:val="NoteHeading"/>
    <w:uiPriority w:val="99"/>
    <w:semiHidden/>
    <w:rsid w:val="00A54BFC"/>
    <w:rPr>
      <w:sz w:val="22"/>
      <w:szCs w:val="22"/>
      <w:lang w:val="en-CA"/>
    </w:rPr>
  </w:style>
  <w:style w:type="paragraph" w:styleId="BodyText">
    <w:name w:val="Body Text"/>
    <w:basedOn w:val="Normal"/>
    <w:link w:val="BodyTextChar"/>
    <w:uiPriority w:val="99"/>
    <w:semiHidden/>
    <w:unhideWhenUsed/>
    <w:rsid w:val="00A54BFC"/>
    <w:pPr>
      <w:spacing w:after="120"/>
    </w:pPr>
    <w:rPr>
      <w:lang w:val="en-CA"/>
    </w:rPr>
  </w:style>
  <w:style w:type="character" w:customStyle="1" w:styleId="BodyTextChar">
    <w:name w:val="Body Text Char"/>
    <w:basedOn w:val="DefaultParagraphFont"/>
    <w:link w:val="BodyText"/>
    <w:uiPriority w:val="99"/>
    <w:semiHidden/>
    <w:rsid w:val="00A54BFC"/>
    <w:rPr>
      <w:sz w:val="22"/>
      <w:szCs w:val="22"/>
      <w:lang w:val="en-CA"/>
    </w:rPr>
  </w:style>
  <w:style w:type="paragraph" w:styleId="BodyText2">
    <w:name w:val="Body Text 2"/>
    <w:basedOn w:val="Normal"/>
    <w:link w:val="BodyText2Char"/>
    <w:uiPriority w:val="99"/>
    <w:semiHidden/>
    <w:unhideWhenUsed/>
    <w:rsid w:val="00A54BFC"/>
    <w:pPr>
      <w:spacing w:after="120" w:line="480" w:lineRule="auto"/>
    </w:pPr>
    <w:rPr>
      <w:lang w:val="en-CA"/>
    </w:rPr>
  </w:style>
  <w:style w:type="character" w:customStyle="1" w:styleId="BodyText2Char">
    <w:name w:val="Body Text 2 Char"/>
    <w:basedOn w:val="DefaultParagraphFont"/>
    <w:link w:val="BodyText2"/>
    <w:uiPriority w:val="99"/>
    <w:semiHidden/>
    <w:rsid w:val="00A54BFC"/>
    <w:rPr>
      <w:sz w:val="22"/>
      <w:szCs w:val="22"/>
      <w:lang w:val="en-CA"/>
    </w:rPr>
  </w:style>
  <w:style w:type="paragraph" w:styleId="BodyTextFirstIndent">
    <w:name w:val="Body Text First Indent"/>
    <w:basedOn w:val="BodyText"/>
    <w:link w:val="BodyTextFirstIndentChar"/>
    <w:uiPriority w:val="99"/>
    <w:semiHidden/>
    <w:unhideWhenUsed/>
    <w:rsid w:val="00A54BFC"/>
    <w:pPr>
      <w:spacing w:after="0"/>
      <w:ind w:firstLine="360"/>
    </w:pPr>
  </w:style>
  <w:style w:type="character" w:customStyle="1" w:styleId="BodyTextFirstIndentChar">
    <w:name w:val="Body Text First Indent Char"/>
    <w:basedOn w:val="BodyTextChar"/>
    <w:link w:val="BodyTextFirstIndent"/>
    <w:uiPriority w:val="99"/>
    <w:semiHidden/>
    <w:rsid w:val="00A54BFC"/>
    <w:rPr>
      <w:sz w:val="22"/>
      <w:szCs w:val="22"/>
      <w:lang w:val="en-CA"/>
    </w:rPr>
  </w:style>
  <w:style w:type="paragraph" w:styleId="BodyTextIndent">
    <w:name w:val="Body Text Indent"/>
    <w:basedOn w:val="Normal"/>
    <w:link w:val="BodyTextIndentChar"/>
    <w:uiPriority w:val="99"/>
    <w:semiHidden/>
    <w:unhideWhenUsed/>
    <w:rsid w:val="00A54BFC"/>
    <w:pPr>
      <w:spacing w:after="120"/>
      <w:ind w:left="283"/>
    </w:pPr>
    <w:rPr>
      <w:lang w:val="en-CA"/>
    </w:rPr>
  </w:style>
  <w:style w:type="character" w:customStyle="1" w:styleId="BodyTextIndentChar">
    <w:name w:val="Body Text Indent Char"/>
    <w:basedOn w:val="DefaultParagraphFont"/>
    <w:link w:val="BodyTextIndent"/>
    <w:uiPriority w:val="99"/>
    <w:semiHidden/>
    <w:rsid w:val="00A54BFC"/>
    <w:rPr>
      <w:sz w:val="22"/>
      <w:szCs w:val="22"/>
      <w:lang w:val="en-CA"/>
    </w:rPr>
  </w:style>
  <w:style w:type="paragraph" w:styleId="BodyTextFirstIndent2">
    <w:name w:val="Body Text First Indent 2"/>
    <w:basedOn w:val="BodyTextIndent"/>
    <w:link w:val="BodyTextFirstIndent2Char"/>
    <w:uiPriority w:val="99"/>
    <w:semiHidden/>
    <w:unhideWhenUsed/>
    <w:rsid w:val="00A54BFC"/>
    <w:pPr>
      <w:spacing w:after="0"/>
      <w:ind w:left="360" w:firstLine="360"/>
    </w:pPr>
  </w:style>
  <w:style w:type="character" w:customStyle="1" w:styleId="BodyTextFirstIndent2Char">
    <w:name w:val="Body Text First Indent 2 Char"/>
    <w:basedOn w:val="BodyTextIndentChar"/>
    <w:link w:val="BodyTextFirstIndent2"/>
    <w:uiPriority w:val="99"/>
    <w:semiHidden/>
    <w:rsid w:val="00A54BFC"/>
    <w:rPr>
      <w:sz w:val="22"/>
      <w:szCs w:val="22"/>
      <w:lang w:val="en-CA"/>
    </w:rPr>
  </w:style>
  <w:style w:type="paragraph" w:styleId="BodyTextIndent2">
    <w:name w:val="Body Text Indent 2"/>
    <w:basedOn w:val="Normal"/>
    <w:link w:val="BodyTextIndent2Char"/>
    <w:uiPriority w:val="99"/>
    <w:semiHidden/>
    <w:unhideWhenUsed/>
    <w:rsid w:val="00A54BFC"/>
    <w:pPr>
      <w:spacing w:after="120" w:line="480" w:lineRule="auto"/>
      <w:ind w:left="283"/>
    </w:pPr>
    <w:rPr>
      <w:lang w:val="en-CA"/>
    </w:rPr>
  </w:style>
  <w:style w:type="character" w:customStyle="1" w:styleId="BodyTextIndent2Char">
    <w:name w:val="Body Text Indent 2 Char"/>
    <w:basedOn w:val="DefaultParagraphFont"/>
    <w:link w:val="BodyTextIndent2"/>
    <w:uiPriority w:val="99"/>
    <w:semiHidden/>
    <w:rsid w:val="00A54BFC"/>
    <w:rPr>
      <w:sz w:val="22"/>
      <w:szCs w:val="22"/>
      <w:lang w:val="en-CA"/>
    </w:rPr>
  </w:style>
  <w:style w:type="paragraph" w:styleId="NormalIndent">
    <w:name w:val="Normal Indent"/>
    <w:basedOn w:val="Normal"/>
    <w:uiPriority w:val="99"/>
    <w:semiHidden/>
    <w:unhideWhenUsed/>
    <w:rsid w:val="00A54BFC"/>
    <w:pPr>
      <w:ind w:left="708"/>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General\MLF-Meeting\99th\Templates\99th%20ExCom%20-%20KI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FBC78027-562D-4A59-8AF6-F866784B2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722c3b86-a77b-454f-ae23-7d8b3ad4c0f8"/>
    <ds:schemaRef ds:uri="ab670d3d-3d37-4413-81ac-61a3754bf36f"/>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KIP tranche template</Template>
  <TotalTime>54</TotalTime>
  <Pages>16</Pages>
  <Words>7260</Words>
  <Characters>41386</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9983 Supply Chain policy </vt:lpstr>
    </vt:vector>
  </TitlesOfParts>
  <Company>UNMFS</Company>
  <LinksUpToDate>false</LinksUpToDate>
  <CharactersWithSpaces>48549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9983 Supply Chain policy </dc:title>
  <dc:creator>AET/RCK</dc:creator>
  <cp:keywords>99th ExCom</cp:keywords>
  <dc:description>KIP tranche request</dc:description>
  <cp:lastModifiedBy>Angela Xue He Yan</cp:lastModifiedBy>
  <cp:revision>45</cp:revision>
  <cp:lastPrinted>2026-10-23T21:02:00Z</cp:lastPrinted>
  <dcterms:created xsi:type="dcterms:W3CDTF">2026-10-22T16:22:00Z</dcterms:created>
  <dcterms:modified xsi:type="dcterms:W3CDTF">2026-10-26T13:53:00Z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UNEP/OzL.Pro/ExCom/98/57</vt:lpwstr>
  </property>
  <property fmtid="{D5CDD505-2E9C-101B-9397-08002B2CF9AE}" pid="3" name="Revision date">
    <vt:lpwstr>10/23/2026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