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91C99" w14:textId="6FDEBBC4" w:rsidR="00AC3935" w:rsidRDefault="00483B2B" w:rsidP="00511228">
      <w:pPr>
        <w:spacing w:after="240"/>
        <w:jc w:val="left"/>
        <w:rPr>
          <w:rStyle w:val="normaltextrun"/>
          <w:b/>
          <w:bCs/>
        </w:rPr>
      </w:pPr>
      <w:r>
        <w:rPr>
          <w:rStyle w:val="normaltextrun"/>
          <w:b/>
          <w:bCs/>
        </w:rPr>
        <w:t>Decisions relevant to Monitoring and Evaluation at 9</w:t>
      </w:r>
      <w:r w:rsidR="002B1E23">
        <w:rPr>
          <w:rStyle w:val="normaltextrun"/>
          <w:b/>
          <w:bCs/>
        </w:rPr>
        <w:t>0</w:t>
      </w:r>
      <w:r w:rsidR="002B1E23">
        <w:rPr>
          <w:rStyle w:val="normaltextrun"/>
          <w:b/>
          <w:bCs/>
          <w:vertAlign w:val="superscript"/>
        </w:rPr>
        <w:t>th</w:t>
      </w:r>
      <w:r>
        <w:rPr>
          <w:rStyle w:val="normaltextrun"/>
          <w:b/>
          <w:bCs/>
        </w:rPr>
        <w:t xml:space="preserve"> Executive Committee Meeting (extract from Final Report of the Meeting </w:t>
      </w:r>
      <w:hyperlink r:id="rId11" w:history="1">
        <w:r w:rsidR="00E3617A" w:rsidRPr="00774CAC">
          <w:rPr>
            <w:rStyle w:val="Hyperlink"/>
          </w:rPr>
          <w:t>UNEP/</w:t>
        </w:r>
        <w:proofErr w:type="spellStart"/>
        <w:r w:rsidR="00E3617A" w:rsidRPr="00774CAC">
          <w:rPr>
            <w:rStyle w:val="Hyperlink"/>
          </w:rPr>
          <w:t>OzL.Pro</w:t>
        </w:r>
        <w:proofErr w:type="spellEnd"/>
        <w:r w:rsidR="00E3617A" w:rsidRPr="00774CAC">
          <w:rPr>
            <w:rStyle w:val="Hyperlink"/>
          </w:rPr>
          <w:t>/ExCom/90/40</w:t>
        </w:r>
      </w:hyperlink>
    </w:p>
    <w:tbl>
      <w:tblPr>
        <w:tblStyle w:val="TableGrid"/>
        <w:tblW w:w="0" w:type="auto"/>
        <w:jc w:val="center"/>
        <w:tblLook w:val="04A0" w:firstRow="1" w:lastRow="0" w:firstColumn="1" w:lastColumn="0" w:noHBand="0" w:noVBand="1"/>
      </w:tblPr>
      <w:tblGrid>
        <w:gridCol w:w="1560"/>
        <w:gridCol w:w="4175"/>
        <w:gridCol w:w="3183"/>
      </w:tblGrid>
      <w:tr w:rsidR="000D41DA" w:rsidRPr="005959F6" w14:paraId="33BB267B" w14:textId="77777777" w:rsidTr="00436BFE">
        <w:trPr>
          <w:jc w:val="center"/>
        </w:trPr>
        <w:tc>
          <w:tcPr>
            <w:tcW w:w="1560" w:type="dxa"/>
          </w:tcPr>
          <w:p w14:paraId="699EB8A3" w14:textId="555C4EAF" w:rsidR="000D41DA" w:rsidRPr="005959F6" w:rsidRDefault="00C83524" w:rsidP="000560AC">
            <w:pPr>
              <w:jc w:val="center"/>
              <w:rPr>
                <w:b/>
                <w:bCs/>
                <w:sz w:val="20"/>
                <w:szCs w:val="20"/>
              </w:rPr>
            </w:pPr>
            <w:r w:rsidRPr="005959F6">
              <w:rPr>
                <w:b/>
                <w:bCs/>
                <w:sz w:val="20"/>
                <w:szCs w:val="20"/>
              </w:rPr>
              <w:t>DECISION</w:t>
            </w:r>
          </w:p>
        </w:tc>
        <w:tc>
          <w:tcPr>
            <w:tcW w:w="4175" w:type="dxa"/>
          </w:tcPr>
          <w:p w14:paraId="091E4712" w14:textId="2415A353" w:rsidR="000D41DA" w:rsidRPr="005959F6" w:rsidRDefault="00C83524" w:rsidP="000560AC">
            <w:pPr>
              <w:jc w:val="center"/>
              <w:rPr>
                <w:b/>
                <w:bCs/>
                <w:sz w:val="20"/>
                <w:szCs w:val="20"/>
              </w:rPr>
            </w:pPr>
            <w:r w:rsidRPr="005959F6">
              <w:rPr>
                <w:rStyle w:val="normaltextrun"/>
                <w:b/>
                <w:bCs/>
                <w:sz w:val="20"/>
                <w:szCs w:val="20"/>
              </w:rPr>
              <w:t xml:space="preserve">AGENDA ITEM </w:t>
            </w:r>
          </w:p>
        </w:tc>
        <w:tc>
          <w:tcPr>
            <w:tcW w:w="3183" w:type="dxa"/>
          </w:tcPr>
          <w:p w14:paraId="699928B2" w14:textId="1E980CF1" w:rsidR="000D41DA" w:rsidRPr="005959F6" w:rsidRDefault="00C83524" w:rsidP="000560AC">
            <w:pPr>
              <w:jc w:val="center"/>
              <w:rPr>
                <w:b/>
                <w:bCs/>
                <w:sz w:val="20"/>
                <w:szCs w:val="20"/>
              </w:rPr>
            </w:pPr>
            <w:r w:rsidRPr="005959F6">
              <w:rPr>
                <w:b/>
                <w:bCs/>
                <w:sz w:val="20"/>
                <w:szCs w:val="20"/>
              </w:rPr>
              <w:t>RELATED DOCUMENTS</w:t>
            </w:r>
          </w:p>
        </w:tc>
      </w:tr>
      <w:tr w:rsidR="000D41DA" w:rsidRPr="005959F6" w14:paraId="3CB0C07E" w14:textId="77777777" w:rsidTr="000560AC">
        <w:trPr>
          <w:trHeight w:val="705"/>
          <w:jc w:val="center"/>
        </w:trPr>
        <w:tc>
          <w:tcPr>
            <w:tcW w:w="1560" w:type="dxa"/>
          </w:tcPr>
          <w:p w14:paraId="2DC01327" w14:textId="03370AAC" w:rsidR="000D41DA" w:rsidRPr="005959F6" w:rsidRDefault="000D41DA" w:rsidP="000560AC">
            <w:pPr>
              <w:rPr>
                <w:sz w:val="20"/>
                <w:szCs w:val="20"/>
              </w:rPr>
            </w:pPr>
            <w:r w:rsidRPr="005959F6">
              <w:rPr>
                <w:sz w:val="20"/>
                <w:szCs w:val="20"/>
              </w:rPr>
              <w:t xml:space="preserve">Decision </w:t>
            </w:r>
            <w:r w:rsidR="00EB3F2A" w:rsidRPr="005959F6">
              <w:rPr>
                <w:sz w:val="20"/>
                <w:szCs w:val="20"/>
              </w:rPr>
              <w:t>90/4</w:t>
            </w:r>
          </w:p>
          <w:p w14:paraId="3CAB8A2C" w14:textId="77777777" w:rsidR="000D41DA" w:rsidRPr="005959F6" w:rsidRDefault="000D41DA" w:rsidP="000560AC">
            <w:pPr>
              <w:rPr>
                <w:sz w:val="20"/>
                <w:szCs w:val="20"/>
              </w:rPr>
            </w:pPr>
          </w:p>
        </w:tc>
        <w:tc>
          <w:tcPr>
            <w:tcW w:w="4175" w:type="dxa"/>
          </w:tcPr>
          <w:p w14:paraId="1BE08D02" w14:textId="0367BF4D" w:rsidR="000D41DA" w:rsidRPr="005959F6" w:rsidRDefault="000D41DA" w:rsidP="000560AC">
            <w:pPr>
              <w:widowControl w:val="0"/>
              <w:outlineLvl w:val="1"/>
              <w:rPr>
                <w:sz w:val="20"/>
                <w:szCs w:val="20"/>
              </w:rPr>
            </w:pPr>
            <w:r w:rsidRPr="005959F6">
              <w:rPr>
                <w:rStyle w:val="normaltextrun"/>
                <w:color w:val="000000"/>
                <w:sz w:val="20"/>
                <w:szCs w:val="20"/>
                <w:shd w:val="clear" w:color="auto" w:fill="FFFFFF"/>
              </w:rPr>
              <w:t>Evaluation 6 (</w:t>
            </w:r>
            <w:r w:rsidR="00EB3F2A" w:rsidRPr="005959F6">
              <w:rPr>
                <w:rStyle w:val="normaltextrun"/>
                <w:color w:val="000000"/>
                <w:sz w:val="20"/>
                <w:szCs w:val="20"/>
                <w:shd w:val="clear" w:color="auto" w:fill="FFFFFF"/>
              </w:rPr>
              <w:t>a</w:t>
            </w:r>
            <w:r w:rsidRPr="005959F6">
              <w:rPr>
                <w:rStyle w:val="normaltextrun"/>
                <w:color w:val="000000"/>
                <w:sz w:val="20"/>
                <w:szCs w:val="20"/>
                <w:shd w:val="clear" w:color="auto" w:fill="FFFFFF"/>
              </w:rPr>
              <w:t xml:space="preserve">) </w:t>
            </w:r>
            <w:r w:rsidR="00EB3F2A" w:rsidRPr="005959F6">
              <w:rPr>
                <w:sz w:val="20"/>
                <w:szCs w:val="20"/>
              </w:rPr>
              <w:t>Desk study for the evaluation of demonstration projects for low-global warming potential alternatives to HCFCs</w:t>
            </w:r>
          </w:p>
        </w:tc>
        <w:tc>
          <w:tcPr>
            <w:tcW w:w="3183" w:type="dxa"/>
          </w:tcPr>
          <w:p w14:paraId="108E4319" w14:textId="20F3255B" w:rsidR="000D41DA" w:rsidRPr="005959F6" w:rsidRDefault="00D67446" w:rsidP="000560AC">
            <w:pPr>
              <w:rPr>
                <w:sz w:val="20"/>
                <w:szCs w:val="20"/>
              </w:rPr>
            </w:pPr>
            <w:hyperlink r:id="rId12" w:history="1">
              <w:r w:rsidR="00A7695A" w:rsidRPr="005959F6">
                <w:rPr>
                  <w:rStyle w:val="Hyperlink"/>
                  <w:sz w:val="20"/>
                  <w:szCs w:val="20"/>
                </w:rPr>
                <w:t>UNEP/</w:t>
              </w:r>
              <w:proofErr w:type="spellStart"/>
              <w:r w:rsidR="00A7695A" w:rsidRPr="005959F6">
                <w:rPr>
                  <w:rStyle w:val="Hyperlink"/>
                  <w:sz w:val="20"/>
                  <w:szCs w:val="20"/>
                </w:rPr>
                <w:t>OzL.Pro</w:t>
              </w:r>
              <w:proofErr w:type="spellEnd"/>
              <w:r w:rsidR="00A7695A" w:rsidRPr="005959F6">
                <w:rPr>
                  <w:rStyle w:val="Hyperlink"/>
                  <w:sz w:val="20"/>
                  <w:szCs w:val="20"/>
                </w:rPr>
                <w:t>/ExCom/90/6</w:t>
              </w:r>
            </w:hyperlink>
          </w:p>
        </w:tc>
      </w:tr>
      <w:tr w:rsidR="000D41DA" w:rsidRPr="005959F6" w14:paraId="009F01FB" w14:textId="77777777" w:rsidTr="000560AC">
        <w:trPr>
          <w:trHeight w:val="701"/>
          <w:jc w:val="center"/>
        </w:trPr>
        <w:tc>
          <w:tcPr>
            <w:tcW w:w="1560" w:type="dxa"/>
          </w:tcPr>
          <w:p w14:paraId="3B571486" w14:textId="0477AFD4" w:rsidR="000D41DA" w:rsidRPr="005959F6" w:rsidRDefault="000D41DA" w:rsidP="000560AC">
            <w:pPr>
              <w:rPr>
                <w:sz w:val="20"/>
                <w:szCs w:val="20"/>
              </w:rPr>
            </w:pPr>
            <w:r w:rsidRPr="005959F6">
              <w:rPr>
                <w:rStyle w:val="normaltextrun"/>
                <w:sz w:val="20"/>
                <w:szCs w:val="20"/>
              </w:rPr>
              <w:t xml:space="preserve">Decision </w:t>
            </w:r>
            <w:r w:rsidR="00E40E3E" w:rsidRPr="005959F6">
              <w:rPr>
                <w:rStyle w:val="normaltextrun"/>
                <w:sz w:val="20"/>
                <w:szCs w:val="20"/>
              </w:rPr>
              <w:t>90</w:t>
            </w:r>
            <w:r w:rsidRPr="005959F6">
              <w:rPr>
                <w:rStyle w:val="normaltextrun"/>
                <w:sz w:val="20"/>
                <w:szCs w:val="20"/>
              </w:rPr>
              <w:t>/</w:t>
            </w:r>
            <w:r w:rsidR="00E40E3E" w:rsidRPr="005959F6">
              <w:rPr>
                <w:rStyle w:val="normaltextrun"/>
                <w:sz w:val="20"/>
                <w:szCs w:val="20"/>
              </w:rPr>
              <w:t>5</w:t>
            </w:r>
          </w:p>
        </w:tc>
        <w:tc>
          <w:tcPr>
            <w:tcW w:w="4175" w:type="dxa"/>
          </w:tcPr>
          <w:p w14:paraId="16BB1B72" w14:textId="4C41452E" w:rsidR="000D41DA" w:rsidRPr="000560AC" w:rsidRDefault="00E40E3E" w:rsidP="000560AC">
            <w:pPr>
              <w:jc w:val="left"/>
              <w:outlineLvl w:val="1"/>
              <w:rPr>
                <w:rStyle w:val="normaltextrun"/>
                <w:sz w:val="20"/>
                <w:szCs w:val="20"/>
              </w:rPr>
            </w:pPr>
            <w:r w:rsidRPr="005959F6">
              <w:rPr>
                <w:rStyle w:val="normaltextrun"/>
                <w:color w:val="000000"/>
                <w:sz w:val="20"/>
                <w:szCs w:val="20"/>
                <w:shd w:val="clear" w:color="auto" w:fill="FFFFFF"/>
              </w:rPr>
              <w:t xml:space="preserve">Evaluation 6 (c) </w:t>
            </w:r>
            <w:r w:rsidRPr="005959F6">
              <w:rPr>
                <w:sz w:val="20"/>
                <w:szCs w:val="20"/>
              </w:rPr>
              <w:t>Terms of reference for the desk study for the evaluation of enabling activities for HFC phase- down</w:t>
            </w:r>
          </w:p>
        </w:tc>
        <w:tc>
          <w:tcPr>
            <w:tcW w:w="3183" w:type="dxa"/>
          </w:tcPr>
          <w:p w14:paraId="231891D3" w14:textId="11CFC271" w:rsidR="000D41DA" w:rsidRPr="005959F6" w:rsidRDefault="00D67446" w:rsidP="000560AC">
            <w:pPr>
              <w:rPr>
                <w:sz w:val="20"/>
                <w:szCs w:val="20"/>
              </w:rPr>
            </w:pPr>
            <w:hyperlink r:id="rId13" w:history="1">
              <w:r w:rsidR="00A521B0" w:rsidRPr="005959F6">
                <w:rPr>
                  <w:rStyle w:val="Hyperlink"/>
                  <w:sz w:val="20"/>
                  <w:szCs w:val="20"/>
                </w:rPr>
                <w:t>UNEP/</w:t>
              </w:r>
              <w:proofErr w:type="spellStart"/>
              <w:r w:rsidR="00A521B0" w:rsidRPr="005959F6">
                <w:rPr>
                  <w:rStyle w:val="Hyperlink"/>
                  <w:sz w:val="20"/>
                  <w:szCs w:val="20"/>
                </w:rPr>
                <w:t>OzL.Pro</w:t>
              </w:r>
              <w:proofErr w:type="spellEnd"/>
              <w:r w:rsidR="00A521B0" w:rsidRPr="005959F6">
                <w:rPr>
                  <w:rStyle w:val="Hyperlink"/>
                  <w:sz w:val="20"/>
                  <w:szCs w:val="20"/>
                </w:rPr>
                <w:t>/ExCom/90/8/Rev.1</w:t>
              </w:r>
            </w:hyperlink>
          </w:p>
        </w:tc>
      </w:tr>
      <w:tr w:rsidR="007674CA" w:rsidRPr="005959F6" w14:paraId="50174B59" w14:textId="77777777" w:rsidTr="00436BFE">
        <w:trPr>
          <w:jc w:val="center"/>
        </w:trPr>
        <w:tc>
          <w:tcPr>
            <w:tcW w:w="1560" w:type="dxa"/>
          </w:tcPr>
          <w:p w14:paraId="4C848A85" w14:textId="3B16A311" w:rsidR="007674CA" w:rsidRPr="005959F6" w:rsidRDefault="00837B1C" w:rsidP="000560AC">
            <w:pPr>
              <w:rPr>
                <w:rStyle w:val="normaltextrun"/>
                <w:bCs/>
                <w:sz w:val="20"/>
                <w:szCs w:val="20"/>
              </w:rPr>
            </w:pPr>
            <w:r w:rsidRPr="005959F6">
              <w:rPr>
                <w:bCs/>
                <w:sz w:val="20"/>
                <w:szCs w:val="20"/>
              </w:rPr>
              <w:t>Decision 90/28</w:t>
            </w:r>
          </w:p>
        </w:tc>
        <w:tc>
          <w:tcPr>
            <w:tcW w:w="4175" w:type="dxa"/>
          </w:tcPr>
          <w:p w14:paraId="13C2F1A7" w14:textId="52AA1D8E" w:rsidR="007674CA" w:rsidRPr="005959F6" w:rsidRDefault="005B77C2" w:rsidP="000560AC">
            <w:pPr>
              <w:keepNext/>
              <w:jc w:val="left"/>
              <w:outlineLvl w:val="1"/>
              <w:rPr>
                <w:rStyle w:val="normaltextrun"/>
                <w:sz w:val="20"/>
                <w:szCs w:val="20"/>
              </w:rPr>
            </w:pPr>
            <w:r w:rsidRPr="005959F6">
              <w:rPr>
                <w:sz w:val="20"/>
                <w:szCs w:val="20"/>
              </w:rPr>
              <w:t>Programme implementation</w:t>
            </w:r>
            <w:r w:rsidR="003800BE" w:rsidRPr="005959F6">
              <w:rPr>
                <w:sz w:val="20"/>
                <w:szCs w:val="20"/>
              </w:rPr>
              <w:t xml:space="preserve"> 7 (b) 2022 consolidated project completion report</w:t>
            </w:r>
          </w:p>
        </w:tc>
        <w:tc>
          <w:tcPr>
            <w:tcW w:w="3183" w:type="dxa"/>
          </w:tcPr>
          <w:p w14:paraId="38BD4545" w14:textId="0449F967" w:rsidR="007674CA" w:rsidRPr="005959F6" w:rsidRDefault="00D67446" w:rsidP="000560AC">
            <w:pPr>
              <w:rPr>
                <w:sz w:val="20"/>
                <w:szCs w:val="20"/>
              </w:rPr>
            </w:pPr>
            <w:hyperlink r:id="rId14" w:history="1">
              <w:r w:rsidR="00F841F0" w:rsidRPr="005959F6">
                <w:rPr>
                  <w:rStyle w:val="Hyperlink"/>
                  <w:sz w:val="20"/>
                  <w:szCs w:val="20"/>
                </w:rPr>
                <w:t>UNEP/</w:t>
              </w:r>
              <w:proofErr w:type="spellStart"/>
              <w:r w:rsidR="00F841F0" w:rsidRPr="005959F6">
                <w:rPr>
                  <w:rStyle w:val="Hyperlink"/>
                  <w:sz w:val="20"/>
                  <w:szCs w:val="20"/>
                </w:rPr>
                <w:t>OzL.Pro</w:t>
              </w:r>
              <w:proofErr w:type="spellEnd"/>
              <w:r w:rsidR="00F841F0" w:rsidRPr="005959F6">
                <w:rPr>
                  <w:rStyle w:val="Hyperlink"/>
                  <w:sz w:val="20"/>
                  <w:szCs w:val="20"/>
                </w:rPr>
                <w:t>/ExCom/90/10</w:t>
              </w:r>
            </w:hyperlink>
          </w:p>
        </w:tc>
      </w:tr>
    </w:tbl>
    <w:p w14:paraId="1DE0886A" w14:textId="77777777" w:rsidR="000D41DA" w:rsidRDefault="000D41DA" w:rsidP="000830D9">
      <w:pPr>
        <w:spacing w:after="120"/>
        <w:jc w:val="left"/>
        <w:rPr>
          <w:rStyle w:val="normaltextrun"/>
          <w:b/>
          <w:bCs/>
        </w:rPr>
      </w:pPr>
    </w:p>
    <w:p w14:paraId="093E06EA" w14:textId="77777777" w:rsidR="006F65A4" w:rsidRDefault="006F65A4" w:rsidP="00511228">
      <w:pPr>
        <w:spacing w:after="240"/>
        <w:jc w:val="left"/>
        <w:rPr>
          <w:b/>
        </w:rPr>
      </w:pPr>
      <w:r w:rsidRPr="006F65A4">
        <w:rPr>
          <w:b/>
        </w:rPr>
        <w:t>AGENDA ITEM 6: EVALUATION</w:t>
      </w:r>
    </w:p>
    <w:p w14:paraId="030FA1CE" w14:textId="1B0442AD" w:rsidR="00E441E4" w:rsidRPr="00810328" w:rsidRDefault="00810328" w:rsidP="00810328">
      <w:pPr>
        <w:widowControl w:val="0"/>
        <w:numPr>
          <w:ilvl w:val="1"/>
          <w:numId w:val="25"/>
        </w:numPr>
        <w:tabs>
          <w:tab w:val="clear" w:pos="-720"/>
          <w:tab w:val="num" w:pos="-295"/>
        </w:tabs>
        <w:spacing w:after="240"/>
        <w:outlineLvl w:val="1"/>
        <w:rPr>
          <w:b/>
          <w:bCs/>
        </w:rPr>
      </w:pPr>
      <w:r w:rsidRPr="29DDF1DB">
        <w:rPr>
          <w:b/>
          <w:bCs/>
        </w:rPr>
        <w:t>Desk study for the evaluation of demonstration projects for low-global warming potential alternatives to HCFCs</w:t>
      </w:r>
    </w:p>
    <w:p w14:paraId="7D31F530" w14:textId="77777777" w:rsidR="005C47BD" w:rsidRPr="005C47BD" w:rsidRDefault="005C47BD" w:rsidP="006F70EE">
      <w:pPr>
        <w:pStyle w:val="Heading1"/>
        <w:rPr>
          <w:color w:val="000000" w:themeColor="text1"/>
        </w:rPr>
      </w:pPr>
      <w:r w:rsidRPr="005C47BD">
        <w:t xml:space="preserve">The Senior Monitoring and Evaluation Officer introduced </w:t>
      </w:r>
      <w:r w:rsidRPr="005C47BD">
        <w:rPr>
          <w:color w:val="000000" w:themeColor="text1"/>
        </w:rPr>
        <w:t>document UNEP/OzL.Pro/ExCom/90/6.</w:t>
      </w:r>
    </w:p>
    <w:p w14:paraId="00981CC4" w14:textId="311178A7" w:rsidR="005C47BD" w:rsidRPr="005C47BD" w:rsidRDefault="005C47BD" w:rsidP="005C47BD">
      <w:pPr>
        <w:numPr>
          <w:ilvl w:val="0"/>
          <w:numId w:val="1"/>
        </w:numPr>
        <w:spacing w:after="240"/>
        <w:outlineLvl w:val="0"/>
      </w:pPr>
      <w:r w:rsidRPr="005C47BD">
        <w:t>Following her presentation, members thanked the Senior Monitoring and Evaluation Officer for a comprehensive desk study, welcoming the main conclusion that the demonstration projects had proved useful. They underscored the importance of applying the study’s findings to the design of both future demonstration projects and HFC phase-down projects, particularly in order to assess not only the technical feasibility of alternative technologies, but also relevant issues related to their potential adoption in the country, such as market uptake challenges, affordability, safety, competitiveness, know-how and capacity. Other important elements included: involvement of industry associations; communication and technical knowledge dissemination; anticipation of project budget issues; timeframe challenges; and the inclusion of training programme effectiveness indicators in the project results framework.</w:t>
      </w:r>
    </w:p>
    <w:p w14:paraId="66943516" w14:textId="77777777" w:rsidR="005C47BD" w:rsidRPr="005C47BD" w:rsidRDefault="005C47BD" w:rsidP="005C47BD">
      <w:pPr>
        <w:numPr>
          <w:ilvl w:val="0"/>
          <w:numId w:val="1"/>
        </w:numPr>
        <w:spacing w:after="240"/>
        <w:outlineLvl w:val="0"/>
      </w:pPr>
      <w:r w:rsidRPr="005C47BD">
        <w:t>One member, noting that only some of the findings arising from the study were reflected in annex III to the document, which set out additional elements for potential framework conditions for demonstration projects, asked whether the Committee needed to consider additional action on the study’s findings and to include them in the form of recommendations. With respect to the finding that reporting tools such as progress reports and project completion reports (PCRs) were not used to the extent planned, the member proposed that the project reporting templates be revised and updated accordingly. Another member observed that the proposal was in line with the suggestion made during the 89</w:t>
      </w:r>
      <w:r w:rsidRPr="005C47BD">
        <w:rPr>
          <w:vertAlign w:val="superscript"/>
        </w:rPr>
        <w:t>th</w:t>
      </w:r>
      <w:r w:rsidRPr="005C47BD">
        <w:t xml:space="preserve"> meeting that the Committee adopt key recommendations from evaluations. He added that he had not expected that very recent suggestion to be applied in the present case, but looked forward to seeing key recommendations identified by the Senior Monitoring and Evaluation Officer in the forthcoming evaluations.</w:t>
      </w:r>
    </w:p>
    <w:p w14:paraId="5EC57B70" w14:textId="064E7956" w:rsidR="005C47BD" w:rsidRPr="005C47BD" w:rsidRDefault="005C47BD" w:rsidP="005C47BD">
      <w:pPr>
        <w:numPr>
          <w:ilvl w:val="0"/>
          <w:numId w:val="1"/>
        </w:numPr>
        <w:spacing w:after="240"/>
        <w:outlineLvl w:val="0"/>
      </w:pPr>
      <w:r w:rsidRPr="005C47BD">
        <w:t>Another member underscored the finding of the study related to the importance of clearly separating project achievement indicators from technical indicators in order to assess the effectiveness of demonstration projects.</w:t>
      </w:r>
    </w:p>
    <w:p w14:paraId="591D52F3" w14:textId="77777777" w:rsidR="005C47BD" w:rsidRPr="005C47BD" w:rsidRDefault="005C47BD" w:rsidP="005C47BD">
      <w:pPr>
        <w:numPr>
          <w:ilvl w:val="0"/>
          <w:numId w:val="1"/>
        </w:numPr>
        <w:spacing w:after="240"/>
        <w:outlineLvl w:val="0"/>
      </w:pPr>
      <w:r w:rsidRPr="005C47BD">
        <w:t xml:space="preserve">Responding to members’ comments and questions, the Senior Monitoring and Evaluation Officer explained that annex III to </w:t>
      </w:r>
      <w:r w:rsidRPr="005C47BD">
        <w:rPr>
          <w:color w:val="000000" w:themeColor="text1"/>
        </w:rPr>
        <w:t xml:space="preserve">document UNEP/OzL.Pro/ExCom/90/6 </w:t>
      </w:r>
      <w:r w:rsidRPr="005C47BD">
        <w:t>was an update of annex III to document </w:t>
      </w:r>
      <w:r w:rsidRPr="005C47BD">
        <w:rPr>
          <w:color w:val="000000" w:themeColor="text1"/>
        </w:rPr>
        <w:t>UNEP/OzL.Pro/ExCom</w:t>
      </w:r>
      <w:r w:rsidRPr="005C47BD">
        <w:t>/72/40, as per the terms of reference. As such, it followed the same structure, without being as comprehensive as the executive summary in terms of describing the findings. She also informed the Committee that the possibility of revising the PCR templates would be included in the proposals for the monitoring and evaluation work programme for 2023, to be prepared for the 91</w:t>
      </w:r>
      <w:r w:rsidRPr="005C47BD">
        <w:rPr>
          <w:vertAlign w:val="superscript"/>
        </w:rPr>
        <w:t>st</w:t>
      </w:r>
      <w:r w:rsidRPr="005C47BD">
        <w:t xml:space="preserve"> meeting.</w:t>
      </w:r>
    </w:p>
    <w:p w14:paraId="55041742" w14:textId="0B91837B" w:rsidR="005C47BD" w:rsidRPr="005C47BD" w:rsidRDefault="005C47BD" w:rsidP="005C47BD">
      <w:pPr>
        <w:numPr>
          <w:ilvl w:val="0"/>
          <w:numId w:val="1"/>
        </w:numPr>
        <w:spacing w:after="240"/>
        <w:outlineLvl w:val="0"/>
      </w:pPr>
      <w:r w:rsidRPr="005C47BD">
        <w:t>Two members nevertheless expressed the desire to hold informal discussions with the Senior Monitoring and Evaluation Officer.</w:t>
      </w:r>
    </w:p>
    <w:p w14:paraId="18FD16CC" w14:textId="686DB1BD" w:rsidR="005C47BD" w:rsidRPr="005C47BD" w:rsidRDefault="005C47BD" w:rsidP="005C47BD">
      <w:pPr>
        <w:numPr>
          <w:ilvl w:val="0"/>
          <w:numId w:val="1"/>
        </w:numPr>
        <w:spacing w:after="240"/>
        <w:outlineLvl w:val="0"/>
      </w:pPr>
      <w:r w:rsidRPr="005C47BD">
        <w:t xml:space="preserve">Following the informal discussions, the Executive Committee </w:t>
      </w:r>
      <w:r w:rsidRPr="005C47BD">
        <w:rPr>
          <w:u w:val="single"/>
        </w:rPr>
        <w:t>decided</w:t>
      </w:r>
      <w:r w:rsidRPr="005C47BD">
        <w:t>:</w:t>
      </w:r>
    </w:p>
    <w:p w14:paraId="40603F17" w14:textId="77777777" w:rsidR="005C47BD" w:rsidRPr="005C47BD" w:rsidRDefault="005C47BD" w:rsidP="005C47BD">
      <w:pPr>
        <w:widowControl w:val="0"/>
        <w:numPr>
          <w:ilvl w:val="1"/>
          <w:numId w:val="1"/>
        </w:numPr>
        <w:spacing w:after="240"/>
        <w:outlineLvl w:val="1"/>
      </w:pPr>
      <w:r w:rsidRPr="005C47BD">
        <w:lastRenderedPageBreak/>
        <w:t>To note the desk study for the evaluation of demonstration projects for low</w:t>
      </w:r>
      <w:r w:rsidRPr="005C47BD">
        <w:noBreakHyphen/>
        <w:t>global</w:t>
      </w:r>
      <w:r w:rsidRPr="005C47BD">
        <w:noBreakHyphen/>
        <w:t>warming</w:t>
      </w:r>
      <w:r w:rsidRPr="005C47BD">
        <w:noBreakHyphen/>
        <w:t>potential alternatives to HCFCs contained in document UNEP/OzL.Pro/ExCom/90/6; and</w:t>
      </w:r>
      <w:bookmarkStart w:id="0" w:name="_Hlk104541264"/>
    </w:p>
    <w:p w14:paraId="47612AEC" w14:textId="77777777" w:rsidR="005C47BD" w:rsidRPr="005C47BD" w:rsidRDefault="005C47BD" w:rsidP="004D47B1">
      <w:pPr>
        <w:keepNext/>
        <w:keepLines/>
        <w:widowControl w:val="0"/>
        <w:numPr>
          <w:ilvl w:val="1"/>
          <w:numId w:val="1"/>
        </w:numPr>
        <w:spacing w:after="240"/>
        <w:outlineLvl w:val="1"/>
      </w:pPr>
      <w:r w:rsidRPr="005C47BD">
        <w:t>To invite Article 5 Parties, bilateral and implementing agencies and the Secretariat to take account, where appropriate, of the findings of the desk study referred to in sub</w:t>
      </w:r>
      <w:r w:rsidRPr="005C47BD">
        <w:noBreakHyphen/>
        <w:t>paragraph (a) above, in project design, implementation and reporting related to future technology demonstration activities associated with HFC phase</w:t>
      </w:r>
      <w:r w:rsidRPr="005C47BD">
        <w:noBreakHyphen/>
        <w:t>down.</w:t>
      </w:r>
      <w:bookmarkEnd w:id="0"/>
    </w:p>
    <w:p w14:paraId="75B88A34" w14:textId="77777777" w:rsidR="005C47BD" w:rsidRPr="005C47BD" w:rsidRDefault="005C47BD" w:rsidP="004D47B1">
      <w:pPr>
        <w:keepNext/>
        <w:widowControl w:val="0"/>
        <w:spacing w:after="360"/>
        <w:jc w:val="right"/>
        <w:rPr>
          <w:b/>
        </w:rPr>
      </w:pPr>
      <w:r w:rsidRPr="005C47BD">
        <w:rPr>
          <w:b/>
        </w:rPr>
        <w:t>(Decision 90/4)</w:t>
      </w:r>
    </w:p>
    <w:p w14:paraId="439AF15D" w14:textId="77777777" w:rsidR="005C47BD" w:rsidRPr="005C47BD" w:rsidRDefault="005C47BD" w:rsidP="007B1440">
      <w:pPr>
        <w:numPr>
          <w:ilvl w:val="1"/>
          <w:numId w:val="21"/>
        </w:numPr>
        <w:spacing w:after="240"/>
        <w:outlineLvl w:val="1"/>
        <w:rPr>
          <w:b/>
        </w:rPr>
      </w:pPr>
      <w:r w:rsidRPr="005C47BD">
        <w:rPr>
          <w:b/>
        </w:rPr>
        <w:t>Update on the status of the second phase of the evaluation of regional networks of national ozone officers</w:t>
      </w:r>
    </w:p>
    <w:p w14:paraId="2A2A5C05" w14:textId="77777777" w:rsidR="005C47BD" w:rsidRPr="005C47BD" w:rsidRDefault="005C47BD" w:rsidP="005C47BD">
      <w:pPr>
        <w:numPr>
          <w:ilvl w:val="0"/>
          <w:numId w:val="1"/>
        </w:numPr>
        <w:spacing w:after="240"/>
        <w:outlineLvl w:val="0"/>
        <w:rPr>
          <w:color w:val="000000" w:themeColor="text1"/>
        </w:rPr>
      </w:pPr>
      <w:r w:rsidRPr="005C47BD">
        <w:t xml:space="preserve">The Senior Monitoring and Evaluation Officer introduced </w:t>
      </w:r>
      <w:r w:rsidRPr="005C47BD">
        <w:rPr>
          <w:color w:val="000000" w:themeColor="text1"/>
        </w:rPr>
        <w:t>document UNEP/OzL.Pro/ExCom/90/7.</w:t>
      </w:r>
    </w:p>
    <w:p w14:paraId="3619007C" w14:textId="77777777" w:rsidR="005C47BD" w:rsidRPr="005C47BD" w:rsidRDefault="005C47BD" w:rsidP="005C47BD">
      <w:pPr>
        <w:numPr>
          <w:ilvl w:val="0"/>
          <w:numId w:val="1"/>
        </w:numPr>
        <w:spacing w:after="240"/>
        <w:outlineLvl w:val="0"/>
      </w:pPr>
      <w:r w:rsidRPr="005C47BD">
        <w:t xml:space="preserve">The Executive Committee </w:t>
      </w:r>
      <w:r w:rsidRPr="005C47BD">
        <w:rPr>
          <w:u w:val="single"/>
        </w:rPr>
        <w:t>took note</w:t>
      </w:r>
      <w:r w:rsidRPr="005C47BD">
        <w:t xml:space="preserve"> of the update on the status of the second phase of the evaluation of regional networks of national ozone officers contained in document UNEP/OzL.Pro/ExCom/90/7.</w:t>
      </w:r>
    </w:p>
    <w:p w14:paraId="783478A0" w14:textId="53B88CC9" w:rsidR="005C47BD" w:rsidRPr="005C47BD" w:rsidRDefault="005C47BD" w:rsidP="005C47BD">
      <w:pPr>
        <w:numPr>
          <w:ilvl w:val="1"/>
          <w:numId w:val="21"/>
        </w:numPr>
        <w:tabs>
          <w:tab w:val="num" w:pos="0"/>
        </w:tabs>
        <w:spacing w:after="240"/>
        <w:outlineLvl w:val="1"/>
        <w:rPr>
          <w:b/>
        </w:rPr>
      </w:pPr>
      <w:r w:rsidRPr="005C47BD">
        <w:rPr>
          <w:b/>
        </w:rPr>
        <w:t xml:space="preserve">Terms of reference for the desk study for the evaluation of enabling activities for HFC </w:t>
      </w:r>
      <w:r w:rsidR="005D7986">
        <w:rPr>
          <w:b/>
        </w:rPr>
        <w:t>phase- down</w:t>
      </w:r>
    </w:p>
    <w:p w14:paraId="10047B54" w14:textId="69FDEA96" w:rsidR="005C47BD" w:rsidRPr="005C47BD" w:rsidRDefault="005C47BD" w:rsidP="005C47BD">
      <w:pPr>
        <w:numPr>
          <w:ilvl w:val="0"/>
          <w:numId w:val="1"/>
        </w:numPr>
        <w:spacing w:after="240"/>
        <w:outlineLvl w:val="0"/>
        <w:rPr>
          <w:color w:val="000000" w:themeColor="text1"/>
          <w:szCs w:val="24"/>
        </w:rPr>
      </w:pPr>
      <w:bookmarkStart w:id="1" w:name="_Hlk106619718"/>
      <w:r w:rsidRPr="005C47BD">
        <w:t xml:space="preserve">The Senior Monitoring and Evaluation Officer introduced </w:t>
      </w:r>
      <w:r w:rsidRPr="005C47BD">
        <w:rPr>
          <w:color w:val="000000" w:themeColor="text1"/>
        </w:rPr>
        <w:t>document </w:t>
      </w:r>
      <w:bookmarkEnd w:id="1"/>
      <w:r w:rsidRPr="005C47BD">
        <w:rPr>
          <w:color w:val="000000" w:themeColor="text1"/>
        </w:rPr>
        <w:t>UNEP/</w:t>
      </w:r>
      <w:proofErr w:type="spellStart"/>
      <w:r w:rsidRPr="005C47BD">
        <w:rPr>
          <w:color w:val="000000" w:themeColor="text1"/>
        </w:rPr>
        <w:t>Oz</w:t>
      </w:r>
      <w:r w:rsidRPr="005C47BD">
        <w:rPr>
          <w:color w:val="000000" w:themeColor="text1"/>
          <w:szCs w:val="24"/>
        </w:rPr>
        <w:t>L.Pro</w:t>
      </w:r>
      <w:proofErr w:type="spellEnd"/>
      <w:r w:rsidRPr="005C47BD">
        <w:rPr>
          <w:color w:val="000000" w:themeColor="text1"/>
          <w:szCs w:val="24"/>
        </w:rPr>
        <w:t>/ExCom/90/8.</w:t>
      </w:r>
    </w:p>
    <w:p w14:paraId="16FBF9E5" w14:textId="4D1D738E" w:rsidR="005C47BD" w:rsidRPr="005C47BD" w:rsidRDefault="005C47BD" w:rsidP="005C47BD">
      <w:pPr>
        <w:numPr>
          <w:ilvl w:val="0"/>
          <w:numId w:val="1"/>
        </w:numPr>
        <w:spacing w:after="240"/>
        <w:outlineLvl w:val="0"/>
      </w:pPr>
      <w:r w:rsidRPr="005C47BD">
        <w:t>There was general support for the proposed terms of reference, which members described as very comprehensive. There was also agreement regarding the timing of the study report, which would be submitted for consideration at the 92</w:t>
      </w:r>
      <w:r w:rsidRPr="005C47BD">
        <w:rPr>
          <w:vertAlign w:val="superscript"/>
        </w:rPr>
        <w:t>nd</w:t>
      </w:r>
      <w:r w:rsidRPr="005C47BD">
        <w:t xml:space="preserve"> meeting of the Committee. One member noted that the timing was appropriate given the fact that a significant number of final reports for enabling activities were expected to be submitted only towards the end of 2022.</w:t>
      </w:r>
    </w:p>
    <w:p w14:paraId="5BAE7864" w14:textId="7DE6DA1C" w:rsidR="005C47BD" w:rsidRPr="005C47BD" w:rsidRDefault="005C47BD" w:rsidP="005C47BD">
      <w:pPr>
        <w:numPr>
          <w:ilvl w:val="0"/>
          <w:numId w:val="1"/>
        </w:numPr>
        <w:spacing w:after="240"/>
        <w:outlineLvl w:val="0"/>
        <w:rPr>
          <w:lang w:val="en-US"/>
        </w:rPr>
      </w:pPr>
      <w:r w:rsidRPr="005C47BD">
        <w:t>One member acknowledged the many valuable elements already present in the scope of the terms of reference set out in paragraph 7 of the document, including the role of national ozone units, the gender dimension and the differential impact of enabling activities depending on whether the country had ratified the Kigali Amendment. He proposed that an additional element be covered in the scope, which was to assess the extent to which the design of enabling activities had built upon the existing framework</w:t>
      </w:r>
      <w:r w:rsidRPr="005C47BD">
        <w:rPr>
          <w:b/>
          <w:bCs/>
          <w:i/>
          <w:iCs/>
        </w:rPr>
        <w:t xml:space="preserve"> </w:t>
      </w:r>
      <w:r w:rsidRPr="005C47BD">
        <w:t>in relation to the institutional, legislative, policy and enforcement systems already in place for HCFCs.</w:t>
      </w:r>
    </w:p>
    <w:p w14:paraId="4F4D88FE" w14:textId="77777777" w:rsidR="005C47BD" w:rsidRPr="005C47BD" w:rsidRDefault="005C47BD" w:rsidP="005C47BD">
      <w:pPr>
        <w:numPr>
          <w:ilvl w:val="0"/>
          <w:numId w:val="1"/>
        </w:numPr>
        <w:spacing w:after="240"/>
        <w:outlineLvl w:val="0"/>
      </w:pPr>
      <w:r w:rsidRPr="005C47BD">
        <w:t xml:space="preserve">The Committee </w:t>
      </w:r>
      <w:r w:rsidRPr="005C47BD">
        <w:rPr>
          <w:u w:val="single"/>
        </w:rPr>
        <w:t>agreed</w:t>
      </w:r>
      <w:r w:rsidRPr="005C47BD">
        <w:t xml:space="preserve"> to request the Senior Monitoring and Evaluation Officer to amend the terms of reference to reflect the proposed addition. A revision to document UNEP/OzL.Pro/ExCom/90/8 was subsequently issued.</w:t>
      </w:r>
    </w:p>
    <w:p w14:paraId="6C8D4AFE" w14:textId="77777777" w:rsidR="005C47BD" w:rsidRPr="005C47BD" w:rsidRDefault="005C47BD" w:rsidP="005C47BD">
      <w:pPr>
        <w:numPr>
          <w:ilvl w:val="0"/>
          <w:numId w:val="1"/>
        </w:numPr>
        <w:spacing w:after="240"/>
        <w:outlineLvl w:val="0"/>
      </w:pPr>
      <w:r w:rsidRPr="005C47BD">
        <w:t xml:space="preserve">The Executive Committee </w:t>
      </w:r>
      <w:r w:rsidRPr="005C47BD">
        <w:rPr>
          <w:u w:val="single"/>
        </w:rPr>
        <w:t>decided</w:t>
      </w:r>
      <w:r w:rsidRPr="005C47BD">
        <w:t xml:space="preserve"> to approve the terms of reference for the desk study for the evaluation of enabling activities for HFC phase-down contained in document UNEP/OzL.Pro/ExCom/90/8/Rev.1.</w:t>
      </w:r>
    </w:p>
    <w:p w14:paraId="0382E07F" w14:textId="57279B49" w:rsidR="005E088F" w:rsidRDefault="005C47BD" w:rsidP="005E088F">
      <w:pPr>
        <w:spacing w:after="480"/>
        <w:jc w:val="right"/>
        <w:outlineLvl w:val="0"/>
        <w:rPr>
          <w:b/>
        </w:rPr>
      </w:pPr>
      <w:r w:rsidRPr="005C47BD">
        <w:rPr>
          <w:b/>
        </w:rPr>
        <w:t>(Decision 90/5)</w:t>
      </w:r>
    </w:p>
    <w:p w14:paraId="7E43DF83" w14:textId="77777777" w:rsidR="005E088F" w:rsidRDefault="005E088F" w:rsidP="009E05AE">
      <w:pPr>
        <w:spacing w:after="480"/>
        <w:jc w:val="center"/>
        <w:outlineLvl w:val="0"/>
        <w:rPr>
          <w:b/>
        </w:rPr>
      </w:pPr>
    </w:p>
    <w:p w14:paraId="67156A1C" w14:textId="77777777" w:rsidR="009E05AE" w:rsidRDefault="009E05AE" w:rsidP="009E05AE">
      <w:pPr>
        <w:spacing w:after="480"/>
        <w:jc w:val="center"/>
        <w:outlineLvl w:val="0"/>
        <w:rPr>
          <w:b/>
        </w:rPr>
        <w:sectPr w:rsidR="009E05AE" w:rsidSect="00DE13F5">
          <w:headerReference w:type="even" r:id="rId15"/>
          <w:footerReference w:type="even" r:id="rId16"/>
          <w:footerReference w:type="default" r:id="rId17"/>
          <w:footerReference w:type="first" r:id="rId18"/>
          <w:pgSz w:w="12240" w:h="15840" w:code="1"/>
          <w:pgMar w:top="720" w:right="1350" w:bottom="864" w:left="1440" w:header="720" w:footer="475" w:gutter="0"/>
          <w:cols w:space="720"/>
          <w:titlePg/>
        </w:sectPr>
      </w:pPr>
    </w:p>
    <w:p w14:paraId="7C9DCFB1" w14:textId="77777777" w:rsidR="009E05AE" w:rsidRDefault="009E05AE" w:rsidP="009E05AE">
      <w:pPr>
        <w:spacing w:after="480"/>
        <w:jc w:val="right"/>
        <w:outlineLvl w:val="0"/>
        <w:rPr>
          <w:b/>
        </w:rPr>
      </w:pPr>
    </w:p>
    <w:p w14:paraId="4D35C365" w14:textId="77777777" w:rsidR="009E05AE" w:rsidRPr="00100AB8" w:rsidRDefault="009E05AE" w:rsidP="009E05AE">
      <w:pPr>
        <w:spacing w:after="100" w:afterAutospacing="1"/>
        <w:outlineLvl w:val="0"/>
        <w:rPr>
          <w:b/>
        </w:rPr>
      </w:pPr>
      <w:r w:rsidRPr="00341F98">
        <w:rPr>
          <w:b/>
        </w:rPr>
        <w:t>AGENDA ITEM 7: PROGRAMME IMPLEMENTATION</w:t>
      </w:r>
    </w:p>
    <w:p w14:paraId="2295CA8B" w14:textId="77777777" w:rsidR="009E05AE" w:rsidRPr="00E03D80" w:rsidRDefault="009E05AE" w:rsidP="009E05AE">
      <w:pPr>
        <w:keepNext/>
        <w:numPr>
          <w:ilvl w:val="1"/>
          <w:numId w:val="24"/>
        </w:numPr>
        <w:spacing w:after="240"/>
        <w:outlineLvl w:val="1"/>
        <w:rPr>
          <w:b/>
        </w:rPr>
      </w:pPr>
      <w:r w:rsidRPr="00E03D80">
        <w:rPr>
          <w:b/>
        </w:rPr>
        <w:t>2022 consolidated project completion report</w:t>
      </w:r>
    </w:p>
    <w:p w14:paraId="6787E998" w14:textId="77777777" w:rsidR="009E05AE" w:rsidRPr="00031BED" w:rsidRDefault="009E05AE" w:rsidP="009E05AE">
      <w:pPr>
        <w:pStyle w:val="Heading1"/>
        <w:keepNext/>
        <w:numPr>
          <w:ilvl w:val="0"/>
          <w:numId w:val="23"/>
        </w:numPr>
        <w:rPr>
          <w:lang w:val="en-US"/>
        </w:rPr>
      </w:pPr>
      <w:r w:rsidRPr="00E03D80">
        <w:t>The Senior Monitoring and Evaluation Officer introduced document UNEP/</w:t>
      </w:r>
      <w:proofErr w:type="spellStart"/>
      <w:r w:rsidRPr="00E03D80">
        <w:t>OzL.Pro</w:t>
      </w:r>
      <w:proofErr w:type="spellEnd"/>
      <w:r w:rsidRPr="00E03D80">
        <w:t>/ExCom/90/10 and informed the Executive Committee about the positive trend in the rate of submission of the PCRs, which had facilitated the closure of the recommendation made in that regard by OIOS in its audit of the Multilateral Fund. She noted that the 2022 consolidated report was based on the analysis of the PCRs submitted after the 88</w:t>
      </w:r>
      <w:r w:rsidRPr="00031BED">
        <w:rPr>
          <w:vertAlign w:val="superscript"/>
        </w:rPr>
        <w:t>th</w:t>
      </w:r>
      <w:r w:rsidRPr="00E03D80">
        <w:t xml:space="preserve"> meeting of the Executive Committee, up to 25 April 2022, and that the additional PCRs received after that deadline would be considered when preparing the consolidated report to be presented at the 91</w:t>
      </w:r>
      <w:r w:rsidRPr="00031BED">
        <w:rPr>
          <w:vertAlign w:val="superscript"/>
        </w:rPr>
        <w:t>st</w:t>
      </w:r>
      <w:r w:rsidRPr="00E03D80">
        <w:t xml:space="preserve"> meeting.</w:t>
      </w:r>
    </w:p>
    <w:p w14:paraId="641967C6" w14:textId="77777777" w:rsidR="009E05AE" w:rsidRPr="00E03D80" w:rsidRDefault="009E05AE" w:rsidP="009E05AE">
      <w:pPr>
        <w:numPr>
          <w:ilvl w:val="0"/>
          <w:numId w:val="1"/>
        </w:numPr>
        <w:spacing w:after="240"/>
        <w:outlineLvl w:val="0"/>
      </w:pPr>
      <w:r w:rsidRPr="00E03D80">
        <w:t>One member, thanking the Officer for the consolidated report, noted that it contained more analysis than previous reports and expressed satisfaction that the rate of PCR submission had improved significantly since 2018. With regard to the recommendation set out in sub-paragraph 65(d) of the report, he said that not all new projects necessarily generated lessons that could be turned in actionable recommendations. It would therefore make sense to soften the language of the recommendation and encourage, rather than request, bilateral and implementing agencies to ensure that relevant and useful information about the lessons learned was reported. Conversely, the language of sub-paragraph 65(g) could be strengthened by requesting, rather than inviting, the Senior Monitoring and Evaluation Officer to take action. Sub-paragraph 65(g)(ii) concerned a matter about which it was not yet necessary for the Executive Committee to make a decision. The member’s preference was for the Committee to decide at its subsequent meeting in 2022 towards the end of the year, when there would be greater visibility with respect to the draft monitoring and evaluation work programme for 2023.</w:t>
      </w:r>
    </w:p>
    <w:p w14:paraId="3DAF04ED" w14:textId="77777777" w:rsidR="009E05AE" w:rsidRPr="00E03D80" w:rsidRDefault="009E05AE" w:rsidP="009E05AE">
      <w:pPr>
        <w:numPr>
          <w:ilvl w:val="0"/>
          <w:numId w:val="1"/>
        </w:numPr>
        <w:spacing w:after="240"/>
        <w:outlineLvl w:val="0"/>
      </w:pPr>
      <w:r w:rsidRPr="00E03D80">
        <w:t>In response to a query from the member regarding consultations on possible changes to the PCR reporting format, the Senior Monitoring and Evaluation Officer clarified that the issue had been raised at the inter</w:t>
      </w:r>
      <w:r w:rsidRPr="00E03D80">
        <w:noBreakHyphen/>
        <w:t>agency coordination meeting held virtually on 31 March and 1 April 2022, but it had not yet been formally addressed in a consultation with stakeholders. Should she be requested to review the reporting format, bilateral and implementing agencies would be properly consulted. She recalled that the issue would be included in the draft monitoring and evaluation work programme to be presented at the 91</w:t>
      </w:r>
      <w:r w:rsidRPr="00E03D80">
        <w:rPr>
          <w:vertAlign w:val="superscript"/>
        </w:rPr>
        <w:t>st</w:t>
      </w:r>
      <w:r w:rsidRPr="00E03D80">
        <w:t xml:space="preserve"> meeting of the Executive Committee.</w:t>
      </w:r>
    </w:p>
    <w:p w14:paraId="7E5CC472" w14:textId="77777777" w:rsidR="009E05AE" w:rsidRPr="00E03D80" w:rsidRDefault="009E05AE" w:rsidP="009E05AE">
      <w:pPr>
        <w:numPr>
          <w:ilvl w:val="0"/>
          <w:numId w:val="1"/>
        </w:numPr>
        <w:spacing w:after="240"/>
        <w:outlineLvl w:val="0"/>
      </w:pPr>
      <w:r w:rsidRPr="00E03D80">
        <w:t xml:space="preserve">The Executive Committee </w:t>
      </w:r>
      <w:r w:rsidRPr="00E03D80">
        <w:rPr>
          <w:u w:val="single"/>
        </w:rPr>
        <w:t>decided</w:t>
      </w:r>
      <w:r w:rsidRPr="00E03D80">
        <w:t>:</w:t>
      </w:r>
    </w:p>
    <w:p w14:paraId="47E94D23" w14:textId="77777777" w:rsidR="009E05AE" w:rsidRPr="00E03D80" w:rsidRDefault="009E05AE" w:rsidP="009E05AE">
      <w:pPr>
        <w:widowControl w:val="0"/>
        <w:numPr>
          <w:ilvl w:val="1"/>
          <w:numId w:val="1"/>
        </w:numPr>
        <w:spacing w:after="240"/>
        <w:outlineLvl w:val="1"/>
      </w:pPr>
      <w:r w:rsidRPr="00E03D80">
        <w:t>To note the 2022 consolidated project completion report (PCR) contained in document UNEP/</w:t>
      </w:r>
      <w:proofErr w:type="spellStart"/>
      <w:r w:rsidRPr="00E03D80">
        <w:t>OzL.Pro</w:t>
      </w:r>
      <w:proofErr w:type="spellEnd"/>
      <w:r w:rsidRPr="00E03D80">
        <w:t>/ExCom/90/10;</w:t>
      </w:r>
    </w:p>
    <w:p w14:paraId="5C411E24" w14:textId="1C4A67F9" w:rsidR="009E05AE" w:rsidRPr="00E03D80" w:rsidRDefault="009E05AE" w:rsidP="009E05AE">
      <w:pPr>
        <w:widowControl w:val="0"/>
        <w:numPr>
          <w:ilvl w:val="1"/>
          <w:numId w:val="1"/>
        </w:numPr>
        <w:spacing w:after="240"/>
        <w:outlineLvl w:val="1"/>
      </w:pPr>
      <w:r w:rsidRPr="00E03D80">
        <w:t>To request bilateral and implementing agencies to submit, at the 91</w:t>
      </w:r>
      <w:r w:rsidRPr="00E03D80">
        <w:rPr>
          <w:vertAlign w:val="superscript"/>
        </w:rPr>
        <w:t>st</w:t>
      </w:r>
      <w:r w:rsidRPr="00E03D80">
        <w:t xml:space="preserve"> meeting, outstanding PCRs for multi-year agreements (MYAs) and individual projects or to provide reasons for failing to do so;</w:t>
      </w:r>
    </w:p>
    <w:p w14:paraId="492E3088" w14:textId="6D838269" w:rsidR="009E05AE" w:rsidRPr="00E03D80" w:rsidRDefault="009E05AE" w:rsidP="009E05AE">
      <w:pPr>
        <w:widowControl w:val="0"/>
        <w:numPr>
          <w:ilvl w:val="1"/>
          <w:numId w:val="1"/>
        </w:numPr>
        <w:spacing w:after="240"/>
        <w:outlineLvl w:val="1"/>
      </w:pPr>
      <w:r w:rsidRPr="00E03D80">
        <w:t>To request lead and cooperating agencies to coordinate their work closely in finalizing their respective portions of PCRs to facilitate the timely submission of the reports by the lead implementing agency;</w:t>
      </w:r>
    </w:p>
    <w:p w14:paraId="0C08A900" w14:textId="77777777" w:rsidR="009E05AE" w:rsidRPr="00E03D80" w:rsidRDefault="009E05AE" w:rsidP="009E05AE">
      <w:pPr>
        <w:widowControl w:val="0"/>
        <w:numPr>
          <w:ilvl w:val="1"/>
          <w:numId w:val="1"/>
        </w:numPr>
        <w:spacing w:after="240"/>
        <w:outlineLvl w:val="1"/>
      </w:pPr>
      <w:r w:rsidRPr="00E03D80">
        <w:t>To encourage bilateral and implementing agencies, when filling in the data in PCR submissions, to ensure the inclusion of relevant and useful information about the lessons learned and the reasons for any delays, beyond anecdotal evidence, with a view to enabling the formulation of actionable recommendations for improvements in future project implementation or the replicability of good practices;</w:t>
      </w:r>
    </w:p>
    <w:p w14:paraId="43482570" w14:textId="77777777" w:rsidR="009E05AE" w:rsidRPr="00E03D80" w:rsidRDefault="009E05AE" w:rsidP="009E05AE">
      <w:pPr>
        <w:keepLines/>
        <w:widowControl w:val="0"/>
        <w:numPr>
          <w:ilvl w:val="1"/>
          <w:numId w:val="1"/>
        </w:numPr>
        <w:spacing w:after="240"/>
        <w:outlineLvl w:val="1"/>
      </w:pPr>
      <w:r w:rsidRPr="00E03D80">
        <w:t>To invite all those involved in the preparation and implementation of MYAs and individual projects, in particular the Secretariat and the bilateral and implementing agencies, to take into consideration the lessons learned from PCRs, where applicable;</w:t>
      </w:r>
    </w:p>
    <w:p w14:paraId="41D11B9E" w14:textId="77777777" w:rsidR="009E05AE" w:rsidRPr="00E03D80" w:rsidRDefault="009E05AE" w:rsidP="009E05AE">
      <w:pPr>
        <w:widowControl w:val="0"/>
        <w:numPr>
          <w:ilvl w:val="1"/>
          <w:numId w:val="1"/>
        </w:numPr>
        <w:spacing w:after="240"/>
        <w:outlineLvl w:val="1"/>
      </w:pPr>
      <w:r w:rsidRPr="00E03D80">
        <w:t>To request UNIDO to complete its update of the PCR for the refrigeration servicing sector in China in line with decision 88/30 and to note that the Senior Monitoring and Evaluation Officer would report on the matter at the 91</w:t>
      </w:r>
      <w:r w:rsidRPr="00E03D80">
        <w:rPr>
          <w:vertAlign w:val="superscript"/>
        </w:rPr>
        <w:t>st</w:t>
      </w:r>
      <w:r w:rsidRPr="00E03D80">
        <w:t xml:space="preserve"> meeting;</w:t>
      </w:r>
    </w:p>
    <w:p w14:paraId="0E1D65C0" w14:textId="77777777" w:rsidR="009E05AE" w:rsidRPr="00E03D80" w:rsidRDefault="009E05AE" w:rsidP="009E05AE">
      <w:pPr>
        <w:widowControl w:val="0"/>
        <w:numPr>
          <w:ilvl w:val="1"/>
          <w:numId w:val="1"/>
        </w:numPr>
        <w:spacing w:after="240"/>
        <w:outlineLvl w:val="1"/>
      </w:pPr>
      <w:r w:rsidRPr="00E03D80">
        <w:t>To provide guidance to and request the Senior Monitoring and Evaluation Officer, in line with decision 89/1(b), to explore ways and means to collect better data, improve database accessibility and improve access to online information from MYA PCRs and individual PCRs, in the context of the revamped information strategy to be reviewed by the Secretariat, and to include such issues in the draft monitoring and evaluation work programme for 2023.</w:t>
      </w:r>
    </w:p>
    <w:p w14:paraId="18D53910" w14:textId="77777777" w:rsidR="009E05AE" w:rsidRPr="00E03D80" w:rsidRDefault="009E05AE" w:rsidP="009E05AE">
      <w:pPr>
        <w:spacing w:after="240"/>
        <w:jc w:val="right"/>
        <w:outlineLvl w:val="0"/>
        <w:rPr>
          <w:b/>
        </w:rPr>
      </w:pPr>
      <w:r w:rsidRPr="00E03D80">
        <w:rPr>
          <w:b/>
        </w:rPr>
        <w:t>(Decision 90/28)</w:t>
      </w:r>
    </w:p>
    <w:sectPr w:rsidR="009E05AE" w:rsidRPr="00E03D80" w:rsidSect="00DE13F5">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7AFDD" w14:textId="77777777" w:rsidR="00C44F9A" w:rsidRDefault="00C44F9A" w:rsidP="004A504B">
      <w:r>
        <w:separator/>
      </w:r>
    </w:p>
  </w:endnote>
  <w:endnote w:type="continuationSeparator" w:id="0">
    <w:p w14:paraId="0C603742" w14:textId="77777777" w:rsidR="00C44F9A" w:rsidRDefault="00C44F9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8B296"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C0F9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560188"/>
      <w:docPartObj>
        <w:docPartGallery w:val="Page Numbers (Bottom of Page)"/>
        <w:docPartUnique/>
      </w:docPartObj>
    </w:sdtPr>
    <w:sdtEndPr>
      <w:rPr>
        <w:noProof/>
      </w:rPr>
    </w:sdtEndPr>
    <w:sdtContent>
      <w:p w14:paraId="795F67F9" w14:textId="1C1B4608" w:rsidR="004E7F9C" w:rsidRPr="00252D17" w:rsidRDefault="00252D17" w:rsidP="00252D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35690" w14:textId="77777777" w:rsidR="00C44F9A" w:rsidRDefault="00C44F9A" w:rsidP="004A504B">
      <w:r>
        <w:separator/>
      </w:r>
    </w:p>
  </w:footnote>
  <w:footnote w:type="continuationSeparator" w:id="0">
    <w:p w14:paraId="7BAFF92E" w14:textId="77777777" w:rsidR="00C44F9A" w:rsidRDefault="00C44F9A"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24897" w14:textId="77777777" w:rsidR="00DC6A10" w:rsidRPr="0033525D" w:rsidRDefault="00DC6A10"/>
  <w:p w14:paraId="5987A145" w14:textId="77777777" w:rsidR="00DC6A10" w:rsidRPr="0033525D" w:rsidRDefault="00DC6A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E3A04B4"/>
    <w:lvl w:ilvl="0">
      <w:start w:val="27"/>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80A681D"/>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720"/>
        </w:tabs>
        <w:ind w:left="72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3A0586F"/>
    <w:multiLevelType w:val="multilevel"/>
    <w:tmpl w:val="90101812"/>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720"/>
        </w:tabs>
        <w:ind w:left="72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7C473A4"/>
    <w:multiLevelType w:val="multilevel"/>
    <w:tmpl w:val="A3FA30B8"/>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720"/>
        </w:tabs>
        <w:ind w:left="72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3"/>
  </w:num>
  <w:num w:numId="17" w16cid:durableId="1137381005">
    <w:abstractNumId w:val="15"/>
  </w:num>
  <w:num w:numId="18" w16cid:durableId="671107749">
    <w:abstractNumId w:val="16"/>
  </w:num>
  <w:num w:numId="19" w16cid:durableId="1526870837">
    <w:abstractNumId w:val="18"/>
  </w:num>
  <w:num w:numId="20" w16cid:durableId="1070348511">
    <w:abstractNumId w:val="14"/>
  </w:num>
  <w:num w:numId="21" w16cid:durableId="33625205">
    <w:abstractNumId w:val="12"/>
  </w:num>
  <w:num w:numId="22" w16cid:durableId="1051417402">
    <w:abstractNumId w:val="11"/>
  </w:num>
  <w:num w:numId="23" w16cid:durableId="1605965731">
    <w:abstractNumId w:val="10"/>
    <w:lvlOverride w:ilvl="0">
      <w:startOverride w:val="1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32278709">
    <w:abstractNumId w:val="17"/>
  </w:num>
  <w:num w:numId="25" w16cid:durableId="10805657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E53F00"/>
    <w:rsid w:val="00000FED"/>
    <w:rsid w:val="0000434E"/>
    <w:rsid w:val="00023BB5"/>
    <w:rsid w:val="00027178"/>
    <w:rsid w:val="00031260"/>
    <w:rsid w:val="00031BED"/>
    <w:rsid w:val="0003681A"/>
    <w:rsid w:val="000554FD"/>
    <w:rsid w:val="000560AC"/>
    <w:rsid w:val="000565EB"/>
    <w:rsid w:val="00063443"/>
    <w:rsid w:val="00065D34"/>
    <w:rsid w:val="00072B13"/>
    <w:rsid w:val="00080ED0"/>
    <w:rsid w:val="000830D9"/>
    <w:rsid w:val="00085B8F"/>
    <w:rsid w:val="00087AFC"/>
    <w:rsid w:val="00090481"/>
    <w:rsid w:val="00091A22"/>
    <w:rsid w:val="000B324E"/>
    <w:rsid w:val="000D41DA"/>
    <w:rsid w:val="000E07BC"/>
    <w:rsid w:val="000E2313"/>
    <w:rsid w:val="000F1CD4"/>
    <w:rsid w:val="000F4103"/>
    <w:rsid w:val="000F70A7"/>
    <w:rsid w:val="00100AB8"/>
    <w:rsid w:val="001049B8"/>
    <w:rsid w:val="00123EA2"/>
    <w:rsid w:val="00135980"/>
    <w:rsid w:val="00154357"/>
    <w:rsid w:val="00164719"/>
    <w:rsid w:val="00166FC4"/>
    <w:rsid w:val="001677AC"/>
    <w:rsid w:val="00190A61"/>
    <w:rsid w:val="001A113A"/>
    <w:rsid w:val="001A3342"/>
    <w:rsid w:val="001A3E3D"/>
    <w:rsid w:val="001B1E40"/>
    <w:rsid w:val="001C764E"/>
    <w:rsid w:val="001E1052"/>
    <w:rsid w:val="001E21B1"/>
    <w:rsid w:val="001E2CEB"/>
    <w:rsid w:val="001E2F93"/>
    <w:rsid w:val="001E61E5"/>
    <w:rsid w:val="001F2159"/>
    <w:rsid w:val="00203CA8"/>
    <w:rsid w:val="00227F4F"/>
    <w:rsid w:val="0024191C"/>
    <w:rsid w:val="00252D17"/>
    <w:rsid w:val="00253222"/>
    <w:rsid w:val="00254707"/>
    <w:rsid w:val="002604E6"/>
    <w:rsid w:val="00262E06"/>
    <w:rsid w:val="00275067"/>
    <w:rsid w:val="0027594E"/>
    <w:rsid w:val="002777CA"/>
    <w:rsid w:val="00291880"/>
    <w:rsid w:val="002B1E23"/>
    <w:rsid w:val="002B3C22"/>
    <w:rsid w:val="002B72E9"/>
    <w:rsid w:val="002E1D44"/>
    <w:rsid w:val="002E5B06"/>
    <w:rsid w:val="002F6E3D"/>
    <w:rsid w:val="0030065C"/>
    <w:rsid w:val="00311465"/>
    <w:rsid w:val="003306E1"/>
    <w:rsid w:val="003320E4"/>
    <w:rsid w:val="0033525D"/>
    <w:rsid w:val="003414F3"/>
    <w:rsid w:val="0035613E"/>
    <w:rsid w:val="00363EE9"/>
    <w:rsid w:val="00376128"/>
    <w:rsid w:val="0037742E"/>
    <w:rsid w:val="003800BE"/>
    <w:rsid w:val="0038245A"/>
    <w:rsid w:val="0039337A"/>
    <w:rsid w:val="00396605"/>
    <w:rsid w:val="003A3189"/>
    <w:rsid w:val="003B1B2D"/>
    <w:rsid w:val="003B3973"/>
    <w:rsid w:val="003B3AB8"/>
    <w:rsid w:val="003B569D"/>
    <w:rsid w:val="003C3C0E"/>
    <w:rsid w:val="003D4FAC"/>
    <w:rsid w:val="003D6F6F"/>
    <w:rsid w:val="003E7906"/>
    <w:rsid w:val="003F3C50"/>
    <w:rsid w:val="003F3D2F"/>
    <w:rsid w:val="003F7522"/>
    <w:rsid w:val="003F7F60"/>
    <w:rsid w:val="0040042A"/>
    <w:rsid w:val="00406A6A"/>
    <w:rsid w:val="00406B22"/>
    <w:rsid w:val="00411880"/>
    <w:rsid w:val="00432279"/>
    <w:rsid w:val="004328A7"/>
    <w:rsid w:val="00434C74"/>
    <w:rsid w:val="004463B4"/>
    <w:rsid w:val="00450AA6"/>
    <w:rsid w:val="00456EB4"/>
    <w:rsid w:val="004635C9"/>
    <w:rsid w:val="00470584"/>
    <w:rsid w:val="004718F3"/>
    <w:rsid w:val="00475040"/>
    <w:rsid w:val="00483B2B"/>
    <w:rsid w:val="00493D40"/>
    <w:rsid w:val="004A504B"/>
    <w:rsid w:val="004A6911"/>
    <w:rsid w:val="004B54E0"/>
    <w:rsid w:val="004B7384"/>
    <w:rsid w:val="004C4269"/>
    <w:rsid w:val="004D47B1"/>
    <w:rsid w:val="004D4D70"/>
    <w:rsid w:val="004D6236"/>
    <w:rsid w:val="004D7C74"/>
    <w:rsid w:val="004E2F62"/>
    <w:rsid w:val="004E4A89"/>
    <w:rsid w:val="004E4C07"/>
    <w:rsid w:val="004E4DBB"/>
    <w:rsid w:val="004E7F9C"/>
    <w:rsid w:val="004F3493"/>
    <w:rsid w:val="00511228"/>
    <w:rsid w:val="00512B09"/>
    <w:rsid w:val="00513FD5"/>
    <w:rsid w:val="00555D75"/>
    <w:rsid w:val="00560DF0"/>
    <w:rsid w:val="005814EB"/>
    <w:rsid w:val="005830D3"/>
    <w:rsid w:val="005959F6"/>
    <w:rsid w:val="005A68C5"/>
    <w:rsid w:val="005B48FF"/>
    <w:rsid w:val="005B77C2"/>
    <w:rsid w:val="005C47BD"/>
    <w:rsid w:val="005C7764"/>
    <w:rsid w:val="005C7A40"/>
    <w:rsid w:val="005D1E4E"/>
    <w:rsid w:val="005D7986"/>
    <w:rsid w:val="005D7C26"/>
    <w:rsid w:val="005E088F"/>
    <w:rsid w:val="00600A67"/>
    <w:rsid w:val="006012A7"/>
    <w:rsid w:val="006141C1"/>
    <w:rsid w:val="006158D5"/>
    <w:rsid w:val="00625D83"/>
    <w:rsid w:val="00643292"/>
    <w:rsid w:val="006623E7"/>
    <w:rsid w:val="00662B80"/>
    <w:rsid w:val="00680B3C"/>
    <w:rsid w:val="006852C7"/>
    <w:rsid w:val="00687328"/>
    <w:rsid w:val="006A4957"/>
    <w:rsid w:val="006A7948"/>
    <w:rsid w:val="006C1727"/>
    <w:rsid w:val="006C32FD"/>
    <w:rsid w:val="006D0FCC"/>
    <w:rsid w:val="006E0D57"/>
    <w:rsid w:val="006F6061"/>
    <w:rsid w:val="006F65A4"/>
    <w:rsid w:val="006F70EE"/>
    <w:rsid w:val="006F7E21"/>
    <w:rsid w:val="0070616B"/>
    <w:rsid w:val="00706FDA"/>
    <w:rsid w:val="00711F9A"/>
    <w:rsid w:val="00713810"/>
    <w:rsid w:val="00727C89"/>
    <w:rsid w:val="007303A5"/>
    <w:rsid w:val="00730B3E"/>
    <w:rsid w:val="0073420B"/>
    <w:rsid w:val="007357BE"/>
    <w:rsid w:val="00735F4A"/>
    <w:rsid w:val="0074760E"/>
    <w:rsid w:val="00754ABA"/>
    <w:rsid w:val="00760F9F"/>
    <w:rsid w:val="007674CA"/>
    <w:rsid w:val="007715DA"/>
    <w:rsid w:val="00772373"/>
    <w:rsid w:val="00774CAC"/>
    <w:rsid w:val="007A1546"/>
    <w:rsid w:val="007A228C"/>
    <w:rsid w:val="007A368E"/>
    <w:rsid w:val="007A5868"/>
    <w:rsid w:val="007B04CE"/>
    <w:rsid w:val="007B1440"/>
    <w:rsid w:val="007B3D87"/>
    <w:rsid w:val="007B598C"/>
    <w:rsid w:val="007B6871"/>
    <w:rsid w:val="007C1C13"/>
    <w:rsid w:val="007C3D33"/>
    <w:rsid w:val="007C4332"/>
    <w:rsid w:val="007D294A"/>
    <w:rsid w:val="007D47D2"/>
    <w:rsid w:val="007D53DC"/>
    <w:rsid w:val="007D6EC0"/>
    <w:rsid w:val="007D7E1D"/>
    <w:rsid w:val="007F616E"/>
    <w:rsid w:val="008063BA"/>
    <w:rsid w:val="00810328"/>
    <w:rsid w:val="0081133E"/>
    <w:rsid w:val="00813B1D"/>
    <w:rsid w:val="008356D5"/>
    <w:rsid w:val="00837B1C"/>
    <w:rsid w:val="00863230"/>
    <w:rsid w:val="008717D8"/>
    <w:rsid w:val="0087215C"/>
    <w:rsid w:val="008875FE"/>
    <w:rsid w:val="00887F8E"/>
    <w:rsid w:val="00896234"/>
    <w:rsid w:val="00897E43"/>
    <w:rsid w:val="008C4731"/>
    <w:rsid w:val="008C5738"/>
    <w:rsid w:val="008C736A"/>
    <w:rsid w:val="008C7EAD"/>
    <w:rsid w:val="008D6152"/>
    <w:rsid w:val="008F0F81"/>
    <w:rsid w:val="008F14A6"/>
    <w:rsid w:val="009063E3"/>
    <w:rsid w:val="00923540"/>
    <w:rsid w:val="00926767"/>
    <w:rsid w:val="00931D86"/>
    <w:rsid w:val="009361D5"/>
    <w:rsid w:val="00943014"/>
    <w:rsid w:val="0094377F"/>
    <w:rsid w:val="00952A41"/>
    <w:rsid w:val="009659F4"/>
    <w:rsid w:val="0096608B"/>
    <w:rsid w:val="00970D60"/>
    <w:rsid w:val="0098608C"/>
    <w:rsid w:val="009A7ADC"/>
    <w:rsid w:val="009B1CB9"/>
    <w:rsid w:val="009C19B7"/>
    <w:rsid w:val="009C401F"/>
    <w:rsid w:val="009D7C51"/>
    <w:rsid w:val="009E05AE"/>
    <w:rsid w:val="009F36BF"/>
    <w:rsid w:val="00A111B6"/>
    <w:rsid w:val="00A42A99"/>
    <w:rsid w:val="00A469CD"/>
    <w:rsid w:val="00A47530"/>
    <w:rsid w:val="00A5151A"/>
    <w:rsid w:val="00A521B0"/>
    <w:rsid w:val="00A61AFB"/>
    <w:rsid w:val="00A72D4F"/>
    <w:rsid w:val="00A7695A"/>
    <w:rsid w:val="00A80DF0"/>
    <w:rsid w:val="00A823F6"/>
    <w:rsid w:val="00A852F9"/>
    <w:rsid w:val="00A924D8"/>
    <w:rsid w:val="00A92663"/>
    <w:rsid w:val="00AA0A89"/>
    <w:rsid w:val="00AB7364"/>
    <w:rsid w:val="00AC01AA"/>
    <w:rsid w:val="00AC3935"/>
    <w:rsid w:val="00AC4F72"/>
    <w:rsid w:val="00AD50AA"/>
    <w:rsid w:val="00AF741A"/>
    <w:rsid w:val="00B03603"/>
    <w:rsid w:val="00B04161"/>
    <w:rsid w:val="00B056F9"/>
    <w:rsid w:val="00B10BA2"/>
    <w:rsid w:val="00B11E3D"/>
    <w:rsid w:val="00B13355"/>
    <w:rsid w:val="00B17E82"/>
    <w:rsid w:val="00B4134B"/>
    <w:rsid w:val="00B55263"/>
    <w:rsid w:val="00B575BA"/>
    <w:rsid w:val="00B67711"/>
    <w:rsid w:val="00B76429"/>
    <w:rsid w:val="00B84E8E"/>
    <w:rsid w:val="00B86702"/>
    <w:rsid w:val="00B87FD8"/>
    <w:rsid w:val="00B956D4"/>
    <w:rsid w:val="00BA0D38"/>
    <w:rsid w:val="00BA7432"/>
    <w:rsid w:val="00BA7BEF"/>
    <w:rsid w:val="00BC1AA0"/>
    <w:rsid w:val="00BC7EB9"/>
    <w:rsid w:val="00BD2643"/>
    <w:rsid w:val="00BD42C2"/>
    <w:rsid w:val="00BD6558"/>
    <w:rsid w:val="00BE08BF"/>
    <w:rsid w:val="00BF3214"/>
    <w:rsid w:val="00C15867"/>
    <w:rsid w:val="00C2296D"/>
    <w:rsid w:val="00C23155"/>
    <w:rsid w:val="00C23379"/>
    <w:rsid w:val="00C40C41"/>
    <w:rsid w:val="00C43175"/>
    <w:rsid w:val="00C44F9A"/>
    <w:rsid w:val="00C45885"/>
    <w:rsid w:val="00C50F22"/>
    <w:rsid w:val="00C57971"/>
    <w:rsid w:val="00C76BA4"/>
    <w:rsid w:val="00C83524"/>
    <w:rsid w:val="00C83A48"/>
    <w:rsid w:val="00C85865"/>
    <w:rsid w:val="00C85E85"/>
    <w:rsid w:val="00CA2EAE"/>
    <w:rsid w:val="00CA4AC1"/>
    <w:rsid w:val="00CB0316"/>
    <w:rsid w:val="00CB0B11"/>
    <w:rsid w:val="00CB5354"/>
    <w:rsid w:val="00CC6A14"/>
    <w:rsid w:val="00CC6E10"/>
    <w:rsid w:val="00CC70A3"/>
    <w:rsid w:val="00CD53C3"/>
    <w:rsid w:val="00CD574E"/>
    <w:rsid w:val="00CE1145"/>
    <w:rsid w:val="00CE4C22"/>
    <w:rsid w:val="00CF41EC"/>
    <w:rsid w:val="00CF5D04"/>
    <w:rsid w:val="00D039B1"/>
    <w:rsid w:val="00D04DE4"/>
    <w:rsid w:val="00D063F1"/>
    <w:rsid w:val="00D14F22"/>
    <w:rsid w:val="00D24723"/>
    <w:rsid w:val="00D42237"/>
    <w:rsid w:val="00D4718A"/>
    <w:rsid w:val="00D50D20"/>
    <w:rsid w:val="00D57918"/>
    <w:rsid w:val="00D620FF"/>
    <w:rsid w:val="00D731B5"/>
    <w:rsid w:val="00D73DC6"/>
    <w:rsid w:val="00D74C1A"/>
    <w:rsid w:val="00D75205"/>
    <w:rsid w:val="00D754C1"/>
    <w:rsid w:val="00D77A35"/>
    <w:rsid w:val="00D81B3E"/>
    <w:rsid w:val="00D90C70"/>
    <w:rsid w:val="00D90E49"/>
    <w:rsid w:val="00DA166F"/>
    <w:rsid w:val="00DC6A10"/>
    <w:rsid w:val="00DC6D65"/>
    <w:rsid w:val="00DD3ACF"/>
    <w:rsid w:val="00DE13F5"/>
    <w:rsid w:val="00DE1D5E"/>
    <w:rsid w:val="00DE3F39"/>
    <w:rsid w:val="00DE657E"/>
    <w:rsid w:val="00DE6723"/>
    <w:rsid w:val="00DF4704"/>
    <w:rsid w:val="00E024AA"/>
    <w:rsid w:val="00E03D80"/>
    <w:rsid w:val="00E06673"/>
    <w:rsid w:val="00E125FB"/>
    <w:rsid w:val="00E16D12"/>
    <w:rsid w:val="00E250F1"/>
    <w:rsid w:val="00E26B1A"/>
    <w:rsid w:val="00E3550D"/>
    <w:rsid w:val="00E3617A"/>
    <w:rsid w:val="00E40E3E"/>
    <w:rsid w:val="00E441E4"/>
    <w:rsid w:val="00E50035"/>
    <w:rsid w:val="00E53F00"/>
    <w:rsid w:val="00E614E0"/>
    <w:rsid w:val="00E73F7F"/>
    <w:rsid w:val="00E746D5"/>
    <w:rsid w:val="00E76305"/>
    <w:rsid w:val="00EA2887"/>
    <w:rsid w:val="00EA429F"/>
    <w:rsid w:val="00EA4F9E"/>
    <w:rsid w:val="00EA6D3B"/>
    <w:rsid w:val="00EB00AD"/>
    <w:rsid w:val="00EB03E7"/>
    <w:rsid w:val="00EB136C"/>
    <w:rsid w:val="00EB3F2A"/>
    <w:rsid w:val="00EB480E"/>
    <w:rsid w:val="00EB5C90"/>
    <w:rsid w:val="00EB5EC6"/>
    <w:rsid w:val="00EB7FC9"/>
    <w:rsid w:val="00ED7137"/>
    <w:rsid w:val="00EE191C"/>
    <w:rsid w:val="00EF65CE"/>
    <w:rsid w:val="00F036EB"/>
    <w:rsid w:val="00F04EEC"/>
    <w:rsid w:val="00F1248E"/>
    <w:rsid w:val="00F21088"/>
    <w:rsid w:val="00F2351E"/>
    <w:rsid w:val="00F327E7"/>
    <w:rsid w:val="00F32A5F"/>
    <w:rsid w:val="00F35746"/>
    <w:rsid w:val="00F36371"/>
    <w:rsid w:val="00F447C7"/>
    <w:rsid w:val="00F554A9"/>
    <w:rsid w:val="00F57756"/>
    <w:rsid w:val="00F716FD"/>
    <w:rsid w:val="00F721B6"/>
    <w:rsid w:val="00F75C5F"/>
    <w:rsid w:val="00F80355"/>
    <w:rsid w:val="00F841F0"/>
    <w:rsid w:val="00F924A5"/>
    <w:rsid w:val="00F9775D"/>
    <w:rsid w:val="00FA31C1"/>
    <w:rsid w:val="00FA6349"/>
    <w:rsid w:val="00FB0C81"/>
    <w:rsid w:val="00FC2200"/>
    <w:rsid w:val="00FC2540"/>
    <w:rsid w:val="00FD1BF9"/>
    <w:rsid w:val="00FD3DCC"/>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5269C"/>
  <w15:chartTrackingRefBased/>
  <w15:docId w15:val="{C05F97B1-1FB7-4AE4-A832-F80054AF2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character" w:customStyle="1" w:styleId="normaltextrun">
    <w:name w:val="normaltextrun"/>
    <w:basedOn w:val="DefaultParagraphFont"/>
    <w:rsid w:val="00483B2B"/>
  </w:style>
  <w:style w:type="character" w:styleId="Hyperlink">
    <w:name w:val="Hyperlink"/>
    <w:basedOn w:val="DefaultParagraphFont"/>
    <w:uiPriority w:val="99"/>
    <w:unhideWhenUsed/>
    <w:rsid w:val="00483B2B"/>
    <w:rPr>
      <w:color w:val="0000FF" w:themeColor="hyperlink"/>
      <w:u w:val="single"/>
    </w:rPr>
  </w:style>
  <w:style w:type="character" w:styleId="UnresolvedMention">
    <w:name w:val="Unresolved Mention"/>
    <w:basedOn w:val="DefaultParagraphFont"/>
    <w:uiPriority w:val="99"/>
    <w:semiHidden/>
    <w:unhideWhenUsed/>
    <w:rsid w:val="00483B2B"/>
    <w:rPr>
      <w:color w:val="605E5C"/>
      <w:shd w:val="clear" w:color="auto" w:fill="E1DFDD"/>
    </w:rPr>
  </w:style>
  <w:style w:type="character" w:customStyle="1" w:styleId="FooterChar">
    <w:name w:val="Footer Char"/>
    <w:basedOn w:val="DefaultParagraphFont"/>
    <w:link w:val="Footer"/>
    <w:uiPriority w:val="99"/>
    <w:rsid w:val="00252D17"/>
    <w:rPr>
      <w:sz w:val="22"/>
      <w:szCs w:val="22"/>
      <w:lang w:val="en-CA"/>
    </w:rPr>
  </w:style>
  <w:style w:type="paragraph" w:customStyle="1" w:styleId="paragraph">
    <w:name w:val="paragraph"/>
    <w:basedOn w:val="Normal"/>
    <w:rsid w:val="000D41DA"/>
    <w:pPr>
      <w:spacing w:before="100" w:beforeAutospacing="1" w:after="100" w:afterAutospacing="1"/>
      <w:jc w:val="left"/>
    </w:pPr>
    <w:rPr>
      <w:sz w:val="24"/>
      <w:szCs w:val="24"/>
      <w:lang w:eastAsia="en-CA"/>
    </w:rPr>
  </w:style>
  <w:style w:type="character" w:styleId="FollowedHyperlink">
    <w:name w:val="FollowedHyperlink"/>
    <w:basedOn w:val="DefaultParagraphFont"/>
    <w:uiPriority w:val="99"/>
    <w:semiHidden/>
    <w:unhideWhenUsed/>
    <w:rsid w:val="000D41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826887">
      <w:bodyDiv w:val="1"/>
      <w:marLeft w:val="0"/>
      <w:marRight w:val="0"/>
      <w:marTop w:val="0"/>
      <w:marBottom w:val="0"/>
      <w:divBdr>
        <w:top w:val="none" w:sz="0" w:space="0" w:color="auto"/>
        <w:left w:val="none" w:sz="0" w:space="0" w:color="auto"/>
        <w:bottom w:val="none" w:sz="0" w:space="0" w:color="auto"/>
        <w:right w:val="none" w:sz="0" w:space="0" w:color="auto"/>
      </w:divBdr>
      <w:divsChild>
        <w:div w:id="1042747720">
          <w:marLeft w:val="0"/>
          <w:marRight w:val="0"/>
          <w:marTop w:val="0"/>
          <w:marBottom w:val="0"/>
          <w:divBdr>
            <w:top w:val="none" w:sz="0" w:space="0" w:color="auto"/>
            <w:left w:val="none" w:sz="0" w:space="0" w:color="auto"/>
            <w:bottom w:val="none" w:sz="0" w:space="0" w:color="auto"/>
            <w:right w:val="none" w:sz="0" w:space="0" w:color="auto"/>
          </w:divBdr>
          <w:divsChild>
            <w:div w:id="225381393">
              <w:marLeft w:val="0"/>
              <w:marRight w:val="0"/>
              <w:marTop w:val="0"/>
              <w:marBottom w:val="0"/>
              <w:divBdr>
                <w:top w:val="none" w:sz="0" w:space="0" w:color="auto"/>
                <w:left w:val="none" w:sz="0" w:space="0" w:color="auto"/>
                <w:bottom w:val="none" w:sz="0" w:space="0" w:color="auto"/>
                <w:right w:val="none" w:sz="0" w:space="0" w:color="auto"/>
              </w:divBdr>
            </w:div>
            <w:div w:id="1068770654">
              <w:marLeft w:val="0"/>
              <w:marRight w:val="0"/>
              <w:marTop w:val="0"/>
              <w:marBottom w:val="0"/>
              <w:divBdr>
                <w:top w:val="none" w:sz="0" w:space="0" w:color="auto"/>
                <w:left w:val="none" w:sz="0" w:space="0" w:color="auto"/>
                <w:bottom w:val="none" w:sz="0" w:space="0" w:color="auto"/>
                <w:right w:val="none" w:sz="0" w:space="0" w:color="auto"/>
              </w:divBdr>
            </w:div>
            <w:div w:id="1772504541">
              <w:marLeft w:val="0"/>
              <w:marRight w:val="0"/>
              <w:marTop w:val="0"/>
              <w:marBottom w:val="0"/>
              <w:divBdr>
                <w:top w:val="none" w:sz="0" w:space="0" w:color="auto"/>
                <w:left w:val="none" w:sz="0" w:space="0" w:color="auto"/>
                <w:bottom w:val="none" w:sz="0" w:space="0" w:color="auto"/>
                <w:right w:val="none" w:sz="0" w:space="0" w:color="auto"/>
              </w:divBdr>
            </w:div>
            <w:div w:id="1630360296">
              <w:marLeft w:val="0"/>
              <w:marRight w:val="0"/>
              <w:marTop w:val="0"/>
              <w:marBottom w:val="0"/>
              <w:divBdr>
                <w:top w:val="none" w:sz="0" w:space="0" w:color="auto"/>
                <w:left w:val="none" w:sz="0" w:space="0" w:color="auto"/>
                <w:bottom w:val="none" w:sz="0" w:space="0" w:color="auto"/>
                <w:right w:val="none" w:sz="0" w:space="0" w:color="auto"/>
              </w:divBdr>
            </w:div>
            <w:div w:id="851069775">
              <w:marLeft w:val="0"/>
              <w:marRight w:val="0"/>
              <w:marTop w:val="0"/>
              <w:marBottom w:val="0"/>
              <w:divBdr>
                <w:top w:val="none" w:sz="0" w:space="0" w:color="auto"/>
                <w:left w:val="none" w:sz="0" w:space="0" w:color="auto"/>
                <w:bottom w:val="none" w:sz="0" w:space="0" w:color="auto"/>
                <w:right w:val="none" w:sz="0" w:space="0" w:color="auto"/>
              </w:divBdr>
            </w:div>
          </w:divsChild>
        </w:div>
        <w:div w:id="124279808">
          <w:marLeft w:val="0"/>
          <w:marRight w:val="0"/>
          <w:marTop w:val="0"/>
          <w:marBottom w:val="0"/>
          <w:divBdr>
            <w:top w:val="none" w:sz="0" w:space="0" w:color="auto"/>
            <w:left w:val="none" w:sz="0" w:space="0" w:color="auto"/>
            <w:bottom w:val="none" w:sz="0" w:space="0" w:color="auto"/>
            <w:right w:val="none" w:sz="0" w:space="0" w:color="auto"/>
          </w:divBdr>
          <w:divsChild>
            <w:div w:id="2130510373">
              <w:marLeft w:val="0"/>
              <w:marRight w:val="0"/>
              <w:marTop w:val="0"/>
              <w:marBottom w:val="0"/>
              <w:divBdr>
                <w:top w:val="none" w:sz="0" w:space="0" w:color="auto"/>
                <w:left w:val="none" w:sz="0" w:space="0" w:color="auto"/>
                <w:bottom w:val="none" w:sz="0" w:space="0" w:color="auto"/>
                <w:right w:val="none" w:sz="0" w:space="0" w:color="auto"/>
              </w:divBdr>
            </w:div>
            <w:div w:id="1762608373">
              <w:marLeft w:val="0"/>
              <w:marRight w:val="0"/>
              <w:marTop w:val="0"/>
              <w:marBottom w:val="0"/>
              <w:divBdr>
                <w:top w:val="none" w:sz="0" w:space="0" w:color="auto"/>
                <w:left w:val="none" w:sz="0" w:space="0" w:color="auto"/>
                <w:bottom w:val="none" w:sz="0" w:space="0" w:color="auto"/>
                <w:right w:val="none" w:sz="0" w:space="0" w:color="auto"/>
              </w:divBdr>
            </w:div>
            <w:div w:id="1663774878">
              <w:marLeft w:val="0"/>
              <w:marRight w:val="0"/>
              <w:marTop w:val="0"/>
              <w:marBottom w:val="0"/>
              <w:divBdr>
                <w:top w:val="none" w:sz="0" w:space="0" w:color="auto"/>
                <w:left w:val="none" w:sz="0" w:space="0" w:color="auto"/>
                <w:bottom w:val="none" w:sz="0" w:space="0" w:color="auto"/>
                <w:right w:val="none" w:sz="0" w:space="0" w:color="auto"/>
              </w:divBdr>
            </w:div>
            <w:div w:id="900364394">
              <w:marLeft w:val="0"/>
              <w:marRight w:val="0"/>
              <w:marTop w:val="0"/>
              <w:marBottom w:val="0"/>
              <w:divBdr>
                <w:top w:val="none" w:sz="0" w:space="0" w:color="auto"/>
                <w:left w:val="none" w:sz="0" w:space="0" w:color="auto"/>
                <w:bottom w:val="none" w:sz="0" w:space="0" w:color="auto"/>
                <w:right w:val="none" w:sz="0" w:space="0" w:color="auto"/>
              </w:divBdr>
            </w:div>
            <w:div w:id="667634853">
              <w:marLeft w:val="0"/>
              <w:marRight w:val="0"/>
              <w:marTop w:val="0"/>
              <w:marBottom w:val="0"/>
              <w:divBdr>
                <w:top w:val="none" w:sz="0" w:space="0" w:color="auto"/>
                <w:left w:val="none" w:sz="0" w:space="0" w:color="auto"/>
                <w:bottom w:val="none" w:sz="0" w:space="0" w:color="auto"/>
                <w:right w:val="none" w:sz="0" w:space="0" w:color="auto"/>
              </w:divBdr>
            </w:div>
          </w:divsChild>
        </w:div>
        <w:div w:id="1196387410">
          <w:marLeft w:val="0"/>
          <w:marRight w:val="0"/>
          <w:marTop w:val="0"/>
          <w:marBottom w:val="0"/>
          <w:divBdr>
            <w:top w:val="none" w:sz="0" w:space="0" w:color="auto"/>
            <w:left w:val="none" w:sz="0" w:space="0" w:color="auto"/>
            <w:bottom w:val="none" w:sz="0" w:space="0" w:color="auto"/>
            <w:right w:val="none" w:sz="0" w:space="0" w:color="auto"/>
          </w:divBdr>
          <w:divsChild>
            <w:div w:id="1856650627">
              <w:marLeft w:val="0"/>
              <w:marRight w:val="0"/>
              <w:marTop w:val="0"/>
              <w:marBottom w:val="0"/>
              <w:divBdr>
                <w:top w:val="none" w:sz="0" w:space="0" w:color="auto"/>
                <w:left w:val="none" w:sz="0" w:space="0" w:color="auto"/>
                <w:bottom w:val="none" w:sz="0" w:space="0" w:color="auto"/>
                <w:right w:val="none" w:sz="0" w:space="0" w:color="auto"/>
              </w:divBdr>
            </w:div>
            <w:div w:id="1631861039">
              <w:marLeft w:val="0"/>
              <w:marRight w:val="0"/>
              <w:marTop w:val="0"/>
              <w:marBottom w:val="0"/>
              <w:divBdr>
                <w:top w:val="none" w:sz="0" w:space="0" w:color="auto"/>
                <w:left w:val="none" w:sz="0" w:space="0" w:color="auto"/>
                <w:bottom w:val="none" w:sz="0" w:space="0" w:color="auto"/>
                <w:right w:val="none" w:sz="0" w:space="0" w:color="auto"/>
              </w:divBdr>
            </w:div>
            <w:div w:id="1952711603">
              <w:marLeft w:val="0"/>
              <w:marRight w:val="0"/>
              <w:marTop w:val="0"/>
              <w:marBottom w:val="0"/>
              <w:divBdr>
                <w:top w:val="none" w:sz="0" w:space="0" w:color="auto"/>
                <w:left w:val="none" w:sz="0" w:space="0" w:color="auto"/>
                <w:bottom w:val="none" w:sz="0" w:space="0" w:color="auto"/>
                <w:right w:val="none" w:sz="0" w:space="0" w:color="auto"/>
              </w:divBdr>
            </w:div>
            <w:div w:id="970863133">
              <w:marLeft w:val="0"/>
              <w:marRight w:val="0"/>
              <w:marTop w:val="0"/>
              <w:marBottom w:val="0"/>
              <w:divBdr>
                <w:top w:val="none" w:sz="0" w:space="0" w:color="auto"/>
                <w:left w:val="none" w:sz="0" w:space="0" w:color="auto"/>
                <w:bottom w:val="none" w:sz="0" w:space="0" w:color="auto"/>
                <w:right w:val="none" w:sz="0" w:space="0" w:color="auto"/>
              </w:divBdr>
            </w:div>
            <w:div w:id="1330911315">
              <w:marLeft w:val="0"/>
              <w:marRight w:val="0"/>
              <w:marTop w:val="0"/>
              <w:marBottom w:val="0"/>
              <w:divBdr>
                <w:top w:val="none" w:sz="0" w:space="0" w:color="auto"/>
                <w:left w:val="none" w:sz="0" w:space="0" w:color="auto"/>
                <w:bottom w:val="none" w:sz="0" w:space="0" w:color="auto"/>
                <w:right w:val="none" w:sz="0" w:space="0" w:color="auto"/>
              </w:divBdr>
            </w:div>
          </w:divsChild>
        </w:div>
        <w:div w:id="1605574509">
          <w:marLeft w:val="0"/>
          <w:marRight w:val="0"/>
          <w:marTop w:val="0"/>
          <w:marBottom w:val="0"/>
          <w:divBdr>
            <w:top w:val="none" w:sz="0" w:space="0" w:color="auto"/>
            <w:left w:val="none" w:sz="0" w:space="0" w:color="auto"/>
            <w:bottom w:val="none" w:sz="0" w:space="0" w:color="auto"/>
            <w:right w:val="none" w:sz="0" w:space="0" w:color="auto"/>
          </w:divBdr>
          <w:divsChild>
            <w:div w:id="1693611343">
              <w:marLeft w:val="0"/>
              <w:marRight w:val="0"/>
              <w:marTop w:val="0"/>
              <w:marBottom w:val="0"/>
              <w:divBdr>
                <w:top w:val="none" w:sz="0" w:space="0" w:color="auto"/>
                <w:left w:val="none" w:sz="0" w:space="0" w:color="auto"/>
                <w:bottom w:val="none" w:sz="0" w:space="0" w:color="auto"/>
                <w:right w:val="none" w:sz="0" w:space="0" w:color="auto"/>
              </w:divBdr>
            </w:div>
            <w:div w:id="850339074">
              <w:marLeft w:val="0"/>
              <w:marRight w:val="0"/>
              <w:marTop w:val="0"/>
              <w:marBottom w:val="0"/>
              <w:divBdr>
                <w:top w:val="none" w:sz="0" w:space="0" w:color="auto"/>
                <w:left w:val="none" w:sz="0" w:space="0" w:color="auto"/>
                <w:bottom w:val="none" w:sz="0" w:space="0" w:color="auto"/>
                <w:right w:val="none" w:sz="0" w:space="0" w:color="auto"/>
              </w:divBdr>
            </w:div>
            <w:div w:id="1469592020">
              <w:marLeft w:val="0"/>
              <w:marRight w:val="0"/>
              <w:marTop w:val="0"/>
              <w:marBottom w:val="0"/>
              <w:divBdr>
                <w:top w:val="none" w:sz="0" w:space="0" w:color="auto"/>
                <w:left w:val="none" w:sz="0" w:space="0" w:color="auto"/>
                <w:bottom w:val="none" w:sz="0" w:space="0" w:color="auto"/>
                <w:right w:val="none" w:sz="0" w:space="0" w:color="auto"/>
              </w:divBdr>
            </w:div>
            <w:div w:id="932010435">
              <w:marLeft w:val="0"/>
              <w:marRight w:val="0"/>
              <w:marTop w:val="0"/>
              <w:marBottom w:val="0"/>
              <w:divBdr>
                <w:top w:val="none" w:sz="0" w:space="0" w:color="auto"/>
                <w:left w:val="none" w:sz="0" w:space="0" w:color="auto"/>
                <w:bottom w:val="none" w:sz="0" w:space="0" w:color="auto"/>
                <w:right w:val="none" w:sz="0" w:space="0" w:color="auto"/>
              </w:divBdr>
            </w:div>
            <w:div w:id="110854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ultilateralfund.org/90/Agenda%20item%206c%20Terms%20of%20reference%20for%20the%20desk%20stu/1/9008r1.pdf"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multilateralfund.org/90/Agenda%20item%206a%20Desk%20study%20for%20the%20evaluation%20of%20de/1/9006.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multilateralfund.org/90/Report%20of%20the%20ninetieth%20meeting%20of%20the%20Executive%20C/1/9040.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ultilateralfund.org/90/Agenda%20item%207b%202022%20consolidated%20project%20completio/1/90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8FE14F6B776541B40E9B49FEA2CFCC" ma:contentTypeVersion="0" ma:contentTypeDescription="Create a new document." ma:contentTypeScope="" ma:versionID="33835cb57245f361b299015dc592318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3EBFE9F-77D0-4E35-ACDF-9E46ADE9D4CA}"/>
</file>

<file path=customXml/itemProps2.xml><?xml version="1.0" encoding="utf-8"?>
<ds:datastoreItem xmlns:ds="http://schemas.openxmlformats.org/officeDocument/2006/customXml" ds:itemID="{07BC2ED2-2CF9-4C98-A314-2AA3964DA7B7}"/>
</file>

<file path=customXml/itemProps3.xml><?xml version="1.0" encoding="utf-8"?>
<ds:datastoreItem xmlns:ds="http://schemas.openxmlformats.org/officeDocument/2006/customXml" ds:itemID="{84FD598E-BA5F-4417-814C-C6678068B0C6}"/>
</file>

<file path=customXml/itemProps4.xml><?xml version="1.0" encoding="utf-8"?>
<ds:datastoreItem xmlns:ds="http://schemas.openxmlformats.org/officeDocument/2006/customXml" ds:itemID="{CC6D2B33-5CF9-4C4F-B37B-E9930CB1FA43}"/>
</file>

<file path=docProps/app.xml><?xml version="1.0" encoding="utf-8"?>
<Properties xmlns="http://schemas.openxmlformats.org/officeDocument/2006/extended-properties" xmlns:vt="http://schemas.openxmlformats.org/officeDocument/2006/docPropsVTypes">
  <Template>Normal</Template>
  <TotalTime>1</TotalTime>
  <Pages>4</Pages>
  <Words>1609</Words>
  <Characters>9711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Decisions M&amp;E 90th Executive Committee (June 2022)</vt:lpstr>
    </vt:vector>
  </TitlesOfParts>
  <Company/>
  <LinksUpToDate>false</LinksUpToDate>
  <CharactersWithSpaces>11298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M&amp;E 90th Executive Committee (June 2022)</dc:title>
  <dc:subject/>
  <dc:creator>Pamela El Kortbawi</dc:creator>
  <cp:keywords/>
  <dc:description/>
  <cp:lastModifiedBy>Pamela El Kortbawi</cp:lastModifiedBy>
  <cp:revision>2</cp:revision>
  <cp:lastPrinted>2001-05-26T16:40:00Z</cp:lastPrinted>
  <dcterms:created xsi:type="dcterms:W3CDTF">2023-06-21T16:41:00Z</dcterms:created>
  <dcterms:modified xsi:type="dcterms:W3CDTF">2023-06-21T16:41:00Z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741794b7df59d67aa9c414e45c2a83e62e7faf5034b7e732f6bf9951ee0c4256</vt:lpwstr>
  </property>
  <property fmtid="{D5CDD505-2E9C-101B-9397-08002B2CF9AE}" pid="3" name="ContentTypeId">
    <vt:lpwstr>0x010100018FE14F6B776541B40E9B49FEA2CFCC</vt:lpwstr>
  </property>
  <property fmtid="{D5CDD505-2E9C-101B-9397-08002B2CF9AE}" pid="5" name="lcf76f155ced4ddcb4097134ff3c332f">
    <vt:lpwstr/>
  </property>
</Properties>
</file>