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2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6"/>
        <w:gridCol w:w="4814"/>
        <w:gridCol w:w="3418"/>
      </w:tblGrid>
      <w:tr w:rsidR="00441083" w14:paraId="1835A847" w14:textId="77777777" w:rsidTr="00601256">
        <w:trPr>
          <w:trHeight w:val="702"/>
        </w:trPr>
        <w:tc>
          <w:tcPr>
            <w:tcW w:w="6810" w:type="dxa"/>
            <w:gridSpan w:val="2"/>
            <w:tcBorders>
              <w:bottom w:val="single" w:sz="18" w:space="0" w:color="auto"/>
            </w:tcBorders>
          </w:tcPr>
          <w:p w14:paraId="17C6D26F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4183A91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418" w:type="dxa"/>
            <w:tcBorders>
              <w:bottom w:val="single" w:sz="18" w:space="0" w:color="auto"/>
            </w:tcBorders>
          </w:tcPr>
          <w:p w14:paraId="72FABD1B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5D8CE8A5" w14:textId="77777777" w:rsidTr="006012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2"/>
        </w:trPr>
        <w:tc>
          <w:tcPr>
            <w:tcW w:w="199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855BD2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151FF5C4" wp14:editId="06240C6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FFCF86E" wp14:editId="16D35719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0A8050" w14:textId="77777777" w:rsidR="00C15B84" w:rsidRDefault="00C15B8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57B64414" w14:textId="394FF22D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065E96A0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75C5260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2751CE30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9196B9" w14:textId="77777777" w:rsidR="00C15B84" w:rsidRDefault="00C15B84">
            <w:pPr>
              <w:rPr>
                <w:lang w:val="fr-FR"/>
              </w:rPr>
            </w:pPr>
          </w:p>
          <w:p w14:paraId="60F6369A" w14:textId="4E15B36F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60999C1E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0071381" w14:textId="77777777" w:rsidR="00441083" w:rsidRPr="00DD3433" w:rsidRDefault="00441083">
            <w:pPr>
              <w:rPr>
                <w:lang w:val="fr-FR"/>
              </w:rPr>
            </w:pPr>
          </w:p>
          <w:p w14:paraId="2A83DEDB" w14:textId="71506D9B" w:rsidR="00441083" w:rsidRPr="00D436B5" w:rsidRDefault="00E60D9C">
            <w:pPr>
              <w:rPr>
                <w:lang w:val="fr-FR"/>
              </w:rPr>
            </w:pPr>
            <w:r>
              <w:fldChar w:fldCharType="begin"/>
            </w:r>
            <w:r w:rsidRPr="00D436B5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601256">
              <w:rPr>
                <w:lang w:val="fr-FR"/>
              </w:rPr>
              <w:t>UNEP/</w:t>
            </w:r>
            <w:proofErr w:type="spellStart"/>
            <w:r w:rsidR="00601256">
              <w:rPr>
                <w:lang w:val="fr-FR"/>
              </w:rPr>
              <w:t>OzL.Pro</w:t>
            </w:r>
            <w:proofErr w:type="spellEnd"/>
            <w:r w:rsidR="00601256">
              <w:rPr>
                <w:lang w:val="fr-FR"/>
              </w:rPr>
              <w:t>/</w:t>
            </w:r>
            <w:proofErr w:type="spellStart"/>
            <w:r w:rsidR="00601256">
              <w:rPr>
                <w:lang w:val="fr-FR"/>
              </w:rPr>
              <w:t>ExCom</w:t>
            </w:r>
            <w:proofErr w:type="spellEnd"/>
            <w:r w:rsidR="00601256">
              <w:rPr>
                <w:lang w:val="fr-FR"/>
              </w:rPr>
              <w:t>/91/10</w:t>
            </w:r>
            <w:r>
              <w:fldChar w:fldCharType="end"/>
            </w:r>
          </w:p>
          <w:p w14:paraId="20094ABC" w14:textId="6F394E84" w:rsidR="002F0B57" w:rsidRPr="00601256" w:rsidRDefault="002F0B57" w:rsidP="00C9547D">
            <w:pPr>
              <w:rPr>
                <w:lang w:val="fr-FR"/>
              </w:rPr>
            </w:pPr>
            <w:r>
              <w:fldChar w:fldCharType="begin"/>
            </w:r>
            <w:r w:rsidRPr="00601256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284DA2" w:rsidRPr="00601256">
              <w:rPr>
                <w:lang w:val="fr-FR"/>
              </w:rPr>
              <w:t xml:space="preserve">10 </w:t>
            </w:r>
            <w:r w:rsidR="00D436B5" w:rsidRPr="00601256">
              <w:rPr>
                <w:lang w:val="fr-FR"/>
              </w:rPr>
              <w:t>novembre</w:t>
            </w:r>
            <w:r w:rsidR="00284DA2" w:rsidRPr="00601256">
              <w:rPr>
                <w:lang w:val="fr-FR"/>
              </w:rPr>
              <w:t xml:space="preserve"> 2022</w:t>
            </w:r>
            <w:r>
              <w:fldChar w:fldCharType="end"/>
            </w:r>
          </w:p>
          <w:p w14:paraId="1F84C0E0" w14:textId="77777777" w:rsidR="00441083" w:rsidRDefault="00FC5578">
            <w:pPr>
              <w:rPr>
                <w:caps/>
                <w:lang w:val="fr-FR"/>
              </w:rPr>
            </w:pPr>
            <w:r w:rsidRPr="00601256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42E81C27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21E312EC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F599E70" w14:textId="77777777"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4A14C2D8" w14:textId="77777777" w:rsidR="00B207A8" w:rsidRPr="00B207A8" w:rsidRDefault="00B207A8" w:rsidP="00B207A8">
      <w:pPr>
        <w:jc w:val="left"/>
        <w:rPr>
          <w:lang w:val="fr-FR"/>
        </w:rPr>
      </w:pPr>
      <w:r>
        <w:rPr>
          <w:lang w:val="fr"/>
        </w:rPr>
        <w:t>Point 6(b) de l’ordre du jour provisoire</w:t>
      </w:r>
      <w:r>
        <w:rPr>
          <w:rStyle w:val="FootnoteReference"/>
          <w:lang w:val="fr"/>
        </w:rPr>
        <w:footnoteReference w:id="1"/>
      </w:r>
    </w:p>
    <w:p w14:paraId="4C1FE9BB" w14:textId="77777777" w:rsidR="00441083" w:rsidRPr="00B207A8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7F5689DD" w14:textId="77777777" w:rsidR="00441083" w:rsidRDefault="00441083">
      <w:pPr>
        <w:pStyle w:val="Title1"/>
        <w:rPr>
          <w:lang w:val="fr-FR"/>
        </w:rPr>
      </w:pPr>
    </w:p>
    <w:p w14:paraId="5021DD4B" w14:textId="77777777" w:rsidR="00C15B84" w:rsidRDefault="00601256" w:rsidP="00284DA2">
      <w:pPr>
        <w:jc w:val="center"/>
        <w:rPr>
          <w:b/>
          <w:bCs/>
          <w:color w:val="000000"/>
          <w:sz w:val="24"/>
          <w:szCs w:val="24"/>
          <w:lang w:val="fr"/>
        </w:rPr>
      </w:pPr>
      <w:r>
        <w:rPr>
          <w:b/>
          <w:bCs/>
          <w:color w:val="000000"/>
          <w:sz w:val="24"/>
          <w:szCs w:val="24"/>
          <w:lang w:val="fr"/>
        </w:rPr>
        <w:t>MISE À JOUR SUR L’ÉTAT DE LA DEUXIÈME PHASE DE L’ÉVALUATION</w:t>
      </w:r>
    </w:p>
    <w:p w14:paraId="5694DFA9" w14:textId="77777777" w:rsidR="00C15B84" w:rsidRDefault="00601256" w:rsidP="00284DA2">
      <w:pPr>
        <w:jc w:val="center"/>
        <w:rPr>
          <w:b/>
          <w:bCs/>
          <w:color w:val="000000"/>
          <w:sz w:val="24"/>
          <w:szCs w:val="24"/>
          <w:lang w:val="fr"/>
        </w:rPr>
      </w:pPr>
      <w:r>
        <w:rPr>
          <w:b/>
          <w:bCs/>
          <w:color w:val="000000"/>
          <w:sz w:val="24"/>
          <w:szCs w:val="24"/>
          <w:lang w:val="fr"/>
        </w:rPr>
        <w:t xml:space="preserve"> DES RÉSEAUX RÉGIONAUX DES ADMINISTRATEURS </w:t>
      </w:r>
    </w:p>
    <w:p w14:paraId="19F26331" w14:textId="3E337178" w:rsidR="00284DA2" w:rsidRPr="00284DA2" w:rsidRDefault="00601256" w:rsidP="00284DA2">
      <w:pPr>
        <w:jc w:val="center"/>
        <w:rPr>
          <w:b/>
          <w:bCs/>
          <w:color w:val="000000"/>
          <w:sz w:val="24"/>
          <w:szCs w:val="24"/>
          <w:lang w:val="fr-FR"/>
        </w:rPr>
      </w:pPr>
      <w:r>
        <w:rPr>
          <w:b/>
          <w:bCs/>
          <w:color w:val="000000"/>
          <w:sz w:val="24"/>
          <w:szCs w:val="24"/>
          <w:lang w:val="fr"/>
        </w:rPr>
        <w:t>DES BUREAUX NATIONAUX DE L’OZONE</w:t>
      </w:r>
    </w:p>
    <w:p w14:paraId="02D403EE" w14:textId="77777777" w:rsidR="00284DA2" w:rsidRPr="00284DA2" w:rsidRDefault="00284DA2" w:rsidP="00284DA2">
      <w:pPr>
        <w:jc w:val="center"/>
        <w:rPr>
          <w:b/>
          <w:bCs/>
          <w:sz w:val="24"/>
          <w:szCs w:val="24"/>
          <w:lang w:val="fr-FR"/>
        </w:rPr>
      </w:pPr>
    </w:p>
    <w:p w14:paraId="1AA76C9F" w14:textId="77777777" w:rsidR="00284DA2" w:rsidRPr="00EA38EC" w:rsidRDefault="00284DA2" w:rsidP="00284DA2">
      <w:pPr>
        <w:pStyle w:val="StyleBold"/>
        <w:rPr>
          <w:szCs w:val="22"/>
        </w:rPr>
      </w:pPr>
      <w:r>
        <w:rPr>
          <w:szCs w:val="22"/>
          <w:lang w:val="fr"/>
        </w:rPr>
        <w:t>Introduction</w:t>
      </w:r>
    </w:p>
    <w:p w14:paraId="23FEDB38" w14:textId="29899904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>Lors de la 86</w:t>
      </w:r>
      <w:r>
        <w:rPr>
          <w:vertAlign w:val="superscript"/>
          <w:lang w:val="fr"/>
        </w:rPr>
        <w:t>e</w:t>
      </w:r>
      <w:r>
        <w:rPr>
          <w:lang w:val="fr"/>
        </w:rPr>
        <w:t> réunion, le Comité exécutif a approuvé les modalités</w:t>
      </w:r>
      <w:r>
        <w:rPr>
          <w:rStyle w:val="FootnoteReference"/>
          <w:lang w:val="fr"/>
        </w:rPr>
        <w:footnoteReference w:id="2"/>
      </w:r>
      <w:r>
        <w:rPr>
          <w:lang w:val="fr"/>
        </w:rPr>
        <w:t xml:space="preserve"> de la deuxième phase de l’évaluation des réseaux régionaux des administrateurs des bureaux nationaux de l’ozone (NOO) (décision 86/10). Cependant, cette évaluation a été incluse dans </w:t>
      </w:r>
      <w:r w:rsidR="00B207A8">
        <w:rPr>
          <w:lang w:val="fr"/>
        </w:rPr>
        <w:t xml:space="preserve">le </w:t>
      </w:r>
      <w:r>
        <w:rPr>
          <w:lang w:val="fr"/>
        </w:rPr>
        <w:t xml:space="preserve">programme de travail </w:t>
      </w:r>
      <w:r w:rsidR="00B207A8">
        <w:rPr>
          <w:lang w:val="fr"/>
        </w:rPr>
        <w:t xml:space="preserve">de supervision et d’évaluation </w:t>
      </w:r>
      <w:r>
        <w:rPr>
          <w:lang w:val="fr"/>
        </w:rPr>
        <w:t>pour l’année 2022 et a été approuvée lors de la 88</w:t>
      </w:r>
      <w:r>
        <w:rPr>
          <w:vertAlign w:val="superscript"/>
          <w:lang w:val="fr"/>
        </w:rPr>
        <w:t>e</w:t>
      </w:r>
      <w:r>
        <w:rPr>
          <w:lang w:val="fr"/>
        </w:rPr>
        <w:t> réunion (décision 88/10). Le Comité exécutif a pris en compte les défis et les incertitudes découlant de la pandémie de COVID-19 et a accepté que l’Administrateur principal de surveillance et d’évaluation (SMEO) fournisse des mises à jour intermédiaires lors des 90</w:t>
      </w:r>
      <w:r>
        <w:rPr>
          <w:vertAlign w:val="superscript"/>
          <w:lang w:val="fr"/>
        </w:rPr>
        <w:t>e</w:t>
      </w:r>
      <w:r>
        <w:rPr>
          <w:lang w:val="fr"/>
        </w:rPr>
        <w:t xml:space="preserve"> et 91</w:t>
      </w:r>
      <w:r>
        <w:rPr>
          <w:vertAlign w:val="superscript"/>
          <w:lang w:val="fr"/>
        </w:rPr>
        <w:t>e</w:t>
      </w:r>
      <w:r>
        <w:rPr>
          <w:lang w:val="fr"/>
        </w:rPr>
        <w:t> réunions.</w:t>
      </w:r>
      <w:r>
        <w:rPr>
          <w:rStyle w:val="FootnoteReference"/>
          <w:lang w:val="fr"/>
        </w:rPr>
        <w:footnoteReference w:id="3"/>
      </w:r>
      <w:r w:rsidR="005C751A">
        <w:rPr>
          <w:lang w:val="fr"/>
        </w:rPr>
        <w:t xml:space="preserve"> </w:t>
      </w:r>
      <w:r>
        <w:rPr>
          <w:lang w:val="fr"/>
        </w:rPr>
        <w:t>Ce document présente l’avancement depuis la dernière mise à jour présentée lors de la 90</w:t>
      </w:r>
      <w:r>
        <w:rPr>
          <w:vertAlign w:val="superscript"/>
          <w:lang w:val="fr"/>
        </w:rPr>
        <w:t>e</w:t>
      </w:r>
      <w:r>
        <w:rPr>
          <w:lang w:val="fr"/>
        </w:rPr>
        <w:t> réunion.</w:t>
      </w:r>
    </w:p>
    <w:p w14:paraId="032CBA74" w14:textId="77777777" w:rsidR="00284DA2" w:rsidRPr="00284DA2" w:rsidRDefault="00284DA2" w:rsidP="00284DA2">
      <w:pPr>
        <w:spacing w:after="240"/>
        <w:outlineLvl w:val="0"/>
        <w:rPr>
          <w:b/>
          <w:bCs/>
          <w:lang w:val="fr-FR"/>
        </w:rPr>
      </w:pPr>
      <w:r>
        <w:rPr>
          <w:b/>
          <w:bCs/>
          <w:lang w:val="fr"/>
        </w:rPr>
        <w:t>Calendrier des évaluations et visites sur le terrain</w:t>
      </w:r>
    </w:p>
    <w:p w14:paraId="65F9B613" w14:textId="139AE99A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 xml:space="preserve">Depuis juillet 2022, l’Administrateur principal a entrepris une série de visites en personne dans différentes régions, assistant à des réunions des réseaux régionaux organisées à Bangkok en juillet, à </w:t>
      </w:r>
      <w:r w:rsidR="005C751A">
        <w:rPr>
          <w:lang w:val="fr"/>
        </w:rPr>
        <w:t>Dubaï</w:t>
      </w:r>
      <w:r>
        <w:rPr>
          <w:lang w:val="fr"/>
        </w:rPr>
        <w:t xml:space="preserve"> et à Prague en septembre</w:t>
      </w:r>
      <w:r w:rsidR="005C751A">
        <w:rPr>
          <w:lang w:val="fr"/>
        </w:rPr>
        <w:t>,</w:t>
      </w:r>
      <w:r>
        <w:rPr>
          <w:lang w:val="fr"/>
        </w:rPr>
        <w:t xml:space="preserve"> et à Nairobi en octobre 2022. L’annexe du présent document fournit des informations sur l’état de la mise en œuvre des évaluations en cours et des activités afférentes.</w:t>
      </w:r>
    </w:p>
    <w:p w14:paraId="37CAF11D" w14:textId="1A77C876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 xml:space="preserve">Lors des réunions avec les réseaux régionaux, l’Administrateur principal a pu compter sur la collaboration et le soutien inestimable des équipes </w:t>
      </w:r>
      <w:proofErr w:type="spellStart"/>
      <w:r>
        <w:rPr>
          <w:lang w:val="fr"/>
        </w:rPr>
        <w:t>OzonAction</w:t>
      </w:r>
      <w:proofErr w:type="spellEnd"/>
      <w:r>
        <w:rPr>
          <w:lang w:val="fr"/>
        </w:rPr>
        <w:t xml:space="preserve"> du Programme d’aide à la conformité (PAC)</w:t>
      </w:r>
      <w:r w:rsidR="005C751A">
        <w:rPr>
          <w:lang w:val="fr"/>
        </w:rPr>
        <w:t>,</w:t>
      </w:r>
      <w:r>
        <w:rPr>
          <w:lang w:val="fr"/>
        </w:rPr>
        <w:t xml:space="preserve"> </w:t>
      </w:r>
      <w:r w:rsidR="005C751A">
        <w:rPr>
          <w:lang w:val="fr"/>
        </w:rPr>
        <w:t>aussi bien celles basées à leur</w:t>
      </w:r>
      <w:r>
        <w:rPr>
          <w:lang w:val="fr"/>
        </w:rPr>
        <w:t xml:space="preserve"> siège à Paris que </w:t>
      </w:r>
      <w:r w:rsidR="005C751A">
        <w:rPr>
          <w:lang w:val="fr"/>
        </w:rPr>
        <w:t xml:space="preserve">celles </w:t>
      </w:r>
      <w:r>
        <w:rPr>
          <w:lang w:val="fr"/>
        </w:rPr>
        <w:t xml:space="preserve">des bureaux régionaux qui ont aussi contribué à l’organisation des réunions de groupe </w:t>
      </w:r>
      <w:r w:rsidR="005C751A">
        <w:rPr>
          <w:lang w:val="fr"/>
        </w:rPr>
        <w:t>ou</w:t>
      </w:r>
      <w:r>
        <w:rPr>
          <w:lang w:val="fr"/>
        </w:rPr>
        <w:t xml:space="preserve"> bilatérales quand c’était possible. </w:t>
      </w:r>
    </w:p>
    <w:p w14:paraId="7F90B9D3" w14:textId="77777777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lastRenderedPageBreak/>
        <w:t xml:space="preserve">Une dernière visite complétera la couverture de toutes les régions au printemps 2023 lors d’une réunion conjointe entre les réseaux d’Amérique latine et des Caraïbes. </w:t>
      </w:r>
    </w:p>
    <w:p w14:paraId="6E35E11D" w14:textId="77777777" w:rsidR="00284DA2" w:rsidRPr="00EA38EC" w:rsidRDefault="00284DA2" w:rsidP="00284DA2">
      <w:pPr>
        <w:spacing w:after="240"/>
        <w:outlineLvl w:val="0"/>
        <w:rPr>
          <w:b/>
          <w:bCs/>
        </w:rPr>
      </w:pPr>
      <w:r>
        <w:rPr>
          <w:b/>
          <w:bCs/>
          <w:lang w:val="fr"/>
        </w:rPr>
        <w:t>Collecte des données et analyse</w:t>
      </w:r>
    </w:p>
    <w:p w14:paraId="240A1357" w14:textId="6ED56363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 xml:space="preserve">Faisant suite à l’achèvement de la matrice d’évaluation </w:t>
      </w:r>
      <w:r w:rsidR="005C751A">
        <w:rPr>
          <w:lang w:val="fr"/>
        </w:rPr>
        <w:t>et à</w:t>
      </w:r>
      <w:r>
        <w:rPr>
          <w:lang w:val="fr"/>
        </w:rPr>
        <w:t xml:space="preserve"> </w:t>
      </w:r>
      <w:r w:rsidR="005C751A">
        <w:rPr>
          <w:lang w:val="fr"/>
        </w:rPr>
        <w:t>l’</w:t>
      </w:r>
      <w:r>
        <w:rPr>
          <w:lang w:val="fr"/>
        </w:rPr>
        <w:t>exercice de cartographie des parties prenantes, préparés durant la première étape de cette évaluation durant le premier semestre 2022, une collecte approfondie de données a été lancée. Les parties prenantes concernées sont sollicitées tour à tour, chaque sondage s’appuyant sur les données collectées dans les groupes précédents. En juillet 2022, un premier sondage ciblé a été envoyé au groupe de co</w:t>
      </w:r>
      <w:r w:rsidR="00A546EC">
        <w:rPr>
          <w:lang w:val="fr"/>
        </w:rPr>
        <w:t>ordinat</w:t>
      </w:r>
      <w:r>
        <w:rPr>
          <w:lang w:val="fr"/>
        </w:rPr>
        <w:t>eurs régionaux, afin de profiter de leurs contributions éclairées concernant les enjeux discutés.</w:t>
      </w:r>
    </w:p>
    <w:p w14:paraId="3194C98C" w14:textId="011A4D71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>En se basant sur l’analyse des réponses données par les coordinateurs régionaux et conformément au champ d’application de l’évaluation, l’équipe a préparé un sondage multilingue global adressé aux 147 responsables nationaux de l’ozone (NOO). Le taux de réponse est très satisfaisant et s’élève à près de 70 % de la population ciblée.</w:t>
      </w:r>
    </w:p>
    <w:p w14:paraId="3404CAA4" w14:textId="4F93CB1F" w:rsidR="00284DA2" w:rsidRPr="00284DA2" w:rsidRDefault="00A546EC" w:rsidP="00284DA2">
      <w:pPr>
        <w:pStyle w:val="Heading1"/>
        <w:rPr>
          <w:lang w:val="fr-FR"/>
        </w:rPr>
      </w:pPr>
      <w:r>
        <w:rPr>
          <w:lang w:val="fr"/>
        </w:rPr>
        <w:t>Durant l’étape</w:t>
      </w:r>
      <w:r w:rsidR="00284DA2">
        <w:rPr>
          <w:lang w:val="fr"/>
        </w:rPr>
        <w:t> 3 de l’évaluation en cours</w:t>
      </w:r>
      <w:r>
        <w:rPr>
          <w:lang w:val="fr"/>
        </w:rPr>
        <w:t>, il est prévu d’i</w:t>
      </w:r>
      <w:r w:rsidR="00284DA2">
        <w:rPr>
          <w:lang w:val="fr"/>
        </w:rPr>
        <w:t xml:space="preserve">mpliquer les agences bilatérales, les représentants du Secrétariat du Fonds multilatéral, du Secrétariat de l’ozone, de l’équipe </w:t>
      </w:r>
      <w:proofErr w:type="spellStart"/>
      <w:r w:rsidR="00284DA2">
        <w:rPr>
          <w:lang w:val="fr"/>
        </w:rPr>
        <w:t>OzonAction</w:t>
      </w:r>
      <w:proofErr w:type="spellEnd"/>
      <w:r w:rsidR="00284DA2">
        <w:rPr>
          <w:lang w:val="fr"/>
        </w:rPr>
        <w:t xml:space="preserve"> du PAC et des membres du Comité exécutif par le biais d’entretiens et/ou de questionnaires afin de collecter leurs points de vue et de compléter le processus de collecte des données. </w:t>
      </w:r>
    </w:p>
    <w:p w14:paraId="36DEB3B2" w14:textId="77777777" w:rsidR="00284DA2" w:rsidRPr="00352838" w:rsidRDefault="00284DA2" w:rsidP="00284DA2">
      <w:pPr>
        <w:spacing w:after="240"/>
        <w:outlineLvl w:val="0"/>
        <w:rPr>
          <w:b/>
          <w:bCs/>
        </w:rPr>
      </w:pPr>
      <w:r>
        <w:rPr>
          <w:b/>
          <w:bCs/>
          <w:lang w:val="fr"/>
        </w:rPr>
        <w:t>Utilisation de ressources et expertise</w:t>
      </w:r>
    </w:p>
    <w:p w14:paraId="18A07D65" w14:textId="1DB6B4E7" w:rsidR="00284DA2" w:rsidRPr="00A546EC" w:rsidRDefault="00284DA2" w:rsidP="00284DA2">
      <w:pPr>
        <w:pStyle w:val="Heading1"/>
        <w:rPr>
          <w:lang w:val="fr-FR"/>
        </w:rPr>
      </w:pPr>
      <w:r>
        <w:rPr>
          <w:lang w:val="fr"/>
        </w:rPr>
        <w:t xml:space="preserve">Le processus d’évaluation est mené par l’Administrateur principal de surveillance et d’évaluation, avec la contribution de deux consultants, pour différentes </w:t>
      </w:r>
      <w:r w:rsidR="00A546EC">
        <w:rPr>
          <w:lang w:val="fr"/>
        </w:rPr>
        <w:t>étapes</w:t>
      </w:r>
      <w:r>
        <w:rPr>
          <w:lang w:val="fr"/>
        </w:rPr>
        <w:t>, et soutenu par l’assistant de gestion du programme nouvellement recruté pour la supervision et l’évaluation. L’utilisation du solde non dépensé est a</w:t>
      </w:r>
      <w:r w:rsidR="00A546EC">
        <w:rPr>
          <w:lang w:val="fr"/>
        </w:rPr>
        <w:t>bordée</w:t>
      </w:r>
      <w:r>
        <w:rPr>
          <w:lang w:val="fr"/>
        </w:rPr>
        <w:t xml:space="preserve"> dans l’ébauche de programme de travail de supervision et d’évaluation pour 2023,</w:t>
      </w:r>
      <w:r>
        <w:rPr>
          <w:rStyle w:val="FootnoteReference"/>
          <w:lang w:val="fr"/>
        </w:rPr>
        <w:footnoteReference w:id="4"/>
      </w:r>
      <w:r>
        <w:rPr>
          <w:lang w:val="fr"/>
        </w:rPr>
        <w:t xml:space="preserve"> avec la proposition de rephaser 15 000 $US pour </w:t>
      </w:r>
      <w:r w:rsidR="00A546EC">
        <w:rPr>
          <w:lang w:val="fr"/>
        </w:rPr>
        <w:t>achever</w:t>
      </w:r>
      <w:r>
        <w:rPr>
          <w:lang w:val="fr"/>
        </w:rPr>
        <w:t xml:space="preserve"> l’évaluation sur 2022 et 2023. Le solde restant sera restitué au Fonds multilatéral.</w:t>
      </w:r>
      <w:r>
        <w:rPr>
          <w:rStyle w:val="FootnoteReference"/>
          <w:lang w:val="fr"/>
        </w:rPr>
        <w:footnoteReference w:id="5"/>
      </w:r>
      <w:r>
        <w:rPr>
          <w:lang w:val="fr"/>
        </w:rPr>
        <w:t xml:space="preserve"> </w:t>
      </w:r>
    </w:p>
    <w:p w14:paraId="5FF75B57" w14:textId="77777777" w:rsidR="00284DA2" w:rsidRPr="005839F1" w:rsidRDefault="00284DA2" w:rsidP="00284DA2">
      <w:pPr>
        <w:pStyle w:val="Heading1"/>
        <w:numPr>
          <w:ilvl w:val="0"/>
          <w:numId w:val="0"/>
        </w:numPr>
        <w:rPr>
          <w:b/>
          <w:bCs/>
        </w:rPr>
      </w:pPr>
      <w:r>
        <w:rPr>
          <w:b/>
          <w:bCs/>
          <w:lang w:val="fr"/>
        </w:rPr>
        <w:t>Conclusion</w:t>
      </w:r>
    </w:p>
    <w:p w14:paraId="2F77F5AB" w14:textId="7780DA24" w:rsidR="00284DA2" w:rsidRPr="00284DA2" w:rsidRDefault="00284DA2" w:rsidP="00284DA2">
      <w:pPr>
        <w:pStyle w:val="Heading1"/>
        <w:rPr>
          <w:lang w:val="fr-FR"/>
        </w:rPr>
      </w:pPr>
      <w:r>
        <w:rPr>
          <w:lang w:val="fr"/>
        </w:rPr>
        <w:t>Comme prévu initialement, l’Administrateur principal prévoit de soumettre le rapport final sur l’évaluation des réseaux régionaux des administrateurs des bureaux nationaux de l’ozone (NOO) lors de la 92</w:t>
      </w:r>
      <w:r>
        <w:rPr>
          <w:vertAlign w:val="superscript"/>
          <w:lang w:val="fr"/>
        </w:rPr>
        <w:t>e</w:t>
      </w:r>
      <w:r>
        <w:rPr>
          <w:lang w:val="fr"/>
        </w:rPr>
        <w:t> réunion, comme indiqué dans l’ébauche de programme de travail de supervision et d’évaluation pour l’année 2023.</w:t>
      </w:r>
      <w:r w:rsidR="00A546EC" w:rsidRPr="00601256">
        <w:rPr>
          <w:rStyle w:val="FootnoteReference"/>
          <w:lang w:val="fr-FR"/>
        </w:rPr>
        <w:t xml:space="preserve"> </w:t>
      </w:r>
      <w:r w:rsidR="00A546EC" w:rsidRPr="005839F1">
        <w:rPr>
          <w:rStyle w:val="FootnoteReference"/>
        </w:rPr>
        <w:footnoteReference w:id="6"/>
      </w:r>
    </w:p>
    <w:p w14:paraId="28186B87" w14:textId="77777777" w:rsidR="00284DA2" w:rsidRPr="005839F1" w:rsidRDefault="00284DA2" w:rsidP="00284DA2">
      <w:pPr>
        <w:pStyle w:val="StyleBold"/>
        <w:rPr>
          <w:szCs w:val="22"/>
        </w:rPr>
      </w:pPr>
      <w:bookmarkStart w:id="1" w:name="_Hlk117851794"/>
      <w:r>
        <w:rPr>
          <w:szCs w:val="22"/>
          <w:lang w:val="fr"/>
        </w:rPr>
        <w:t>Recommandation</w:t>
      </w:r>
    </w:p>
    <w:p w14:paraId="4DFEDA3F" w14:textId="48CFA9E2" w:rsidR="00441083" w:rsidRPr="00611EBB" w:rsidRDefault="00284DA2" w:rsidP="00611EBB">
      <w:pPr>
        <w:pStyle w:val="Heading1"/>
        <w:rPr>
          <w:lang w:val="fr-FR"/>
        </w:rPr>
        <w:sectPr w:rsidR="00441083" w:rsidRPr="00611EB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>
        <w:rPr>
          <w:lang w:val="fr"/>
        </w:rPr>
        <w:t>Le Comité exécutif pourrait envisager de</w:t>
      </w:r>
      <w:bookmarkStart w:id="2" w:name="_Hlk117851768"/>
      <w:bookmarkEnd w:id="1"/>
      <w:r>
        <w:rPr>
          <w:lang w:val="fr"/>
        </w:rPr>
        <w:t xml:space="preserve"> prendre note de la mise à jour sur l’état de la deuxième phase de l’évaluation des réseaux régionaux des administrateurs des bureaux nationaux de l’ozone présentée dans le document PNUE/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/91/10.</w:t>
      </w:r>
      <w:bookmarkEnd w:id="2"/>
    </w:p>
    <w:p w14:paraId="555F0646" w14:textId="21598FC9" w:rsidR="00045A29" w:rsidRDefault="00611EBB" w:rsidP="00045A29">
      <w:pPr>
        <w:spacing w:after="60"/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03EDCBA5" w14:textId="77777777" w:rsidR="00045A29" w:rsidRDefault="00045A29" w:rsidP="00045A29">
      <w:pPr>
        <w:spacing w:after="60"/>
        <w:jc w:val="center"/>
        <w:rPr>
          <w:rFonts w:eastAsia="Calibri"/>
          <w:b/>
          <w:bCs/>
          <w:lang w:val="fr"/>
        </w:rPr>
      </w:pPr>
    </w:p>
    <w:p w14:paraId="1B69E36F" w14:textId="42F89453" w:rsidR="00611EBB" w:rsidRDefault="00611EBB" w:rsidP="00045A29">
      <w:pPr>
        <w:jc w:val="center"/>
        <w:rPr>
          <w:rFonts w:eastAsia="Calibri"/>
          <w:b/>
          <w:bCs/>
          <w:lang w:val="fr"/>
        </w:rPr>
      </w:pPr>
      <w:r>
        <w:rPr>
          <w:rFonts w:eastAsia="Calibri"/>
          <w:b/>
          <w:bCs/>
          <w:lang w:val="fr"/>
        </w:rPr>
        <w:t>ÉTAT LA MISE EN ŒUVRE DE L’ÉVALUATION DES RÉSEAUX RÉGIONAUX</w:t>
      </w:r>
    </w:p>
    <w:tbl>
      <w:tblPr>
        <w:tblpPr w:leftFromText="180" w:rightFromText="180" w:vertAnchor="page" w:horzAnchor="margin" w:tblpXSpec="center" w:tblpY="2761"/>
        <w:tblW w:w="52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5574"/>
        <w:gridCol w:w="5267"/>
      </w:tblGrid>
      <w:tr w:rsidR="00284DA2" w:rsidRPr="00C15B84" w14:paraId="6AD8AC82" w14:textId="77777777" w:rsidTr="00AA2143">
        <w:trPr>
          <w:trHeight w:val="267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2E32EF" w14:textId="77777777" w:rsidR="00284DA2" w:rsidRPr="002F0626" w:rsidRDefault="00284DA2" w:rsidP="00AA2143">
            <w:pPr>
              <w:keepNext/>
              <w:jc w:val="center"/>
              <w:rPr>
                <w:sz w:val="20"/>
                <w:szCs w:val="20"/>
              </w:rPr>
            </w:pPr>
            <w:bookmarkStart w:id="3" w:name="_Hlk117859425"/>
            <w:r>
              <w:rPr>
                <w:b/>
                <w:bCs/>
                <w:kern w:val="24"/>
                <w:sz w:val="20"/>
                <w:szCs w:val="20"/>
                <w:lang w:val="fr"/>
              </w:rPr>
              <w:t>Étape et activités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4BA84" w14:textId="77777777" w:rsidR="00284DA2" w:rsidRPr="00284DA2" w:rsidRDefault="00284DA2" w:rsidP="00AA2143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>
              <w:rPr>
                <w:rFonts w:eastAsia="Calibri"/>
                <w:b/>
                <w:bCs/>
                <w:kern w:val="24"/>
                <w:sz w:val="20"/>
                <w:szCs w:val="20"/>
                <w:lang w:val="fr"/>
              </w:rPr>
              <w:t>Tâche d’évaluation et date de production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541C91" w14:textId="77777777" w:rsidR="00284DA2" w:rsidRPr="00284DA2" w:rsidRDefault="00284DA2" w:rsidP="00AA2143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kern w:val="24"/>
                <w:sz w:val="20"/>
                <w:szCs w:val="20"/>
                <w:lang w:val="fr"/>
              </w:rPr>
              <w:t xml:space="preserve">Situation de la mise en œuvre/planification </w:t>
            </w:r>
          </w:p>
        </w:tc>
      </w:tr>
      <w:tr w:rsidR="00284DA2" w:rsidRPr="00C15B84" w14:paraId="53C96722" w14:textId="77777777" w:rsidTr="00AA2143">
        <w:trPr>
          <w:trHeight w:val="360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5EDC28" w14:textId="77777777" w:rsidR="00284DA2" w:rsidRPr="00CF506F" w:rsidRDefault="00284DA2" w:rsidP="00AA2143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24"/>
                <w:sz w:val="20"/>
                <w:szCs w:val="20"/>
                <w:lang w:val="fr"/>
              </w:rPr>
              <w:t xml:space="preserve">Première étape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30B7C8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Cartographie des parties prenantes  </w:t>
            </w:r>
          </w:p>
          <w:p w14:paraId="2F0757E9" w14:textId="58CAF850" w:rsidR="00284DA2" w:rsidRPr="00284DA2" w:rsidRDefault="00372651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Phase de </w:t>
            </w:r>
            <w:r w:rsidR="00601256">
              <w:rPr>
                <w:kern w:val="24"/>
                <w:sz w:val="20"/>
                <w:szCs w:val="20"/>
                <w:lang w:val="fr"/>
              </w:rPr>
              <w:t>conception, de</w:t>
            </w:r>
            <w:r>
              <w:rPr>
                <w:kern w:val="24"/>
                <w:sz w:val="20"/>
                <w:szCs w:val="20"/>
                <w:lang w:val="fr"/>
              </w:rPr>
              <w:t xml:space="preserve"> </w:t>
            </w:r>
            <w:r w:rsidR="00284DA2">
              <w:rPr>
                <w:kern w:val="24"/>
                <w:sz w:val="20"/>
                <w:szCs w:val="20"/>
                <w:lang w:val="fr"/>
              </w:rPr>
              <w:t xml:space="preserve">matrice d’évaluation et de planification 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C460FB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Achevée (1</w:t>
            </w:r>
            <w:r>
              <w:rPr>
                <w:kern w:val="24"/>
                <w:sz w:val="20"/>
                <w:szCs w:val="20"/>
                <w:vertAlign w:val="superscript"/>
                <w:lang w:val="fr"/>
              </w:rPr>
              <w:t>e</w:t>
            </w:r>
            <w:r w:rsidRPr="00122014">
              <w:rPr>
                <w:kern w:val="24"/>
                <w:sz w:val="20"/>
                <w:szCs w:val="20"/>
                <w:vertAlign w:val="superscript"/>
                <w:lang w:val="fr"/>
              </w:rPr>
              <w:t>r</w:t>
            </w:r>
            <w:r>
              <w:rPr>
                <w:kern w:val="24"/>
                <w:sz w:val="20"/>
                <w:szCs w:val="20"/>
                <w:lang w:val="fr"/>
              </w:rPr>
              <w:t xml:space="preserve"> semestre 2022, reportée à la 90</w:t>
            </w:r>
            <w:r>
              <w:rPr>
                <w:kern w:val="24"/>
                <w:sz w:val="20"/>
                <w:szCs w:val="20"/>
                <w:vertAlign w:val="superscript"/>
                <w:lang w:val="fr"/>
              </w:rPr>
              <w:t>e</w:t>
            </w:r>
            <w:r>
              <w:rPr>
                <w:kern w:val="24"/>
                <w:sz w:val="20"/>
                <w:szCs w:val="20"/>
                <w:lang w:val="fr"/>
              </w:rPr>
              <w:t> réunion)</w:t>
            </w:r>
          </w:p>
        </w:tc>
      </w:tr>
      <w:tr w:rsidR="00284DA2" w:rsidRPr="00C15B84" w14:paraId="0E8CA502" w14:textId="77777777" w:rsidTr="00AA2143">
        <w:trPr>
          <w:trHeight w:val="186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86570B" w14:textId="5A3DCA55" w:rsidR="00284DA2" w:rsidRPr="00CF506F" w:rsidRDefault="00284DA2" w:rsidP="00AA2143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24"/>
                <w:sz w:val="20"/>
                <w:szCs w:val="20"/>
                <w:lang w:val="fr"/>
              </w:rPr>
              <w:t xml:space="preserve">Deuxième </w:t>
            </w:r>
            <w:r w:rsidR="00A546EC">
              <w:rPr>
                <w:b/>
                <w:bCs/>
                <w:kern w:val="24"/>
                <w:sz w:val="20"/>
                <w:szCs w:val="20"/>
                <w:lang w:val="fr"/>
              </w:rPr>
              <w:t>étape</w:t>
            </w:r>
            <w:r>
              <w:rPr>
                <w:b/>
                <w:bCs/>
                <w:kern w:val="24"/>
                <w:sz w:val="20"/>
                <w:szCs w:val="20"/>
                <w:lang w:val="fr"/>
              </w:rPr>
              <w:t xml:space="preserve">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C63D13" w14:textId="61829F1A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Missions, sondage</w:t>
            </w:r>
            <w:r w:rsidR="00122014">
              <w:rPr>
                <w:kern w:val="24"/>
                <w:sz w:val="20"/>
                <w:szCs w:val="20"/>
                <w:lang w:val="fr"/>
              </w:rPr>
              <w:t>s</w:t>
            </w:r>
            <w:r>
              <w:rPr>
                <w:kern w:val="24"/>
                <w:sz w:val="20"/>
                <w:szCs w:val="20"/>
                <w:lang w:val="fr"/>
              </w:rPr>
              <w:t xml:space="preserve">, collecte des données et analyse  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21FA51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284DA2" w:rsidRPr="00C15B84" w14:paraId="78D36519" w14:textId="77777777" w:rsidTr="00AA2143">
        <w:trPr>
          <w:trHeight w:val="229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A2FE51" w14:textId="77777777" w:rsidR="00284DA2" w:rsidRPr="002F0626" w:rsidRDefault="00284DA2" w:rsidP="00AA2143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>Sondages (1)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0332EE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Questionnaires soumis aux coordinateurs régionaux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C5B591" w14:textId="6B1EA114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Achevé (auprès de tous les coordinateurs régionaux)</w:t>
            </w:r>
          </w:p>
        </w:tc>
      </w:tr>
      <w:tr w:rsidR="00284DA2" w:rsidRPr="00C15B84" w14:paraId="69360D27" w14:textId="77777777" w:rsidTr="00AA2143">
        <w:trPr>
          <w:trHeight w:val="313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DA5FB9" w14:textId="77777777" w:rsidR="00284DA2" w:rsidRPr="002F0626" w:rsidRDefault="00284DA2" w:rsidP="00AA2143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Sondages (2)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972EEC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Sondage auprès des administrateurs des bureaux régionaux de l’ozone et du Protocole de Montréal. 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EFF119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Envoyé le 8 septembre 2022</w:t>
            </w:r>
          </w:p>
          <w:p w14:paraId="5E010BFF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Clos - fin octobre 2022 - collecte des données achevée</w:t>
            </w:r>
          </w:p>
        </w:tc>
      </w:tr>
      <w:tr w:rsidR="00284DA2" w:rsidRPr="00C15B84" w14:paraId="1476F2F0" w14:textId="77777777" w:rsidTr="00AA2143">
        <w:trPr>
          <w:trHeight w:val="472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A37100" w14:textId="77777777" w:rsidR="00284DA2" w:rsidRPr="002F0626" w:rsidRDefault="00284DA2" w:rsidP="00AA2143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Sondages (3)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32F30D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Sondage auprès des autres parties prenantes (c’est-à-dire les agences bilatérales et d’exécution, le Secrétariat du Fonds multilatéral et le Secrétariat de l’ozone, les partenaires de développement et les observateurs, les membres du Comité exécutif)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A322B3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En cours - prévue pour s’étendre du dernier semestre 2022 au premier semestre 2023</w:t>
            </w:r>
          </w:p>
        </w:tc>
      </w:tr>
      <w:tr w:rsidR="00284DA2" w:rsidRPr="00C15B84" w14:paraId="76CD6AD6" w14:textId="77777777" w:rsidTr="00AA2143">
        <w:trPr>
          <w:trHeight w:val="541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52A6B9" w14:textId="77777777" w:rsidR="00284DA2" w:rsidRPr="00284DA2" w:rsidRDefault="00284DA2" w:rsidP="00AA2143">
            <w:pPr>
              <w:keepNext/>
              <w:jc w:val="right"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Entretiens avec les parties prenantes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D2D044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Concernant les marges d’</w:t>
            </w:r>
            <w:proofErr w:type="spellStart"/>
            <w:r>
              <w:rPr>
                <w:kern w:val="24"/>
                <w:sz w:val="20"/>
                <w:szCs w:val="20"/>
                <w:lang w:val="fr"/>
              </w:rPr>
              <w:t>ExCom</w:t>
            </w:r>
            <w:proofErr w:type="spellEnd"/>
            <w:r>
              <w:rPr>
                <w:kern w:val="24"/>
                <w:sz w:val="20"/>
                <w:szCs w:val="20"/>
                <w:lang w:val="fr"/>
              </w:rPr>
              <w:t xml:space="preserve"> et les réunions des Parties (MOP) en 2022</w:t>
            </w:r>
          </w:p>
          <w:p w14:paraId="5D8C7800" w14:textId="7E4B38F5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Durant la participation aux réunions des réseaux régionaux (Asie, Asie du Sud-Est et Pacifique, Asie de l’Ouest, Europe et Asie centrale</w:t>
            </w:r>
            <w:r w:rsidR="00122014">
              <w:rPr>
                <w:sz w:val="20"/>
                <w:szCs w:val="20"/>
                <w:lang w:val="fr"/>
              </w:rPr>
              <w:t>,</w:t>
            </w:r>
            <w:r>
              <w:rPr>
                <w:sz w:val="20"/>
                <w:szCs w:val="20"/>
                <w:lang w:val="fr"/>
              </w:rPr>
              <w:t xml:space="preserve"> et Afrique sont achevés)</w:t>
            </w:r>
            <w:r w:rsidR="00122014">
              <w:rPr>
                <w:sz w:val="20"/>
                <w:szCs w:val="20"/>
                <w:lang w:val="fr"/>
              </w:rPr>
              <w:t> ;</w:t>
            </w:r>
            <w:r>
              <w:rPr>
                <w:sz w:val="20"/>
                <w:szCs w:val="20"/>
                <w:lang w:val="fr"/>
              </w:rPr>
              <w:t xml:space="preserve"> Amérique latine et Caraïbes en 2023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E473C9" w14:textId="57FFC734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Les réseaux anglophones et francophones de l’Asie, de l’Asie du Sud-Est et Pacifique, de l’Asie de l’Ouest, de l’Europe et Asie centrale et de l’Afrique ont été couverts</w:t>
            </w:r>
            <w:r w:rsidR="00122014">
              <w:rPr>
                <w:kern w:val="24"/>
                <w:sz w:val="20"/>
                <w:szCs w:val="20"/>
                <w:lang w:val="fr"/>
              </w:rPr>
              <w:t>.</w:t>
            </w:r>
          </w:p>
          <w:p w14:paraId="073AD36B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Se poursuit entre octobre 2022 et mars 2023</w:t>
            </w:r>
          </w:p>
        </w:tc>
      </w:tr>
      <w:tr w:rsidR="00284DA2" w:rsidRPr="00C15B84" w14:paraId="0451CFBB" w14:textId="77777777" w:rsidTr="00AA2143">
        <w:trPr>
          <w:trHeight w:val="2699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889212" w14:textId="360B6570" w:rsidR="00284DA2" w:rsidRPr="00284DA2" w:rsidRDefault="00284DA2" w:rsidP="00AA2143">
            <w:pPr>
              <w:keepNext/>
              <w:jc w:val="right"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Visites </w:t>
            </w:r>
            <w:r w:rsidR="00A546EC">
              <w:rPr>
                <w:kern w:val="24"/>
                <w:sz w:val="20"/>
                <w:szCs w:val="20"/>
                <w:lang w:val="fr"/>
              </w:rPr>
              <w:t>sur le</w:t>
            </w:r>
            <w:r>
              <w:rPr>
                <w:kern w:val="24"/>
                <w:sz w:val="20"/>
                <w:szCs w:val="20"/>
                <w:lang w:val="fr"/>
              </w:rPr>
              <w:t xml:space="preserve"> terrain/participation de l’Administrateur principal aux réunions des réseaux régionaux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589FF8" w14:textId="7862190F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Réunion des réseaux régionaux d’Asie du Sud, d’Asie du Sud-Est et des </w:t>
            </w:r>
            <w:r w:rsidR="00122014">
              <w:rPr>
                <w:kern w:val="24"/>
                <w:sz w:val="20"/>
                <w:szCs w:val="20"/>
                <w:lang w:val="fr"/>
              </w:rPr>
              <w:t xml:space="preserve">PIP, </w:t>
            </w:r>
            <w:r>
              <w:rPr>
                <w:kern w:val="24"/>
                <w:sz w:val="20"/>
                <w:szCs w:val="20"/>
                <w:lang w:val="fr"/>
              </w:rPr>
              <w:t>Thaïlande, Bangkok (consécutivement avec le 44</w:t>
            </w:r>
            <w:r>
              <w:rPr>
                <w:kern w:val="24"/>
                <w:sz w:val="20"/>
                <w:szCs w:val="20"/>
                <w:vertAlign w:val="superscript"/>
                <w:lang w:val="fr"/>
              </w:rPr>
              <w:t>e</w:t>
            </w:r>
            <w:r>
              <w:rPr>
                <w:kern w:val="24"/>
                <w:sz w:val="20"/>
                <w:szCs w:val="20"/>
                <w:lang w:val="fr"/>
              </w:rPr>
              <w:t> OEWG (Groupe de travail à composition non limitée) à Bangkok)</w:t>
            </w:r>
          </w:p>
          <w:p w14:paraId="75FDC85A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------------------------------------------------------------------------</w:t>
            </w:r>
          </w:p>
          <w:p w14:paraId="23FC2E0A" w14:textId="55CE0216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Asie de l’Ouest - Émirats arabes unis, </w:t>
            </w:r>
            <w:proofErr w:type="spellStart"/>
            <w:r>
              <w:rPr>
                <w:kern w:val="24"/>
                <w:sz w:val="20"/>
                <w:szCs w:val="20"/>
                <w:lang w:val="fr"/>
              </w:rPr>
              <w:t>Dubai</w:t>
            </w:r>
            <w:proofErr w:type="spellEnd"/>
            <w:r>
              <w:rPr>
                <w:kern w:val="24"/>
                <w:sz w:val="20"/>
                <w:szCs w:val="20"/>
                <w:lang w:val="fr"/>
              </w:rPr>
              <w:t xml:space="preserve"> - 16 septembre</w:t>
            </w:r>
            <w:r w:rsidR="00122014">
              <w:rPr>
                <w:kern w:val="24"/>
                <w:sz w:val="20"/>
                <w:szCs w:val="20"/>
                <w:lang w:val="fr"/>
              </w:rPr>
              <w:t xml:space="preserve"> 2022</w:t>
            </w:r>
          </w:p>
          <w:p w14:paraId="1C7F0D87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------------------------------------------------------------------------</w:t>
            </w:r>
          </w:p>
          <w:p w14:paraId="5136A9FE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Europe et Asie centrale - République tchèque, Prague et Cheb, </w:t>
            </w:r>
          </w:p>
          <w:p w14:paraId="392446B9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20-22 septembre 2022</w:t>
            </w:r>
          </w:p>
          <w:p w14:paraId="3FB9EBB1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------------------------------------------------------------------------</w:t>
            </w:r>
          </w:p>
          <w:p w14:paraId="5A93BFE3" w14:textId="70D08AFA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Réseaux africains - EN &amp; FR</w:t>
            </w:r>
            <w:r w:rsidR="00122014">
              <w:rPr>
                <w:kern w:val="24"/>
                <w:sz w:val="20"/>
                <w:szCs w:val="20"/>
                <w:lang w:val="fr"/>
              </w:rPr>
              <w:t xml:space="preserve"> - </w:t>
            </w:r>
            <w:r>
              <w:rPr>
                <w:kern w:val="24"/>
                <w:sz w:val="20"/>
                <w:szCs w:val="20"/>
                <w:lang w:val="fr"/>
              </w:rPr>
              <w:t xml:space="preserve">Kenya, Nairobi </w:t>
            </w:r>
            <w:r w:rsidR="00122014">
              <w:rPr>
                <w:kern w:val="24"/>
                <w:sz w:val="20"/>
                <w:szCs w:val="20"/>
                <w:lang w:val="fr"/>
              </w:rPr>
              <w:t>- 3-5 octobre 2022</w:t>
            </w:r>
          </w:p>
          <w:p w14:paraId="71355874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------------------------------------------------------------------------</w:t>
            </w:r>
          </w:p>
          <w:p w14:paraId="268F570C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Amérique latine et Caraïbes - réseaux conjoints EN &amp; ES - Panama</w:t>
            </w: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0B3967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Achevée</w:t>
            </w:r>
          </w:p>
          <w:p w14:paraId="1DA620A7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093F604B" w14:textId="0B709E32" w:rsid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7A71A3ED" w14:textId="74AAAB0A" w:rsidR="00122014" w:rsidRDefault="00122014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527086DB" w14:textId="77777777" w:rsidR="00122014" w:rsidRPr="00284DA2" w:rsidRDefault="00122014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5F5DC482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Achevée </w:t>
            </w:r>
          </w:p>
          <w:p w14:paraId="2B488FF6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19C796F4" w14:textId="0D2DC3C2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Achevée</w:t>
            </w:r>
          </w:p>
          <w:p w14:paraId="18F6C62A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</w:p>
          <w:p w14:paraId="4E1D0396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</w:p>
          <w:p w14:paraId="4A1F7286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Achevée</w:t>
            </w:r>
          </w:p>
          <w:p w14:paraId="33796123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</w:p>
          <w:p w14:paraId="5290491D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Prévue pour fin mars 2023 </w:t>
            </w:r>
          </w:p>
        </w:tc>
      </w:tr>
      <w:tr w:rsidR="00284DA2" w:rsidRPr="009D5BFF" w14:paraId="4CC02979" w14:textId="77777777" w:rsidTr="00AA2143">
        <w:trPr>
          <w:trHeight w:val="381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9AE584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Sondage et questionnaires/analyse des données et conclusions des missions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3D5B7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Processus permanent - jusqu’à la fin de l’évaluation </w:t>
            </w:r>
          </w:p>
          <w:p w14:paraId="170AA261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1752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040F00" w14:textId="77777777" w:rsidR="00284DA2" w:rsidRPr="002F0626" w:rsidRDefault="00284DA2" w:rsidP="00AA2143">
            <w:pPr>
              <w:keepNext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>Automne 2022 jusque début 2023</w:t>
            </w:r>
          </w:p>
        </w:tc>
      </w:tr>
      <w:tr w:rsidR="00284DA2" w:rsidRPr="009D5BFF" w14:paraId="1E108C11" w14:textId="77777777" w:rsidTr="00045A29">
        <w:trPr>
          <w:trHeight w:val="387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03E2D3" w14:textId="4B1520D3" w:rsidR="00284DA2" w:rsidRPr="00284DA2" w:rsidRDefault="00284DA2" w:rsidP="00AA2143">
            <w:pPr>
              <w:keepNext/>
              <w:rPr>
                <w:b/>
                <w:bCs/>
                <w:kern w:val="24"/>
                <w:sz w:val="20"/>
                <w:szCs w:val="20"/>
                <w:lang w:val="fr-FR"/>
              </w:rPr>
            </w:pPr>
            <w:r>
              <w:rPr>
                <w:b/>
                <w:bCs/>
                <w:kern w:val="24"/>
                <w:sz w:val="20"/>
                <w:szCs w:val="20"/>
                <w:lang w:val="fr"/>
              </w:rPr>
              <w:lastRenderedPageBreak/>
              <w:t xml:space="preserve">Troisième </w:t>
            </w:r>
            <w:r w:rsidR="00372651">
              <w:rPr>
                <w:b/>
                <w:bCs/>
                <w:kern w:val="24"/>
                <w:sz w:val="20"/>
                <w:szCs w:val="20"/>
                <w:lang w:val="fr"/>
              </w:rPr>
              <w:t>étape</w:t>
            </w:r>
            <w:r>
              <w:rPr>
                <w:b/>
                <w:bCs/>
                <w:kern w:val="24"/>
                <w:sz w:val="20"/>
                <w:szCs w:val="20"/>
                <w:lang w:val="fr"/>
              </w:rPr>
              <w:t xml:space="preserve"> (finale) phase d’ébauche/commentaires/rapport final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21604A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Ébauche du rapport/consultation et commentaires des parties prenantes/processus d’assurance qualité/premier trimestre 2023</w:t>
            </w:r>
          </w:p>
        </w:tc>
        <w:tc>
          <w:tcPr>
            <w:tcW w:w="1752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77D418" w14:textId="77777777" w:rsidR="00284DA2" w:rsidRPr="002F0626" w:rsidRDefault="00284DA2" w:rsidP="00AA2143">
            <w:pPr>
              <w:keepNext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>À faire</w:t>
            </w:r>
          </w:p>
        </w:tc>
      </w:tr>
      <w:tr w:rsidR="00284DA2" w:rsidRPr="009D5BFF" w14:paraId="58849D69" w14:textId="77777777" w:rsidTr="00045A29">
        <w:trPr>
          <w:trHeight w:val="191"/>
        </w:trPr>
        <w:tc>
          <w:tcPr>
            <w:tcW w:w="139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DA1880" w14:textId="77777777" w:rsidR="00284DA2" w:rsidRPr="002F0626" w:rsidRDefault="00284DA2" w:rsidP="00AA2143">
            <w:pPr>
              <w:keepNext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Présentations au Comité exécutif </w:t>
            </w:r>
          </w:p>
        </w:tc>
        <w:tc>
          <w:tcPr>
            <w:tcW w:w="1854" w:type="pc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EAECC5" w14:textId="77777777" w:rsidR="00284DA2" w:rsidRPr="00284DA2" w:rsidRDefault="00284DA2" w:rsidP="00AA214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Rapport périodique - 91</w:t>
            </w:r>
            <w:r>
              <w:rPr>
                <w:kern w:val="24"/>
                <w:sz w:val="20"/>
                <w:szCs w:val="20"/>
                <w:vertAlign w:val="superscript"/>
                <w:lang w:val="fr"/>
              </w:rPr>
              <w:t>e</w:t>
            </w:r>
            <w:r>
              <w:rPr>
                <w:kern w:val="24"/>
                <w:sz w:val="20"/>
                <w:szCs w:val="20"/>
                <w:lang w:val="fr"/>
              </w:rPr>
              <w:t> réunion, 5 – 9 décembre 2022</w:t>
            </w:r>
          </w:p>
          <w:p w14:paraId="678A2E96" w14:textId="77777777" w:rsidR="00284DA2" w:rsidRPr="00284DA2" w:rsidRDefault="00284DA2" w:rsidP="00AA2143">
            <w:pPr>
              <w:keepNext/>
              <w:rPr>
                <w:kern w:val="24"/>
                <w:sz w:val="20"/>
                <w:szCs w:val="20"/>
                <w:lang w:val="fr-FR"/>
              </w:rPr>
            </w:pPr>
            <w:r>
              <w:rPr>
                <w:kern w:val="24"/>
                <w:sz w:val="20"/>
                <w:szCs w:val="20"/>
                <w:lang w:val="fr"/>
              </w:rPr>
              <w:t>Rapport final – Première réunion du Comité exécutif en 2023 (92</w:t>
            </w:r>
            <w:r>
              <w:rPr>
                <w:kern w:val="24"/>
                <w:sz w:val="20"/>
                <w:szCs w:val="20"/>
                <w:vertAlign w:val="superscript"/>
                <w:lang w:val="fr"/>
              </w:rPr>
              <w:t>e</w:t>
            </w:r>
            <w:r>
              <w:rPr>
                <w:kern w:val="24"/>
                <w:sz w:val="20"/>
                <w:szCs w:val="20"/>
                <w:lang w:val="fr"/>
              </w:rPr>
              <w:t>)</w:t>
            </w:r>
          </w:p>
        </w:tc>
        <w:tc>
          <w:tcPr>
            <w:tcW w:w="1752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2A156C" w14:textId="77777777" w:rsidR="00284DA2" w:rsidRPr="002F0626" w:rsidRDefault="00284DA2" w:rsidP="00AA2143">
            <w:pPr>
              <w:keepNext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  <w:lang w:val="fr"/>
              </w:rPr>
              <w:t xml:space="preserve">À faire </w:t>
            </w:r>
          </w:p>
        </w:tc>
      </w:tr>
      <w:bookmarkEnd w:id="3"/>
    </w:tbl>
    <w:p w14:paraId="05442408" w14:textId="77777777" w:rsidR="00284DA2" w:rsidRDefault="00284DA2">
      <w:pPr>
        <w:jc w:val="center"/>
        <w:rPr>
          <w:b/>
          <w:lang w:val="fr-FR"/>
        </w:rPr>
      </w:pPr>
    </w:p>
    <w:p w14:paraId="51B12EE2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9"/>
        <w:gridCol w:w="2849"/>
        <w:gridCol w:w="2849"/>
        <w:gridCol w:w="2849"/>
        <w:gridCol w:w="2851"/>
      </w:tblGrid>
      <w:tr w:rsidR="00441083" w:rsidRPr="00611EBB" w14:paraId="6EC7F325" w14:textId="77777777" w:rsidTr="00045A29">
        <w:trPr>
          <w:trHeight w:val="268"/>
        </w:trPr>
        <w:tc>
          <w:tcPr>
            <w:tcW w:w="2849" w:type="dxa"/>
          </w:tcPr>
          <w:p w14:paraId="15606E9E" w14:textId="77777777" w:rsidR="00441083" w:rsidRPr="00284DA2" w:rsidRDefault="00441083">
            <w:pPr>
              <w:rPr>
                <w:lang w:val="fr-FR"/>
              </w:rPr>
            </w:pPr>
          </w:p>
        </w:tc>
        <w:tc>
          <w:tcPr>
            <w:tcW w:w="2849" w:type="dxa"/>
          </w:tcPr>
          <w:p w14:paraId="2F80670F" w14:textId="77777777" w:rsidR="00441083" w:rsidRPr="00284DA2" w:rsidRDefault="00441083">
            <w:pPr>
              <w:rPr>
                <w:lang w:val="fr-FR"/>
              </w:rPr>
            </w:pP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14:paraId="6BFE851C" w14:textId="77777777" w:rsidR="00441083" w:rsidRPr="00284DA2" w:rsidRDefault="00441083">
            <w:pPr>
              <w:rPr>
                <w:b/>
                <w:bCs/>
                <w:lang w:val="fr-FR"/>
              </w:rPr>
            </w:pPr>
          </w:p>
        </w:tc>
        <w:tc>
          <w:tcPr>
            <w:tcW w:w="2849" w:type="dxa"/>
          </w:tcPr>
          <w:p w14:paraId="1E457B22" w14:textId="77777777" w:rsidR="00441083" w:rsidRPr="00284DA2" w:rsidRDefault="00441083">
            <w:pPr>
              <w:rPr>
                <w:lang w:val="fr-FR"/>
              </w:rPr>
            </w:pPr>
          </w:p>
        </w:tc>
        <w:tc>
          <w:tcPr>
            <w:tcW w:w="2851" w:type="dxa"/>
          </w:tcPr>
          <w:p w14:paraId="6A9199D8" w14:textId="77777777" w:rsidR="00441083" w:rsidRPr="00284DA2" w:rsidRDefault="00441083">
            <w:pPr>
              <w:rPr>
                <w:lang w:val="fr-FR"/>
              </w:rPr>
            </w:pPr>
          </w:p>
        </w:tc>
      </w:tr>
    </w:tbl>
    <w:p w14:paraId="07C7C011" w14:textId="77777777" w:rsidR="00441083" w:rsidRDefault="00441083">
      <w:pPr>
        <w:rPr>
          <w:lang w:val="fr-FR"/>
        </w:rPr>
      </w:pPr>
    </w:p>
    <w:sectPr w:rsidR="00441083" w:rsidSect="00284DA2">
      <w:headerReference w:type="even" r:id="rId15"/>
      <w:headerReference w:type="first" r:id="rId16"/>
      <w:footerReference w:type="first" r:id="rId17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3E167" w14:textId="77777777" w:rsidR="003A555C" w:rsidRDefault="003A555C">
      <w:r>
        <w:separator/>
      </w:r>
    </w:p>
  </w:endnote>
  <w:endnote w:type="continuationSeparator" w:id="0">
    <w:p w14:paraId="28C99B1D" w14:textId="77777777" w:rsidR="003A555C" w:rsidRDefault="003A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0704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  <w:p w14:paraId="08381ECB" w14:textId="77777777" w:rsidR="006A2CB7" w:rsidRDefault="006A2C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92B50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  <w:p w14:paraId="1C1D6A70" w14:textId="77777777" w:rsidR="006A2CB7" w:rsidRDefault="006A2CB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ED0E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79024F3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6FE669A6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CB11CC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76944D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0A71A" w14:textId="77777777" w:rsidR="003A555C" w:rsidRDefault="003A555C">
      <w:r>
        <w:separator/>
      </w:r>
    </w:p>
  </w:footnote>
  <w:footnote w:type="continuationSeparator" w:id="0">
    <w:p w14:paraId="513EF96B" w14:textId="77777777" w:rsidR="003A555C" w:rsidRDefault="003A555C">
      <w:r>
        <w:continuationSeparator/>
      </w:r>
    </w:p>
  </w:footnote>
  <w:footnote w:id="1">
    <w:p w14:paraId="1983AF77" w14:textId="77777777" w:rsidR="00B207A8" w:rsidRPr="00813CD0" w:rsidRDefault="00B207A8" w:rsidP="00B207A8">
      <w:pPr>
        <w:pStyle w:val="FootnoteText"/>
      </w:pPr>
      <w:r>
        <w:rPr>
          <w:rStyle w:val="FootnoteReference"/>
          <w:lang w:val="fr"/>
        </w:rPr>
        <w:footnoteRef/>
      </w:r>
      <w:r w:rsidRPr="00B207A8">
        <w:rPr>
          <w:lang w:val="en-US"/>
        </w:rPr>
        <w:t xml:space="preserve"> UNEP/</w:t>
      </w:r>
      <w:proofErr w:type="spellStart"/>
      <w:r w:rsidRPr="00B207A8">
        <w:rPr>
          <w:lang w:val="en-US"/>
        </w:rPr>
        <w:t>OzL.Pro</w:t>
      </w:r>
      <w:proofErr w:type="spellEnd"/>
      <w:r w:rsidRPr="00B207A8">
        <w:rPr>
          <w:lang w:val="en-US"/>
        </w:rPr>
        <w:t>/ExCom/91/1</w:t>
      </w:r>
    </w:p>
  </w:footnote>
  <w:footnote w:id="2">
    <w:p w14:paraId="32B5808C" w14:textId="77777777" w:rsidR="00284DA2" w:rsidRPr="00191770" w:rsidRDefault="00284DA2" w:rsidP="00284DA2">
      <w:pPr>
        <w:pStyle w:val="FootnoteText"/>
        <w:rPr>
          <w:color w:val="000000"/>
        </w:rPr>
      </w:pPr>
      <w:r>
        <w:rPr>
          <w:rStyle w:val="FootnoteReference"/>
          <w:lang w:val="fr"/>
        </w:rPr>
        <w:footnoteRef/>
      </w:r>
      <w:r w:rsidRPr="00284DA2">
        <w:rPr>
          <w:lang w:val="en-US"/>
        </w:rPr>
        <w:t xml:space="preserve"> </w:t>
      </w:r>
      <w:r w:rsidRPr="00284DA2">
        <w:rPr>
          <w:color w:val="000000"/>
          <w:lang w:val="en-US"/>
        </w:rPr>
        <w:t>UNEP/</w:t>
      </w:r>
      <w:proofErr w:type="spellStart"/>
      <w:r w:rsidRPr="00284DA2">
        <w:rPr>
          <w:color w:val="000000"/>
          <w:lang w:val="en-US"/>
        </w:rPr>
        <w:t>OzL.Pro</w:t>
      </w:r>
      <w:proofErr w:type="spellEnd"/>
      <w:r w:rsidRPr="00284DA2">
        <w:rPr>
          <w:color w:val="000000"/>
          <w:lang w:val="en-US"/>
        </w:rPr>
        <w:t>/ExCom/86/11/Corr.1</w:t>
      </w:r>
    </w:p>
  </w:footnote>
  <w:footnote w:id="3">
    <w:p w14:paraId="781148A2" w14:textId="7B256E3A" w:rsidR="00284DA2" w:rsidRDefault="00284DA2" w:rsidP="00284DA2">
      <w:pPr>
        <w:pStyle w:val="FootnoteText"/>
        <w:rPr>
          <w:color w:val="000000"/>
          <w:lang w:val="fr"/>
        </w:rPr>
      </w:pPr>
      <w:r>
        <w:rPr>
          <w:rStyle w:val="FootnoteReference"/>
          <w:lang w:val="fr"/>
        </w:rPr>
        <w:footnoteRef/>
      </w:r>
      <w:r>
        <w:rPr>
          <w:color w:val="000000"/>
          <w:lang w:val="fr"/>
        </w:rPr>
        <w:t xml:space="preserve"> Tableau 1 du document </w:t>
      </w:r>
      <w:bookmarkStart w:id="0" w:name="_Hlk116653628"/>
      <w:r>
        <w:rPr>
          <w:color w:val="000000"/>
          <w:lang w:val="fr"/>
        </w:rPr>
        <w:t>UNEP/</w:t>
      </w:r>
      <w:proofErr w:type="spellStart"/>
      <w:r>
        <w:rPr>
          <w:color w:val="000000"/>
          <w:lang w:val="fr"/>
        </w:rPr>
        <w:t>OzL.Pro</w:t>
      </w:r>
      <w:proofErr w:type="spellEnd"/>
      <w:r>
        <w:rPr>
          <w:color w:val="000000"/>
          <w:lang w:val="fr"/>
        </w:rPr>
        <w:t>/</w:t>
      </w:r>
      <w:proofErr w:type="spellStart"/>
      <w:r>
        <w:rPr>
          <w:color w:val="000000"/>
          <w:lang w:val="fr"/>
        </w:rPr>
        <w:t>ExCom</w:t>
      </w:r>
      <w:proofErr w:type="spellEnd"/>
      <w:r>
        <w:rPr>
          <w:color w:val="000000"/>
          <w:lang w:val="fr"/>
        </w:rPr>
        <w:t>/88/11/Rev.1</w:t>
      </w:r>
      <w:bookmarkEnd w:id="0"/>
    </w:p>
    <w:p w14:paraId="66028F5E" w14:textId="77777777" w:rsidR="00712F1C" w:rsidRPr="00284DA2" w:rsidRDefault="00712F1C" w:rsidP="00284DA2">
      <w:pPr>
        <w:pStyle w:val="FootnoteText"/>
        <w:rPr>
          <w:lang w:val="fr-FR"/>
        </w:rPr>
      </w:pPr>
    </w:p>
  </w:footnote>
  <w:footnote w:id="4">
    <w:p w14:paraId="4A1C5D85" w14:textId="77777777" w:rsidR="00284DA2" w:rsidRPr="00284DA2" w:rsidRDefault="00284DA2" w:rsidP="00284DA2">
      <w:pPr>
        <w:pStyle w:val="Heading1"/>
        <w:numPr>
          <w:ilvl w:val="0"/>
          <w:numId w:val="0"/>
        </w:numPr>
        <w:spacing w:after="0"/>
        <w:rPr>
          <w:sz w:val="20"/>
          <w:szCs w:val="20"/>
          <w:lang w:val="fr-FR"/>
        </w:rPr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</w:t>
      </w:r>
      <w:r>
        <w:rPr>
          <w:sz w:val="20"/>
          <w:szCs w:val="20"/>
          <w:lang w:val="fr"/>
        </w:rPr>
        <w:t>UNEP/</w:t>
      </w:r>
      <w:proofErr w:type="spellStart"/>
      <w:r>
        <w:rPr>
          <w:sz w:val="20"/>
          <w:szCs w:val="20"/>
          <w:lang w:val="fr"/>
        </w:rPr>
        <w:t>OzL.Pro</w:t>
      </w:r>
      <w:proofErr w:type="spellEnd"/>
      <w:r>
        <w:rPr>
          <w:sz w:val="20"/>
          <w:szCs w:val="20"/>
          <w:lang w:val="fr"/>
        </w:rPr>
        <w:t>/</w:t>
      </w:r>
      <w:proofErr w:type="spellStart"/>
      <w:r>
        <w:rPr>
          <w:sz w:val="20"/>
          <w:szCs w:val="20"/>
          <w:lang w:val="fr"/>
        </w:rPr>
        <w:t>ExCom</w:t>
      </w:r>
      <w:proofErr w:type="spellEnd"/>
      <w:r>
        <w:rPr>
          <w:sz w:val="20"/>
          <w:szCs w:val="20"/>
          <w:lang w:val="fr"/>
        </w:rPr>
        <w:t>/91/11</w:t>
      </w:r>
    </w:p>
  </w:footnote>
  <w:footnote w:id="5">
    <w:p w14:paraId="3D3C9C18" w14:textId="77777777" w:rsidR="00284DA2" w:rsidRPr="00284DA2" w:rsidRDefault="00284DA2" w:rsidP="00284DA2">
      <w:pPr>
        <w:pStyle w:val="FootnoteText"/>
        <w:rPr>
          <w:lang w:val="fr-FR"/>
        </w:rPr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Le solde non utilisé actuel s’élève à 53 459 $US. Les montants financiers finaux seront disponibles à la clôture de l’année fiscale 2022. </w:t>
      </w:r>
    </w:p>
  </w:footnote>
  <w:footnote w:id="6">
    <w:p w14:paraId="536A9F51" w14:textId="77777777" w:rsidR="00A546EC" w:rsidRPr="005839F1" w:rsidRDefault="00A546EC" w:rsidP="00A546EC">
      <w:pPr>
        <w:pStyle w:val="Heading1"/>
        <w:numPr>
          <w:ilvl w:val="0"/>
          <w:numId w:val="0"/>
        </w:numPr>
        <w:spacing w:after="0"/>
        <w:rPr>
          <w:sz w:val="20"/>
          <w:szCs w:val="20"/>
        </w:rPr>
      </w:pPr>
      <w:r w:rsidRPr="005839F1">
        <w:rPr>
          <w:rStyle w:val="FootnoteReference"/>
          <w:sz w:val="20"/>
          <w:szCs w:val="20"/>
        </w:rPr>
        <w:footnoteRef/>
      </w:r>
      <w:r w:rsidRPr="005839F1">
        <w:rPr>
          <w:sz w:val="20"/>
          <w:szCs w:val="20"/>
        </w:rPr>
        <w:t xml:space="preserve"> UNEP/</w:t>
      </w:r>
      <w:proofErr w:type="spellStart"/>
      <w:r w:rsidRPr="005839F1">
        <w:rPr>
          <w:sz w:val="20"/>
          <w:szCs w:val="20"/>
        </w:rPr>
        <w:t>OzL.Pro</w:t>
      </w:r>
      <w:proofErr w:type="spellEnd"/>
      <w:r w:rsidRPr="005839F1">
        <w:rPr>
          <w:sz w:val="20"/>
          <w:szCs w:val="20"/>
        </w:rPr>
        <w:t>/ExCom/91/11</w:t>
      </w:r>
    </w:p>
    <w:p w14:paraId="3C6ECB34" w14:textId="77777777" w:rsidR="00A546EC" w:rsidRPr="00840027" w:rsidRDefault="00A546EC" w:rsidP="00A546EC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6920F" w14:textId="763BFFB4" w:rsidR="00441083" w:rsidRDefault="004D7878">
    <w:r>
      <w:fldChar w:fldCharType="begin"/>
    </w:r>
    <w:r>
      <w:instrText xml:space="preserve"> DOCPROPERTY "Document number"  \* MERGEFORMAT </w:instrText>
    </w:r>
    <w:r>
      <w:fldChar w:fldCharType="separate"/>
    </w:r>
    <w:r w:rsidR="00601256">
      <w:t>UNEP/</w:t>
    </w:r>
    <w:proofErr w:type="spellStart"/>
    <w:r w:rsidR="00601256">
      <w:t>OzL.Pro</w:t>
    </w:r>
    <w:proofErr w:type="spellEnd"/>
    <w:r w:rsidR="00601256">
      <w:t>/ExCom/91/10</w:t>
    </w:r>
    <w:r>
      <w:fldChar w:fldCharType="end"/>
    </w:r>
  </w:p>
  <w:p w14:paraId="629E19D8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C5C1" w14:textId="77777777" w:rsidR="00441083" w:rsidRDefault="004D78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84DA2">
      <w:t>UNEP/</w:t>
    </w:r>
    <w:proofErr w:type="spellStart"/>
    <w:r w:rsidR="00284DA2">
      <w:t>OzL.Pro</w:t>
    </w:r>
    <w:proofErr w:type="spellEnd"/>
    <w:r w:rsidR="00284DA2">
      <w:t>/ExCom/91/1</w:t>
    </w:r>
    <w:r>
      <w:fldChar w:fldCharType="end"/>
    </w:r>
  </w:p>
  <w:p w14:paraId="3D44427F" w14:textId="77777777" w:rsidR="00441083" w:rsidRDefault="00441083"/>
  <w:p w14:paraId="7EB7E39D" w14:textId="77777777" w:rsidR="00441083" w:rsidRDefault="00441083">
    <w:pPr>
      <w:pStyle w:val="Header"/>
    </w:pPr>
  </w:p>
  <w:p w14:paraId="385B1108" w14:textId="77777777" w:rsidR="006A2CB7" w:rsidRDefault="006A2CB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D803" w14:textId="5A5382B7" w:rsidR="00601256" w:rsidRDefault="00601256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/ExCom/91/10</w:t>
    </w:r>
    <w:r>
      <w:fldChar w:fldCharType="end"/>
    </w:r>
  </w:p>
  <w:p w14:paraId="077CD066" w14:textId="023C273A" w:rsidR="00601256" w:rsidRDefault="00601256" w:rsidP="00045A29">
    <w:pPr>
      <w:widowControl w:val="0"/>
    </w:pPr>
    <w:r>
      <w:t>Annexe 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8CCA" w14:textId="1D8142E0" w:rsidR="00441083" w:rsidRDefault="004D78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01256">
      <w:t>UNEP/</w:t>
    </w:r>
    <w:proofErr w:type="spellStart"/>
    <w:r w:rsidR="00601256">
      <w:t>OzL.Pro</w:t>
    </w:r>
    <w:proofErr w:type="spellEnd"/>
    <w:r w:rsidR="00601256">
      <w:t>/ExCom/91/10</w:t>
    </w:r>
    <w:r>
      <w:fldChar w:fldCharType="end"/>
    </w:r>
  </w:p>
  <w:p w14:paraId="0C30C781" w14:textId="58B997F0" w:rsidR="00441083" w:rsidRDefault="00B55AA4" w:rsidP="00611EBB">
    <w:pPr>
      <w:jc w:val="right"/>
    </w:pPr>
    <w:r>
      <w:t>Annexe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A2"/>
    <w:rsid w:val="00045A29"/>
    <w:rsid w:val="0005110A"/>
    <w:rsid w:val="000F6C8E"/>
    <w:rsid w:val="00122014"/>
    <w:rsid w:val="00177D11"/>
    <w:rsid w:val="001C3D0C"/>
    <w:rsid w:val="001D4CE7"/>
    <w:rsid w:val="00265AF0"/>
    <w:rsid w:val="00284DA2"/>
    <w:rsid w:val="002C06D4"/>
    <w:rsid w:val="002F0B57"/>
    <w:rsid w:val="003029F8"/>
    <w:rsid w:val="00330010"/>
    <w:rsid w:val="00372651"/>
    <w:rsid w:val="003A0CA4"/>
    <w:rsid w:val="003A555C"/>
    <w:rsid w:val="00403EDF"/>
    <w:rsid w:val="00441083"/>
    <w:rsid w:val="00444619"/>
    <w:rsid w:val="004B1B59"/>
    <w:rsid w:val="004C2C87"/>
    <w:rsid w:val="004D7878"/>
    <w:rsid w:val="004E3A36"/>
    <w:rsid w:val="005B3CAD"/>
    <w:rsid w:val="005C278F"/>
    <w:rsid w:val="005C751A"/>
    <w:rsid w:val="00601256"/>
    <w:rsid w:val="00605093"/>
    <w:rsid w:val="00611EBB"/>
    <w:rsid w:val="006A2CB7"/>
    <w:rsid w:val="007034FA"/>
    <w:rsid w:val="00712F1C"/>
    <w:rsid w:val="0075750B"/>
    <w:rsid w:val="00775FBB"/>
    <w:rsid w:val="007D26BF"/>
    <w:rsid w:val="007E435A"/>
    <w:rsid w:val="00843511"/>
    <w:rsid w:val="00847BDB"/>
    <w:rsid w:val="0091161A"/>
    <w:rsid w:val="00972E99"/>
    <w:rsid w:val="009A5180"/>
    <w:rsid w:val="009F6617"/>
    <w:rsid w:val="009F709E"/>
    <w:rsid w:val="00A546EC"/>
    <w:rsid w:val="00A97E14"/>
    <w:rsid w:val="00AC013C"/>
    <w:rsid w:val="00AE63D8"/>
    <w:rsid w:val="00B207A8"/>
    <w:rsid w:val="00B55AA4"/>
    <w:rsid w:val="00B811F2"/>
    <w:rsid w:val="00BC3C7D"/>
    <w:rsid w:val="00C15B84"/>
    <w:rsid w:val="00C16E3F"/>
    <w:rsid w:val="00C34C3E"/>
    <w:rsid w:val="00C6443E"/>
    <w:rsid w:val="00C9547D"/>
    <w:rsid w:val="00CC2B33"/>
    <w:rsid w:val="00D436B5"/>
    <w:rsid w:val="00D7654A"/>
    <w:rsid w:val="00DB4E64"/>
    <w:rsid w:val="00DD3433"/>
    <w:rsid w:val="00E348C6"/>
    <w:rsid w:val="00E54871"/>
    <w:rsid w:val="00E60D9C"/>
    <w:rsid w:val="00E66DC1"/>
    <w:rsid w:val="00EB2067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9CC935"/>
  <w15:docId w15:val="{05D9E31E-8BCC-4C5E-A2D7-D711A783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 Char1, 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 Char1 Char, Char1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qFormat/>
    <w:rsid w:val="002C06D4"/>
    <w:rPr>
      <w:vertAlign w:val="superscript"/>
    </w:rPr>
  </w:style>
  <w:style w:type="paragraph" w:customStyle="1" w:styleId="StyleBold">
    <w:name w:val="Style Bold"/>
    <w:basedOn w:val="Normal"/>
    <w:link w:val="StyleBoldChar"/>
    <w:qFormat/>
    <w:rsid w:val="00284DA2"/>
    <w:pPr>
      <w:spacing w:after="240"/>
    </w:pPr>
    <w:rPr>
      <w:b/>
      <w:bCs/>
      <w:szCs w:val="20"/>
      <w:lang w:val="en-CA"/>
    </w:rPr>
  </w:style>
  <w:style w:type="character" w:customStyle="1" w:styleId="StyleBoldChar">
    <w:name w:val="Style Bold Char"/>
    <w:basedOn w:val="DefaultParagraphFont"/>
    <w:link w:val="StyleBold"/>
    <w:rsid w:val="00284DA2"/>
    <w:rPr>
      <w:b/>
      <w:bCs/>
      <w:sz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4A312CACD504BB7BF40E294AF40D3" ma:contentTypeVersion="5" ma:contentTypeDescription="Create a new document." ma:contentTypeScope="" ma:versionID="4cad3354fbb25eac1353aa7aa2ae5eb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UNEP/OzL.Pro/ExCom/91/10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F6AB18D1-5C4A-4E62-8162-FC0666BA2177}"/>
</file>

<file path=customXml/itemProps3.xml><?xml version="1.0" encoding="utf-8"?>
<ds:datastoreItem xmlns:ds="http://schemas.openxmlformats.org/officeDocument/2006/customXml" ds:itemID="{7AB391ED-BB5E-41A3-9C26-E9ED7A3E67AC}"/>
</file>

<file path=customXml/itemProps4.xml><?xml version="1.0" encoding="utf-8"?>
<ds:datastoreItem xmlns:ds="http://schemas.openxmlformats.org/officeDocument/2006/customXml" ds:itemID="{03769F7E-5543-41A3-81EE-DD7FA0AD65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1121</Words>
  <Characters>6826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Mise à jour sur l’état de la deuxième phase de l’évaluation des réseaux régionaux des administrateurs des bureaux nationaux de l’ozone</vt:lpstr>
      <vt:lpstr/>
    </vt:vector>
  </TitlesOfParts>
  <Company>UNMFS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sur l’état de la deuxième phase de l’évaluation des réseaux régionaux des administrateurs des bureaux nationaux de l’ozone</dc:title>
  <dc:creator>Maïlys Lejosne</dc:creator>
  <cp:lastModifiedBy>HBE</cp:lastModifiedBy>
  <cp:revision>4</cp:revision>
  <cp:lastPrinted>2001-05-26T16:40:00Z</cp:lastPrinted>
  <dcterms:created xsi:type="dcterms:W3CDTF">2022-11-15T06:46:00Z</dcterms:created>
  <dcterms:modified xsi:type="dcterms:W3CDTF">2022-11-21T18:07:00Z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UNEP/OzL.Pro/ExCom/91/10</vt:lpwstr>
  </property>
  <property fmtid="{D5CDD505-2E9C-101B-9397-08002B2CF9AE}" pid="3" name="Revision date">
    <vt:lpwstr>11/10/2022</vt:lpwstr>
  </property>
  <property fmtid="{D5CDD505-2E9C-101B-9397-08002B2CF9AE}" pid="4" name="ContentTypeId">
    <vt:lpwstr>0x010100BF94A312CACD504BB7BF40E294AF40D3</vt:lpwstr>
  </property>
</Properties>
</file>