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C109F2" w14:paraId="74594428" w14:textId="77777777" w:rsidTr="00BF6D9E">
        <w:trPr>
          <w:trHeight w:val="720"/>
        </w:trPr>
        <w:tc>
          <w:tcPr>
            <w:tcW w:w="6494" w:type="dxa"/>
            <w:gridSpan w:val="2"/>
            <w:tcBorders>
              <w:bottom w:val="single" w:sz="18" w:space="0" w:color="auto"/>
            </w:tcBorders>
          </w:tcPr>
          <w:p w14:paraId="0410533B" w14:textId="77777777" w:rsidR="006A24A7" w:rsidRPr="007E2466" w:rsidRDefault="006A24A7" w:rsidP="00BC5C2A">
            <w:pPr>
              <w:rPr>
                <w:rFonts w:ascii="Univers" w:hAnsi="Univers" w:cstheme="majorBidi"/>
                <w:b/>
                <w:sz w:val="28"/>
                <w:szCs w:val="28"/>
                <w:lang w:val="es-ES_tradnl"/>
              </w:rPr>
            </w:pPr>
            <w:r w:rsidRPr="007E2466">
              <w:rPr>
                <w:rFonts w:ascii="Univers" w:hAnsi="Univers" w:cstheme="majorBidi"/>
                <w:b/>
                <w:sz w:val="28"/>
                <w:szCs w:val="28"/>
                <w:lang w:val="es-ES_tradnl"/>
              </w:rPr>
              <w:t>NACIONES</w:t>
            </w:r>
          </w:p>
          <w:p w14:paraId="0155AD91" w14:textId="77777777" w:rsidR="006A24A7" w:rsidRPr="00C109F2" w:rsidRDefault="006A24A7" w:rsidP="00BC5C2A">
            <w:pPr>
              <w:rPr>
                <w:rFonts w:asciiTheme="majorBidi" w:hAnsiTheme="majorBidi" w:cstheme="majorBidi"/>
                <w:b/>
                <w:sz w:val="28"/>
                <w:szCs w:val="28"/>
                <w:lang w:val="es-ES_tradnl"/>
              </w:rPr>
            </w:pPr>
            <w:r w:rsidRPr="007E2466">
              <w:rPr>
                <w:rFonts w:ascii="Univers" w:hAnsi="Univers" w:cstheme="majorBidi"/>
                <w:b/>
                <w:sz w:val="28"/>
                <w:szCs w:val="28"/>
                <w:lang w:val="es-ES_tradnl"/>
              </w:rPr>
              <w:t>UNIDAS</w:t>
            </w:r>
          </w:p>
        </w:tc>
        <w:tc>
          <w:tcPr>
            <w:tcW w:w="3586" w:type="dxa"/>
            <w:tcBorders>
              <w:bottom w:val="single" w:sz="18" w:space="0" w:color="auto"/>
            </w:tcBorders>
          </w:tcPr>
          <w:p w14:paraId="4EF050D1" w14:textId="5ACC2451" w:rsidR="006A24A7" w:rsidRPr="001E0D91" w:rsidRDefault="007E2466" w:rsidP="00BC5C2A">
            <w:pPr>
              <w:rPr>
                <w:rFonts w:ascii="Arial" w:hAnsi="Arial" w:cs="Arial"/>
                <w:b/>
                <w:sz w:val="52"/>
                <w:szCs w:val="52"/>
                <w:lang w:val="es-ES_tradnl"/>
              </w:rPr>
            </w:pPr>
            <w:r>
              <w:rPr>
                <w:rFonts w:asciiTheme="majorBidi" w:hAnsiTheme="majorBidi" w:cstheme="majorBidi"/>
                <w:b/>
                <w:sz w:val="72"/>
                <w:lang w:val="es-ES_tradnl"/>
              </w:rPr>
              <w:t xml:space="preserve">             </w:t>
            </w:r>
            <w:r w:rsidR="006A24A7" w:rsidRPr="001E0D91">
              <w:rPr>
                <w:rFonts w:ascii="Arial" w:hAnsi="Arial" w:cs="Arial"/>
                <w:b/>
                <w:sz w:val="72"/>
                <w:lang w:val="es-ES_tradnl"/>
              </w:rPr>
              <w:t>EP</w:t>
            </w:r>
          </w:p>
        </w:tc>
      </w:tr>
      <w:tr w:rsidR="006A24A7" w:rsidRPr="005055EB" w14:paraId="609B3CC8"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1F989CDB" w14:textId="77777777" w:rsidR="006A24A7" w:rsidRPr="00C109F2" w:rsidRDefault="00724E7A" w:rsidP="00BC5C2A">
            <w:pPr>
              <w:spacing w:before="120"/>
              <w:rPr>
                <w:rFonts w:asciiTheme="majorBidi" w:hAnsiTheme="majorBidi" w:cstheme="majorBidi"/>
                <w:lang w:val="es-ES_tradnl"/>
              </w:rPr>
            </w:pPr>
            <w:r w:rsidRPr="00C109F2">
              <w:rPr>
                <w:rFonts w:asciiTheme="majorBidi" w:hAnsiTheme="majorBidi" w:cstheme="majorBidi"/>
                <w:noProof/>
                <w:lang w:val="es-ES_tradnl" w:eastAsia="en-CA"/>
              </w:rPr>
              <w:drawing>
                <wp:anchor distT="0" distB="0" distL="114300" distR="114300" simplePos="0" relativeHeight="251659264" behindDoc="0" locked="0" layoutInCell="1" allowOverlap="1" wp14:anchorId="05487926" wp14:editId="485C5051">
                  <wp:simplePos x="0" y="0"/>
                  <wp:positionH relativeFrom="column">
                    <wp:posOffset>74295</wp:posOffset>
                  </wp:positionH>
                  <wp:positionV relativeFrom="paragraph">
                    <wp:posOffset>855345</wp:posOffset>
                  </wp:positionV>
                  <wp:extent cx="76200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2000" cy="704850"/>
                          </a:xfrm>
                          <a:prstGeom prst="rect">
                            <a:avLst/>
                          </a:prstGeom>
                          <a:noFill/>
                        </pic:spPr>
                      </pic:pic>
                    </a:graphicData>
                  </a:graphic>
                  <wp14:sizeRelH relativeFrom="margin">
                    <wp14:pctWidth>0</wp14:pctWidth>
                  </wp14:sizeRelH>
                </wp:anchor>
              </w:drawing>
            </w:r>
            <w:r w:rsidRPr="00C109F2">
              <w:rPr>
                <w:rFonts w:asciiTheme="majorBidi" w:hAnsiTheme="majorBidi" w:cstheme="majorBidi"/>
                <w:noProof/>
                <w:lang w:val="es-ES_tradnl" w:eastAsia="en-CA"/>
              </w:rPr>
              <w:drawing>
                <wp:anchor distT="0" distB="0" distL="114300" distR="114300" simplePos="0" relativeHeight="251660288" behindDoc="1" locked="0" layoutInCell="0" allowOverlap="1" wp14:anchorId="1881FF08" wp14:editId="4E2193F2">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3CC64DCF" w14:textId="77777777" w:rsidR="006A24A7" w:rsidRPr="00C109F2" w:rsidRDefault="006A24A7" w:rsidP="00BC5C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Theme="majorBidi" w:hAnsiTheme="majorBidi" w:cstheme="majorBidi"/>
                <w:b/>
                <w:sz w:val="32"/>
                <w:lang w:val="es-ES_tradnl"/>
              </w:rPr>
            </w:pPr>
          </w:p>
          <w:p w14:paraId="1EA3C648" w14:textId="77777777" w:rsidR="006A24A7" w:rsidRPr="007E2466" w:rsidRDefault="006A24A7" w:rsidP="00BC5C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cstheme="majorBidi"/>
                <w:b/>
                <w:sz w:val="32"/>
                <w:lang w:val="es-ES_tradnl"/>
              </w:rPr>
            </w:pPr>
            <w:r w:rsidRPr="007E2466">
              <w:rPr>
                <w:rFonts w:ascii="Univers" w:hAnsi="Univers" w:cstheme="majorBidi"/>
                <w:b/>
                <w:sz w:val="32"/>
                <w:lang w:val="es-ES_tradnl"/>
              </w:rPr>
              <w:t>Programa de las</w:t>
            </w:r>
          </w:p>
          <w:p w14:paraId="0BFA87F5" w14:textId="77777777" w:rsidR="006A24A7" w:rsidRPr="007E2466" w:rsidRDefault="006A24A7" w:rsidP="00BC5C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cstheme="majorBidi"/>
                <w:b/>
                <w:sz w:val="32"/>
                <w:lang w:val="es-ES_tradnl"/>
              </w:rPr>
            </w:pPr>
            <w:r w:rsidRPr="007E2466">
              <w:rPr>
                <w:rFonts w:ascii="Univers" w:hAnsi="Univers" w:cstheme="majorBidi"/>
                <w:b/>
                <w:sz w:val="32"/>
                <w:lang w:val="es-ES_tradnl"/>
              </w:rPr>
              <w:t>Naciones Unidas</w:t>
            </w:r>
          </w:p>
          <w:p w14:paraId="253E86A4" w14:textId="77777777" w:rsidR="006A24A7" w:rsidRPr="007E2466" w:rsidRDefault="006A24A7" w:rsidP="00BC5C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cstheme="majorBidi"/>
                <w:b/>
                <w:sz w:val="32"/>
                <w:lang w:val="es-ES_tradnl"/>
              </w:rPr>
            </w:pPr>
            <w:r w:rsidRPr="007E2466">
              <w:rPr>
                <w:rFonts w:ascii="Univers" w:hAnsi="Univers" w:cstheme="majorBidi"/>
                <w:b/>
                <w:sz w:val="32"/>
                <w:lang w:val="es-ES_tradnl"/>
              </w:rPr>
              <w:t>para el Medio Ambiente</w:t>
            </w:r>
          </w:p>
          <w:p w14:paraId="6AC003BD" w14:textId="77777777" w:rsidR="006A24A7" w:rsidRPr="00C109F2" w:rsidRDefault="006A24A7" w:rsidP="00BC5C2A">
            <w:pPr>
              <w:spacing w:before="720"/>
              <w:rPr>
                <w:rFonts w:asciiTheme="majorBidi" w:hAnsiTheme="majorBidi" w:cstheme="majorBidi"/>
                <w:lang w:val="es-ES_tradnl"/>
              </w:rPr>
            </w:pPr>
          </w:p>
        </w:tc>
        <w:tc>
          <w:tcPr>
            <w:tcW w:w="3586" w:type="dxa"/>
            <w:tcBorders>
              <w:top w:val="nil"/>
              <w:left w:val="nil"/>
              <w:bottom w:val="single" w:sz="36" w:space="0" w:color="auto"/>
              <w:right w:val="nil"/>
            </w:tcBorders>
          </w:tcPr>
          <w:p w14:paraId="635C5268" w14:textId="77777777" w:rsidR="006A24A7" w:rsidRPr="00C109F2" w:rsidRDefault="006A24A7" w:rsidP="00BC5C2A">
            <w:pPr>
              <w:rPr>
                <w:rFonts w:asciiTheme="majorBidi" w:hAnsiTheme="majorBidi" w:cstheme="majorBidi"/>
                <w:lang w:val="es-ES_tradnl"/>
              </w:rPr>
            </w:pPr>
          </w:p>
          <w:p w14:paraId="67D25D6F" w14:textId="77777777" w:rsidR="006A24A7" w:rsidRPr="00C109F2" w:rsidRDefault="006A24A7" w:rsidP="00BC5C2A">
            <w:pPr>
              <w:rPr>
                <w:rFonts w:asciiTheme="majorBidi" w:hAnsiTheme="majorBidi" w:cstheme="majorBidi"/>
                <w:lang w:val="es-ES_tradnl"/>
              </w:rPr>
            </w:pPr>
            <w:r w:rsidRPr="00C109F2">
              <w:rPr>
                <w:rFonts w:asciiTheme="majorBidi" w:hAnsiTheme="majorBidi" w:cstheme="majorBidi"/>
                <w:lang w:val="es-ES_tradnl"/>
              </w:rPr>
              <w:t>Distr.</w:t>
            </w:r>
          </w:p>
          <w:p w14:paraId="0C575C9F" w14:textId="77777777" w:rsidR="006A24A7" w:rsidRPr="00C109F2" w:rsidRDefault="006A24A7" w:rsidP="00BC5C2A">
            <w:pPr>
              <w:rPr>
                <w:rFonts w:asciiTheme="majorBidi" w:hAnsiTheme="majorBidi" w:cstheme="majorBidi"/>
                <w:lang w:val="es-ES_tradnl"/>
              </w:rPr>
            </w:pPr>
            <w:r w:rsidRPr="00C109F2">
              <w:rPr>
                <w:rFonts w:asciiTheme="majorBidi" w:hAnsiTheme="majorBidi" w:cstheme="majorBidi"/>
                <w:lang w:val="es-ES_tradnl"/>
              </w:rPr>
              <w:t>GENERAL</w:t>
            </w:r>
          </w:p>
          <w:p w14:paraId="0E88E574" w14:textId="77777777" w:rsidR="006A24A7" w:rsidRPr="00C109F2" w:rsidRDefault="006A24A7" w:rsidP="00BC5C2A">
            <w:pPr>
              <w:rPr>
                <w:rFonts w:asciiTheme="majorBidi" w:hAnsiTheme="majorBidi" w:cstheme="majorBidi"/>
                <w:lang w:val="es-ES_tradnl"/>
              </w:rPr>
            </w:pPr>
          </w:p>
          <w:p w14:paraId="34D754A1" w14:textId="4AFA055A" w:rsidR="006A24A7" w:rsidRPr="00C109F2" w:rsidRDefault="006A24A7" w:rsidP="00BC5C2A">
            <w:pPr>
              <w:rPr>
                <w:rFonts w:asciiTheme="majorBidi" w:hAnsiTheme="majorBidi" w:cstheme="majorBidi"/>
                <w:lang w:val="es-ES_tradnl"/>
              </w:rPr>
            </w:pPr>
            <w:r w:rsidRPr="00C109F2">
              <w:rPr>
                <w:rFonts w:asciiTheme="majorBidi" w:hAnsiTheme="majorBidi" w:cstheme="majorBidi"/>
                <w:lang w:val="es-ES_tradnl"/>
              </w:rPr>
              <w:fldChar w:fldCharType="begin"/>
            </w:r>
            <w:r w:rsidRPr="00C109F2">
              <w:rPr>
                <w:rFonts w:asciiTheme="majorBidi" w:hAnsiTheme="majorBidi" w:cstheme="majorBidi"/>
                <w:lang w:val="es-ES_tradnl"/>
              </w:rPr>
              <w:instrText xml:space="preserve"> DOCPROPERTY "Document number"  \* MERGEFORMAT </w:instrText>
            </w:r>
            <w:r w:rsidRPr="00C109F2">
              <w:rPr>
                <w:rFonts w:asciiTheme="majorBidi" w:hAnsiTheme="majorBidi" w:cstheme="majorBidi"/>
                <w:lang w:val="es-ES_tradnl"/>
              </w:rPr>
              <w:fldChar w:fldCharType="separate"/>
            </w:r>
            <w:r w:rsidR="001156A2">
              <w:rPr>
                <w:rFonts w:asciiTheme="majorBidi" w:hAnsiTheme="majorBidi" w:cstheme="majorBidi"/>
                <w:lang w:val="es-ES_tradnl"/>
              </w:rPr>
              <w:t>UNEP/OzL.Pro/ExCom/96/64</w:t>
            </w:r>
            <w:r w:rsidRPr="00C109F2">
              <w:rPr>
                <w:rFonts w:asciiTheme="majorBidi" w:hAnsiTheme="majorBidi" w:cstheme="majorBidi"/>
                <w:lang w:val="es-ES_tradnl"/>
              </w:rPr>
              <w:fldChar w:fldCharType="end"/>
            </w:r>
          </w:p>
          <w:p w14:paraId="43D674E3" w14:textId="203A0371" w:rsidR="006A24A7" w:rsidRPr="00C109F2" w:rsidRDefault="009F3095" w:rsidP="00BC5C2A">
            <w:pPr>
              <w:rPr>
                <w:rFonts w:asciiTheme="majorBidi" w:hAnsiTheme="majorBidi" w:cstheme="majorBidi"/>
                <w:lang w:val="es-ES_tradnl"/>
              </w:rPr>
            </w:pPr>
            <w:r w:rsidRPr="00C109F2">
              <w:rPr>
                <w:rFonts w:asciiTheme="majorBidi" w:hAnsiTheme="majorBidi" w:cstheme="majorBidi"/>
                <w:lang w:val="es-ES_tradnl"/>
              </w:rPr>
              <w:t xml:space="preserve">28 de abril de </w:t>
            </w:r>
            <w:r w:rsidR="00BF6D9E" w:rsidRPr="00C109F2">
              <w:rPr>
                <w:rFonts w:asciiTheme="majorBidi" w:hAnsiTheme="majorBidi" w:cstheme="majorBidi"/>
                <w:lang w:val="es-ES_tradnl"/>
              </w:rPr>
              <w:t>2025</w:t>
            </w:r>
          </w:p>
          <w:p w14:paraId="154EFE7C" w14:textId="77777777" w:rsidR="00BF6D9E" w:rsidRPr="00C109F2" w:rsidRDefault="00BF6D9E" w:rsidP="00BC5C2A">
            <w:pPr>
              <w:rPr>
                <w:rFonts w:asciiTheme="majorBidi" w:hAnsiTheme="majorBidi" w:cstheme="majorBidi"/>
                <w:caps/>
                <w:lang w:val="es-ES_tradnl"/>
              </w:rPr>
            </w:pPr>
          </w:p>
          <w:p w14:paraId="1285A29B" w14:textId="77777777" w:rsidR="006A24A7" w:rsidRPr="00C109F2" w:rsidRDefault="006A24A7" w:rsidP="00BC5C2A">
            <w:pPr>
              <w:rPr>
                <w:rFonts w:asciiTheme="majorBidi" w:hAnsiTheme="majorBidi" w:cstheme="majorBidi"/>
                <w:lang w:val="es-ES_tradnl"/>
              </w:rPr>
            </w:pPr>
            <w:r w:rsidRPr="00C109F2">
              <w:rPr>
                <w:rFonts w:asciiTheme="majorBidi" w:hAnsiTheme="majorBidi" w:cstheme="majorBidi"/>
                <w:lang w:val="es-ES_tradnl"/>
              </w:rPr>
              <w:t xml:space="preserve">ESPAÑOL </w:t>
            </w:r>
          </w:p>
          <w:p w14:paraId="2BBBD9B2" w14:textId="77777777" w:rsidR="006A24A7" w:rsidRPr="00C109F2" w:rsidRDefault="006A24A7" w:rsidP="00BC5C2A">
            <w:pPr>
              <w:rPr>
                <w:rFonts w:asciiTheme="majorBidi" w:hAnsiTheme="majorBidi" w:cstheme="majorBidi"/>
                <w:lang w:val="es-ES_tradnl"/>
              </w:rPr>
            </w:pPr>
            <w:r w:rsidRPr="00C109F2">
              <w:rPr>
                <w:rFonts w:asciiTheme="majorBidi" w:hAnsiTheme="majorBidi" w:cstheme="majorBidi"/>
                <w:lang w:val="es-ES_tradnl"/>
              </w:rPr>
              <w:t>ORIGINAL: INGLÉS</w:t>
            </w:r>
          </w:p>
        </w:tc>
      </w:tr>
    </w:tbl>
    <w:p w14:paraId="3E77AA8F" w14:textId="77777777" w:rsidR="006A24A7" w:rsidRPr="00C109F2" w:rsidRDefault="006A24A7" w:rsidP="00997397">
      <w:pPr>
        <w:jc w:val="left"/>
        <w:rPr>
          <w:rFonts w:asciiTheme="majorBidi" w:hAnsiTheme="majorBidi" w:cstheme="majorBidi"/>
          <w:lang w:val="es-ES_tradnl"/>
        </w:rPr>
      </w:pPr>
      <w:r w:rsidRPr="00C109F2">
        <w:rPr>
          <w:rFonts w:asciiTheme="majorBidi" w:hAnsiTheme="majorBidi" w:cstheme="majorBidi"/>
          <w:lang w:val="es-ES_tradnl"/>
        </w:rPr>
        <w:t>COMITÉ EJECUTIVO DEL FONDO MULTILATERAL</w:t>
      </w:r>
      <w:r w:rsidRPr="00C109F2">
        <w:rPr>
          <w:rFonts w:asciiTheme="majorBidi" w:hAnsiTheme="majorBidi" w:cstheme="majorBidi"/>
          <w:lang w:val="es-ES_tradnl"/>
        </w:rPr>
        <w:br/>
        <w:t xml:space="preserve"> PARA LA APLICACIÓN DEL</w:t>
      </w:r>
      <w:r w:rsidRPr="00C109F2">
        <w:rPr>
          <w:rFonts w:asciiTheme="majorBidi" w:hAnsiTheme="majorBidi" w:cstheme="majorBidi"/>
          <w:lang w:val="es-ES_tradnl"/>
        </w:rPr>
        <w:br/>
        <w:t xml:space="preserve"> PROTOCOLO DE MONTREAL</w:t>
      </w:r>
      <w:r w:rsidRPr="00C109F2">
        <w:rPr>
          <w:rFonts w:asciiTheme="majorBidi" w:hAnsiTheme="majorBidi" w:cstheme="majorBidi"/>
          <w:lang w:val="es-ES_tradnl"/>
        </w:rPr>
        <w:br/>
        <w:t>Nonagésim</w:t>
      </w:r>
      <w:r w:rsidR="00BF0D67" w:rsidRPr="00C109F2">
        <w:rPr>
          <w:rFonts w:asciiTheme="majorBidi" w:hAnsiTheme="majorBidi" w:cstheme="majorBidi"/>
          <w:lang w:val="es-ES_tradnl"/>
        </w:rPr>
        <w:t>a</w:t>
      </w:r>
      <w:r w:rsidRPr="00C109F2">
        <w:rPr>
          <w:rFonts w:asciiTheme="majorBidi" w:hAnsiTheme="majorBidi" w:cstheme="majorBidi"/>
          <w:lang w:val="es-ES_tradnl"/>
        </w:rPr>
        <w:t xml:space="preserve"> </w:t>
      </w:r>
      <w:r w:rsidR="00BF6D9E" w:rsidRPr="00C109F2">
        <w:rPr>
          <w:rFonts w:asciiTheme="majorBidi" w:hAnsiTheme="majorBidi" w:cstheme="majorBidi"/>
          <w:lang w:val="es-ES_tradnl"/>
        </w:rPr>
        <w:t>sexta</w:t>
      </w:r>
      <w:r w:rsidRPr="00C109F2">
        <w:rPr>
          <w:rFonts w:asciiTheme="majorBidi" w:hAnsiTheme="majorBidi" w:cstheme="majorBidi"/>
          <w:lang w:val="es-ES_tradnl"/>
        </w:rPr>
        <w:t xml:space="preserve"> reunión</w:t>
      </w:r>
    </w:p>
    <w:p w14:paraId="0FD70AFE" w14:textId="77777777" w:rsidR="006A24A7" w:rsidRPr="00C109F2" w:rsidRDefault="006A24A7" w:rsidP="00997397">
      <w:pPr>
        <w:jc w:val="left"/>
        <w:rPr>
          <w:rFonts w:asciiTheme="majorBidi" w:hAnsiTheme="majorBidi" w:cstheme="majorBidi"/>
          <w:lang w:val="es-ES_tradnl"/>
        </w:rPr>
      </w:pPr>
      <w:r w:rsidRPr="00C109F2">
        <w:rPr>
          <w:rFonts w:asciiTheme="majorBidi" w:hAnsiTheme="majorBidi" w:cstheme="majorBidi"/>
          <w:lang w:val="es-ES_tradnl"/>
        </w:rPr>
        <w:t xml:space="preserve">Montreal, </w:t>
      </w:r>
      <w:r w:rsidR="00BF6D9E" w:rsidRPr="00C109F2">
        <w:rPr>
          <w:rFonts w:asciiTheme="majorBidi" w:hAnsiTheme="majorBidi" w:cstheme="majorBidi"/>
          <w:lang w:val="es-ES_tradnl"/>
        </w:rPr>
        <w:t>26-30 de mayo de 2025</w:t>
      </w:r>
    </w:p>
    <w:p w14:paraId="47CD59FC" w14:textId="593CC946" w:rsidR="006A24A7" w:rsidRPr="00C109F2" w:rsidRDefault="00A428F1" w:rsidP="00997397">
      <w:pPr>
        <w:jc w:val="left"/>
        <w:rPr>
          <w:rFonts w:asciiTheme="majorBidi" w:hAnsiTheme="majorBidi" w:cstheme="majorBidi"/>
          <w:lang w:val="es-ES_tradnl"/>
        </w:rPr>
      </w:pPr>
      <w:r w:rsidRPr="00C109F2">
        <w:rPr>
          <w:rFonts w:asciiTheme="majorBidi" w:hAnsiTheme="majorBidi" w:cstheme="majorBidi"/>
          <w:lang w:val="es-ES_tradnl"/>
        </w:rPr>
        <w:t>Punto</w:t>
      </w:r>
      <w:r w:rsidR="006A24A7" w:rsidRPr="00C109F2">
        <w:rPr>
          <w:rFonts w:asciiTheme="majorBidi" w:hAnsiTheme="majorBidi" w:cstheme="majorBidi"/>
          <w:lang w:val="es-ES_tradnl"/>
        </w:rPr>
        <w:t xml:space="preserve"> </w:t>
      </w:r>
      <w:r w:rsidR="009F3095" w:rsidRPr="00C109F2">
        <w:rPr>
          <w:rFonts w:asciiTheme="majorBidi" w:hAnsiTheme="majorBidi" w:cstheme="majorBidi"/>
          <w:lang w:val="es-ES_tradnl"/>
        </w:rPr>
        <w:t>15</w:t>
      </w:r>
      <w:r w:rsidR="006A24A7" w:rsidRPr="00C109F2">
        <w:rPr>
          <w:rFonts w:asciiTheme="majorBidi" w:hAnsiTheme="majorBidi" w:cstheme="majorBidi"/>
          <w:lang w:val="es-ES_tradnl"/>
        </w:rPr>
        <w:t xml:space="preserve"> del orden del día provisional</w:t>
      </w:r>
      <w:r w:rsidR="006A24A7" w:rsidRPr="00C109F2">
        <w:rPr>
          <w:rStyle w:val="FootnoteReference"/>
          <w:rFonts w:asciiTheme="majorBidi" w:hAnsiTheme="majorBidi" w:cstheme="majorBidi"/>
          <w:lang w:val="es-ES_tradnl"/>
        </w:rPr>
        <w:footnoteReference w:id="1"/>
      </w:r>
    </w:p>
    <w:p w14:paraId="2C01FCBA" w14:textId="77777777" w:rsidR="00C15867" w:rsidRPr="00C109F2" w:rsidRDefault="00C15867" w:rsidP="00BC5C2A">
      <w:pPr>
        <w:rPr>
          <w:rFonts w:asciiTheme="majorBidi" w:hAnsiTheme="majorBidi" w:cstheme="majorBidi"/>
          <w:lang w:val="es-ES_tradnl"/>
        </w:rPr>
      </w:pPr>
    </w:p>
    <w:p w14:paraId="63493FCA" w14:textId="77777777" w:rsidR="00BF0D67" w:rsidRPr="00C109F2" w:rsidRDefault="00BF0D67" w:rsidP="00BC5C2A">
      <w:pPr>
        <w:pStyle w:val="Title1"/>
        <w:jc w:val="both"/>
        <w:rPr>
          <w:rFonts w:asciiTheme="majorBidi" w:hAnsiTheme="majorBidi" w:cstheme="majorBidi"/>
          <w:lang w:val="es-ES_tradnl"/>
        </w:rPr>
      </w:pPr>
    </w:p>
    <w:p w14:paraId="66499FC2" w14:textId="7B656769" w:rsidR="009F3095" w:rsidRPr="005055EB" w:rsidRDefault="00534814" w:rsidP="00997397">
      <w:pPr>
        <w:jc w:val="center"/>
        <w:rPr>
          <w:b/>
          <w:bCs/>
          <w:lang w:val="es-ES_tradnl"/>
        </w:rPr>
      </w:pPr>
      <w:r w:rsidRPr="005055EB">
        <w:rPr>
          <w:b/>
          <w:bCs/>
          <w:lang w:val="es-ES_tradnl"/>
        </w:rPr>
        <w:t>PROYECTO DE INFORME DEL COMITÉ EJECUTIVO DEL FONDO MULTILATERALPARA LA APLICACIÓN DEL PROTOCOLO DE MONTREAL A LA TRIGÉSIMO SÉPTIMA REUNIÓN DE LAS PARTES</w:t>
      </w:r>
    </w:p>
    <w:p w14:paraId="3182BCF4" w14:textId="77777777" w:rsidR="009F3095" w:rsidRPr="005055EB" w:rsidRDefault="009F3095" w:rsidP="00BC5C2A">
      <w:pPr>
        <w:pStyle w:val="Title1"/>
        <w:jc w:val="both"/>
        <w:rPr>
          <w:sz w:val="20"/>
          <w:szCs w:val="20"/>
          <w:lang w:val="es-ES_tradnl"/>
        </w:rPr>
      </w:pPr>
    </w:p>
    <w:p w14:paraId="7F97B08F" w14:textId="62A886C2" w:rsidR="009F3095" w:rsidRPr="005055EB" w:rsidRDefault="009F3095" w:rsidP="00BC5C2A">
      <w:pPr>
        <w:pStyle w:val="Heading1"/>
        <w:numPr>
          <w:ilvl w:val="0"/>
          <w:numId w:val="0"/>
        </w:numPr>
        <w:tabs>
          <w:tab w:val="left" w:pos="720"/>
        </w:tabs>
        <w:rPr>
          <w:sz w:val="24"/>
          <w:szCs w:val="24"/>
          <w:lang w:val="es-ES_tradnl"/>
        </w:rPr>
      </w:pPr>
      <w:r w:rsidRPr="005055EB">
        <w:rPr>
          <w:b/>
          <w:sz w:val="24"/>
          <w:szCs w:val="24"/>
          <w:lang w:val="es-ES_tradnl"/>
        </w:rPr>
        <w:t>Introdu</w:t>
      </w:r>
      <w:r w:rsidR="00534814" w:rsidRPr="005055EB">
        <w:rPr>
          <w:b/>
          <w:sz w:val="24"/>
          <w:szCs w:val="24"/>
          <w:lang w:val="es-ES_tradnl"/>
        </w:rPr>
        <w:t>cción</w:t>
      </w:r>
    </w:p>
    <w:p w14:paraId="795D4892" w14:textId="4B7B6721" w:rsidR="009F3095" w:rsidRPr="005055EB" w:rsidRDefault="00534814" w:rsidP="00BC5C2A">
      <w:pPr>
        <w:pStyle w:val="Heading1"/>
        <w:tabs>
          <w:tab w:val="clear" w:pos="0"/>
          <w:tab w:val="num" w:pos="360"/>
        </w:tabs>
        <w:ind w:left="360" w:hanging="360"/>
        <w:rPr>
          <w:lang w:val="es-ES_tradnl"/>
        </w:rPr>
      </w:pPr>
      <w:r w:rsidRPr="005055EB">
        <w:rPr>
          <w:lang w:val="es-ES_tradnl"/>
        </w:rPr>
        <w:t>El presente informe contiene dos secciones y un anexo que se indican a continuación</w:t>
      </w:r>
      <w:r w:rsidR="009F3095" w:rsidRPr="005055EB">
        <w:rPr>
          <w:lang w:val="es-ES_tradnl"/>
        </w:rPr>
        <w:t>:</w:t>
      </w:r>
    </w:p>
    <w:p w14:paraId="0AB5F52A" w14:textId="71A62DB7" w:rsidR="009F3095" w:rsidRPr="005055EB" w:rsidRDefault="009F3095" w:rsidP="00BC5C2A">
      <w:pPr>
        <w:ind w:left="720"/>
        <w:rPr>
          <w:lang w:val="es-ES_tradnl"/>
        </w:rPr>
      </w:pPr>
      <w:r w:rsidRPr="005055EB">
        <w:rPr>
          <w:lang w:val="es-ES_tradnl"/>
        </w:rPr>
        <w:t>I:</w:t>
      </w:r>
      <w:r w:rsidRPr="005055EB">
        <w:rPr>
          <w:lang w:val="es-ES_tradnl"/>
        </w:rPr>
        <w:tab/>
      </w:r>
      <w:r w:rsidRPr="005055EB">
        <w:rPr>
          <w:lang w:val="es-ES_tradnl"/>
        </w:rPr>
        <w:tab/>
      </w:r>
      <w:r w:rsidR="00534814" w:rsidRPr="005055EB">
        <w:rPr>
          <w:lang w:val="es-ES_tradnl"/>
        </w:rPr>
        <w:t>Examen del período informado desde la Trigésimo Sexta Reunión de las Partes</w:t>
      </w:r>
    </w:p>
    <w:p w14:paraId="018B03EF" w14:textId="6DE6CF7C" w:rsidR="009F3095" w:rsidRPr="005055EB" w:rsidRDefault="009F3095" w:rsidP="00BC5C2A">
      <w:pPr>
        <w:ind w:left="720"/>
        <w:rPr>
          <w:lang w:val="es-ES_tradnl"/>
        </w:rPr>
      </w:pPr>
      <w:r w:rsidRPr="005055EB">
        <w:rPr>
          <w:lang w:val="es-ES_tradnl"/>
        </w:rPr>
        <w:t>II:</w:t>
      </w:r>
      <w:r w:rsidRPr="005055EB">
        <w:rPr>
          <w:lang w:val="es-ES_tradnl"/>
        </w:rPr>
        <w:tab/>
      </w:r>
      <w:r w:rsidRPr="005055EB">
        <w:rPr>
          <w:lang w:val="es-ES_tradnl"/>
        </w:rPr>
        <w:tab/>
      </w:r>
      <w:r w:rsidR="00534814" w:rsidRPr="005055EB">
        <w:rPr>
          <w:lang w:val="es-ES_tradnl"/>
        </w:rPr>
        <w:t>Logros del Fondo Multilateral desde sus comienzos</w:t>
      </w:r>
    </w:p>
    <w:p w14:paraId="29F574A1" w14:textId="36D53AA8" w:rsidR="00444E5C" w:rsidRPr="005055EB" w:rsidRDefault="009F3095" w:rsidP="00BC5C2A">
      <w:pPr>
        <w:ind w:left="2160" w:hanging="1440"/>
        <w:rPr>
          <w:highlight w:val="yellow"/>
          <w:lang w:val="es-ES_tradnl"/>
        </w:rPr>
      </w:pPr>
      <w:r w:rsidRPr="005055EB">
        <w:rPr>
          <w:lang w:val="es-ES_tradnl"/>
        </w:rPr>
        <w:t>An</w:t>
      </w:r>
      <w:r w:rsidR="00444E5C" w:rsidRPr="005055EB">
        <w:rPr>
          <w:lang w:val="es-ES_tradnl"/>
        </w:rPr>
        <w:t>exo</w:t>
      </w:r>
      <w:r w:rsidRPr="005055EB">
        <w:rPr>
          <w:lang w:val="es-ES_tradnl"/>
        </w:rPr>
        <w:t>:</w:t>
      </w:r>
      <w:r w:rsidRPr="005055EB">
        <w:rPr>
          <w:lang w:val="es-ES_tradnl"/>
        </w:rPr>
        <w:tab/>
      </w:r>
      <w:r w:rsidR="00444E5C" w:rsidRPr="005055EB">
        <w:rPr>
          <w:highlight w:val="yellow"/>
          <w:lang w:val="es-ES_tradnl"/>
        </w:rPr>
        <w:t>Boletín anual del Fondo Multilateral con algunos proyectos aprobados y resultados</w:t>
      </w:r>
    </w:p>
    <w:p w14:paraId="4D2299BA" w14:textId="75901F88" w:rsidR="009F3095" w:rsidRPr="005055EB" w:rsidRDefault="00444E5C" w:rsidP="00BC5C2A">
      <w:pPr>
        <w:ind w:left="2160" w:hanging="33"/>
        <w:rPr>
          <w:lang w:val="es-ES_tradnl"/>
        </w:rPr>
      </w:pPr>
      <w:r w:rsidRPr="005055EB">
        <w:rPr>
          <w:highlight w:val="yellow"/>
          <w:lang w:val="es-ES_tradnl"/>
        </w:rPr>
        <w:t>de políticas en 2024</w:t>
      </w:r>
    </w:p>
    <w:p w14:paraId="43704D5D" w14:textId="77777777" w:rsidR="009F3095" w:rsidRPr="005055EB" w:rsidRDefault="009F3095" w:rsidP="00BC5C2A">
      <w:pPr>
        <w:ind w:left="720"/>
        <w:rPr>
          <w:lang w:val="es-ES_tradnl"/>
        </w:rPr>
      </w:pPr>
    </w:p>
    <w:p w14:paraId="4654B117" w14:textId="6D209EFD" w:rsidR="009F3095" w:rsidRPr="005055EB" w:rsidRDefault="00E623AC" w:rsidP="00BC5C2A">
      <w:pPr>
        <w:pStyle w:val="ListParagraph"/>
        <w:numPr>
          <w:ilvl w:val="0"/>
          <w:numId w:val="21"/>
        </w:numPr>
        <w:spacing w:after="240"/>
        <w:ind w:left="720"/>
        <w:rPr>
          <w:b/>
          <w:sz w:val="24"/>
          <w:szCs w:val="24"/>
          <w:lang w:val="es-ES_tradnl"/>
        </w:rPr>
      </w:pPr>
      <w:r w:rsidRPr="005055EB">
        <w:rPr>
          <w:b/>
          <w:sz w:val="24"/>
          <w:szCs w:val="24"/>
          <w:lang w:val="es-ES_tradnl"/>
        </w:rPr>
        <w:t xml:space="preserve">Examen del período </w:t>
      </w:r>
      <w:r w:rsidR="00137398" w:rsidRPr="005055EB">
        <w:rPr>
          <w:b/>
          <w:sz w:val="24"/>
          <w:szCs w:val="24"/>
          <w:lang w:val="es-ES_tradnl"/>
        </w:rPr>
        <w:t xml:space="preserve">informado </w:t>
      </w:r>
      <w:r w:rsidRPr="005055EB">
        <w:rPr>
          <w:b/>
          <w:sz w:val="24"/>
          <w:szCs w:val="24"/>
          <w:lang w:val="es-ES_tradnl"/>
        </w:rPr>
        <w:t xml:space="preserve">desde la </w:t>
      </w:r>
      <w:r w:rsidR="00137398" w:rsidRPr="005055EB">
        <w:rPr>
          <w:b/>
          <w:sz w:val="24"/>
          <w:szCs w:val="24"/>
          <w:lang w:val="es-ES_tradnl"/>
        </w:rPr>
        <w:t xml:space="preserve">36ª </w:t>
      </w:r>
      <w:r w:rsidRPr="005055EB">
        <w:rPr>
          <w:b/>
          <w:sz w:val="24"/>
          <w:szCs w:val="24"/>
          <w:lang w:val="es-ES_tradnl"/>
        </w:rPr>
        <w:t>Reunión de las Partes</w:t>
      </w:r>
    </w:p>
    <w:p w14:paraId="3D7047AB" w14:textId="105532C7" w:rsidR="000D7868" w:rsidRPr="005055EB" w:rsidRDefault="00E623AC" w:rsidP="00BC5C2A">
      <w:pPr>
        <w:pStyle w:val="Heading1"/>
        <w:rPr>
          <w:lang w:val="es-ES"/>
        </w:rPr>
      </w:pPr>
      <w:r w:rsidRPr="005055EB">
        <w:rPr>
          <w:lang w:val="es-ES"/>
        </w:rPr>
        <w:t xml:space="preserve">Durante el período </w:t>
      </w:r>
      <w:r w:rsidR="00137398" w:rsidRPr="005055EB">
        <w:rPr>
          <w:lang w:val="es-ES"/>
        </w:rPr>
        <w:t>informado</w:t>
      </w:r>
      <w:r w:rsidRPr="005055EB">
        <w:rPr>
          <w:lang w:val="es-ES"/>
        </w:rPr>
        <w:t>, el Comité Ejecutivo celebró sus reuniones 95ª [</w:t>
      </w:r>
      <w:r w:rsidRPr="005055EB">
        <w:rPr>
          <w:highlight w:val="yellow"/>
          <w:lang w:val="es-ES"/>
        </w:rPr>
        <w:t>y 96ª</w:t>
      </w:r>
      <w:r w:rsidRPr="005055EB">
        <w:rPr>
          <w:lang w:val="es-ES"/>
        </w:rPr>
        <w:t xml:space="preserve">]. </w:t>
      </w:r>
      <w:r w:rsidRPr="005055EB">
        <w:rPr>
          <w:lang w:val="es-ES_tradnl"/>
        </w:rPr>
        <w:t>La 95ª reunión se celebró en Montreal</w:t>
      </w:r>
      <w:r w:rsidR="00BE54F9" w:rsidRPr="005055EB">
        <w:rPr>
          <w:lang w:val="es-ES_tradnl"/>
        </w:rPr>
        <w:t xml:space="preserve"> (</w:t>
      </w:r>
      <w:r w:rsidRPr="005055EB">
        <w:rPr>
          <w:lang w:val="es-ES_tradnl"/>
        </w:rPr>
        <w:t>Canadá</w:t>
      </w:r>
      <w:r w:rsidR="00BE54F9" w:rsidRPr="005055EB">
        <w:rPr>
          <w:lang w:val="es-ES_tradnl"/>
        </w:rPr>
        <w:t>)</w:t>
      </w:r>
      <w:r w:rsidRPr="005055EB">
        <w:rPr>
          <w:lang w:val="es-ES_tradnl"/>
        </w:rPr>
        <w:t xml:space="preserve">, del 4 al 8 de diciembre de 2024. La labor de dicha reunión fue llevada a cabo por los miembros del Comité Ejecutivo para 2024, de conformidad con la decisión XXXV/23 de la </w:t>
      </w:r>
      <w:r w:rsidR="00137398" w:rsidRPr="005055EB">
        <w:rPr>
          <w:lang w:val="es-ES_tradnl"/>
        </w:rPr>
        <w:t>35ª</w:t>
      </w:r>
      <w:r w:rsidRPr="005055EB">
        <w:rPr>
          <w:lang w:val="es-ES_tradnl"/>
        </w:rPr>
        <w:t xml:space="preserve"> Reunión de las Partes. El Comité incluyó las siguientes Partes al amparo del párrafo 1 del Artículo 5 del Protocolo (Partes del Artículo 5): Argentina (Presidencia), Cuba, Ghana, India, Jordania, Kuwait y Túnez; y las siguientes Partes que no están al amparo del párrafo 1 del Artículo 5 del Protocolo (Partes que no están al amparo del Artículo 5): Bélgica, Canadá, Italia (Vicepresidencia), Japón, Suecia y Estados Unidos de América.</w:t>
      </w:r>
    </w:p>
    <w:p w14:paraId="29791D59" w14:textId="06E6AA1F" w:rsidR="00BC3388" w:rsidRPr="005055EB" w:rsidRDefault="003953CA" w:rsidP="00BC5C2A">
      <w:pPr>
        <w:pStyle w:val="Heading1"/>
        <w:rPr>
          <w:lang w:val="es-ES"/>
        </w:rPr>
      </w:pPr>
      <w:r w:rsidRPr="005055EB">
        <w:rPr>
          <w:highlight w:val="yellow"/>
          <w:lang w:val="es-ES_tradnl"/>
        </w:rPr>
        <w:t>[La 96ª reunión se celebró en Montreal del 26 al 30 de mayo de 202</w:t>
      </w:r>
      <w:r w:rsidR="00BC3388" w:rsidRPr="005055EB">
        <w:rPr>
          <w:highlight w:val="yellow"/>
          <w:lang w:val="es-ES_tradnl"/>
        </w:rPr>
        <w:t>5</w:t>
      </w:r>
      <w:r w:rsidRPr="005055EB">
        <w:rPr>
          <w:highlight w:val="yellow"/>
          <w:lang w:val="es-ES_tradnl"/>
        </w:rPr>
        <w:t xml:space="preserve">. La labor de la 96ª reunión fue llevada a cabo por los miembros del Comité Ejecutivo para 2025, de conformidad con la decisión XXXVI/19 de la </w:t>
      </w:r>
      <w:r w:rsidR="00BC3388" w:rsidRPr="005055EB">
        <w:rPr>
          <w:highlight w:val="yellow"/>
          <w:lang w:val="es-ES_tradnl"/>
        </w:rPr>
        <w:t>36ª</w:t>
      </w:r>
      <w:r w:rsidRPr="005055EB">
        <w:rPr>
          <w:highlight w:val="yellow"/>
          <w:lang w:val="es-ES_tradnl"/>
        </w:rPr>
        <w:t xml:space="preserve"> Reunión de las Partes. El Comité incluy</w:t>
      </w:r>
      <w:r w:rsidR="00C46D7C" w:rsidRPr="005055EB">
        <w:rPr>
          <w:highlight w:val="yellow"/>
          <w:lang w:val="es-ES_tradnl"/>
        </w:rPr>
        <w:t>ó</w:t>
      </w:r>
      <w:r w:rsidRPr="005055EB">
        <w:rPr>
          <w:highlight w:val="yellow"/>
          <w:lang w:val="es-ES_tradnl"/>
        </w:rPr>
        <w:t xml:space="preserve"> las siguientes Partes que no están al amparo del Artículo 5: Bélgica, Canadá, Italia (Presidencia), Japón, Lituania, Suecia y Estados Unidos de América; </w:t>
      </w:r>
      <w:r w:rsidRPr="005055EB">
        <w:rPr>
          <w:highlight w:val="yellow"/>
          <w:lang w:val="es-ES_tradnl"/>
        </w:rPr>
        <w:lastRenderedPageBreak/>
        <w:t>y las siguientes Partes del Artículo 5: Argentina, Bahrein, China, Cuba, Kirguistán, Lesotho (Vicepresidencia) y Togo.]</w:t>
      </w:r>
    </w:p>
    <w:p w14:paraId="70A458EE" w14:textId="4D6EA9E9" w:rsidR="00F74A7B" w:rsidRPr="005055EB" w:rsidRDefault="003953CA" w:rsidP="00BC5C2A">
      <w:pPr>
        <w:pStyle w:val="Heading1"/>
        <w:rPr>
          <w:lang w:val="es-ES"/>
        </w:rPr>
      </w:pPr>
      <w:r w:rsidRPr="005055EB">
        <w:rPr>
          <w:lang w:val="es-ES_tradnl" w:eastAsia="en-GB"/>
        </w:rPr>
        <w:t>Los informes de las reuniones</w:t>
      </w:r>
      <w:r w:rsidRPr="005055EB">
        <w:rPr>
          <w:vertAlign w:val="superscript"/>
          <w:lang w:val="es-ES_tradnl" w:eastAsia="en-GB"/>
        </w:rPr>
        <w:footnoteReference w:id="2"/>
      </w:r>
      <w:r w:rsidRPr="005055EB">
        <w:rPr>
          <w:lang w:val="es-ES_tradnl" w:eastAsia="en-GB"/>
        </w:rPr>
        <w:t xml:space="preserve"> 95ª y 96ª están disponibles en el sitio web del Fondo Multilateral (</w:t>
      </w:r>
      <w:r w:rsidRPr="005055EB">
        <w:rPr>
          <w:lang w:val="es-ES_tradnl"/>
        </w:rPr>
        <w:t>https://</w:t>
      </w:r>
      <w:r w:rsidRPr="005055EB">
        <w:rPr>
          <w:lang w:val="es-ES_tradnl" w:eastAsia="en-GB"/>
        </w:rPr>
        <w:t>www.multilateralfund.org/meetings).</w:t>
      </w:r>
    </w:p>
    <w:p w14:paraId="6BF4A309" w14:textId="113D5CFF" w:rsidR="00F74A7B" w:rsidRPr="005055EB" w:rsidRDefault="00F74A7B" w:rsidP="00BC5C2A">
      <w:pPr>
        <w:keepNext/>
        <w:spacing w:after="240"/>
        <w:outlineLvl w:val="1"/>
        <w:rPr>
          <w:b/>
          <w:sz w:val="24"/>
          <w:szCs w:val="24"/>
          <w:lang w:val="es-ES_tradnl"/>
        </w:rPr>
      </w:pPr>
      <w:r w:rsidRPr="005055EB">
        <w:rPr>
          <w:b/>
          <w:sz w:val="24"/>
          <w:szCs w:val="24"/>
          <w:lang w:val="es-ES_tradnl"/>
        </w:rPr>
        <w:t>A.</w:t>
      </w:r>
      <w:r w:rsidRPr="005055EB">
        <w:rPr>
          <w:b/>
          <w:sz w:val="24"/>
          <w:szCs w:val="24"/>
          <w:lang w:val="es-ES_tradnl"/>
        </w:rPr>
        <w:tab/>
      </w:r>
      <w:r w:rsidR="009667E3" w:rsidRPr="005055EB">
        <w:rPr>
          <w:b/>
          <w:sz w:val="24"/>
          <w:szCs w:val="24"/>
          <w:lang w:val="es-ES_tradnl"/>
        </w:rPr>
        <w:t>Asuntos de políticas relacionados con la Enmienda de Kigali</w:t>
      </w:r>
    </w:p>
    <w:p w14:paraId="231F84C9" w14:textId="55B6F01B" w:rsidR="00F74A7B" w:rsidRPr="005055EB" w:rsidRDefault="00F74A7B" w:rsidP="00BC5C2A">
      <w:pPr>
        <w:keepNext/>
        <w:spacing w:after="240"/>
        <w:ind w:left="720" w:hanging="720"/>
        <w:outlineLvl w:val="1"/>
        <w:rPr>
          <w:b/>
          <w:lang w:val="es-ES_tradnl"/>
        </w:rPr>
      </w:pPr>
      <w:r w:rsidRPr="005055EB">
        <w:rPr>
          <w:b/>
          <w:lang w:val="es-ES_tradnl"/>
        </w:rPr>
        <w:t>1.</w:t>
      </w:r>
      <w:r w:rsidRPr="005055EB">
        <w:rPr>
          <w:b/>
          <w:lang w:val="es-ES_tradnl"/>
        </w:rPr>
        <w:tab/>
      </w:r>
      <w:r w:rsidR="00B245A6" w:rsidRPr="005055EB">
        <w:rPr>
          <w:b/>
          <w:lang w:val="es-ES_tradnl"/>
        </w:rPr>
        <w:t xml:space="preserve">Elaboración de parámetros de </w:t>
      </w:r>
      <w:r w:rsidR="009667E3" w:rsidRPr="005055EB">
        <w:rPr>
          <w:b/>
          <w:lang w:val="es-ES_tradnl"/>
        </w:rPr>
        <w:t xml:space="preserve">costos para la financiación de la </w:t>
      </w:r>
      <w:r w:rsidR="00BD1F4B" w:rsidRPr="005055EB">
        <w:rPr>
          <w:b/>
          <w:lang w:val="es-ES_tradnl"/>
        </w:rPr>
        <w:t>eliminación</w:t>
      </w:r>
      <w:r w:rsidR="009667E3" w:rsidRPr="005055EB">
        <w:rPr>
          <w:b/>
          <w:lang w:val="es-ES_tradnl"/>
        </w:rPr>
        <w:t xml:space="preserve"> de </w:t>
      </w:r>
      <w:r w:rsidR="00BD1F4B" w:rsidRPr="005055EB">
        <w:rPr>
          <w:b/>
          <w:lang w:val="es-ES_tradnl"/>
        </w:rPr>
        <w:t xml:space="preserve">los </w:t>
      </w:r>
      <w:r w:rsidR="009667E3" w:rsidRPr="005055EB">
        <w:rPr>
          <w:b/>
          <w:lang w:val="es-ES_tradnl"/>
        </w:rPr>
        <w:t xml:space="preserve">HFC en los países que operan al amparo del Artículo 5, incluida la consideración de la puesta en práctica </w:t>
      </w:r>
      <w:r w:rsidR="00AA35EE" w:rsidRPr="005055EB">
        <w:rPr>
          <w:b/>
          <w:lang w:val="es-ES_tradnl"/>
        </w:rPr>
        <w:t>d</w:t>
      </w:r>
      <w:r w:rsidR="009667E3" w:rsidRPr="005055EB">
        <w:rPr>
          <w:b/>
          <w:lang w:val="es-ES_tradnl"/>
        </w:rPr>
        <w:t>el párrafo 24 de la decisión XXVIII/2</w:t>
      </w:r>
    </w:p>
    <w:p w14:paraId="7BBB3910" w14:textId="410B163D" w:rsidR="00B245A6" w:rsidRPr="005055EB" w:rsidRDefault="00B245A6" w:rsidP="00BC5C2A">
      <w:pPr>
        <w:pStyle w:val="Heading1"/>
        <w:rPr>
          <w:lang w:val="es-ES"/>
        </w:rPr>
      </w:pPr>
      <w:r w:rsidRPr="005055EB">
        <w:rPr>
          <w:lang w:val="es-ES_tradnl"/>
        </w:rPr>
        <w:t>En la 95ª reunión</w:t>
      </w:r>
      <w:r w:rsidRPr="005055EB">
        <w:rPr>
          <w:rStyle w:val="FootnoteReference"/>
          <w:lang w:val="es-ES_tradnl"/>
        </w:rPr>
        <w:footnoteReference w:id="3"/>
      </w:r>
      <w:r w:rsidRPr="005055EB">
        <w:rPr>
          <w:lang w:val="es-ES_tradnl"/>
        </w:rPr>
        <w:t xml:space="preserve">, en su decisión 95/86, el Comité Ejecutivo llegó a un acuerdo sobre los parámetros de costos para la reducción de los HFC en los países del artículo 5. Llevaba debatiendo </w:t>
      </w:r>
      <w:r w:rsidR="00BD1F4B" w:rsidRPr="005055EB">
        <w:rPr>
          <w:lang w:val="es-ES_tradnl"/>
        </w:rPr>
        <w:t>los parámetros de costos</w:t>
      </w:r>
      <w:r w:rsidRPr="005055EB">
        <w:rPr>
          <w:lang w:val="es-ES_tradnl"/>
        </w:rPr>
        <w:t xml:space="preserve"> desde 2017 en virtud de la decisión XXVIII/2 de las Partes, relacionada con la enmienda de reducción de los HFC. </w:t>
      </w:r>
      <w:r w:rsidR="00154E9F" w:rsidRPr="005055EB">
        <w:rPr>
          <w:lang w:val="es-ES_tradnl"/>
        </w:rPr>
        <w:t xml:space="preserve">En el marco </w:t>
      </w:r>
      <w:r w:rsidRPr="005055EB">
        <w:rPr>
          <w:lang w:val="es-ES_tradnl"/>
        </w:rPr>
        <w:t xml:space="preserve">del presente informe del Comité Ejecutivo a la </w:t>
      </w:r>
      <w:r w:rsidR="00154E9F" w:rsidRPr="005055EB">
        <w:rPr>
          <w:lang w:val="es-ES_tradnl"/>
        </w:rPr>
        <w:t>37ª</w:t>
      </w:r>
      <w:r w:rsidRPr="005055EB">
        <w:rPr>
          <w:lang w:val="es-ES_tradnl"/>
        </w:rPr>
        <w:t xml:space="preserve"> Reunión de las Partes, la elaboración de dichos parámetros se presenta en consonancia con el párrafo 10 de la decisión XXVIII/2 para la consideración de las partes</w:t>
      </w:r>
      <w:r w:rsidRPr="005055EB">
        <w:rPr>
          <w:rStyle w:val="FootnoteReference"/>
          <w:lang w:val="es-ES_tradnl"/>
        </w:rPr>
        <w:footnoteReference w:id="4"/>
      </w:r>
      <w:r w:rsidRPr="005055EB">
        <w:rPr>
          <w:lang w:val="es-ES_tradnl"/>
        </w:rPr>
        <w:t>.</w:t>
      </w:r>
      <w:r w:rsidR="00F043BC" w:rsidRPr="005055EB">
        <w:rPr>
          <w:lang w:val="es-ES_tradnl"/>
        </w:rPr>
        <w:t xml:space="preserve"> </w:t>
      </w:r>
      <w:r w:rsidRPr="005055EB">
        <w:rPr>
          <w:lang w:val="es-ES_tradnl"/>
        </w:rPr>
        <w:t>A continuación se describen los parámetros de costos acordad</w:t>
      </w:r>
      <w:r w:rsidR="000E6B69" w:rsidRPr="005055EB">
        <w:rPr>
          <w:lang w:val="es-ES_tradnl"/>
        </w:rPr>
        <w:t>o</w:t>
      </w:r>
      <w:r w:rsidRPr="005055EB">
        <w:rPr>
          <w:lang w:val="es-ES_tradnl"/>
        </w:rPr>
        <w:t>s.</w:t>
      </w:r>
    </w:p>
    <w:p w14:paraId="2BA7A9CE" w14:textId="611898B0" w:rsidR="00F74A7B" w:rsidRPr="005055EB" w:rsidRDefault="00F74A7B" w:rsidP="00BC5C2A">
      <w:pPr>
        <w:spacing w:after="240"/>
        <w:rPr>
          <w:b/>
          <w:bCs/>
          <w:u w:val="single"/>
          <w:lang w:val="es-ES_tradnl"/>
        </w:rPr>
      </w:pPr>
      <w:r w:rsidRPr="005055EB">
        <w:rPr>
          <w:b/>
          <w:bCs/>
          <w:lang w:val="es-ES_tradnl"/>
        </w:rPr>
        <w:t>a)</w:t>
      </w:r>
      <w:r w:rsidRPr="005055EB">
        <w:rPr>
          <w:b/>
          <w:bCs/>
          <w:lang w:val="es-ES_tradnl"/>
        </w:rPr>
        <w:tab/>
      </w:r>
      <w:r w:rsidR="00A36FFF" w:rsidRPr="005055EB">
        <w:rPr>
          <w:b/>
          <w:bCs/>
          <w:lang w:val="es-ES_tradnl"/>
        </w:rPr>
        <w:t>Parámetros de costos para l</w:t>
      </w:r>
      <w:r w:rsidR="00272F3A" w:rsidRPr="005055EB">
        <w:rPr>
          <w:b/>
          <w:bCs/>
          <w:lang w:val="es-ES_tradnl"/>
        </w:rPr>
        <w:t>a</w:t>
      </w:r>
      <w:r w:rsidR="00A36FFF" w:rsidRPr="005055EB">
        <w:rPr>
          <w:b/>
          <w:bCs/>
          <w:lang w:val="es-ES_tradnl"/>
        </w:rPr>
        <w:t xml:space="preserve"> reducción de </w:t>
      </w:r>
      <w:r w:rsidR="00796969" w:rsidRPr="005055EB">
        <w:rPr>
          <w:b/>
          <w:bCs/>
          <w:lang w:val="es-ES_tradnl"/>
        </w:rPr>
        <w:t xml:space="preserve">los </w:t>
      </w:r>
      <w:r w:rsidR="00A36FFF" w:rsidRPr="005055EB">
        <w:rPr>
          <w:b/>
          <w:bCs/>
          <w:lang w:val="es-ES_tradnl"/>
        </w:rPr>
        <w:t>HFC</w:t>
      </w:r>
    </w:p>
    <w:p w14:paraId="5A2A2039" w14:textId="53F47E86" w:rsidR="00F74A7B" w:rsidRPr="005055EB" w:rsidRDefault="00A36FFF" w:rsidP="00BC5C2A">
      <w:pPr>
        <w:spacing w:after="240"/>
        <w:ind w:left="720"/>
        <w:rPr>
          <w:i/>
          <w:iCs/>
          <w:lang w:val="es-ES_tradnl"/>
        </w:rPr>
      </w:pPr>
      <w:r w:rsidRPr="005055EB">
        <w:rPr>
          <w:i/>
          <w:iCs/>
          <w:lang w:val="es-ES_tradnl"/>
        </w:rPr>
        <w:t xml:space="preserve">Flexibilidad en la </w:t>
      </w:r>
      <w:r w:rsidR="00BE54F9" w:rsidRPr="005055EB">
        <w:rPr>
          <w:i/>
          <w:iCs/>
          <w:lang w:val="es-ES_tradnl"/>
        </w:rPr>
        <w:t>a</w:t>
      </w:r>
      <w:r w:rsidRPr="005055EB">
        <w:rPr>
          <w:i/>
          <w:iCs/>
          <w:lang w:val="es-ES_tradnl"/>
        </w:rPr>
        <w:t xml:space="preserve"> que permita a las Partes seleccionar sus propias estrategias y prioridades en relación con los sectores y las tecnologías </w:t>
      </w:r>
      <w:r w:rsidR="00F74A7B" w:rsidRPr="005055EB">
        <w:rPr>
          <w:i/>
          <w:iCs/>
          <w:lang w:val="es-ES_tradnl"/>
        </w:rPr>
        <w:t>(</w:t>
      </w:r>
      <w:r w:rsidRPr="005055EB">
        <w:rPr>
          <w:i/>
          <w:iCs/>
          <w:lang w:val="es-ES_tradnl"/>
        </w:rPr>
        <w:t>texto de la decisión</w:t>
      </w:r>
      <w:r w:rsidR="00F74A7B" w:rsidRPr="005055EB">
        <w:rPr>
          <w:i/>
          <w:iCs/>
          <w:lang w:val="es-ES_tradnl"/>
        </w:rPr>
        <w:t xml:space="preserve"> XXVIII/2)</w:t>
      </w:r>
    </w:p>
    <w:p w14:paraId="1D230320" w14:textId="28EA73EB" w:rsidR="00F74A7B" w:rsidRPr="005055EB" w:rsidRDefault="004E172F" w:rsidP="00BC5C2A">
      <w:pPr>
        <w:pStyle w:val="Heading1"/>
        <w:rPr>
          <w:lang w:val="es-ES"/>
        </w:rPr>
      </w:pPr>
      <w:r w:rsidRPr="005055EB">
        <w:rPr>
          <w:lang w:val="es-ES_tradnl"/>
        </w:rPr>
        <w:t>El Comité Ejecutivo decidió que los países del Artículo 5 tendrían flexibilidad para priorizar los HFC, definir sectores, seleccionar tecnologías y alternativas, y elaborar y aplicar sus estrategias para cumplir las obligaciones acordadas en materia de HFC en función de sus necesidades específicas y circunstancias nacionales, siguiendo un enfoque impulsado por el país.</w:t>
      </w:r>
    </w:p>
    <w:p w14:paraId="633BA2FD" w14:textId="3BD861C4" w:rsidR="00F74A7B" w:rsidRPr="005055EB" w:rsidRDefault="00A36FFF" w:rsidP="00BC5C2A">
      <w:pPr>
        <w:spacing w:after="240"/>
        <w:ind w:firstLine="360"/>
        <w:rPr>
          <w:i/>
          <w:iCs/>
          <w:lang w:val="es-ES_tradnl"/>
        </w:rPr>
      </w:pPr>
      <w:r w:rsidRPr="005055EB">
        <w:rPr>
          <w:i/>
          <w:iCs/>
          <w:lang w:val="es-ES_tradnl"/>
        </w:rPr>
        <w:t xml:space="preserve">Fecha límite para las capacidades subvencionables </w:t>
      </w:r>
      <w:r w:rsidR="00F74A7B" w:rsidRPr="005055EB">
        <w:rPr>
          <w:i/>
          <w:iCs/>
          <w:lang w:val="es-ES_tradnl"/>
        </w:rPr>
        <w:t>(</w:t>
      </w:r>
      <w:r w:rsidRPr="005055EB">
        <w:rPr>
          <w:i/>
          <w:iCs/>
          <w:lang w:val="es-ES_tradnl"/>
        </w:rPr>
        <w:t>texto de la decisión</w:t>
      </w:r>
      <w:r w:rsidR="00F74A7B" w:rsidRPr="005055EB">
        <w:rPr>
          <w:i/>
          <w:iCs/>
          <w:lang w:val="es-ES_tradnl"/>
        </w:rPr>
        <w:t xml:space="preserve"> XXVIII/2)</w:t>
      </w:r>
    </w:p>
    <w:p w14:paraId="06E68BC2" w14:textId="2025144F" w:rsidR="004E172F" w:rsidRPr="005055EB" w:rsidRDefault="004E172F" w:rsidP="00BC5C2A">
      <w:pPr>
        <w:pStyle w:val="Heading1"/>
        <w:rPr>
          <w:lang w:val="es-ES"/>
        </w:rPr>
      </w:pPr>
      <w:r w:rsidRPr="005055EB">
        <w:rPr>
          <w:lang w:val="es-ES_tradnl"/>
        </w:rPr>
        <w:t>El Comité Ejecutivo fijó la fecha límite para las capacidades subvencionables en el 1 de enero de 2020 para las partes con años de referencia de 2020 a 2022, y el 1 de enero de 2024 para las partes con años de referencia de 2024 a 2026.</w:t>
      </w:r>
    </w:p>
    <w:p w14:paraId="5423BE7B" w14:textId="5B73DCB2" w:rsidR="00F74A7B" w:rsidRPr="005055EB" w:rsidRDefault="00A36FFF" w:rsidP="00BC5C2A">
      <w:pPr>
        <w:pStyle w:val="Heading1"/>
        <w:numPr>
          <w:ilvl w:val="0"/>
          <w:numId w:val="0"/>
        </w:numPr>
        <w:ind w:left="360"/>
        <w:rPr>
          <w:i/>
          <w:iCs/>
          <w:lang w:val="es-ES_tradnl"/>
        </w:rPr>
      </w:pPr>
      <w:r w:rsidRPr="005055EB">
        <w:rPr>
          <w:i/>
          <w:iCs/>
          <w:lang w:val="es-ES_tradnl"/>
        </w:rPr>
        <w:t xml:space="preserve">Conversiones segunda y tercera </w:t>
      </w:r>
      <w:r w:rsidR="00F74A7B" w:rsidRPr="005055EB">
        <w:rPr>
          <w:i/>
          <w:iCs/>
          <w:lang w:val="es-ES_tradnl"/>
        </w:rPr>
        <w:t>(</w:t>
      </w:r>
      <w:r w:rsidRPr="005055EB">
        <w:rPr>
          <w:i/>
          <w:iCs/>
          <w:lang w:val="es-ES_tradnl"/>
        </w:rPr>
        <w:t>texto de la decisión</w:t>
      </w:r>
      <w:r w:rsidR="00F74A7B" w:rsidRPr="005055EB">
        <w:rPr>
          <w:i/>
          <w:iCs/>
          <w:lang w:val="es-ES_tradnl"/>
        </w:rPr>
        <w:t xml:space="preserve"> XXVIII/2)</w:t>
      </w:r>
    </w:p>
    <w:p w14:paraId="20200694" w14:textId="161A2DAC" w:rsidR="004E172F" w:rsidRPr="005055EB" w:rsidRDefault="004E172F" w:rsidP="00BC5C2A">
      <w:pPr>
        <w:pStyle w:val="Heading1"/>
        <w:rPr>
          <w:lang w:val="es-ES"/>
        </w:rPr>
      </w:pPr>
      <w:r w:rsidRPr="005055EB">
        <w:rPr>
          <w:lang w:val="es-ES_tradnl"/>
        </w:rPr>
        <w:t>El Comité Ejecutivo decidió una serie de principios que se aplicarían a los proyectos de segunda y tercera reconversión, a saber:</w:t>
      </w:r>
    </w:p>
    <w:p w14:paraId="0A4FE02E" w14:textId="429EC554" w:rsidR="00EE0FC9" w:rsidRPr="005055EB" w:rsidRDefault="00EE0FC9" w:rsidP="00BC5C2A">
      <w:pPr>
        <w:pStyle w:val="Heading3"/>
        <w:numPr>
          <w:ilvl w:val="2"/>
          <w:numId w:val="35"/>
        </w:numPr>
        <w:ind w:left="1418" w:hanging="709"/>
        <w:rPr>
          <w:lang w:val="es-ES"/>
        </w:rPr>
      </w:pPr>
      <w:bookmarkStart w:id="0" w:name="_Hlk196805010"/>
      <w:r w:rsidRPr="005055EB">
        <w:rPr>
          <w:lang w:val="es-ES"/>
        </w:rPr>
        <w:t>Se entiende por primera conversión, en el contexto de la reducción de los HFC, la conversión de empresas a alternativas de bajo o nulo potencial de calentamiento atmosférico (PCA) que no han recibido apoyo directo o indirecto total o parcial del Fondo Multilateral, entre ellas las que se han convertido a HFC con recursos propios;</w:t>
      </w:r>
    </w:p>
    <w:p w14:paraId="2F255C47" w14:textId="3E4CE8A5" w:rsidR="00EE0FC9" w:rsidRPr="005055EB" w:rsidRDefault="00EE0FC9" w:rsidP="00BC5C2A">
      <w:pPr>
        <w:pStyle w:val="Heading3"/>
        <w:numPr>
          <w:ilvl w:val="2"/>
          <w:numId w:val="35"/>
        </w:numPr>
        <w:ind w:left="1418" w:hanging="709"/>
        <w:rPr>
          <w:lang w:val="es-ES"/>
        </w:rPr>
      </w:pPr>
      <w:r w:rsidRPr="005055EB">
        <w:rPr>
          <w:lang w:val="es-ES"/>
        </w:rPr>
        <w:t xml:space="preserve">Las empresas que hubieran realizado la conversión a HFC para la eliminación de CFC o HCFC reunirían las condiciones para recibir financiamiento del Fondo Multilateral para </w:t>
      </w:r>
      <w:r w:rsidRPr="005055EB">
        <w:rPr>
          <w:lang w:val="es-ES"/>
        </w:rPr>
        <w:lastRenderedPageBreak/>
        <w:t xml:space="preserve">sufragar los sobrecostos </w:t>
      </w:r>
      <w:r w:rsidR="00E464A5" w:rsidRPr="005055EB">
        <w:rPr>
          <w:lang w:val="es-ES"/>
        </w:rPr>
        <w:t>convenidos</w:t>
      </w:r>
      <w:r w:rsidRPr="005055EB">
        <w:rPr>
          <w:lang w:val="es-ES"/>
        </w:rPr>
        <w:t>, de la misma manera que las empresas que cumplen los requisitos para primeras conversiones;</w:t>
      </w:r>
    </w:p>
    <w:p w14:paraId="1BC16876" w14:textId="30AA3936" w:rsidR="001F0FE5" w:rsidRPr="005055EB" w:rsidRDefault="001F0FE5" w:rsidP="00BC5C2A">
      <w:pPr>
        <w:pStyle w:val="Heading3"/>
        <w:numPr>
          <w:ilvl w:val="2"/>
          <w:numId w:val="35"/>
        </w:numPr>
        <w:ind w:left="1418" w:hanging="709"/>
        <w:rPr>
          <w:lang w:val="es-ES"/>
        </w:rPr>
      </w:pPr>
      <w:r w:rsidRPr="005055EB">
        <w:rPr>
          <w:lang w:val="es-ES"/>
        </w:rPr>
        <w:t>Las empresas que hubieran efectuado la conversión de HCFC a HFC de alto PCA después de aprobada la Enmienda con arreglo a PGEH aprobados por el Comité Ejecutivo podrían recibir financiamiento del Fondo Multilateral para una conversión posterior a alternativas de bajo o nulo PCA para sufragar los sobrecostos convenidos, de la misma manera que las empresas financiadas durante las primeras conversiones;</w:t>
      </w:r>
    </w:p>
    <w:p w14:paraId="69140F28" w14:textId="10830E3A" w:rsidR="007742B1" w:rsidRPr="005055EB" w:rsidRDefault="007742B1" w:rsidP="00BC5C2A">
      <w:pPr>
        <w:pStyle w:val="Heading3"/>
        <w:numPr>
          <w:ilvl w:val="2"/>
          <w:numId w:val="35"/>
        </w:numPr>
        <w:ind w:left="1418" w:hanging="709"/>
        <w:rPr>
          <w:lang w:val="es-ES_tradnl"/>
        </w:rPr>
      </w:pPr>
      <w:bookmarkStart w:id="1" w:name="_Hlk196805344"/>
      <w:bookmarkEnd w:id="0"/>
      <w:r w:rsidRPr="005055EB">
        <w:rPr>
          <w:lang w:val="es-ES_tradnl"/>
        </w:rPr>
        <w:t xml:space="preserve">Las empresas que, antes de 2025, hubieran realizado la conversión de HCFC a HFC de alto PCA utilizando sus propios recursos, en virtud de la Enmienda de Kigali, podrían recibir </w:t>
      </w:r>
      <w:r w:rsidR="00E464A5" w:rsidRPr="005055EB">
        <w:rPr>
          <w:lang w:val="es-ES_tradnl"/>
        </w:rPr>
        <w:t xml:space="preserve">financiamiento </w:t>
      </w:r>
      <w:r w:rsidRPr="005055EB">
        <w:rPr>
          <w:lang w:val="es-ES_tradnl"/>
        </w:rPr>
        <w:t xml:space="preserve">del Fondo Multilateral para </w:t>
      </w:r>
      <w:r w:rsidR="00E464A5" w:rsidRPr="005055EB">
        <w:rPr>
          <w:lang w:val="es-ES_tradnl"/>
        </w:rPr>
        <w:t>sufragar los sobrecostos convenidos</w:t>
      </w:r>
      <w:r w:rsidRPr="005055EB">
        <w:rPr>
          <w:lang w:val="es-ES_tradnl"/>
        </w:rPr>
        <w:t xml:space="preserve">, </w:t>
      </w:r>
      <w:r w:rsidR="00E464A5" w:rsidRPr="005055EB">
        <w:rPr>
          <w:lang w:val="es-ES_tradnl"/>
        </w:rPr>
        <w:t>de la misma manera que</w:t>
      </w:r>
      <w:r w:rsidR="00E464A5" w:rsidRPr="005055EB">
        <w:rPr>
          <w:lang w:val="es-ES"/>
        </w:rPr>
        <w:t xml:space="preserve"> las empresas financiadas durante las primeras conversiones</w:t>
      </w:r>
      <w:r w:rsidRPr="005055EB">
        <w:rPr>
          <w:lang w:val="es-ES_tradnl"/>
        </w:rPr>
        <w:t xml:space="preserve">; y </w:t>
      </w:r>
    </w:p>
    <w:p w14:paraId="3902EBB4" w14:textId="0D2DFEE2" w:rsidR="007742B1" w:rsidRPr="005055EB" w:rsidRDefault="007742B1" w:rsidP="00BC5C2A">
      <w:pPr>
        <w:pStyle w:val="Heading3"/>
        <w:numPr>
          <w:ilvl w:val="2"/>
          <w:numId w:val="35"/>
        </w:numPr>
        <w:ind w:left="1418" w:hanging="709"/>
        <w:rPr>
          <w:lang w:val="es-ES_tradnl"/>
        </w:rPr>
      </w:pPr>
      <w:r w:rsidRPr="005055EB">
        <w:rPr>
          <w:lang w:val="es-ES_tradnl"/>
        </w:rPr>
        <w:t xml:space="preserve">Las empresas que hubieran realizado la conversión de HFC a HFC de </w:t>
      </w:r>
      <w:r w:rsidR="007000F6" w:rsidRPr="005055EB">
        <w:rPr>
          <w:lang w:val="es-ES_tradnl"/>
        </w:rPr>
        <w:t xml:space="preserve">menor </w:t>
      </w:r>
      <w:r w:rsidRPr="005055EB">
        <w:rPr>
          <w:lang w:val="es-ES_tradnl"/>
        </w:rPr>
        <w:t xml:space="preserve">PCA con </w:t>
      </w:r>
      <w:r w:rsidR="007000F6" w:rsidRPr="005055EB">
        <w:rPr>
          <w:lang w:val="es-ES_tradnl"/>
        </w:rPr>
        <w:t xml:space="preserve">apoyo </w:t>
      </w:r>
      <w:r w:rsidRPr="005055EB">
        <w:rPr>
          <w:lang w:val="es-ES_tradnl"/>
        </w:rPr>
        <w:t xml:space="preserve">del Fondo Multilateral cuando no hubiera otras alternativas disponibles podrían </w:t>
      </w:r>
      <w:r w:rsidR="007000F6" w:rsidRPr="005055EB">
        <w:rPr>
          <w:lang w:val="es-ES_tradnl"/>
        </w:rPr>
        <w:t xml:space="preserve">recibir recursos </w:t>
      </w:r>
      <w:r w:rsidRPr="005055EB">
        <w:rPr>
          <w:lang w:val="es-ES_tradnl"/>
        </w:rPr>
        <w:t xml:space="preserve">del Fondo Multilateral para una conversión posterior a alternativas de bajo o nulo PCA </w:t>
      </w:r>
      <w:r w:rsidR="007000F6" w:rsidRPr="005055EB">
        <w:rPr>
          <w:lang w:val="es-ES_tradnl"/>
        </w:rPr>
        <w:t xml:space="preserve">cuando fuera </w:t>
      </w:r>
      <w:r w:rsidRPr="005055EB">
        <w:rPr>
          <w:lang w:val="es-ES_tradnl"/>
        </w:rPr>
        <w:t xml:space="preserve">necesario para cumplir </w:t>
      </w:r>
      <w:r w:rsidR="007000F6" w:rsidRPr="005055EB">
        <w:rPr>
          <w:lang w:val="es-ES_tradnl"/>
        </w:rPr>
        <w:t xml:space="preserve">con la medida final de </w:t>
      </w:r>
      <w:r w:rsidRPr="005055EB">
        <w:rPr>
          <w:lang w:val="es-ES_tradnl"/>
        </w:rPr>
        <w:t>reducción de los HFC.</w:t>
      </w:r>
    </w:p>
    <w:bookmarkEnd w:id="1"/>
    <w:p w14:paraId="4B855C28" w14:textId="1C7E5976" w:rsidR="00F74A7B" w:rsidRPr="005055EB" w:rsidRDefault="00A36FFF" w:rsidP="00BC5C2A">
      <w:pPr>
        <w:spacing w:after="240"/>
        <w:ind w:firstLine="720"/>
        <w:rPr>
          <w:i/>
          <w:iCs/>
          <w:lang w:val="es-ES_tradnl"/>
        </w:rPr>
      </w:pPr>
      <w:r w:rsidRPr="005055EB">
        <w:rPr>
          <w:i/>
          <w:iCs/>
          <w:lang w:val="es-ES_tradnl"/>
        </w:rPr>
        <w:t>Reducciones acumuladas sostenidas</w:t>
      </w:r>
    </w:p>
    <w:p w14:paraId="551E1F72" w14:textId="61AB7D6F" w:rsidR="00727245" w:rsidRPr="005055EB" w:rsidRDefault="00727245" w:rsidP="00BC5C2A">
      <w:pPr>
        <w:pStyle w:val="Heading1"/>
        <w:rPr>
          <w:lang w:val="es-ES_tradnl"/>
        </w:rPr>
      </w:pPr>
      <w:bookmarkStart w:id="2" w:name="_Hlk196805509"/>
      <w:r w:rsidRPr="005055EB">
        <w:rPr>
          <w:lang w:val="es-ES_tradnl"/>
        </w:rPr>
        <w:t xml:space="preserve">El Comité Ejecutivo convino en que el consumo </w:t>
      </w:r>
      <w:r w:rsidR="00AB7C6A" w:rsidRPr="005055EB">
        <w:rPr>
          <w:lang w:val="es-ES_tradnl"/>
        </w:rPr>
        <w:t>financiable restante</w:t>
      </w:r>
      <w:r w:rsidRPr="005055EB">
        <w:rPr>
          <w:lang w:val="es-ES_tradnl"/>
        </w:rPr>
        <w:t xml:space="preserve"> en tonela</w:t>
      </w:r>
      <w:r w:rsidR="00AB7C6A" w:rsidRPr="005055EB">
        <w:rPr>
          <w:lang w:val="es-ES_tradnl"/>
        </w:rPr>
        <w:t>das</w:t>
      </w:r>
      <w:r w:rsidRPr="005055EB">
        <w:rPr>
          <w:lang w:val="es-ES_tradnl"/>
        </w:rPr>
        <w:t xml:space="preserve"> se determinaría sobre la base del punto de partida </w:t>
      </w:r>
      <w:r w:rsidR="00AB7C6A" w:rsidRPr="005055EB">
        <w:rPr>
          <w:lang w:val="es-ES_tradnl"/>
        </w:rPr>
        <w:t>d</w:t>
      </w:r>
      <w:r w:rsidRPr="005055EB">
        <w:rPr>
          <w:lang w:val="es-ES_tradnl"/>
        </w:rPr>
        <w:t xml:space="preserve">el consumo </w:t>
      </w:r>
      <w:r w:rsidR="00AB7C6A" w:rsidRPr="005055EB">
        <w:rPr>
          <w:lang w:val="es-ES_tradnl"/>
        </w:rPr>
        <w:t>nacional acumulado</w:t>
      </w:r>
      <w:r w:rsidRPr="005055EB">
        <w:rPr>
          <w:lang w:val="es-ES_tradnl"/>
        </w:rPr>
        <w:t xml:space="preserve">, que aún debía ser decidido por el Comité Ejecutivo, menos la cantidad financiada en proyectos aprobados </w:t>
      </w:r>
      <w:r w:rsidR="00AB7C6A" w:rsidRPr="005055EB">
        <w:rPr>
          <w:lang w:val="es-ES_tradnl"/>
        </w:rPr>
        <w:t xml:space="preserve">con anterioridad en futuras plantillas </w:t>
      </w:r>
      <w:r w:rsidRPr="005055EB">
        <w:rPr>
          <w:lang w:val="es-ES_tradnl"/>
        </w:rPr>
        <w:t>de acuerdo</w:t>
      </w:r>
      <w:r w:rsidR="00AB7C6A" w:rsidRPr="005055EB">
        <w:rPr>
          <w:lang w:val="es-ES_tradnl"/>
        </w:rPr>
        <w:t>s</w:t>
      </w:r>
      <w:r w:rsidRPr="005055EB">
        <w:rPr>
          <w:lang w:val="es-ES_tradnl"/>
        </w:rPr>
        <w:t xml:space="preserve"> plurianual</w:t>
      </w:r>
      <w:r w:rsidR="00AB7C6A" w:rsidRPr="005055EB">
        <w:rPr>
          <w:lang w:val="es-ES_tradnl"/>
        </w:rPr>
        <w:t>es</w:t>
      </w:r>
      <w:r w:rsidRPr="005055EB">
        <w:rPr>
          <w:lang w:val="es-ES_tradnl"/>
        </w:rPr>
        <w:t xml:space="preserve"> para los planes de aplicación de la Enmienda de Kigali relativa a los HFC (PAK). También se acordó que la fórmula para determinar el punto de partida y la metodología para determinar las reducciones del consumo restante de HFC admisible para la financiación, una vez acordadas por el Comité Ejecutivo, formarían parte de los parámetros de costos.</w:t>
      </w:r>
    </w:p>
    <w:bookmarkEnd w:id="2"/>
    <w:p w14:paraId="22C15562" w14:textId="7C47B518" w:rsidR="00F74A7B" w:rsidRPr="005055EB" w:rsidRDefault="00004505" w:rsidP="00BC5C2A">
      <w:pPr>
        <w:spacing w:after="240"/>
        <w:ind w:left="720"/>
        <w:rPr>
          <w:i/>
          <w:iCs/>
          <w:lang w:val="es-ES_tradnl"/>
        </w:rPr>
      </w:pPr>
      <w:r w:rsidRPr="005055EB">
        <w:rPr>
          <w:i/>
          <w:iCs/>
          <w:lang w:val="es-ES_tradnl"/>
        </w:rPr>
        <w:t>Costos adicionales admisibles – sector de fabricación para el consum</w:t>
      </w:r>
      <w:r w:rsidR="00A22240" w:rsidRPr="005055EB">
        <w:rPr>
          <w:i/>
          <w:iCs/>
          <w:lang w:val="es-ES_tradnl"/>
        </w:rPr>
        <w:t>o</w:t>
      </w:r>
      <w:r w:rsidR="00F74A7B" w:rsidRPr="005055EB">
        <w:rPr>
          <w:i/>
          <w:iCs/>
          <w:lang w:val="es-ES_tradnl"/>
        </w:rPr>
        <w:t xml:space="preserve"> (</w:t>
      </w:r>
      <w:r w:rsidRPr="005055EB">
        <w:rPr>
          <w:i/>
          <w:iCs/>
          <w:lang w:val="es-ES_tradnl"/>
        </w:rPr>
        <w:t>categorías de costos adicionales admisibles convenidas en la decisión</w:t>
      </w:r>
      <w:r w:rsidR="00F74A7B" w:rsidRPr="005055EB">
        <w:rPr>
          <w:i/>
          <w:iCs/>
          <w:lang w:val="es-ES_tradnl"/>
        </w:rPr>
        <w:t xml:space="preserve"> XXVIII/2)</w:t>
      </w:r>
    </w:p>
    <w:p w14:paraId="1E876C86" w14:textId="2E293170" w:rsidR="006A4D18" w:rsidRPr="005055EB" w:rsidRDefault="00004505" w:rsidP="00BC5C2A">
      <w:pPr>
        <w:pStyle w:val="Heading1"/>
        <w:rPr>
          <w:lang w:val="es-ES_tradnl"/>
        </w:rPr>
      </w:pPr>
      <w:r w:rsidRPr="005055EB">
        <w:rPr>
          <w:lang w:val="es-ES_tradnl"/>
        </w:rPr>
        <w:t xml:space="preserve">En lo que respecta a los costos </w:t>
      </w:r>
      <w:r w:rsidR="00CF32C8" w:rsidRPr="005055EB">
        <w:rPr>
          <w:lang w:val="es-ES_tradnl"/>
        </w:rPr>
        <w:t xml:space="preserve">admisibles </w:t>
      </w:r>
      <w:r w:rsidRPr="005055EB">
        <w:rPr>
          <w:lang w:val="es-ES_tradnl"/>
        </w:rPr>
        <w:t xml:space="preserve">en el sector de la fabricación </w:t>
      </w:r>
      <w:r w:rsidR="00546991" w:rsidRPr="005055EB">
        <w:rPr>
          <w:lang w:val="es-ES_tradnl"/>
        </w:rPr>
        <w:t xml:space="preserve">para el </w:t>
      </w:r>
      <w:r w:rsidRPr="005055EB">
        <w:rPr>
          <w:lang w:val="es-ES_tradnl"/>
        </w:rPr>
        <w:t>consumo, el Comité Ejecutivo decidió</w:t>
      </w:r>
      <w:r w:rsidR="00B7431F" w:rsidRPr="005055EB">
        <w:rPr>
          <w:lang w:val="es-ES_tradnl"/>
        </w:rPr>
        <w:t xml:space="preserve"> hacer admisibles </w:t>
      </w:r>
      <w:r w:rsidRPr="005055EB">
        <w:rPr>
          <w:lang w:val="es-ES_tradnl"/>
        </w:rPr>
        <w:t xml:space="preserve">las siguientes categorías de costos </w:t>
      </w:r>
      <w:r w:rsidR="00B7431F" w:rsidRPr="005055EB">
        <w:rPr>
          <w:lang w:val="es-ES_tradnl"/>
        </w:rPr>
        <w:t xml:space="preserve">e incluirlas </w:t>
      </w:r>
      <w:r w:rsidRPr="005055EB">
        <w:rPr>
          <w:lang w:val="es-ES_tradnl"/>
        </w:rPr>
        <w:t>en el cálculo de los cost</w:t>
      </w:r>
      <w:r w:rsidR="00CF32C8" w:rsidRPr="005055EB">
        <w:rPr>
          <w:lang w:val="es-ES_tradnl"/>
        </w:rPr>
        <w:t>o</w:t>
      </w:r>
      <w:r w:rsidRPr="005055EB">
        <w:rPr>
          <w:lang w:val="es-ES_tradnl"/>
        </w:rPr>
        <w:t xml:space="preserve">s </w:t>
      </w:r>
      <w:r w:rsidR="00546991" w:rsidRPr="005055EB">
        <w:rPr>
          <w:lang w:val="es-ES_tradnl"/>
        </w:rPr>
        <w:t xml:space="preserve">de reducir </w:t>
      </w:r>
      <w:r w:rsidRPr="005055EB">
        <w:rPr>
          <w:lang w:val="es-ES_tradnl"/>
        </w:rPr>
        <w:t xml:space="preserve">los HFC: </w:t>
      </w:r>
      <w:r w:rsidR="00DD69CD" w:rsidRPr="005055EB">
        <w:rPr>
          <w:lang w:val="es-ES_tradnl"/>
        </w:rPr>
        <w:t>sobre</w:t>
      </w:r>
      <w:r w:rsidRPr="005055EB">
        <w:rPr>
          <w:lang w:val="es-ES_tradnl"/>
        </w:rPr>
        <w:t xml:space="preserve">costos de capital; </w:t>
      </w:r>
      <w:r w:rsidR="00B7431F" w:rsidRPr="005055EB">
        <w:rPr>
          <w:lang w:val="es-ES_tradnl"/>
        </w:rPr>
        <w:t xml:space="preserve">sobrecostos de operación </w:t>
      </w:r>
      <w:r w:rsidR="00546991" w:rsidRPr="005055EB">
        <w:rPr>
          <w:lang w:val="es-ES_tradnl"/>
        </w:rPr>
        <w:t xml:space="preserve">para </w:t>
      </w:r>
      <w:r w:rsidRPr="005055EB">
        <w:rPr>
          <w:lang w:val="es-ES_tradnl"/>
        </w:rPr>
        <w:t>un período que determinará el Comité Ejecutivo; actividades de asistencia técnica; investigación y desarrollo, cuando sea</w:t>
      </w:r>
      <w:r w:rsidR="00546991" w:rsidRPr="005055EB">
        <w:rPr>
          <w:lang w:val="es-ES_tradnl"/>
        </w:rPr>
        <w:t xml:space="preserve"> menester </w:t>
      </w:r>
      <w:r w:rsidRPr="005055EB">
        <w:rPr>
          <w:lang w:val="es-ES_tradnl"/>
        </w:rPr>
        <w:t xml:space="preserve">para adaptar y optimizar alternativas a los HFC </w:t>
      </w:r>
      <w:r w:rsidR="00546991" w:rsidRPr="005055EB">
        <w:rPr>
          <w:lang w:val="es-ES_tradnl"/>
        </w:rPr>
        <w:t xml:space="preserve">de bajo </w:t>
      </w:r>
      <w:r w:rsidRPr="005055EB">
        <w:rPr>
          <w:lang w:val="es-ES_tradnl"/>
        </w:rPr>
        <w:t>o nulo</w:t>
      </w:r>
      <w:r w:rsidR="00546991" w:rsidRPr="005055EB">
        <w:rPr>
          <w:lang w:val="es-ES_tradnl"/>
        </w:rPr>
        <w:t xml:space="preserve"> PCA</w:t>
      </w:r>
      <w:r w:rsidRPr="005055EB">
        <w:rPr>
          <w:lang w:val="es-ES_tradnl"/>
        </w:rPr>
        <w:t xml:space="preserve">; costos de patentes y diseños y </w:t>
      </w:r>
      <w:r w:rsidR="00546991" w:rsidRPr="005055EB">
        <w:rPr>
          <w:lang w:val="es-ES_tradnl"/>
        </w:rPr>
        <w:t>sobre</w:t>
      </w:r>
      <w:r w:rsidR="00154E9F" w:rsidRPr="005055EB">
        <w:rPr>
          <w:lang w:val="es-ES_tradnl"/>
        </w:rPr>
        <w:t>costos</w:t>
      </w:r>
      <w:r w:rsidRPr="005055EB">
        <w:rPr>
          <w:lang w:val="es-ES_tradnl"/>
        </w:rPr>
        <w:t xml:space="preserve"> adicionales de </w:t>
      </w:r>
      <w:r w:rsidR="00546991" w:rsidRPr="005055EB">
        <w:rPr>
          <w:lang w:val="es-ES_tradnl"/>
        </w:rPr>
        <w:t>las regalías</w:t>
      </w:r>
      <w:r w:rsidRPr="005055EB">
        <w:rPr>
          <w:lang w:val="es-ES_tradnl"/>
        </w:rPr>
        <w:t xml:space="preserve">, cuando sea necesario y </w:t>
      </w:r>
      <w:r w:rsidR="00546991" w:rsidRPr="005055EB">
        <w:rPr>
          <w:lang w:val="es-ES_tradnl"/>
        </w:rPr>
        <w:t>económico</w:t>
      </w:r>
      <w:r w:rsidRPr="005055EB">
        <w:rPr>
          <w:lang w:val="es-ES_tradnl"/>
        </w:rPr>
        <w:t>; y costos de la introducción segura de alternativas inflamables y tóxicas</w:t>
      </w:r>
      <w:r w:rsidR="006A4D18" w:rsidRPr="005055EB">
        <w:rPr>
          <w:lang w:val="es-ES_tradnl"/>
        </w:rPr>
        <w:t>.</w:t>
      </w:r>
    </w:p>
    <w:p w14:paraId="4FD0ECF1" w14:textId="1A7B79F6" w:rsidR="00727245" w:rsidRPr="005055EB" w:rsidRDefault="00727245" w:rsidP="00BC5C2A">
      <w:pPr>
        <w:pStyle w:val="Heading1"/>
        <w:rPr>
          <w:lang w:val="es-ES"/>
        </w:rPr>
      </w:pPr>
      <w:r w:rsidRPr="005055EB">
        <w:rPr>
          <w:lang w:val="es-ES_tradnl"/>
        </w:rPr>
        <w:t xml:space="preserve">Para determinar los criterios </w:t>
      </w:r>
      <w:r w:rsidR="00784506" w:rsidRPr="005055EB">
        <w:rPr>
          <w:lang w:val="es-ES_tradnl"/>
        </w:rPr>
        <w:t xml:space="preserve">para financiar la </w:t>
      </w:r>
      <w:r w:rsidRPr="005055EB">
        <w:rPr>
          <w:lang w:val="es-ES_tradnl"/>
        </w:rPr>
        <w:t>reducción de los HFC en el sector del consumo para la etapa I de los PAK en los países del artículo 5, el Comité Ejecutivo acordó utilizar los umbrales costo</w:t>
      </w:r>
      <w:r w:rsidR="003B4EA7" w:rsidRPr="005055EB">
        <w:rPr>
          <w:lang w:val="es-ES_tradnl"/>
        </w:rPr>
        <w:noBreakHyphen/>
      </w:r>
      <w:r w:rsidRPr="005055EB">
        <w:rPr>
          <w:lang w:val="es-ES_tradnl"/>
        </w:rPr>
        <w:t xml:space="preserve">beneficio y los </w:t>
      </w:r>
      <w:r w:rsidR="00DC4CE2" w:rsidRPr="005055EB">
        <w:rPr>
          <w:lang w:val="es-ES_tradnl"/>
        </w:rPr>
        <w:t xml:space="preserve">sobrecostos de operación </w:t>
      </w:r>
      <w:r w:rsidRPr="005055EB">
        <w:rPr>
          <w:lang w:val="es-ES_tradnl"/>
        </w:rPr>
        <w:t>especificados en el cuadro 1, que figura a continuación, para las empresas con un consumo de HFC superior a 15 toneladas métricas en el sector de la fabricación de equipos de refrigeración y aire acondicionado y para las empresas con un consumo de HFC superior a 20 toneladas métricas en el sector de las espumas de poliuretano.</w:t>
      </w:r>
    </w:p>
    <w:p w14:paraId="655EA2DC" w14:textId="154B13C0" w:rsidR="00F74A7B" w:rsidRPr="005055EB" w:rsidRDefault="00597146" w:rsidP="00BC5C2A">
      <w:pPr>
        <w:keepNext/>
        <w:keepLines/>
        <w:ind w:firstLine="720"/>
        <w:rPr>
          <w:lang w:val="es-ES_tradnl"/>
        </w:rPr>
      </w:pPr>
      <w:r w:rsidRPr="005055EB">
        <w:rPr>
          <w:lang w:val="es-ES_tradnl"/>
        </w:rPr>
        <w:lastRenderedPageBreak/>
        <w:t xml:space="preserve">Cuadro </w:t>
      </w:r>
      <w:r w:rsidR="00F74A7B" w:rsidRPr="005055EB">
        <w:rPr>
          <w:lang w:val="es-ES_tradnl"/>
        </w:rPr>
        <w:t xml:space="preserve">1 </w:t>
      </w:r>
    </w:p>
    <w:p w14:paraId="54582474" w14:textId="4DDEF0F9" w:rsidR="00597146" w:rsidRPr="005055EB" w:rsidRDefault="00597146" w:rsidP="00BC5C2A">
      <w:pPr>
        <w:pStyle w:val="Heading1"/>
        <w:keepNext/>
        <w:keepLines/>
        <w:numPr>
          <w:ilvl w:val="0"/>
          <w:numId w:val="0"/>
        </w:numPr>
        <w:spacing w:after="0"/>
        <w:ind w:left="720"/>
        <w:rPr>
          <w:b/>
          <w:bCs/>
          <w:lang w:val="es-ES_tradnl"/>
        </w:rPr>
      </w:pPr>
      <w:r w:rsidRPr="005055EB">
        <w:rPr>
          <w:b/>
          <w:bCs/>
          <w:lang w:val="es-ES_tradnl"/>
        </w:rPr>
        <w:t>Umbrales costo-beneficio y sobrecostos de operación para las empresas con un consumo de HFC superior a 15 toneladas métricas en el sector de la fabricación de aparatos de refrigeración y aire acondicionado y para las empresas con un consumo de HFC superior a 20 toneladas métricas en el sector de las espumas de poliuretano.</w:t>
      </w:r>
    </w:p>
    <w:tbl>
      <w:tblPr>
        <w:tblStyle w:val="TableGrid"/>
        <w:tblW w:w="4700" w:type="pct"/>
        <w:tblInd w:w="562" w:type="dxa"/>
        <w:tblLook w:val="04A0" w:firstRow="1" w:lastRow="0" w:firstColumn="1" w:lastColumn="0" w:noHBand="0" w:noVBand="1"/>
      </w:tblPr>
      <w:tblGrid>
        <w:gridCol w:w="3688"/>
        <w:gridCol w:w="2549"/>
        <w:gridCol w:w="2552"/>
      </w:tblGrid>
      <w:tr w:rsidR="00F74A7B" w:rsidRPr="005055EB" w14:paraId="0ABA2030" w14:textId="77777777" w:rsidTr="00C9254D">
        <w:trPr>
          <w:trHeight w:val="209"/>
        </w:trPr>
        <w:tc>
          <w:tcPr>
            <w:tcW w:w="2098" w:type="pct"/>
            <w:shd w:val="clear" w:color="auto" w:fill="auto"/>
            <w:vAlign w:val="center"/>
          </w:tcPr>
          <w:p w14:paraId="1E767E94" w14:textId="77777777" w:rsidR="00F74A7B" w:rsidRPr="005055EB" w:rsidRDefault="00F74A7B" w:rsidP="00BC5C2A">
            <w:pPr>
              <w:rPr>
                <w:b/>
                <w:bCs/>
                <w:sz w:val="20"/>
                <w:lang w:val="es-ES_tradnl"/>
              </w:rPr>
            </w:pPr>
            <w:r w:rsidRPr="005055EB">
              <w:rPr>
                <w:b/>
                <w:bCs/>
                <w:sz w:val="20"/>
                <w:lang w:val="es-ES_tradnl"/>
              </w:rPr>
              <w:t>Sector</w:t>
            </w:r>
          </w:p>
        </w:tc>
        <w:tc>
          <w:tcPr>
            <w:tcW w:w="1450" w:type="pct"/>
            <w:shd w:val="clear" w:color="auto" w:fill="auto"/>
          </w:tcPr>
          <w:p w14:paraId="42E2B3D4" w14:textId="1351C15B" w:rsidR="00F74A7B" w:rsidRPr="005055EB" w:rsidRDefault="00597146" w:rsidP="00BC5C2A">
            <w:pPr>
              <w:rPr>
                <w:rFonts w:eastAsia="Calibri"/>
                <w:b/>
                <w:bCs/>
                <w:sz w:val="20"/>
                <w:lang w:val="es-ES_tradnl"/>
              </w:rPr>
            </w:pPr>
            <w:r w:rsidRPr="005055EB">
              <w:rPr>
                <w:rFonts w:eastAsia="Calibri"/>
                <w:b/>
                <w:bCs/>
                <w:sz w:val="20"/>
                <w:lang w:val="es-ES_tradnl"/>
              </w:rPr>
              <w:t>Umbral costo-beneficio</w:t>
            </w:r>
            <w:r w:rsidR="00F74A7B" w:rsidRPr="005055EB">
              <w:rPr>
                <w:rFonts w:eastAsia="Calibri"/>
                <w:b/>
                <w:bCs/>
                <w:sz w:val="20"/>
                <w:lang w:val="es-ES_tradnl"/>
              </w:rPr>
              <w:t xml:space="preserve"> </w:t>
            </w:r>
            <w:r w:rsidR="00F74A7B" w:rsidRPr="005055EB">
              <w:rPr>
                <w:b/>
                <w:bCs/>
                <w:sz w:val="20"/>
                <w:lang w:val="es-ES_tradnl"/>
              </w:rPr>
              <w:t>(US</w:t>
            </w:r>
            <w:r w:rsidR="0064239C" w:rsidRPr="005055EB">
              <w:rPr>
                <w:b/>
                <w:bCs/>
                <w:sz w:val="20"/>
                <w:lang w:val="es-ES_tradnl"/>
              </w:rPr>
              <w:t>D/</w:t>
            </w:r>
            <w:r w:rsidR="00F74A7B" w:rsidRPr="005055EB">
              <w:rPr>
                <w:b/>
                <w:bCs/>
                <w:sz w:val="20"/>
                <w:lang w:val="es-ES_tradnl"/>
              </w:rPr>
              <w:t>kg)</w:t>
            </w:r>
          </w:p>
        </w:tc>
        <w:tc>
          <w:tcPr>
            <w:tcW w:w="1452" w:type="pct"/>
            <w:shd w:val="clear" w:color="auto" w:fill="auto"/>
          </w:tcPr>
          <w:p w14:paraId="0E19B179" w14:textId="114DFD83" w:rsidR="00F74A7B" w:rsidRPr="005055EB" w:rsidRDefault="008376E7" w:rsidP="00BC5C2A">
            <w:pPr>
              <w:rPr>
                <w:rFonts w:eastAsia="Calibri"/>
                <w:b/>
                <w:bCs/>
                <w:sz w:val="20"/>
                <w:lang w:val="es-ES_tradnl"/>
              </w:rPr>
            </w:pPr>
            <w:r w:rsidRPr="005055EB">
              <w:rPr>
                <w:rFonts w:eastAsia="Calibri"/>
                <w:b/>
                <w:bCs/>
                <w:sz w:val="20"/>
                <w:lang w:val="es-ES_tradnl"/>
              </w:rPr>
              <w:t>Sobrecostos de operación</w:t>
            </w:r>
            <w:r w:rsidR="00F74A7B" w:rsidRPr="005055EB">
              <w:rPr>
                <w:rFonts w:eastAsia="Calibri"/>
                <w:b/>
                <w:bCs/>
                <w:sz w:val="20"/>
                <w:lang w:val="es-ES_tradnl"/>
              </w:rPr>
              <w:t xml:space="preserve"> </w:t>
            </w:r>
            <w:r w:rsidR="00F74A7B" w:rsidRPr="005055EB">
              <w:rPr>
                <w:b/>
                <w:bCs/>
                <w:sz w:val="20"/>
                <w:lang w:val="es-ES_tradnl"/>
              </w:rPr>
              <w:t>(</w:t>
            </w:r>
            <w:r w:rsidR="0064239C" w:rsidRPr="005055EB">
              <w:rPr>
                <w:b/>
                <w:bCs/>
                <w:sz w:val="20"/>
                <w:lang w:val="es-ES_tradnl"/>
              </w:rPr>
              <w:t>USD/</w:t>
            </w:r>
            <w:r w:rsidR="00F74A7B" w:rsidRPr="005055EB">
              <w:rPr>
                <w:b/>
                <w:bCs/>
                <w:sz w:val="20"/>
                <w:lang w:val="es-ES_tradnl"/>
              </w:rPr>
              <w:t>kg)</w:t>
            </w:r>
          </w:p>
        </w:tc>
      </w:tr>
      <w:tr w:rsidR="008376E7" w:rsidRPr="005055EB" w14:paraId="6CABD73F" w14:textId="77777777" w:rsidTr="00C9254D">
        <w:trPr>
          <w:trHeight w:val="259"/>
        </w:trPr>
        <w:tc>
          <w:tcPr>
            <w:tcW w:w="2098" w:type="pct"/>
            <w:shd w:val="clear" w:color="auto" w:fill="auto"/>
          </w:tcPr>
          <w:p w14:paraId="217191E1" w14:textId="0A11BED4" w:rsidR="008376E7" w:rsidRPr="005055EB" w:rsidRDefault="008376E7" w:rsidP="00BC5C2A">
            <w:pPr>
              <w:rPr>
                <w:sz w:val="20"/>
                <w:szCs w:val="20"/>
                <w:lang w:val="es-ES_tradnl"/>
              </w:rPr>
            </w:pPr>
            <w:r w:rsidRPr="005055EB">
              <w:rPr>
                <w:sz w:val="20"/>
                <w:szCs w:val="20"/>
                <w:lang w:val="es-ES_tradnl"/>
              </w:rPr>
              <w:t>Refrigeración doméstica</w:t>
            </w:r>
          </w:p>
        </w:tc>
        <w:tc>
          <w:tcPr>
            <w:tcW w:w="1450" w:type="pct"/>
            <w:shd w:val="clear" w:color="auto" w:fill="auto"/>
          </w:tcPr>
          <w:p w14:paraId="1CF6204F" w14:textId="1A78D365" w:rsidR="008376E7" w:rsidRPr="005055EB" w:rsidRDefault="008376E7" w:rsidP="00BC5C2A">
            <w:pPr>
              <w:rPr>
                <w:rFonts w:eastAsia="Calibri"/>
                <w:sz w:val="20"/>
                <w:szCs w:val="20"/>
                <w:lang w:val="es-ES_tradnl"/>
              </w:rPr>
            </w:pPr>
            <w:r w:rsidRPr="005055EB">
              <w:rPr>
                <w:rFonts w:eastAsia="Calibri"/>
                <w:sz w:val="20"/>
                <w:szCs w:val="20"/>
                <w:lang w:val="es-ES_tradnl"/>
              </w:rPr>
              <w:t>13</w:t>
            </w:r>
            <w:r w:rsidR="0015620D" w:rsidRPr="005055EB">
              <w:rPr>
                <w:rFonts w:eastAsia="Calibri"/>
                <w:sz w:val="20"/>
                <w:szCs w:val="20"/>
                <w:lang w:val="es-ES_tradnl"/>
              </w:rPr>
              <w:t>,</w:t>
            </w:r>
            <w:r w:rsidRPr="005055EB">
              <w:rPr>
                <w:rFonts w:eastAsia="Calibri"/>
                <w:sz w:val="20"/>
                <w:szCs w:val="20"/>
                <w:lang w:val="es-ES_tradnl"/>
              </w:rPr>
              <w:t>76</w:t>
            </w:r>
          </w:p>
        </w:tc>
        <w:tc>
          <w:tcPr>
            <w:tcW w:w="1452" w:type="pct"/>
            <w:shd w:val="clear" w:color="auto" w:fill="auto"/>
          </w:tcPr>
          <w:p w14:paraId="294239B0" w14:textId="2FA41F6A" w:rsidR="008376E7" w:rsidRPr="005055EB" w:rsidRDefault="008376E7" w:rsidP="00BC5C2A">
            <w:pPr>
              <w:rPr>
                <w:rFonts w:eastAsia="Calibri"/>
                <w:sz w:val="20"/>
                <w:szCs w:val="20"/>
                <w:lang w:val="es-ES_tradnl"/>
              </w:rPr>
            </w:pPr>
            <w:r w:rsidRPr="005055EB">
              <w:rPr>
                <w:rFonts w:eastAsia="Calibri"/>
                <w:sz w:val="20"/>
                <w:szCs w:val="20"/>
                <w:lang w:val="es-ES_tradnl"/>
              </w:rPr>
              <w:t>5</w:t>
            </w:r>
            <w:r w:rsidR="0015620D" w:rsidRPr="005055EB">
              <w:rPr>
                <w:rFonts w:eastAsia="Calibri"/>
                <w:sz w:val="20"/>
                <w:szCs w:val="20"/>
                <w:lang w:val="es-ES_tradnl"/>
              </w:rPr>
              <w:t>,</w:t>
            </w:r>
            <w:r w:rsidRPr="005055EB">
              <w:rPr>
                <w:rFonts w:eastAsia="Calibri"/>
                <w:sz w:val="20"/>
                <w:szCs w:val="20"/>
                <w:lang w:val="es-ES_tradnl"/>
              </w:rPr>
              <w:t>75</w:t>
            </w:r>
          </w:p>
        </w:tc>
      </w:tr>
      <w:tr w:rsidR="008376E7" w:rsidRPr="005055EB" w14:paraId="48DC264C" w14:textId="77777777" w:rsidTr="00C9254D">
        <w:trPr>
          <w:trHeight w:val="259"/>
        </w:trPr>
        <w:tc>
          <w:tcPr>
            <w:tcW w:w="2098" w:type="pct"/>
            <w:shd w:val="clear" w:color="auto" w:fill="auto"/>
          </w:tcPr>
          <w:p w14:paraId="176D8293" w14:textId="55519035" w:rsidR="008376E7" w:rsidRPr="005055EB" w:rsidRDefault="008376E7" w:rsidP="00BC5C2A">
            <w:pPr>
              <w:rPr>
                <w:sz w:val="20"/>
                <w:szCs w:val="20"/>
                <w:lang w:val="es-ES_tradnl"/>
              </w:rPr>
            </w:pPr>
            <w:r w:rsidRPr="005055EB">
              <w:rPr>
                <w:sz w:val="20"/>
                <w:szCs w:val="20"/>
                <w:lang w:val="es-ES_tradnl"/>
              </w:rPr>
              <w:t>Refrigeración comercial</w:t>
            </w:r>
          </w:p>
        </w:tc>
        <w:tc>
          <w:tcPr>
            <w:tcW w:w="1450" w:type="pct"/>
            <w:shd w:val="clear" w:color="auto" w:fill="auto"/>
          </w:tcPr>
          <w:p w14:paraId="5F371073" w14:textId="024D6D21" w:rsidR="008376E7" w:rsidRPr="005055EB" w:rsidRDefault="008376E7" w:rsidP="00BC5C2A">
            <w:pPr>
              <w:rPr>
                <w:rFonts w:eastAsia="Calibri"/>
                <w:sz w:val="20"/>
                <w:szCs w:val="20"/>
                <w:lang w:val="es-ES_tradnl"/>
              </w:rPr>
            </w:pPr>
            <w:r w:rsidRPr="005055EB">
              <w:rPr>
                <w:rFonts w:eastAsia="Calibri"/>
                <w:sz w:val="20"/>
                <w:szCs w:val="20"/>
                <w:lang w:val="es-ES_tradnl"/>
              </w:rPr>
              <w:t>16</w:t>
            </w:r>
            <w:r w:rsidR="0015620D" w:rsidRPr="005055EB">
              <w:rPr>
                <w:rFonts w:eastAsia="Calibri"/>
                <w:sz w:val="20"/>
                <w:szCs w:val="20"/>
                <w:lang w:val="es-ES_tradnl"/>
              </w:rPr>
              <w:t>,</w:t>
            </w:r>
            <w:r w:rsidRPr="005055EB">
              <w:rPr>
                <w:rFonts w:eastAsia="Calibri"/>
                <w:sz w:val="20"/>
                <w:szCs w:val="20"/>
                <w:lang w:val="es-ES_tradnl"/>
              </w:rPr>
              <w:t>50</w:t>
            </w:r>
          </w:p>
        </w:tc>
        <w:tc>
          <w:tcPr>
            <w:tcW w:w="1452" w:type="pct"/>
            <w:shd w:val="clear" w:color="auto" w:fill="auto"/>
          </w:tcPr>
          <w:p w14:paraId="5E7EFDD1" w14:textId="6BCA4FA8" w:rsidR="008376E7" w:rsidRPr="005055EB" w:rsidRDefault="008376E7" w:rsidP="00BC5C2A">
            <w:pPr>
              <w:rPr>
                <w:rFonts w:eastAsia="Calibri"/>
                <w:sz w:val="20"/>
                <w:szCs w:val="20"/>
                <w:lang w:val="es-ES_tradnl"/>
              </w:rPr>
            </w:pPr>
            <w:r w:rsidRPr="005055EB">
              <w:rPr>
                <w:rFonts w:eastAsia="Calibri"/>
                <w:sz w:val="20"/>
                <w:szCs w:val="20"/>
                <w:lang w:val="es-ES_tradnl"/>
              </w:rPr>
              <w:t>5</w:t>
            </w:r>
            <w:r w:rsidR="0015620D" w:rsidRPr="005055EB">
              <w:rPr>
                <w:rFonts w:eastAsia="Calibri"/>
                <w:sz w:val="20"/>
                <w:szCs w:val="20"/>
                <w:lang w:val="es-ES_tradnl"/>
              </w:rPr>
              <w:t>,</w:t>
            </w:r>
            <w:r w:rsidRPr="005055EB">
              <w:rPr>
                <w:rFonts w:eastAsia="Calibri"/>
                <w:sz w:val="20"/>
                <w:szCs w:val="20"/>
                <w:lang w:val="es-ES_tradnl"/>
              </w:rPr>
              <w:t>50</w:t>
            </w:r>
          </w:p>
        </w:tc>
      </w:tr>
      <w:tr w:rsidR="008376E7" w:rsidRPr="005055EB" w14:paraId="11E0FB10" w14:textId="77777777" w:rsidTr="00C9254D">
        <w:trPr>
          <w:trHeight w:val="259"/>
        </w:trPr>
        <w:tc>
          <w:tcPr>
            <w:tcW w:w="2098" w:type="pct"/>
            <w:shd w:val="clear" w:color="auto" w:fill="auto"/>
          </w:tcPr>
          <w:p w14:paraId="40B6169D" w14:textId="2B7F0060" w:rsidR="008376E7" w:rsidRPr="005055EB" w:rsidRDefault="008376E7" w:rsidP="00BC5C2A">
            <w:pPr>
              <w:rPr>
                <w:sz w:val="20"/>
                <w:szCs w:val="20"/>
                <w:lang w:val="es-ES_tradnl"/>
              </w:rPr>
            </w:pPr>
            <w:r w:rsidRPr="005055EB">
              <w:rPr>
                <w:sz w:val="20"/>
                <w:szCs w:val="20"/>
                <w:lang w:val="es-ES_tradnl"/>
              </w:rPr>
              <w:t>Aire acondicionado estacionario - residencial</w:t>
            </w:r>
          </w:p>
        </w:tc>
        <w:tc>
          <w:tcPr>
            <w:tcW w:w="1450" w:type="pct"/>
            <w:shd w:val="clear" w:color="auto" w:fill="auto"/>
          </w:tcPr>
          <w:p w14:paraId="248E592E" w14:textId="5ADBC64F" w:rsidR="008376E7" w:rsidRPr="005055EB" w:rsidDel="00BF3797" w:rsidRDefault="008376E7" w:rsidP="00BC5C2A">
            <w:pPr>
              <w:rPr>
                <w:rFonts w:eastAsia="Calibri"/>
                <w:sz w:val="20"/>
                <w:szCs w:val="20"/>
                <w:lang w:val="es-ES_tradnl"/>
              </w:rPr>
            </w:pPr>
            <w:r w:rsidRPr="005055EB">
              <w:rPr>
                <w:rFonts w:eastAsia="Calibri"/>
                <w:sz w:val="20"/>
                <w:szCs w:val="20"/>
                <w:lang w:val="es-ES_tradnl"/>
              </w:rPr>
              <w:t>13</w:t>
            </w:r>
            <w:r w:rsidR="0015620D" w:rsidRPr="005055EB">
              <w:rPr>
                <w:rFonts w:eastAsia="Calibri"/>
                <w:sz w:val="20"/>
                <w:szCs w:val="20"/>
                <w:lang w:val="es-ES_tradnl"/>
              </w:rPr>
              <w:t>,</w:t>
            </w:r>
            <w:r w:rsidRPr="005055EB">
              <w:rPr>
                <w:rFonts w:eastAsia="Calibri"/>
                <w:sz w:val="20"/>
                <w:szCs w:val="20"/>
                <w:lang w:val="es-ES_tradnl"/>
              </w:rPr>
              <w:t>60</w:t>
            </w:r>
          </w:p>
        </w:tc>
        <w:tc>
          <w:tcPr>
            <w:tcW w:w="1452" w:type="pct"/>
            <w:shd w:val="clear" w:color="auto" w:fill="auto"/>
          </w:tcPr>
          <w:p w14:paraId="040012E1" w14:textId="10F8791E" w:rsidR="008376E7" w:rsidRPr="005055EB" w:rsidDel="00BF3797" w:rsidRDefault="008376E7" w:rsidP="00BC5C2A">
            <w:pPr>
              <w:rPr>
                <w:rFonts w:eastAsia="Calibri"/>
                <w:sz w:val="20"/>
                <w:szCs w:val="20"/>
                <w:lang w:val="es-ES_tradnl"/>
              </w:rPr>
            </w:pPr>
            <w:r w:rsidRPr="005055EB">
              <w:rPr>
                <w:rFonts w:eastAsia="Calibri"/>
                <w:sz w:val="20"/>
                <w:szCs w:val="20"/>
                <w:lang w:val="es-ES_tradnl"/>
              </w:rPr>
              <w:t>7</w:t>
            </w:r>
            <w:r w:rsidR="0015620D" w:rsidRPr="005055EB">
              <w:rPr>
                <w:rFonts w:eastAsia="Calibri"/>
                <w:sz w:val="20"/>
                <w:szCs w:val="20"/>
                <w:lang w:val="es-ES_tradnl"/>
              </w:rPr>
              <w:t>,</w:t>
            </w:r>
            <w:r w:rsidRPr="005055EB">
              <w:rPr>
                <w:rFonts w:eastAsia="Calibri"/>
                <w:sz w:val="20"/>
                <w:szCs w:val="20"/>
                <w:lang w:val="es-ES_tradnl"/>
              </w:rPr>
              <w:t>60</w:t>
            </w:r>
          </w:p>
        </w:tc>
      </w:tr>
      <w:tr w:rsidR="008376E7" w:rsidRPr="005055EB" w14:paraId="2B0A2041" w14:textId="77777777" w:rsidTr="00C9254D">
        <w:trPr>
          <w:trHeight w:val="259"/>
        </w:trPr>
        <w:tc>
          <w:tcPr>
            <w:tcW w:w="2098" w:type="pct"/>
            <w:shd w:val="clear" w:color="auto" w:fill="auto"/>
          </w:tcPr>
          <w:p w14:paraId="7F0C4690" w14:textId="6775981E" w:rsidR="008376E7" w:rsidRPr="005055EB" w:rsidRDefault="008376E7" w:rsidP="00BC5C2A">
            <w:pPr>
              <w:rPr>
                <w:sz w:val="20"/>
                <w:szCs w:val="20"/>
                <w:lang w:val="es-ES_tradnl"/>
              </w:rPr>
            </w:pPr>
            <w:r w:rsidRPr="005055EB">
              <w:rPr>
                <w:sz w:val="20"/>
                <w:szCs w:val="20"/>
                <w:lang w:val="es-ES_tradnl"/>
              </w:rPr>
              <w:t xml:space="preserve">Aire acondicionado estacionario - comercial </w:t>
            </w:r>
          </w:p>
        </w:tc>
        <w:tc>
          <w:tcPr>
            <w:tcW w:w="1450" w:type="pct"/>
            <w:shd w:val="clear" w:color="auto" w:fill="auto"/>
          </w:tcPr>
          <w:p w14:paraId="14FBF388" w14:textId="6F96DE8F" w:rsidR="008376E7" w:rsidRPr="005055EB" w:rsidDel="00BF3797" w:rsidRDefault="008376E7" w:rsidP="00BC5C2A">
            <w:pPr>
              <w:rPr>
                <w:rFonts w:eastAsia="Calibri"/>
                <w:sz w:val="20"/>
                <w:szCs w:val="20"/>
                <w:lang w:val="es-ES_tradnl"/>
              </w:rPr>
            </w:pPr>
            <w:r w:rsidRPr="005055EB">
              <w:rPr>
                <w:rFonts w:eastAsia="Calibri"/>
                <w:sz w:val="20"/>
                <w:szCs w:val="20"/>
                <w:lang w:val="es-ES_tradnl"/>
              </w:rPr>
              <w:t>15</w:t>
            </w:r>
            <w:r w:rsidR="0015620D" w:rsidRPr="005055EB">
              <w:rPr>
                <w:rFonts w:eastAsia="Calibri"/>
                <w:sz w:val="20"/>
                <w:szCs w:val="20"/>
                <w:lang w:val="es-ES_tradnl"/>
              </w:rPr>
              <w:t>,</w:t>
            </w:r>
            <w:r w:rsidRPr="005055EB">
              <w:rPr>
                <w:rFonts w:eastAsia="Calibri"/>
                <w:sz w:val="20"/>
                <w:szCs w:val="20"/>
                <w:lang w:val="es-ES_tradnl"/>
              </w:rPr>
              <w:t>00</w:t>
            </w:r>
          </w:p>
        </w:tc>
        <w:tc>
          <w:tcPr>
            <w:tcW w:w="1452" w:type="pct"/>
            <w:shd w:val="clear" w:color="auto" w:fill="auto"/>
          </w:tcPr>
          <w:p w14:paraId="20BA6D91" w14:textId="09E1B7A9" w:rsidR="008376E7" w:rsidRPr="005055EB" w:rsidDel="00BF3797" w:rsidRDefault="008376E7" w:rsidP="00BC5C2A">
            <w:pPr>
              <w:rPr>
                <w:rFonts w:eastAsia="Calibri"/>
                <w:sz w:val="20"/>
                <w:szCs w:val="20"/>
                <w:lang w:val="es-ES_tradnl"/>
              </w:rPr>
            </w:pPr>
            <w:r w:rsidRPr="005055EB">
              <w:rPr>
                <w:rFonts w:eastAsia="Calibri"/>
                <w:sz w:val="20"/>
                <w:szCs w:val="20"/>
                <w:lang w:val="es-ES_tradnl"/>
              </w:rPr>
              <w:t>7</w:t>
            </w:r>
            <w:r w:rsidR="0015620D" w:rsidRPr="005055EB">
              <w:rPr>
                <w:rFonts w:eastAsia="Calibri"/>
                <w:sz w:val="20"/>
                <w:szCs w:val="20"/>
                <w:lang w:val="es-ES_tradnl"/>
              </w:rPr>
              <w:t>,</w:t>
            </w:r>
            <w:r w:rsidRPr="005055EB">
              <w:rPr>
                <w:rFonts w:eastAsia="Calibri"/>
                <w:sz w:val="20"/>
                <w:szCs w:val="20"/>
                <w:lang w:val="es-ES_tradnl"/>
              </w:rPr>
              <w:t>90</w:t>
            </w:r>
          </w:p>
        </w:tc>
      </w:tr>
      <w:tr w:rsidR="008376E7" w:rsidRPr="005055EB" w14:paraId="193EAB3B" w14:textId="77777777" w:rsidTr="00C9254D">
        <w:trPr>
          <w:trHeight w:val="259"/>
        </w:trPr>
        <w:tc>
          <w:tcPr>
            <w:tcW w:w="2098" w:type="pct"/>
            <w:shd w:val="clear" w:color="auto" w:fill="auto"/>
          </w:tcPr>
          <w:p w14:paraId="3E842984" w14:textId="7B768D46" w:rsidR="008376E7" w:rsidRPr="005055EB" w:rsidRDefault="008376E7" w:rsidP="00BC5C2A">
            <w:pPr>
              <w:rPr>
                <w:sz w:val="20"/>
                <w:szCs w:val="20"/>
                <w:lang w:val="es-ES_tradnl"/>
              </w:rPr>
            </w:pPr>
            <w:r w:rsidRPr="005055EB">
              <w:rPr>
                <w:sz w:val="20"/>
                <w:szCs w:val="20"/>
                <w:lang w:val="es-ES_tradnl"/>
              </w:rPr>
              <w:t>Refrigeración industrial/transporte</w:t>
            </w:r>
          </w:p>
        </w:tc>
        <w:tc>
          <w:tcPr>
            <w:tcW w:w="1450" w:type="pct"/>
            <w:shd w:val="clear" w:color="auto" w:fill="auto"/>
          </w:tcPr>
          <w:p w14:paraId="6F3986DD" w14:textId="4826B39B" w:rsidR="008376E7" w:rsidRPr="005055EB" w:rsidRDefault="008376E7" w:rsidP="00BC5C2A">
            <w:pPr>
              <w:rPr>
                <w:rFonts w:eastAsia="Calibri"/>
                <w:sz w:val="20"/>
                <w:szCs w:val="20"/>
                <w:lang w:val="es-ES_tradnl"/>
              </w:rPr>
            </w:pPr>
            <w:r w:rsidRPr="005055EB">
              <w:rPr>
                <w:rFonts w:eastAsia="Calibri"/>
                <w:sz w:val="20"/>
                <w:szCs w:val="20"/>
                <w:lang w:val="es-ES_tradnl"/>
              </w:rPr>
              <w:t>Caso por caso</w:t>
            </w:r>
          </w:p>
        </w:tc>
        <w:tc>
          <w:tcPr>
            <w:tcW w:w="1452" w:type="pct"/>
            <w:shd w:val="clear" w:color="auto" w:fill="auto"/>
          </w:tcPr>
          <w:p w14:paraId="0CF7CB4B" w14:textId="3B9C0E7B" w:rsidR="008376E7" w:rsidRPr="005055EB" w:rsidRDefault="008376E7" w:rsidP="00BC5C2A">
            <w:pPr>
              <w:rPr>
                <w:rFonts w:eastAsia="Calibri"/>
                <w:sz w:val="20"/>
                <w:szCs w:val="20"/>
                <w:lang w:val="es-ES_tradnl"/>
              </w:rPr>
            </w:pPr>
            <w:r w:rsidRPr="005055EB">
              <w:rPr>
                <w:rFonts w:eastAsia="Calibri"/>
                <w:sz w:val="20"/>
                <w:szCs w:val="20"/>
                <w:lang w:val="es-ES_tradnl"/>
              </w:rPr>
              <w:t>Caso por caso</w:t>
            </w:r>
          </w:p>
        </w:tc>
      </w:tr>
      <w:tr w:rsidR="008376E7" w:rsidRPr="005055EB" w14:paraId="1322B999" w14:textId="77777777" w:rsidTr="00C9254D">
        <w:trPr>
          <w:trHeight w:val="259"/>
        </w:trPr>
        <w:tc>
          <w:tcPr>
            <w:tcW w:w="2098" w:type="pct"/>
            <w:shd w:val="clear" w:color="auto" w:fill="auto"/>
          </w:tcPr>
          <w:p w14:paraId="143BA5A4" w14:textId="15CE549B" w:rsidR="008376E7" w:rsidRPr="005055EB" w:rsidRDefault="008376E7" w:rsidP="00BC5C2A">
            <w:pPr>
              <w:rPr>
                <w:sz w:val="20"/>
                <w:szCs w:val="20"/>
                <w:lang w:val="es-ES_tradnl"/>
              </w:rPr>
            </w:pPr>
            <w:r w:rsidRPr="005055EB">
              <w:rPr>
                <w:sz w:val="20"/>
                <w:szCs w:val="20"/>
                <w:lang w:val="es-ES_tradnl"/>
              </w:rPr>
              <w:t>Espuma de poliuretano</w:t>
            </w:r>
          </w:p>
        </w:tc>
        <w:tc>
          <w:tcPr>
            <w:tcW w:w="1450" w:type="pct"/>
            <w:shd w:val="clear" w:color="auto" w:fill="auto"/>
          </w:tcPr>
          <w:p w14:paraId="4F4E48B0" w14:textId="341AAFBA" w:rsidR="008376E7" w:rsidRPr="005055EB" w:rsidDel="00BF3797" w:rsidRDefault="008376E7" w:rsidP="00BC5C2A">
            <w:pPr>
              <w:rPr>
                <w:rFonts w:eastAsia="Calibri"/>
                <w:sz w:val="20"/>
                <w:szCs w:val="20"/>
                <w:lang w:val="es-ES_tradnl"/>
              </w:rPr>
            </w:pPr>
            <w:r w:rsidRPr="005055EB">
              <w:rPr>
                <w:rFonts w:eastAsia="Calibri"/>
                <w:sz w:val="20"/>
                <w:szCs w:val="20"/>
                <w:lang w:val="es-ES_tradnl"/>
              </w:rPr>
              <w:t>9</w:t>
            </w:r>
            <w:r w:rsidR="0015620D" w:rsidRPr="005055EB">
              <w:rPr>
                <w:rFonts w:eastAsia="Calibri"/>
                <w:sz w:val="20"/>
                <w:szCs w:val="20"/>
                <w:lang w:val="es-ES_tradnl"/>
              </w:rPr>
              <w:t>,</w:t>
            </w:r>
            <w:r w:rsidRPr="005055EB">
              <w:rPr>
                <w:rFonts w:eastAsia="Calibri"/>
                <w:sz w:val="20"/>
                <w:szCs w:val="20"/>
                <w:lang w:val="es-ES_tradnl"/>
              </w:rPr>
              <w:t>00</w:t>
            </w:r>
          </w:p>
        </w:tc>
        <w:tc>
          <w:tcPr>
            <w:tcW w:w="1452" w:type="pct"/>
            <w:shd w:val="clear" w:color="auto" w:fill="auto"/>
          </w:tcPr>
          <w:p w14:paraId="0947660D" w14:textId="0EB71CD9" w:rsidR="008376E7" w:rsidRPr="005055EB" w:rsidDel="00BF3797" w:rsidRDefault="008376E7" w:rsidP="00BC5C2A">
            <w:pPr>
              <w:rPr>
                <w:rFonts w:eastAsia="Calibri"/>
                <w:sz w:val="20"/>
                <w:szCs w:val="20"/>
                <w:lang w:val="es-ES_tradnl"/>
              </w:rPr>
            </w:pPr>
            <w:r w:rsidRPr="005055EB">
              <w:rPr>
                <w:rFonts w:eastAsia="Calibri"/>
                <w:sz w:val="20"/>
                <w:szCs w:val="20"/>
                <w:lang w:val="es-ES_tradnl"/>
              </w:rPr>
              <w:t>5</w:t>
            </w:r>
            <w:r w:rsidR="0015620D" w:rsidRPr="005055EB">
              <w:rPr>
                <w:rFonts w:eastAsia="Calibri"/>
                <w:sz w:val="20"/>
                <w:szCs w:val="20"/>
                <w:lang w:val="es-ES_tradnl"/>
              </w:rPr>
              <w:t>,</w:t>
            </w:r>
            <w:r w:rsidRPr="005055EB">
              <w:rPr>
                <w:rFonts w:eastAsia="Calibri"/>
                <w:sz w:val="20"/>
                <w:szCs w:val="20"/>
                <w:lang w:val="es-ES_tradnl"/>
              </w:rPr>
              <w:t>20</w:t>
            </w:r>
          </w:p>
        </w:tc>
      </w:tr>
      <w:tr w:rsidR="008376E7" w:rsidRPr="005055EB" w14:paraId="7B4683E6" w14:textId="77777777" w:rsidTr="00C9254D">
        <w:trPr>
          <w:trHeight w:val="259"/>
        </w:trPr>
        <w:tc>
          <w:tcPr>
            <w:tcW w:w="2098" w:type="pct"/>
            <w:shd w:val="clear" w:color="auto" w:fill="auto"/>
          </w:tcPr>
          <w:p w14:paraId="3636D0E3" w14:textId="6BF1179C" w:rsidR="008376E7" w:rsidRPr="005055EB" w:rsidRDefault="008376E7" w:rsidP="00BC5C2A">
            <w:pPr>
              <w:rPr>
                <w:sz w:val="20"/>
                <w:szCs w:val="20"/>
                <w:lang w:val="es-ES_tradnl"/>
              </w:rPr>
            </w:pPr>
            <w:r w:rsidRPr="005055EB">
              <w:rPr>
                <w:sz w:val="20"/>
                <w:szCs w:val="20"/>
                <w:lang w:val="es-ES_tradnl"/>
              </w:rPr>
              <w:t>Todos los demás sectores</w:t>
            </w:r>
          </w:p>
        </w:tc>
        <w:tc>
          <w:tcPr>
            <w:tcW w:w="1450" w:type="pct"/>
            <w:shd w:val="clear" w:color="auto" w:fill="auto"/>
          </w:tcPr>
          <w:p w14:paraId="6FF8780B" w14:textId="5AA2EE3C" w:rsidR="008376E7" w:rsidRPr="005055EB" w:rsidRDefault="008376E7" w:rsidP="00BC5C2A">
            <w:pPr>
              <w:rPr>
                <w:rFonts w:eastAsia="Calibri"/>
                <w:sz w:val="20"/>
                <w:szCs w:val="20"/>
                <w:lang w:val="es-ES_tradnl"/>
              </w:rPr>
            </w:pPr>
            <w:r w:rsidRPr="005055EB">
              <w:rPr>
                <w:rFonts w:eastAsia="Calibri"/>
                <w:sz w:val="20"/>
                <w:szCs w:val="20"/>
                <w:lang w:val="es-ES_tradnl"/>
              </w:rPr>
              <w:t>Caso por caso</w:t>
            </w:r>
          </w:p>
        </w:tc>
        <w:tc>
          <w:tcPr>
            <w:tcW w:w="1452" w:type="pct"/>
            <w:shd w:val="clear" w:color="auto" w:fill="auto"/>
          </w:tcPr>
          <w:p w14:paraId="2A222732" w14:textId="608AC6E2" w:rsidR="008376E7" w:rsidRPr="005055EB" w:rsidRDefault="008376E7" w:rsidP="00BC5C2A">
            <w:pPr>
              <w:rPr>
                <w:rFonts w:eastAsia="Calibri"/>
                <w:sz w:val="20"/>
                <w:szCs w:val="20"/>
                <w:lang w:val="es-ES_tradnl"/>
              </w:rPr>
            </w:pPr>
            <w:r w:rsidRPr="005055EB">
              <w:rPr>
                <w:rFonts w:eastAsia="Calibri"/>
                <w:sz w:val="20"/>
                <w:szCs w:val="20"/>
                <w:lang w:val="es-ES_tradnl"/>
              </w:rPr>
              <w:t>Caso por caso</w:t>
            </w:r>
          </w:p>
        </w:tc>
      </w:tr>
    </w:tbl>
    <w:p w14:paraId="5B3F0D7B" w14:textId="77777777" w:rsidR="00F74A7B" w:rsidRPr="005055EB" w:rsidRDefault="00F74A7B" w:rsidP="00BC5C2A">
      <w:pPr>
        <w:pStyle w:val="Heading1"/>
        <w:numPr>
          <w:ilvl w:val="0"/>
          <w:numId w:val="0"/>
        </w:numPr>
        <w:spacing w:after="0"/>
        <w:rPr>
          <w:lang w:val="es-ES_tradnl"/>
        </w:rPr>
      </w:pPr>
    </w:p>
    <w:p w14:paraId="3115BD32" w14:textId="6208AA1A" w:rsidR="005F2BB7" w:rsidRPr="005055EB" w:rsidRDefault="008376E7" w:rsidP="00BC5C2A">
      <w:pPr>
        <w:pStyle w:val="Heading1"/>
        <w:rPr>
          <w:lang w:val="es-ES_tradnl"/>
        </w:rPr>
      </w:pPr>
      <w:r w:rsidRPr="005055EB">
        <w:rPr>
          <w:lang w:val="es-ES_tradnl"/>
        </w:rPr>
        <w:t xml:space="preserve">El Comité Ejecutivo definió </w:t>
      </w:r>
      <w:r w:rsidR="005E0EC1" w:rsidRPr="005055EB">
        <w:rPr>
          <w:lang w:val="es-ES_tradnl"/>
        </w:rPr>
        <w:t xml:space="preserve">a </w:t>
      </w:r>
      <w:r w:rsidRPr="005055EB">
        <w:rPr>
          <w:lang w:val="es-ES_tradnl"/>
        </w:rPr>
        <w:t xml:space="preserve">las pequeñas y medianas empresas (PYME) del sector de fabricación de espumas de poliuretano como empresas con un consumo de HFC igual o inferior a 20 toneladas métricas. El Comité también definió las PYME del sector de fabricación de equipos </w:t>
      </w:r>
      <w:r w:rsidR="005E0EC1" w:rsidRPr="005055EB">
        <w:rPr>
          <w:lang w:val="es-ES_tradnl"/>
        </w:rPr>
        <w:t xml:space="preserve">comerciales </w:t>
      </w:r>
      <w:r w:rsidRPr="005055EB">
        <w:rPr>
          <w:lang w:val="es-ES_tradnl"/>
        </w:rPr>
        <w:t xml:space="preserve">de refrigeración y aire acondicionado como empresas con un consumo de HFC </w:t>
      </w:r>
      <w:r w:rsidR="005E0EC1" w:rsidRPr="005055EB">
        <w:rPr>
          <w:lang w:val="es-ES_tradnl"/>
        </w:rPr>
        <w:t xml:space="preserve">igual o inferior a </w:t>
      </w:r>
      <w:r w:rsidRPr="005055EB">
        <w:rPr>
          <w:lang w:val="es-ES_tradnl"/>
        </w:rPr>
        <w:t>15 toneladas, en el entendi</w:t>
      </w:r>
      <w:r w:rsidR="005E0EC1" w:rsidRPr="005055EB">
        <w:rPr>
          <w:lang w:val="es-ES_tradnl"/>
        </w:rPr>
        <w:t>d</w:t>
      </w:r>
      <w:r w:rsidRPr="005055EB">
        <w:rPr>
          <w:lang w:val="es-ES_tradnl"/>
        </w:rPr>
        <w:t>o de que se tendría en cuenta la totalidad del consumo de HFC</w:t>
      </w:r>
      <w:r w:rsidR="005E0EC1" w:rsidRPr="005055EB">
        <w:rPr>
          <w:lang w:val="es-ES_tradnl"/>
        </w:rPr>
        <w:t xml:space="preserve"> por parte</w:t>
      </w:r>
      <w:r w:rsidRPr="005055EB">
        <w:rPr>
          <w:lang w:val="es-ES_tradnl"/>
        </w:rPr>
        <w:t xml:space="preserve"> de la empresa, y no sólo el consumo de la línea o </w:t>
      </w:r>
      <w:r w:rsidR="005E0EC1" w:rsidRPr="005055EB">
        <w:rPr>
          <w:lang w:val="es-ES_tradnl"/>
        </w:rPr>
        <w:t xml:space="preserve">el </w:t>
      </w:r>
      <w:r w:rsidRPr="005055EB">
        <w:rPr>
          <w:lang w:val="es-ES_tradnl"/>
        </w:rPr>
        <w:t xml:space="preserve">proceso </w:t>
      </w:r>
      <w:r w:rsidR="005E0EC1" w:rsidRPr="005055EB">
        <w:rPr>
          <w:lang w:val="es-ES_tradnl"/>
        </w:rPr>
        <w:t>que se convertir</w:t>
      </w:r>
      <w:r w:rsidR="005E0EC1" w:rsidRPr="005055EB">
        <w:rPr>
          <w:lang w:val="es-ES"/>
        </w:rPr>
        <w:t>á</w:t>
      </w:r>
      <w:r w:rsidRPr="005055EB">
        <w:rPr>
          <w:lang w:val="es-ES_tradnl"/>
        </w:rPr>
        <w:t xml:space="preserve">; que una empresa que fabricase más de 40.000 </w:t>
      </w:r>
      <w:r w:rsidR="005E0EC1" w:rsidRPr="005055EB">
        <w:rPr>
          <w:lang w:val="es-ES_tradnl"/>
        </w:rPr>
        <w:t xml:space="preserve">aparatos al </w:t>
      </w:r>
      <w:r w:rsidRPr="005055EB">
        <w:rPr>
          <w:lang w:val="es-ES_tradnl"/>
        </w:rPr>
        <w:t xml:space="preserve">año, independientemente de si todos esos equipos </w:t>
      </w:r>
      <w:r w:rsidR="005E0EC1" w:rsidRPr="005055EB">
        <w:rPr>
          <w:lang w:val="es-ES_tradnl"/>
        </w:rPr>
        <w:t>funciona</w:t>
      </w:r>
      <w:r w:rsidR="00D12D72" w:rsidRPr="005055EB">
        <w:rPr>
          <w:lang w:val="es-ES_tradnl"/>
        </w:rPr>
        <w:t>ra</w:t>
      </w:r>
      <w:r w:rsidR="005E0EC1" w:rsidRPr="005055EB">
        <w:rPr>
          <w:lang w:val="es-ES_tradnl"/>
        </w:rPr>
        <w:t xml:space="preserve">n con </w:t>
      </w:r>
      <w:r w:rsidRPr="005055EB">
        <w:rPr>
          <w:lang w:val="es-ES_tradnl"/>
        </w:rPr>
        <w:t xml:space="preserve">HFC, no se consideraría una PYME a efectos de financiación; y no se consideraría </w:t>
      </w:r>
      <w:r w:rsidR="005E0EC1" w:rsidRPr="005055EB">
        <w:rPr>
          <w:lang w:val="es-ES_tradnl"/>
        </w:rPr>
        <w:t xml:space="preserve">que </w:t>
      </w:r>
      <w:r w:rsidRPr="005055EB">
        <w:rPr>
          <w:lang w:val="es-ES_tradnl"/>
        </w:rPr>
        <w:t xml:space="preserve">una </w:t>
      </w:r>
      <w:r w:rsidR="00D12D72" w:rsidRPr="005055EB">
        <w:rPr>
          <w:lang w:val="es-ES_tradnl"/>
        </w:rPr>
        <w:t xml:space="preserve">empresa es una </w:t>
      </w:r>
      <w:r w:rsidRPr="005055EB">
        <w:rPr>
          <w:lang w:val="es-ES_tradnl"/>
        </w:rPr>
        <w:t xml:space="preserve">PYME si era propiedad o </w:t>
      </w:r>
      <w:r w:rsidR="00D12D72" w:rsidRPr="005055EB">
        <w:rPr>
          <w:lang w:val="es-ES_tradnl"/>
        </w:rPr>
        <w:t xml:space="preserve">en parte propiedad de una empresa </w:t>
      </w:r>
      <w:r w:rsidRPr="005055EB">
        <w:rPr>
          <w:lang w:val="es-ES_tradnl"/>
        </w:rPr>
        <w:t xml:space="preserve">multinacional, independientemente de si esa </w:t>
      </w:r>
      <w:r w:rsidR="00D12D72" w:rsidRPr="005055EB">
        <w:rPr>
          <w:lang w:val="es-ES_tradnl"/>
        </w:rPr>
        <w:t xml:space="preserve">empresa era </w:t>
      </w:r>
      <w:r w:rsidRPr="005055EB">
        <w:rPr>
          <w:lang w:val="es-ES_tradnl"/>
        </w:rPr>
        <w:t>propiedad de un país del Artículo</w:t>
      </w:r>
      <w:r w:rsidR="005F2BB7" w:rsidRPr="005055EB">
        <w:rPr>
          <w:lang w:val="es-ES_tradnl"/>
        </w:rPr>
        <w:t> </w:t>
      </w:r>
      <w:r w:rsidRPr="005055EB">
        <w:rPr>
          <w:lang w:val="es-ES_tradnl"/>
        </w:rPr>
        <w:t>5.</w:t>
      </w:r>
    </w:p>
    <w:p w14:paraId="0B1EE5E3" w14:textId="0E3617F4" w:rsidR="005F2BB7" w:rsidRPr="005055EB" w:rsidRDefault="00DA6A4C" w:rsidP="00BC5C2A">
      <w:pPr>
        <w:pStyle w:val="Heading1"/>
        <w:rPr>
          <w:lang w:val="es-ES_tradnl"/>
        </w:rPr>
      </w:pPr>
      <w:r w:rsidRPr="005055EB">
        <w:rPr>
          <w:lang w:val="es-ES_tradnl"/>
        </w:rPr>
        <w:t>El Comité Ejecutivo acordó proporcionar una financiación del 32</w:t>
      </w:r>
      <w:r w:rsidR="00406CC3" w:rsidRPr="005055EB">
        <w:rPr>
          <w:lang w:val="es-ES_tradnl"/>
        </w:rPr>
        <w:t> %</w:t>
      </w:r>
      <w:r w:rsidRPr="005055EB">
        <w:rPr>
          <w:lang w:val="es-ES_tradnl"/>
        </w:rPr>
        <w:t xml:space="preserve"> por encima de los umbrales costo-beneficio del cuadro 1 para las PYME con un consumo de HFC igual o inferior a 15 toneladas métricas en el sector de la refrigeración y el aire acondicionado y proporcionar una financiación del 40</w:t>
      </w:r>
      <w:r w:rsidR="00406CC3" w:rsidRPr="005055EB">
        <w:rPr>
          <w:lang w:val="es-ES_tradnl"/>
        </w:rPr>
        <w:t> %</w:t>
      </w:r>
      <w:r w:rsidRPr="005055EB">
        <w:rPr>
          <w:lang w:val="es-ES_tradnl"/>
        </w:rPr>
        <w:t xml:space="preserve"> por encima del umbral costo-beneficio del cuadro 1 para las PYME con un consumo de HFC igual o inferior a 20 toneladas métricas en el sector de las espumas de poliuretano.</w:t>
      </w:r>
    </w:p>
    <w:p w14:paraId="40AF8940" w14:textId="1D5C6B9F" w:rsidR="005F2BB7" w:rsidRPr="005055EB" w:rsidRDefault="00DA6A4C" w:rsidP="00BC5C2A">
      <w:pPr>
        <w:pStyle w:val="Heading1"/>
        <w:rPr>
          <w:lang w:val="es-ES_tradnl"/>
        </w:rPr>
      </w:pPr>
      <w:r w:rsidRPr="005055EB">
        <w:rPr>
          <w:lang w:val="es-ES_tradnl"/>
        </w:rPr>
        <w:t>Se decidió que las empresas con un consumo inferior a 1,5 toneladas métricas que formaran parte de un proyecto</w:t>
      </w:r>
      <w:r w:rsidR="00EE5AD6" w:rsidRPr="005055EB">
        <w:rPr>
          <w:lang w:val="es-ES_tradnl"/>
        </w:rPr>
        <w:t xml:space="preserve"> general</w:t>
      </w:r>
      <w:r w:rsidRPr="005055EB">
        <w:rPr>
          <w:lang w:val="es-ES_tradnl"/>
        </w:rPr>
        <w:t xml:space="preserve"> podrían recibir financiación de hasta 2,5 veces el umbral costo-beneficio especificado en el cuadro 1, siempre que el costo-beneficio global del proyecto </w:t>
      </w:r>
      <w:r w:rsidR="00EE5AD6" w:rsidRPr="005055EB">
        <w:rPr>
          <w:lang w:val="es-ES_tradnl"/>
        </w:rPr>
        <w:t>general</w:t>
      </w:r>
      <w:r w:rsidRPr="005055EB">
        <w:rPr>
          <w:lang w:val="es-ES_tradnl"/>
        </w:rPr>
        <w:t xml:space="preserve"> no fuera superior a 1,5 veces el umbral sectorial o los umbrales especificados para las PYME en el párrafo </w:t>
      </w:r>
      <w:r w:rsidRPr="005055EB">
        <w:rPr>
          <w:highlight w:val="yellow"/>
          <w:lang w:val="es-ES_tradnl"/>
        </w:rPr>
        <w:t>13</w:t>
      </w:r>
      <w:r w:rsidR="009D4A91" w:rsidRPr="005055EB">
        <w:rPr>
          <w:lang w:val="es-ES_tradnl"/>
        </w:rPr>
        <w:t xml:space="preserve"> </w:t>
      </w:r>
      <w:r w:rsidR="009D4A91" w:rsidRPr="005055EB">
        <w:rPr>
          <w:i/>
          <w:iCs/>
          <w:lang w:val="es-ES_tradnl"/>
        </w:rPr>
        <w:t>supra</w:t>
      </w:r>
      <w:r w:rsidRPr="005055EB">
        <w:rPr>
          <w:lang w:val="es-ES_tradnl"/>
        </w:rPr>
        <w:t xml:space="preserve">, si el proyecto </w:t>
      </w:r>
      <w:r w:rsidR="00EE5AD6" w:rsidRPr="005055EB">
        <w:rPr>
          <w:lang w:val="es-ES_tradnl"/>
        </w:rPr>
        <w:t>general</w:t>
      </w:r>
      <w:r w:rsidRPr="005055EB">
        <w:rPr>
          <w:lang w:val="es-ES_tradnl"/>
        </w:rPr>
        <w:t xml:space="preserve"> incluyera sólo PYME. También se decidió que el proyecto </w:t>
      </w:r>
      <w:r w:rsidR="00EE5AD6" w:rsidRPr="005055EB">
        <w:rPr>
          <w:lang w:val="es-ES_tradnl"/>
        </w:rPr>
        <w:t>general</w:t>
      </w:r>
      <w:r w:rsidRPr="005055EB">
        <w:rPr>
          <w:lang w:val="es-ES_tradnl"/>
        </w:rPr>
        <w:t xml:space="preserve"> </w:t>
      </w:r>
      <w:r w:rsidR="00AB6B86" w:rsidRPr="005055EB">
        <w:rPr>
          <w:lang w:val="es-ES_tradnl"/>
        </w:rPr>
        <w:t xml:space="preserve">incluyera </w:t>
      </w:r>
      <w:r w:rsidRPr="005055EB">
        <w:rPr>
          <w:lang w:val="es-ES_tradnl"/>
        </w:rPr>
        <w:t xml:space="preserve">a todas las empresas restantes de un sector o subsector para el que se hubieran establecido umbrales costo-beneficio. Se entendía que el país </w:t>
      </w:r>
      <w:r w:rsidR="0037332D" w:rsidRPr="005055EB">
        <w:rPr>
          <w:lang w:val="es-ES_tradnl"/>
        </w:rPr>
        <w:t>del caso</w:t>
      </w:r>
      <w:r w:rsidRPr="005055EB">
        <w:rPr>
          <w:lang w:val="es-ES_tradnl"/>
        </w:rPr>
        <w:t xml:space="preserve"> no presentaría </w:t>
      </w:r>
      <w:r w:rsidR="0037332D" w:rsidRPr="005055EB">
        <w:rPr>
          <w:lang w:val="es-ES_tradnl"/>
        </w:rPr>
        <w:t xml:space="preserve">ninguna solicitud ulterior </w:t>
      </w:r>
      <w:r w:rsidRPr="005055EB">
        <w:rPr>
          <w:lang w:val="es-ES_tradnl"/>
        </w:rPr>
        <w:t xml:space="preserve">de financiación al Fondo Multilateral </w:t>
      </w:r>
      <w:r w:rsidR="0037332D" w:rsidRPr="005055EB">
        <w:rPr>
          <w:lang w:val="es-ES_tradnl"/>
        </w:rPr>
        <w:t xml:space="preserve">respecto a ninguna </w:t>
      </w:r>
      <w:r w:rsidRPr="005055EB">
        <w:rPr>
          <w:lang w:val="es-ES_tradnl"/>
        </w:rPr>
        <w:t xml:space="preserve">empresa </w:t>
      </w:r>
      <w:r w:rsidR="0037332D" w:rsidRPr="005055EB">
        <w:rPr>
          <w:lang w:val="es-ES_tradnl"/>
        </w:rPr>
        <w:t xml:space="preserve">en dicho </w:t>
      </w:r>
      <w:r w:rsidRPr="005055EB">
        <w:rPr>
          <w:lang w:val="es-ES_tradnl"/>
        </w:rPr>
        <w:t xml:space="preserve">sector o subsector, de acuerdo con el párrafo a) de la decisión 19/32, que esboza las condiciones de admisibilidad para la financiación de los proyectos </w:t>
      </w:r>
      <w:r w:rsidR="00EE5AD6" w:rsidRPr="005055EB">
        <w:rPr>
          <w:lang w:val="es-ES_tradnl"/>
        </w:rPr>
        <w:t>generales</w:t>
      </w:r>
      <w:r w:rsidRPr="005055EB">
        <w:rPr>
          <w:lang w:val="es-ES_tradnl"/>
        </w:rPr>
        <w:t>.</w:t>
      </w:r>
    </w:p>
    <w:p w14:paraId="56F9F40E" w14:textId="0E9336F2" w:rsidR="00DA6A4C" w:rsidRPr="005055EB" w:rsidRDefault="00DA6A4C" w:rsidP="00BC5C2A">
      <w:pPr>
        <w:pStyle w:val="Heading1"/>
        <w:tabs>
          <w:tab w:val="left" w:pos="709"/>
        </w:tabs>
        <w:rPr>
          <w:lang w:val="es-ES_tradnl"/>
        </w:rPr>
      </w:pPr>
      <w:r w:rsidRPr="005055EB">
        <w:rPr>
          <w:lang w:val="es-ES_tradnl"/>
        </w:rPr>
        <w:t>Cuando se demostrara claramente que el uso de alternativas de bajo PCA con los sobrecostos de operación indicados en el cuadro 1 no era viable, el Comité Ejecutivo decidió que consideraría una financiación superior a dichos sobrecostos, dentro del umbral costo-beneficio aplicable, cuando fuera necesaria para la introducción de alternativas de bajo PCA por parte de las PYME. En tales casos, la justificación para solicitar niveles superiores de sobrecostos de operación deberá documentarse claramente y presentarse al Comité Ejecutivo para su consideración individual.</w:t>
      </w:r>
    </w:p>
    <w:p w14:paraId="2DE66AF0" w14:textId="3EC76A22" w:rsidR="00F74A7B" w:rsidRPr="005055EB" w:rsidRDefault="008B75BD" w:rsidP="00BC5C2A">
      <w:pPr>
        <w:spacing w:after="240"/>
        <w:ind w:left="720"/>
        <w:rPr>
          <w:i/>
          <w:iCs/>
          <w:lang w:val="es-ES_tradnl"/>
        </w:rPr>
      </w:pPr>
      <w:r w:rsidRPr="005055EB">
        <w:rPr>
          <w:i/>
          <w:iCs/>
          <w:lang w:val="es-ES_tradnl"/>
        </w:rPr>
        <w:t>Costos adicionales admisibles</w:t>
      </w:r>
      <w:r w:rsidR="00FD5CEE" w:rsidRPr="005055EB">
        <w:rPr>
          <w:i/>
          <w:iCs/>
          <w:lang w:val="es-ES_tradnl"/>
        </w:rPr>
        <w:t xml:space="preserve"> </w:t>
      </w:r>
      <w:r w:rsidR="00F74A7B" w:rsidRPr="005055EB">
        <w:rPr>
          <w:i/>
          <w:iCs/>
          <w:lang w:val="es-ES_tradnl"/>
        </w:rPr>
        <w:t xml:space="preserve">– </w:t>
      </w:r>
      <w:r w:rsidRPr="005055EB">
        <w:rPr>
          <w:i/>
          <w:iCs/>
          <w:lang w:val="es-ES_tradnl"/>
        </w:rPr>
        <w:t>sector de producción</w:t>
      </w:r>
      <w:r w:rsidR="00F74A7B" w:rsidRPr="005055EB">
        <w:rPr>
          <w:i/>
          <w:iCs/>
          <w:lang w:val="es-ES_tradnl"/>
        </w:rPr>
        <w:t xml:space="preserve"> (ca</w:t>
      </w:r>
      <w:r w:rsidRPr="005055EB">
        <w:rPr>
          <w:i/>
          <w:iCs/>
          <w:lang w:val="es-ES_tradnl"/>
        </w:rPr>
        <w:t xml:space="preserve">tegorías de costos adicionales admisibles acordados en la decisión </w:t>
      </w:r>
      <w:r w:rsidR="00F74A7B" w:rsidRPr="005055EB">
        <w:rPr>
          <w:i/>
          <w:iCs/>
          <w:lang w:val="es-ES_tradnl"/>
        </w:rPr>
        <w:t>XXVIII/2)</w:t>
      </w:r>
    </w:p>
    <w:p w14:paraId="22B3F226" w14:textId="61BCDA5A" w:rsidR="002A4ADB" w:rsidRPr="005055EB" w:rsidRDefault="005F2BB7" w:rsidP="00BC5C2A">
      <w:pPr>
        <w:pStyle w:val="Heading1"/>
        <w:rPr>
          <w:lang w:val="es-ES_tradnl"/>
        </w:rPr>
      </w:pPr>
      <w:r w:rsidRPr="005055EB">
        <w:rPr>
          <w:bCs/>
          <w:lang w:val="es-ES_tradnl"/>
        </w:rPr>
        <w:lastRenderedPageBreak/>
        <w:t>C</w:t>
      </w:r>
      <w:r w:rsidR="001460FA" w:rsidRPr="005055EB">
        <w:rPr>
          <w:lang w:val="es-ES_tradnl"/>
        </w:rPr>
        <w:t xml:space="preserve">on respecto a los costos adicionales admisibles en el sector de producción, el Comité Ejecutivo decidió </w:t>
      </w:r>
      <w:r w:rsidR="00E56466" w:rsidRPr="005055EB">
        <w:rPr>
          <w:lang w:val="es-ES_tradnl"/>
        </w:rPr>
        <w:t xml:space="preserve">hacer admisibles </w:t>
      </w:r>
      <w:r w:rsidR="001460FA" w:rsidRPr="005055EB">
        <w:rPr>
          <w:lang w:val="es-ES_tradnl"/>
        </w:rPr>
        <w:t xml:space="preserve">las siguientes categorías de costos para financiación </w:t>
      </w:r>
      <w:r w:rsidR="00E56466" w:rsidRPr="005055EB">
        <w:rPr>
          <w:lang w:val="es-ES_tradnl"/>
        </w:rPr>
        <w:t xml:space="preserve">e incluirlas </w:t>
      </w:r>
      <w:r w:rsidR="001460FA" w:rsidRPr="005055EB">
        <w:rPr>
          <w:lang w:val="es-ES_tradnl"/>
        </w:rPr>
        <w:t>en el cálculo de los costos</w:t>
      </w:r>
      <w:r w:rsidR="00E56466" w:rsidRPr="005055EB">
        <w:rPr>
          <w:lang w:val="es-ES_tradnl"/>
        </w:rPr>
        <w:t xml:space="preserve"> de reducir </w:t>
      </w:r>
      <w:r w:rsidR="001460FA" w:rsidRPr="005055EB">
        <w:rPr>
          <w:lang w:val="es-ES_tradnl"/>
        </w:rPr>
        <w:t xml:space="preserve">los HFC: </w:t>
      </w:r>
      <w:r w:rsidR="001234F6" w:rsidRPr="005055EB">
        <w:rPr>
          <w:lang w:val="es-ES"/>
        </w:rPr>
        <w:t>lucro cesante por concepto de cierre o clausura de plantas o menor producción</w:t>
      </w:r>
      <w:r w:rsidR="001234F6" w:rsidRPr="005055EB">
        <w:rPr>
          <w:lang w:val="es-ES_tradnl"/>
        </w:rPr>
        <w:t xml:space="preserve">; </w:t>
      </w:r>
      <w:r w:rsidR="001234F6" w:rsidRPr="005055EB">
        <w:rPr>
          <w:lang w:val="es-ES"/>
        </w:rPr>
        <w:t>indemnización a trabajadores desvinculados</w:t>
      </w:r>
      <w:r w:rsidR="001234F6" w:rsidRPr="005055EB">
        <w:rPr>
          <w:lang w:val="es-ES_tradnl"/>
        </w:rPr>
        <w:t xml:space="preserve">; </w:t>
      </w:r>
      <w:r w:rsidR="001460FA" w:rsidRPr="005055EB">
        <w:rPr>
          <w:lang w:val="es-ES_tradnl"/>
        </w:rPr>
        <w:t xml:space="preserve">desmantelamiento de </w:t>
      </w:r>
      <w:r w:rsidR="006563BA" w:rsidRPr="005055EB">
        <w:rPr>
          <w:lang w:val="es-ES_tradnl"/>
        </w:rPr>
        <w:t>plantas</w:t>
      </w:r>
      <w:r w:rsidR="001460FA" w:rsidRPr="005055EB">
        <w:rPr>
          <w:lang w:val="es-ES_tradnl"/>
        </w:rPr>
        <w:t xml:space="preserve">; actividades de asistencia </w:t>
      </w:r>
      <w:r w:rsidR="001234F6" w:rsidRPr="005055EB">
        <w:rPr>
          <w:lang w:val="es-ES_tradnl"/>
        </w:rPr>
        <w:t xml:space="preserve">técnica; </w:t>
      </w:r>
      <w:r w:rsidR="001234F6" w:rsidRPr="005055EB">
        <w:rPr>
          <w:lang w:val="es-ES"/>
        </w:rPr>
        <w:t>investigación y desarro</w:t>
      </w:r>
      <w:r w:rsidR="006563BA" w:rsidRPr="005055EB">
        <w:rPr>
          <w:lang w:val="es-ES"/>
        </w:rPr>
        <w:t xml:space="preserve">llo respecto de la producción de alternativas de bajo o nulo PCA con miras a reducir su </w:t>
      </w:r>
      <w:r w:rsidR="001234F6" w:rsidRPr="005055EB">
        <w:rPr>
          <w:lang w:val="es-ES"/>
        </w:rPr>
        <w:t>costo</w:t>
      </w:r>
      <w:r w:rsidR="001234F6" w:rsidRPr="005055EB">
        <w:rPr>
          <w:lang w:val="es-ES_tradnl"/>
        </w:rPr>
        <w:t xml:space="preserve">; </w:t>
      </w:r>
      <w:r w:rsidR="001234F6" w:rsidRPr="005055EB">
        <w:rPr>
          <w:lang w:val="es-ES"/>
        </w:rPr>
        <w:t>costos de patentes y diseños o sobrecostos de las regalías</w:t>
      </w:r>
      <w:r w:rsidR="001234F6" w:rsidRPr="005055EB">
        <w:rPr>
          <w:lang w:val="es-ES_tradnl"/>
        </w:rPr>
        <w:t xml:space="preserve">; </w:t>
      </w:r>
      <w:r w:rsidR="001234F6" w:rsidRPr="005055EB">
        <w:rPr>
          <w:lang w:val="es-ES"/>
        </w:rPr>
        <w:t xml:space="preserve">costos </w:t>
      </w:r>
      <w:r w:rsidR="006563BA" w:rsidRPr="005055EB">
        <w:rPr>
          <w:lang w:val="es-ES"/>
        </w:rPr>
        <w:t>de la conversión de instalaciones para producir alternativas de bajo o nulo PCA, cuando resulte técnicamente viable y económico</w:t>
      </w:r>
      <w:r w:rsidR="001460FA" w:rsidRPr="005055EB">
        <w:rPr>
          <w:lang w:val="es-ES_tradnl"/>
        </w:rPr>
        <w:t xml:space="preserve">; y </w:t>
      </w:r>
      <w:r w:rsidR="006563BA" w:rsidRPr="005055EB">
        <w:rPr>
          <w:lang w:val="es-ES"/>
        </w:rPr>
        <w:t>los costos de reducir las emisiones de HFC-23, un subproducto de la producción de HCFC-22, sea disminuyendo las emisiones durante el proceso, destruyéndolo en el gas residual o bien recuperándolo y transformándolo en otras sustancias más ecológicas</w:t>
      </w:r>
      <w:r w:rsidR="001234F6" w:rsidRPr="005055EB">
        <w:rPr>
          <w:lang w:val="es-ES"/>
        </w:rPr>
        <w:t xml:space="preserve"> (dichos costos</w:t>
      </w:r>
      <w:r w:rsidR="006563BA" w:rsidRPr="005055EB">
        <w:rPr>
          <w:lang w:val="es-ES"/>
        </w:rPr>
        <w:t xml:space="preserve"> deberán ser financiados por el Fondo Multilateral a fin de cumplir las obligaciones que especifica la Enmienda para los países del artículo 5</w:t>
      </w:r>
      <w:r w:rsidR="001234F6" w:rsidRPr="005055EB">
        <w:rPr>
          <w:lang w:val="es-ES"/>
        </w:rPr>
        <w:t>)</w:t>
      </w:r>
      <w:r w:rsidR="001460FA" w:rsidRPr="005055EB">
        <w:rPr>
          <w:lang w:val="es-ES_tradnl"/>
        </w:rPr>
        <w:t xml:space="preserve">. El Comité también acordó que el </w:t>
      </w:r>
      <w:r w:rsidR="002A4ADB" w:rsidRPr="005055EB">
        <w:rPr>
          <w:lang w:val="es-ES"/>
        </w:rPr>
        <w:t>Subgrupo sobre el sector de producción consideraría caso por caso una compensación de las obligaciones de control del cumplimiento en el sector una vez que los países del Artículo 5 hubieran presentado de manera oficial informes sobre la producción de HFC.</w:t>
      </w:r>
    </w:p>
    <w:p w14:paraId="1B64C9C7" w14:textId="78465F6A" w:rsidR="00C11976" w:rsidRPr="005055EB" w:rsidRDefault="00C11976" w:rsidP="00BC5C2A">
      <w:pPr>
        <w:spacing w:after="240"/>
        <w:ind w:left="720"/>
        <w:rPr>
          <w:i/>
          <w:iCs/>
          <w:lang w:val="es-ES_tradnl"/>
        </w:rPr>
      </w:pPr>
      <w:r w:rsidRPr="005055EB">
        <w:rPr>
          <w:i/>
          <w:iCs/>
          <w:lang w:val="es-ES_tradnl"/>
        </w:rPr>
        <w:t>Costos adicionales admisibles</w:t>
      </w:r>
      <w:r w:rsidR="002B5248" w:rsidRPr="005055EB">
        <w:rPr>
          <w:i/>
          <w:iCs/>
          <w:lang w:val="es-ES_tradnl"/>
        </w:rPr>
        <w:t xml:space="preserve"> </w:t>
      </w:r>
      <w:r w:rsidRPr="005055EB">
        <w:rPr>
          <w:i/>
          <w:iCs/>
          <w:lang w:val="es-ES_tradnl"/>
        </w:rPr>
        <w:t xml:space="preserve">– </w:t>
      </w:r>
      <w:r w:rsidR="00FD5CEE" w:rsidRPr="005055EB">
        <w:rPr>
          <w:i/>
          <w:iCs/>
          <w:lang w:val="es-ES_tradnl"/>
        </w:rPr>
        <w:t>s</w:t>
      </w:r>
      <w:r w:rsidRPr="005055EB">
        <w:rPr>
          <w:i/>
          <w:iCs/>
          <w:lang w:val="es-ES_tradnl"/>
        </w:rPr>
        <w:t>ector de servicio y mantenimiento de refrigeración (categorías de costos adicionales admisibles acordados en la decisión XXVIII/2)</w:t>
      </w:r>
    </w:p>
    <w:p w14:paraId="14DCE2AD" w14:textId="15A4D3B8" w:rsidR="005F2BB7" w:rsidRPr="005055EB" w:rsidRDefault="00823295" w:rsidP="00BC5C2A">
      <w:pPr>
        <w:pStyle w:val="Heading1"/>
        <w:numPr>
          <w:ilvl w:val="0"/>
          <w:numId w:val="36"/>
        </w:numPr>
        <w:rPr>
          <w:lang w:val="es-ES_tradnl"/>
        </w:rPr>
      </w:pPr>
      <w:r w:rsidRPr="005055EB">
        <w:rPr>
          <w:lang w:val="es-ES_tradnl"/>
        </w:rPr>
        <w:t xml:space="preserve">Con respecto a los </w:t>
      </w:r>
      <w:r w:rsidR="00154E9F" w:rsidRPr="005055EB">
        <w:rPr>
          <w:lang w:val="es-ES_tradnl"/>
        </w:rPr>
        <w:t>costos</w:t>
      </w:r>
      <w:r w:rsidRPr="005055EB">
        <w:rPr>
          <w:lang w:val="es-ES_tradnl"/>
        </w:rPr>
        <w:t xml:space="preserve"> adicionales </w:t>
      </w:r>
      <w:r w:rsidR="005B7285" w:rsidRPr="005055EB">
        <w:rPr>
          <w:lang w:val="es-ES_tradnl"/>
        </w:rPr>
        <w:t xml:space="preserve">admisibles </w:t>
      </w:r>
      <w:r w:rsidRPr="005055EB">
        <w:rPr>
          <w:lang w:val="es-ES_tradnl"/>
        </w:rPr>
        <w:t xml:space="preserve">en el sector de mantenimiento de equipos de refrigeración, el Comité Ejecutivo decidió </w:t>
      </w:r>
      <w:r w:rsidR="005B7285" w:rsidRPr="005055EB">
        <w:rPr>
          <w:lang w:val="es-ES_tradnl"/>
        </w:rPr>
        <w:t xml:space="preserve">hacer admisibles </w:t>
      </w:r>
      <w:r w:rsidRPr="005055EB">
        <w:rPr>
          <w:lang w:val="es-ES_tradnl"/>
        </w:rPr>
        <w:t xml:space="preserve">las siguientes categorías de </w:t>
      </w:r>
      <w:r w:rsidR="00154E9F" w:rsidRPr="005055EB">
        <w:rPr>
          <w:lang w:val="es-ES_tradnl"/>
        </w:rPr>
        <w:t>costos</w:t>
      </w:r>
      <w:r w:rsidRPr="005055EB">
        <w:rPr>
          <w:lang w:val="es-ES_tradnl"/>
        </w:rPr>
        <w:t xml:space="preserve"> </w:t>
      </w:r>
      <w:r w:rsidR="005B7285" w:rsidRPr="005055EB">
        <w:rPr>
          <w:lang w:val="es-ES_tradnl"/>
        </w:rPr>
        <w:t xml:space="preserve">e incluirlas en </w:t>
      </w:r>
      <w:r w:rsidRPr="005055EB">
        <w:rPr>
          <w:lang w:val="es-ES_tradnl"/>
        </w:rPr>
        <w:t xml:space="preserve">el cálculo de </w:t>
      </w:r>
      <w:r w:rsidR="00154E9F" w:rsidRPr="005055EB">
        <w:rPr>
          <w:lang w:val="es-ES_tradnl"/>
        </w:rPr>
        <w:t>costos</w:t>
      </w:r>
      <w:r w:rsidR="005B7285" w:rsidRPr="005055EB">
        <w:rPr>
          <w:lang w:val="es-ES_tradnl"/>
        </w:rPr>
        <w:t xml:space="preserve"> de reducir </w:t>
      </w:r>
      <w:r w:rsidRPr="005055EB">
        <w:rPr>
          <w:lang w:val="es-ES_tradnl"/>
        </w:rPr>
        <w:t>los HFC: actividades de sensibilización pública;</w:t>
      </w:r>
      <w:r w:rsidR="005B7285" w:rsidRPr="005055EB">
        <w:rPr>
          <w:lang w:val="es-ES_tradnl"/>
        </w:rPr>
        <w:t xml:space="preserve"> elaboración</w:t>
      </w:r>
      <w:r w:rsidRPr="005055EB">
        <w:rPr>
          <w:lang w:val="es-ES_tradnl"/>
        </w:rPr>
        <w:t xml:space="preserve"> y aplicación de políticas; programas de certificación y formación de técnicos en </w:t>
      </w:r>
      <w:r w:rsidR="005B7285" w:rsidRPr="005055EB">
        <w:rPr>
          <w:lang w:val="es-ES_tradnl"/>
        </w:rPr>
        <w:t>relación con el manejo seguro</w:t>
      </w:r>
      <w:r w:rsidRPr="005055EB">
        <w:rPr>
          <w:lang w:val="es-ES_tradnl"/>
        </w:rPr>
        <w:t xml:space="preserve">, </w:t>
      </w:r>
      <w:r w:rsidR="005B7285" w:rsidRPr="005055EB">
        <w:rPr>
          <w:lang w:val="es-ES_tradnl"/>
        </w:rPr>
        <w:t xml:space="preserve">las </w:t>
      </w:r>
      <w:r w:rsidRPr="005055EB">
        <w:rPr>
          <w:lang w:val="es-ES_tradnl"/>
        </w:rPr>
        <w:t xml:space="preserve">buenas prácticas y </w:t>
      </w:r>
      <w:r w:rsidR="005B7285" w:rsidRPr="005055EB">
        <w:rPr>
          <w:lang w:val="es-ES_tradnl"/>
        </w:rPr>
        <w:t xml:space="preserve">la </w:t>
      </w:r>
      <w:r w:rsidRPr="005055EB">
        <w:rPr>
          <w:lang w:val="es-ES_tradnl"/>
        </w:rPr>
        <w:t xml:space="preserve">seguridad </w:t>
      </w:r>
      <w:r w:rsidR="005B7285" w:rsidRPr="005055EB">
        <w:rPr>
          <w:lang w:val="es-ES_tradnl"/>
        </w:rPr>
        <w:t xml:space="preserve">de </w:t>
      </w:r>
      <w:r w:rsidRPr="005055EB">
        <w:rPr>
          <w:lang w:val="es-ES_tradnl"/>
        </w:rPr>
        <w:t>las alternativas, incluido equipo</w:t>
      </w:r>
      <w:r w:rsidR="005B7285" w:rsidRPr="005055EB">
        <w:rPr>
          <w:lang w:val="es-ES_tradnl"/>
        </w:rPr>
        <w:t xml:space="preserve">s para la </w:t>
      </w:r>
      <w:r w:rsidRPr="005055EB">
        <w:rPr>
          <w:lang w:val="es-ES_tradnl"/>
        </w:rPr>
        <w:t xml:space="preserve">formación; </w:t>
      </w:r>
      <w:r w:rsidR="005B7285" w:rsidRPr="005055EB">
        <w:rPr>
          <w:lang w:val="es-ES_tradnl"/>
        </w:rPr>
        <w:t xml:space="preserve">capacitación </w:t>
      </w:r>
      <w:r w:rsidRPr="005055EB">
        <w:rPr>
          <w:lang w:val="es-ES_tradnl"/>
        </w:rPr>
        <w:t xml:space="preserve">de funcionarios de aduanas; prevención del comercio </w:t>
      </w:r>
      <w:r w:rsidR="005B7285" w:rsidRPr="005055EB">
        <w:rPr>
          <w:lang w:val="es-ES_tradnl"/>
        </w:rPr>
        <w:t xml:space="preserve">ilícito </w:t>
      </w:r>
      <w:r w:rsidRPr="005055EB">
        <w:rPr>
          <w:lang w:val="es-ES_tradnl"/>
        </w:rPr>
        <w:t xml:space="preserve">de HFC; </w:t>
      </w:r>
      <w:r w:rsidR="005B7285" w:rsidRPr="005055EB">
        <w:rPr>
          <w:lang w:val="es-ES_tradnl"/>
        </w:rPr>
        <w:t xml:space="preserve">instrumentos </w:t>
      </w:r>
      <w:r w:rsidRPr="005055EB">
        <w:rPr>
          <w:lang w:val="es-ES_tradnl"/>
        </w:rPr>
        <w:t>de mantenimiento; equipo de pruebas de refrigerantes para el sector de refrigeración y aire acondicionado; y reciclado y recuperación de HFC.</w:t>
      </w:r>
    </w:p>
    <w:p w14:paraId="2D7A711C" w14:textId="7C00CBB1" w:rsidR="005F2BB7" w:rsidRPr="005055EB" w:rsidRDefault="00823295" w:rsidP="00BC5C2A">
      <w:pPr>
        <w:pStyle w:val="Heading1"/>
        <w:rPr>
          <w:lang w:val="es-ES_tradnl"/>
        </w:rPr>
      </w:pPr>
      <w:r w:rsidRPr="005055EB">
        <w:rPr>
          <w:lang w:val="es-ES_tradnl"/>
        </w:rPr>
        <w:t xml:space="preserve">El Comité también acordó que, en relación con el nivel y las modalidades de financiación para la </w:t>
      </w:r>
      <w:r w:rsidR="009A7265" w:rsidRPr="005055EB">
        <w:rPr>
          <w:lang w:val="es-ES_tradnl"/>
        </w:rPr>
        <w:t>reducción</w:t>
      </w:r>
      <w:r w:rsidRPr="005055EB">
        <w:rPr>
          <w:lang w:val="es-ES_tradnl"/>
        </w:rPr>
        <w:t xml:space="preserve"> de los HFC en el sector de mantenimiento de</w:t>
      </w:r>
      <w:r w:rsidR="003523A3" w:rsidRPr="005055EB">
        <w:rPr>
          <w:lang w:val="es-ES_tradnl"/>
        </w:rPr>
        <w:t xml:space="preserve"> equipos de</w:t>
      </w:r>
      <w:r w:rsidRPr="005055EB">
        <w:rPr>
          <w:lang w:val="es-ES_tradnl"/>
        </w:rPr>
        <w:t xml:space="preserve"> refrigeración, la financiación se proporcionaría en consonancia con la decisión 92/37, adoptada por el Comité en 2023, que establece los principios que deben aplicarse en relación con la financiación de los </w:t>
      </w:r>
      <w:r w:rsidR="009A7265" w:rsidRPr="005055EB">
        <w:rPr>
          <w:lang w:val="es-ES_tradnl"/>
        </w:rPr>
        <w:t>sobre</w:t>
      </w:r>
      <w:r w:rsidRPr="005055EB">
        <w:rPr>
          <w:lang w:val="es-ES_tradnl"/>
        </w:rPr>
        <w:t xml:space="preserve">costos admisibles en el sector de mantenimiento de </w:t>
      </w:r>
      <w:r w:rsidR="003523A3" w:rsidRPr="005055EB">
        <w:rPr>
          <w:lang w:val="es-ES_tradnl"/>
        </w:rPr>
        <w:t xml:space="preserve">equipos de </w:t>
      </w:r>
      <w:r w:rsidRPr="005055EB">
        <w:rPr>
          <w:lang w:val="es-ES_tradnl"/>
        </w:rPr>
        <w:t xml:space="preserve">refrigeración </w:t>
      </w:r>
      <w:r w:rsidR="003523A3" w:rsidRPr="005055EB">
        <w:rPr>
          <w:lang w:val="es-ES_tradnl"/>
        </w:rPr>
        <w:t>de</w:t>
      </w:r>
      <w:r w:rsidRPr="005055EB">
        <w:rPr>
          <w:lang w:val="es-ES_tradnl"/>
        </w:rPr>
        <w:t xml:space="preserve"> la etapa I de los </w:t>
      </w:r>
      <w:r w:rsidR="003523A3" w:rsidRPr="005055EB">
        <w:rPr>
          <w:lang w:val="es-ES_tradnl"/>
        </w:rPr>
        <w:t>PAK</w:t>
      </w:r>
      <w:r w:rsidRPr="005055EB">
        <w:rPr>
          <w:lang w:val="es-ES_tradnl"/>
        </w:rPr>
        <w:t>, en el entendi</w:t>
      </w:r>
      <w:r w:rsidR="003523A3" w:rsidRPr="005055EB">
        <w:rPr>
          <w:lang w:val="es-ES_tradnl"/>
        </w:rPr>
        <w:t>d</w:t>
      </w:r>
      <w:r w:rsidRPr="005055EB">
        <w:rPr>
          <w:lang w:val="es-ES_tradnl"/>
        </w:rPr>
        <w:t>o de que los niveles de financiación e</w:t>
      </w:r>
      <w:r w:rsidR="003523A3" w:rsidRPr="005055EB">
        <w:rPr>
          <w:lang w:val="es-ES_tradnl"/>
        </w:rPr>
        <w:t xml:space="preserve">specificados </w:t>
      </w:r>
      <w:r w:rsidRPr="005055EB">
        <w:rPr>
          <w:lang w:val="es-ES_tradnl"/>
        </w:rPr>
        <w:t>en el cuadro 2</w:t>
      </w:r>
      <w:r w:rsidR="009A7265" w:rsidRPr="005055EB">
        <w:rPr>
          <w:lang w:val="es-ES_tradnl"/>
        </w:rPr>
        <w:t xml:space="preserve"> </w:t>
      </w:r>
      <w:r w:rsidR="009A7265" w:rsidRPr="005055EB">
        <w:rPr>
          <w:i/>
          <w:iCs/>
          <w:lang w:val="es-ES_tradnl"/>
        </w:rPr>
        <w:t>infra</w:t>
      </w:r>
      <w:r w:rsidRPr="005055EB">
        <w:rPr>
          <w:lang w:val="es-ES_tradnl"/>
        </w:rPr>
        <w:t xml:space="preserve"> sobre la financiación para cumplir el objetivo de reducción del 10</w:t>
      </w:r>
      <w:r w:rsidR="003523A3" w:rsidRPr="005055EB">
        <w:rPr>
          <w:lang w:val="es-ES_tradnl"/>
        </w:rPr>
        <w:t> </w:t>
      </w:r>
      <w:r w:rsidRPr="005055EB">
        <w:rPr>
          <w:lang w:val="es-ES_tradnl"/>
        </w:rPr>
        <w:t xml:space="preserve">% de los HFC del Protocolo de Montreal para los países de bajo consumo, </w:t>
      </w:r>
      <w:r w:rsidR="003523A3" w:rsidRPr="005055EB">
        <w:rPr>
          <w:lang w:val="es-ES_tradnl"/>
        </w:rPr>
        <w:t xml:space="preserve">podrían ser revisados </w:t>
      </w:r>
      <w:r w:rsidRPr="005055EB">
        <w:rPr>
          <w:lang w:val="es-ES_tradnl"/>
        </w:rPr>
        <w:t xml:space="preserve">para las actividades presentadas </w:t>
      </w:r>
      <w:r w:rsidR="003523A3" w:rsidRPr="005055EB">
        <w:rPr>
          <w:lang w:val="es-ES_tradnl"/>
        </w:rPr>
        <w:t xml:space="preserve">en </w:t>
      </w:r>
      <w:r w:rsidRPr="005055EB">
        <w:rPr>
          <w:lang w:val="es-ES_tradnl"/>
        </w:rPr>
        <w:t>futuras etapas de los PAK</w:t>
      </w:r>
      <w:r w:rsidR="003523A3" w:rsidRPr="005055EB">
        <w:rPr>
          <w:lang w:val="es-ES_tradnl"/>
        </w:rPr>
        <w:t xml:space="preserve">, una vez que se </w:t>
      </w:r>
      <w:r w:rsidRPr="005055EB">
        <w:rPr>
          <w:lang w:val="es-ES_tradnl"/>
        </w:rPr>
        <w:t xml:space="preserve">hubieran completado las actividades </w:t>
      </w:r>
      <w:r w:rsidR="003523A3" w:rsidRPr="005055EB">
        <w:rPr>
          <w:lang w:val="es-ES_tradnl"/>
        </w:rPr>
        <w:t xml:space="preserve">pertenecientes a </w:t>
      </w:r>
      <w:r w:rsidRPr="005055EB">
        <w:rPr>
          <w:lang w:val="es-ES_tradnl"/>
        </w:rPr>
        <w:t xml:space="preserve">los </w:t>
      </w:r>
      <w:r w:rsidR="009A7265" w:rsidRPr="005055EB">
        <w:rPr>
          <w:lang w:val="es-ES_tradnl"/>
        </w:rPr>
        <w:t>PGEH</w:t>
      </w:r>
      <w:r w:rsidRPr="005055EB">
        <w:rPr>
          <w:lang w:val="es-ES_tradnl"/>
        </w:rPr>
        <w:t xml:space="preserve">. En dicha decisión, el Comité había acordado que los principios establecidos en la decisión se incluirían en </w:t>
      </w:r>
      <w:r w:rsidR="00BD1F4B" w:rsidRPr="005055EB">
        <w:rPr>
          <w:lang w:val="es-ES_tradnl"/>
        </w:rPr>
        <w:t>los parámetros de costos</w:t>
      </w:r>
      <w:r w:rsidRPr="005055EB">
        <w:rPr>
          <w:lang w:val="es-ES_tradnl"/>
        </w:rPr>
        <w:t xml:space="preserve"> para la eliminación de los HFC y se volverían a examinar en 2028 para la financiación de futuras etapas de los PAK.</w:t>
      </w:r>
    </w:p>
    <w:p w14:paraId="3C53CFB7" w14:textId="174E725E" w:rsidR="00FF2FC8" w:rsidRPr="005055EB" w:rsidRDefault="00823295" w:rsidP="00BC5C2A">
      <w:pPr>
        <w:pStyle w:val="Heading1"/>
        <w:rPr>
          <w:lang w:val="es-ES_tradnl"/>
        </w:rPr>
      </w:pPr>
      <w:r w:rsidRPr="005055EB">
        <w:rPr>
          <w:lang w:val="es-ES_tradnl"/>
        </w:rPr>
        <w:t>Así, en la decisión 92/37, el Comité decidió que los países del Artículo 5 deben incluir en sus PAK, como mínimo</w:t>
      </w:r>
      <w:r w:rsidR="000E11AD" w:rsidRPr="005055EB">
        <w:rPr>
          <w:lang w:val="es-ES_tradnl"/>
        </w:rPr>
        <w:t>:</w:t>
      </w:r>
      <w:r w:rsidRPr="005055EB">
        <w:rPr>
          <w:lang w:val="es-ES_tradnl"/>
        </w:rPr>
        <w:t xml:space="preserve"> i) </w:t>
      </w:r>
      <w:r w:rsidR="003C5652" w:rsidRPr="005055EB">
        <w:rPr>
          <w:lang w:val="es-ES"/>
        </w:rPr>
        <w:t xml:space="preserve">el compromiso de lograr, sin nuevas solicitudes de financiación, al menos el 10 </w:t>
      </w:r>
      <w:r w:rsidR="00406CC3" w:rsidRPr="005055EB">
        <w:rPr>
          <w:lang w:val="es-ES"/>
        </w:rPr>
        <w:t>%</w:t>
      </w:r>
      <w:r w:rsidR="003C5652" w:rsidRPr="005055EB">
        <w:rPr>
          <w:lang w:val="es-ES"/>
        </w:rPr>
        <w:t xml:space="preserve"> del objetivo de reducción del consumo de HFC establecido en el calendario de cumplimiento del Protocolo de Montreal y restringir la importación de equipos que empleen HFC, en la medida de lo posible, cuando sea necesario para cumplir con el calendario y facilitar las correspondientes actividades de eliminación</w:t>
      </w:r>
      <w:r w:rsidRPr="005055EB">
        <w:rPr>
          <w:lang w:val="es-ES_tradnl"/>
        </w:rPr>
        <w:t xml:space="preserve">; ii) </w:t>
      </w:r>
      <w:r w:rsidR="003C5652" w:rsidRPr="005055EB">
        <w:rPr>
          <w:lang w:val="es-ES"/>
        </w:rPr>
        <w:t>la notificación con carácter obligatorio, a más tardar en el momento en que se solicitaron los tramos de financiación de los PAK, de las actividades ejecutadas durante el tramo anterior en los sectores de mantenimiento y fabricación de equipos de refrigeración, cuando sea aplicable, así como un detallado plan anual de ejecución de las actividades del tramo siguiente</w:t>
      </w:r>
      <w:r w:rsidRPr="005055EB">
        <w:rPr>
          <w:lang w:val="es-ES_tradnl"/>
        </w:rPr>
        <w:t xml:space="preserve">; iii) </w:t>
      </w:r>
      <w:r w:rsidR="003C5652" w:rsidRPr="005055EB">
        <w:rPr>
          <w:lang w:val="es-ES"/>
        </w:rPr>
        <w:t>una descripción de los papeles y responsabilidades de los principales actores, del organismo de ejecución principal y de los organismos cooperantes, cuando corresponda</w:t>
      </w:r>
      <w:r w:rsidRPr="005055EB">
        <w:rPr>
          <w:lang w:val="es-ES_tradnl"/>
        </w:rPr>
        <w:t xml:space="preserve">; y iv) </w:t>
      </w:r>
      <w:r w:rsidR="003C5652" w:rsidRPr="005055EB">
        <w:rPr>
          <w:lang w:val="es-ES"/>
        </w:rPr>
        <w:t>una descripción de cómo se coordinará la ejecución de las actividades de los PAK y los PGEH del sector de mantenimiento en el marco de los PAK y los PGEH</w:t>
      </w:r>
      <w:r w:rsidR="003C5652" w:rsidRPr="005055EB">
        <w:rPr>
          <w:lang w:val="es-ES_tradnl"/>
        </w:rPr>
        <w:t>.</w:t>
      </w:r>
    </w:p>
    <w:p w14:paraId="71711D8F" w14:textId="761BBF4C" w:rsidR="00823295" w:rsidRPr="005055EB" w:rsidRDefault="00823295" w:rsidP="00BC5C2A">
      <w:pPr>
        <w:pStyle w:val="Heading1"/>
        <w:rPr>
          <w:lang w:val="es-ES_tradnl"/>
        </w:rPr>
      </w:pPr>
      <w:r w:rsidRPr="005055EB">
        <w:rPr>
          <w:lang w:val="es-ES_tradnl"/>
        </w:rPr>
        <w:lastRenderedPageBreak/>
        <w:t xml:space="preserve">En la misma decisión, el Comité decidió que los países </w:t>
      </w:r>
      <w:r w:rsidR="00DA625C" w:rsidRPr="005055EB">
        <w:rPr>
          <w:lang w:val="es-ES_tradnl"/>
        </w:rPr>
        <w:t xml:space="preserve">del </w:t>
      </w:r>
      <w:r w:rsidRPr="005055EB">
        <w:rPr>
          <w:lang w:val="es-ES_tradnl"/>
        </w:rPr>
        <w:t xml:space="preserve">Artículo 5 que durante los años de referencia </w:t>
      </w:r>
      <w:r w:rsidR="00DA625C" w:rsidRPr="005055EB">
        <w:rPr>
          <w:lang w:val="es-ES_tradnl"/>
        </w:rPr>
        <w:t xml:space="preserve">hayan tenido </w:t>
      </w:r>
      <w:r w:rsidRPr="005055EB">
        <w:rPr>
          <w:lang w:val="es-ES_tradnl"/>
        </w:rPr>
        <w:t xml:space="preserve">un consumo medio de HFC en el sector </w:t>
      </w:r>
      <w:r w:rsidR="00DA625C" w:rsidRPr="005055EB">
        <w:rPr>
          <w:lang w:val="es-ES_tradnl"/>
        </w:rPr>
        <w:t xml:space="preserve">de </w:t>
      </w:r>
      <w:r w:rsidRPr="005055EB">
        <w:rPr>
          <w:lang w:val="es-ES_tradnl"/>
        </w:rPr>
        <w:t xml:space="preserve">mantenimiento de hasta 360 toneladas métricas recibirían una financiación </w:t>
      </w:r>
      <w:r w:rsidR="00DA625C" w:rsidRPr="005055EB">
        <w:rPr>
          <w:lang w:val="es-ES_tradnl"/>
        </w:rPr>
        <w:t xml:space="preserve">acorde </w:t>
      </w:r>
      <w:r w:rsidRPr="005055EB">
        <w:rPr>
          <w:lang w:val="es-ES_tradnl"/>
        </w:rPr>
        <w:t xml:space="preserve">con el nivel de consumo </w:t>
      </w:r>
      <w:r w:rsidR="00DA625C" w:rsidRPr="005055EB">
        <w:rPr>
          <w:lang w:val="es-ES_tradnl"/>
        </w:rPr>
        <w:t xml:space="preserve">que registre </w:t>
      </w:r>
      <w:r w:rsidRPr="005055EB">
        <w:rPr>
          <w:lang w:val="es-ES_tradnl"/>
        </w:rPr>
        <w:t xml:space="preserve">el sector mantenimiento de </w:t>
      </w:r>
      <w:r w:rsidR="00DA625C" w:rsidRPr="005055EB">
        <w:rPr>
          <w:lang w:val="es-ES_tradnl"/>
        </w:rPr>
        <w:t xml:space="preserve">equipos de </w:t>
      </w:r>
      <w:r w:rsidRPr="005055EB">
        <w:rPr>
          <w:lang w:val="es-ES_tradnl"/>
        </w:rPr>
        <w:t>refrigeración, en el entendi</w:t>
      </w:r>
      <w:r w:rsidR="00DA625C" w:rsidRPr="005055EB">
        <w:rPr>
          <w:lang w:val="es-ES_tradnl"/>
        </w:rPr>
        <w:t xml:space="preserve">do </w:t>
      </w:r>
      <w:r w:rsidRPr="005055EB">
        <w:rPr>
          <w:lang w:val="es-ES_tradnl"/>
        </w:rPr>
        <w:t xml:space="preserve">de que las propuestas de proyecto aún tendrían que demostrar que </w:t>
      </w:r>
      <w:r w:rsidR="00DA625C" w:rsidRPr="005055EB">
        <w:rPr>
          <w:lang w:val="es-ES_tradnl"/>
        </w:rPr>
        <w:t xml:space="preserve">la </w:t>
      </w:r>
      <w:r w:rsidRPr="005055EB">
        <w:rPr>
          <w:lang w:val="es-ES_tradnl"/>
        </w:rPr>
        <w:t xml:space="preserve">financiación </w:t>
      </w:r>
      <w:r w:rsidR="00DA625C" w:rsidRPr="005055EB">
        <w:rPr>
          <w:lang w:val="es-ES_tradnl"/>
        </w:rPr>
        <w:t xml:space="preserve">solicitada </w:t>
      </w:r>
      <w:r w:rsidRPr="005055EB">
        <w:rPr>
          <w:lang w:val="es-ES_tradnl"/>
        </w:rPr>
        <w:t>era necesari</w:t>
      </w:r>
      <w:r w:rsidR="00DA625C" w:rsidRPr="005055EB">
        <w:rPr>
          <w:lang w:val="es-ES_tradnl"/>
        </w:rPr>
        <w:t>a</w:t>
      </w:r>
      <w:r w:rsidRPr="005055EB">
        <w:rPr>
          <w:lang w:val="es-ES_tradnl"/>
        </w:rPr>
        <w:t xml:space="preserve"> para </w:t>
      </w:r>
      <w:r w:rsidR="00DA625C" w:rsidRPr="005055EB">
        <w:rPr>
          <w:lang w:val="es-ES_tradnl"/>
        </w:rPr>
        <w:t xml:space="preserve">lograr </w:t>
      </w:r>
      <w:r w:rsidRPr="005055EB">
        <w:rPr>
          <w:lang w:val="es-ES_tradnl"/>
        </w:rPr>
        <w:t>alcanzar</w:t>
      </w:r>
      <w:r w:rsidR="00087B43" w:rsidRPr="005055EB">
        <w:rPr>
          <w:lang w:val="es-ES_tradnl"/>
        </w:rPr>
        <w:t>,</w:t>
      </w:r>
      <w:r w:rsidRPr="005055EB">
        <w:rPr>
          <w:lang w:val="es-ES_tradnl"/>
        </w:rPr>
        <w:t xml:space="preserve"> al menos</w:t>
      </w:r>
      <w:r w:rsidR="00087B43" w:rsidRPr="005055EB">
        <w:rPr>
          <w:lang w:val="es-ES_tradnl"/>
        </w:rPr>
        <w:t>,</w:t>
      </w:r>
      <w:r w:rsidRPr="005055EB">
        <w:rPr>
          <w:lang w:val="es-ES_tradnl"/>
        </w:rPr>
        <w:t xml:space="preserve"> el </w:t>
      </w:r>
      <w:r w:rsidR="00DA625C" w:rsidRPr="005055EB">
        <w:rPr>
          <w:lang w:val="es-ES_tradnl"/>
        </w:rPr>
        <w:t xml:space="preserve">10 % del </w:t>
      </w:r>
      <w:r w:rsidRPr="005055EB">
        <w:rPr>
          <w:lang w:val="es-ES_tradnl"/>
        </w:rPr>
        <w:t xml:space="preserve">objetivo de reducción </w:t>
      </w:r>
      <w:r w:rsidR="00DA625C" w:rsidRPr="005055EB">
        <w:rPr>
          <w:lang w:val="es-ES_tradnl"/>
        </w:rPr>
        <w:t>de HFC</w:t>
      </w:r>
      <w:r w:rsidRPr="005055EB">
        <w:rPr>
          <w:lang w:val="es-ES_tradnl"/>
        </w:rPr>
        <w:t>. El nivel de financiación acordado por el Comité figura en el cuadro 2.</w:t>
      </w:r>
    </w:p>
    <w:p w14:paraId="1173409F" w14:textId="721CD364" w:rsidR="00F74A7B" w:rsidRPr="005055EB" w:rsidRDefault="00823295" w:rsidP="00BC5C2A">
      <w:pPr>
        <w:keepNext/>
        <w:ind w:firstLine="720"/>
        <w:rPr>
          <w:lang w:val="es-ES_tradnl" w:eastAsia="en-GB"/>
        </w:rPr>
      </w:pPr>
      <w:r w:rsidRPr="005055EB">
        <w:rPr>
          <w:lang w:val="es-ES_tradnl" w:eastAsia="en-GB"/>
        </w:rPr>
        <w:t>Cuadro</w:t>
      </w:r>
      <w:r w:rsidR="00F74A7B" w:rsidRPr="005055EB">
        <w:rPr>
          <w:lang w:val="es-ES_tradnl" w:eastAsia="en-GB"/>
        </w:rPr>
        <w:t xml:space="preserve"> 2</w:t>
      </w:r>
    </w:p>
    <w:p w14:paraId="0D82C944" w14:textId="2D7B1587" w:rsidR="00F74A7B" w:rsidRPr="005055EB" w:rsidRDefault="00823295" w:rsidP="00BC5C2A">
      <w:pPr>
        <w:ind w:left="720"/>
        <w:rPr>
          <w:b/>
          <w:bCs/>
          <w:lang w:val="es-ES_tradnl" w:eastAsia="en-GB"/>
        </w:rPr>
      </w:pPr>
      <w:r w:rsidRPr="005055EB">
        <w:rPr>
          <w:b/>
          <w:bCs/>
          <w:lang w:val="es-ES_tradnl" w:eastAsia="en-GB"/>
        </w:rPr>
        <w:t>Financiación para cumplir el objetivo de reducción del 10</w:t>
      </w:r>
      <w:r w:rsidR="00406CC3" w:rsidRPr="005055EB">
        <w:rPr>
          <w:b/>
          <w:bCs/>
          <w:lang w:val="es-ES_tradnl" w:eastAsia="en-GB"/>
        </w:rPr>
        <w:t> %</w:t>
      </w:r>
      <w:r w:rsidRPr="005055EB">
        <w:rPr>
          <w:b/>
          <w:bCs/>
          <w:lang w:val="es-ES_tradnl" w:eastAsia="en-GB"/>
        </w:rPr>
        <w:t xml:space="preserve"> de los HFC del Protocolo de Montreal para los países de bajo consumo</w:t>
      </w:r>
    </w:p>
    <w:tbl>
      <w:tblPr>
        <w:tblW w:w="8741" w:type="dxa"/>
        <w:tblInd w:w="7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53"/>
        <w:gridCol w:w="4488"/>
      </w:tblGrid>
      <w:tr w:rsidR="00F74A7B" w:rsidRPr="005055EB" w14:paraId="31B63D44" w14:textId="77777777" w:rsidTr="00C9254D">
        <w:trPr>
          <w:trHeight w:val="300"/>
        </w:trPr>
        <w:tc>
          <w:tcPr>
            <w:tcW w:w="4253" w:type="dxa"/>
            <w:tcBorders>
              <w:top w:val="single" w:sz="6" w:space="0" w:color="auto"/>
              <w:left w:val="single" w:sz="6" w:space="0" w:color="auto"/>
              <w:bottom w:val="single" w:sz="6" w:space="0" w:color="auto"/>
              <w:right w:val="single" w:sz="6" w:space="0" w:color="auto"/>
            </w:tcBorders>
            <w:vAlign w:val="center"/>
            <w:hideMark/>
          </w:tcPr>
          <w:p w14:paraId="37661A6C" w14:textId="77777777" w:rsidR="00CF73A5" w:rsidRDefault="00F254D0" w:rsidP="00CF73A5">
            <w:pPr>
              <w:ind w:firstLine="107"/>
              <w:textAlignment w:val="baseline"/>
              <w:rPr>
                <w:b/>
                <w:bCs/>
                <w:color w:val="000000"/>
                <w:sz w:val="20"/>
                <w:szCs w:val="20"/>
                <w:lang w:val="es-ES_tradnl"/>
              </w:rPr>
            </w:pPr>
            <w:bookmarkStart w:id="3" w:name="_Hlk196808254"/>
            <w:r w:rsidRPr="005055EB">
              <w:rPr>
                <w:b/>
                <w:bCs/>
                <w:color w:val="000000"/>
                <w:sz w:val="20"/>
                <w:szCs w:val="20"/>
                <w:lang w:val="es-ES_tradnl"/>
              </w:rPr>
              <w:t xml:space="preserve">Consumo medio de HFC en servicio técnico en </w:t>
            </w:r>
          </w:p>
          <w:p w14:paraId="6D6FDD56" w14:textId="6FC36E29" w:rsidR="00F74A7B" w:rsidRPr="005055EB" w:rsidRDefault="00F254D0" w:rsidP="00CF73A5">
            <w:pPr>
              <w:ind w:firstLine="107"/>
              <w:textAlignment w:val="baseline"/>
              <w:rPr>
                <w:b/>
                <w:bCs/>
                <w:sz w:val="20"/>
                <w:szCs w:val="20"/>
                <w:lang w:val="es-ES_tradnl"/>
              </w:rPr>
            </w:pPr>
            <w:r w:rsidRPr="005055EB">
              <w:rPr>
                <w:b/>
                <w:bCs/>
                <w:color w:val="000000"/>
                <w:sz w:val="20"/>
                <w:szCs w:val="20"/>
                <w:lang w:val="es-ES_tradnl"/>
              </w:rPr>
              <w:t>los años de referencia (toneladas métricas)</w:t>
            </w:r>
          </w:p>
        </w:tc>
        <w:tc>
          <w:tcPr>
            <w:tcW w:w="4488" w:type="dxa"/>
            <w:tcBorders>
              <w:top w:val="single" w:sz="6" w:space="0" w:color="auto"/>
              <w:left w:val="nil"/>
              <w:bottom w:val="single" w:sz="6" w:space="0" w:color="auto"/>
              <w:right w:val="single" w:sz="6" w:space="0" w:color="auto"/>
            </w:tcBorders>
            <w:vAlign w:val="center"/>
            <w:hideMark/>
          </w:tcPr>
          <w:p w14:paraId="778B2FD0" w14:textId="74CFDF55" w:rsidR="00F74A7B" w:rsidRPr="005055EB" w:rsidRDefault="00F254D0" w:rsidP="00CF73A5">
            <w:pPr>
              <w:ind w:left="174" w:right="230"/>
              <w:textAlignment w:val="baseline"/>
              <w:rPr>
                <w:b/>
                <w:bCs/>
                <w:color w:val="000000"/>
                <w:sz w:val="20"/>
                <w:szCs w:val="20"/>
                <w:lang w:val="es-ES_tradnl"/>
              </w:rPr>
            </w:pPr>
            <w:r w:rsidRPr="005055EB">
              <w:rPr>
                <w:b/>
                <w:bCs/>
                <w:color w:val="000000" w:themeColor="text1"/>
                <w:sz w:val="20"/>
                <w:szCs w:val="20"/>
                <w:lang w:val="es-ES_tradnl"/>
              </w:rPr>
              <w:t>Financiación para alcanzar el objetivo de reducción del 10</w:t>
            </w:r>
            <w:r w:rsidR="00F46B0F" w:rsidRPr="005055EB">
              <w:rPr>
                <w:b/>
                <w:bCs/>
                <w:color w:val="000000" w:themeColor="text1"/>
                <w:sz w:val="20"/>
                <w:szCs w:val="20"/>
                <w:lang w:val="es-ES_tradnl"/>
              </w:rPr>
              <w:t> </w:t>
            </w:r>
            <w:r w:rsidRPr="005055EB">
              <w:rPr>
                <w:b/>
                <w:bCs/>
                <w:color w:val="000000" w:themeColor="text1"/>
                <w:sz w:val="20"/>
                <w:szCs w:val="20"/>
                <w:lang w:val="es-ES_tradnl"/>
              </w:rPr>
              <w:t>% de HFC del Protocolo de Montreal (USD)*.</w:t>
            </w:r>
          </w:p>
        </w:tc>
      </w:tr>
      <w:bookmarkEnd w:id="3"/>
      <w:tr w:rsidR="00F74A7B" w:rsidRPr="005055EB" w14:paraId="47A1BB43" w14:textId="77777777" w:rsidTr="00C9254D">
        <w:trPr>
          <w:trHeight w:val="120"/>
        </w:trPr>
        <w:tc>
          <w:tcPr>
            <w:tcW w:w="4253" w:type="dxa"/>
            <w:tcBorders>
              <w:top w:val="nil"/>
              <w:left w:val="single" w:sz="6" w:space="0" w:color="auto"/>
              <w:bottom w:val="single" w:sz="6" w:space="0" w:color="auto"/>
              <w:right w:val="single" w:sz="6" w:space="0" w:color="auto"/>
            </w:tcBorders>
            <w:hideMark/>
          </w:tcPr>
          <w:p w14:paraId="3759398A" w14:textId="77777777" w:rsidR="00F74A7B" w:rsidRPr="005055EB" w:rsidRDefault="00F74A7B" w:rsidP="00BC5C2A">
            <w:pPr>
              <w:ind w:left="1395" w:hanging="993"/>
              <w:textAlignment w:val="baseline"/>
              <w:rPr>
                <w:sz w:val="20"/>
                <w:szCs w:val="20"/>
                <w:lang w:val="es-ES_tradnl"/>
              </w:rPr>
            </w:pPr>
            <w:r w:rsidRPr="005055EB">
              <w:rPr>
                <w:color w:val="000000"/>
                <w:sz w:val="20"/>
                <w:szCs w:val="20"/>
                <w:lang w:val="es-ES_tradnl"/>
              </w:rPr>
              <w:t>&gt;0 &lt;15 </w:t>
            </w:r>
          </w:p>
        </w:tc>
        <w:tc>
          <w:tcPr>
            <w:tcW w:w="4488" w:type="dxa"/>
            <w:tcBorders>
              <w:top w:val="nil"/>
              <w:left w:val="nil"/>
              <w:bottom w:val="single" w:sz="6" w:space="0" w:color="auto"/>
              <w:right w:val="single" w:sz="6" w:space="0" w:color="auto"/>
            </w:tcBorders>
            <w:hideMark/>
          </w:tcPr>
          <w:p w14:paraId="750122D2" w14:textId="22F76DA1" w:rsidR="00F74A7B" w:rsidRPr="005055EB" w:rsidRDefault="00F74A7B" w:rsidP="00CF73A5">
            <w:pPr>
              <w:ind w:right="258" w:firstLine="174"/>
              <w:textAlignment w:val="baseline"/>
              <w:rPr>
                <w:sz w:val="20"/>
                <w:szCs w:val="20"/>
                <w:lang w:val="es-ES_tradnl"/>
              </w:rPr>
            </w:pPr>
            <w:r w:rsidRPr="005055EB">
              <w:rPr>
                <w:color w:val="000000"/>
                <w:sz w:val="20"/>
                <w:szCs w:val="20"/>
                <w:lang w:val="es-ES_tradnl"/>
              </w:rPr>
              <w:t>135</w:t>
            </w:r>
            <w:r w:rsidR="007336C4" w:rsidRPr="005055EB">
              <w:rPr>
                <w:color w:val="000000"/>
                <w:sz w:val="20"/>
                <w:szCs w:val="20"/>
                <w:lang w:val="es-ES_tradnl"/>
              </w:rPr>
              <w:t>.</w:t>
            </w:r>
            <w:r w:rsidRPr="005055EB">
              <w:rPr>
                <w:color w:val="000000"/>
                <w:sz w:val="20"/>
                <w:szCs w:val="20"/>
                <w:lang w:val="es-ES_tradnl"/>
              </w:rPr>
              <w:t>000 </w:t>
            </w:r>
          </w:p>
        </w:tc>
      </w:tr>
      <w:tr w:rsidR="00F74A7B" w:rsidRPr="005055EB" w14:paraId="7E801317" w14:textId="77777777" w:rsidTr="00C9254D">
        <w:trPr>
          <w:trHeight w:val="45"/>
        </w:trPr>
        <w:tc>
          <w:tcPr>
            <w:tcW w:w="4253" w:type="dxa"/>
            <w:tcBorders>
              <w:top w:val="nil"/>
              <w:left w:val="single" w:sz="6" w:space="0" w:color="auto"/>
              <w:bottom w:val="single" w:sz="6" w:space="0" w:color="auto"/>
              <w:right w:val="single" w:sz="6" w:space="0" w:color="auto"/>
            </w:tcBorders>
            <w:hideMark/>
          </w:tcPr>
          <w:p w14:paraId="2299E59D" w14:textId="77777777" w:rsidR="00F74A7B" w:rsidRPr="005055EB" w:rsidRDefault="00F74A7B" w:rsidP="00BC5C2A">
            <w:pPr>
              <w:ind w:left="1395" w:hanging="993"/>
              <w:textAlignment w:val="baseline"/>
              <w:rPr>
                <w:sz w:val="20"/>
                <w:szCs w:val="20"/>
                <w:lang w:val="es-ES_tradnl"/>
              </w:rPr>
            </w:pPr>
            <w:r w:rsidRPr="005055EB">
              <w:rPr>
                <w:color w:val="000000"/>
                <w:sz w:val="20"/>
                <w:szCs w:val="20"/>
                <w:lang w:val="es-ES_tradnl"/>
              </w:rPr>
              <w:t>15 &lt;40 </w:t>
            </w:r>
          </w:p>
        </w:tc>
        <w:tc>
          <w:tcPr>
            <w:tcW w:w="4488" w:type="dxa"/>
            <w:tcBorders>
              <w:top w:val="nil"/>
              <w:left w:val="nil"/>
              <w:bottom w:val="single" w:sz="6" w:space="0" w:color="auto"/>
              <w:right w:val="single" w:sz="6" w:space="0" w:color="auto"/>
            </w:tcBorders>
            <w:hideMark/>
          </w:tcPr>
          <w:p w14:paraId="050A7D93" w14:textId="66E634BF" w:rsidR="00F74A7B" w:rsidRPr="005055EB" w:rsidRDefault="00F74A7B" w:rsidP="00CF73A5">
            <w:pPr>
              <w:ind w:right="258" w:firstLine="174"/>
              <w:textAlignment w:val="baseline"/>
              <w:rPr>
                <w:sz w:val="20"/>
                <w:szCs w:val="20"/>
                <w:lang w:val="es-ES_tradnl"/>
              </w:rPr>
            </w:pPr>
            <w:r w:rsidRPr="005055EB">
              <w:rPr>
                <w:color w:val="000000"/>
                <w:sz w:val="20"/>
                <w:szCs w:val="20"/>
                <w:lang w:val="es-ES_tradnl"/>
              </w:rPr>
              <w:t>145</w:t>
            </w:r>
            <w:r w:rsidR="007336C4" w:rsidRPr="005055EB">
              <w:rPr>
                <w:color w:val="000000"/>
                <w:sz w:val="20"/>
                <w:szCs w:val="20"/>
                <w:lang w:val="es-ES_tradnl"/>
              </w:rPr>
              <w:t>.</w:t>
            </w:r>
            <w:r w:rsidRPr="005055EB">
              <w:rPr>
                <w:color w:val="000000"/>
                <w:sz w:val="20"/>
                <w:szCs w:val="20"/>
                <w:lang w:val="es-ES_tradnl"/>
              </w:rPr>
              <w:t>000 </w:t>
            </w:r>
          </w:p>
        </w:tc>
      </w:tr>
      <w:tr w:rsidR="00F74A7B" w:rsidRPr="005055EB" w14:paraId="26684951" w14:textId="77777777" w:rsidTr="00C9254D">
        <w:trPr>
          <w:trHeight w:val="60"/>
        </w:trPr>
        <w:tc>
          <w:tcPr>
            <w:tcW w:w="4253" w:type="dxa"/>
            <w:tcBorders>
              <w:top w:val="nil"/>
              <w:left w:val="single" w:sz="6" w:space="0" w:color="auto"/>
              <w:bottom w:val="single" w:sz="6" w:space="0" w:color="auto"/>
              <w:right w:val="single" w:sz="6" w:space="0" w:color="auto"/>
            </w:tcBorders>
            <w:hideMark/>
          </w:tcPr>
          <w:p w14:paraId="12695D62" w14:textId="77777777" w:rsidR="00F74A7B" w:rsidRPr="005055EB" w:rsidRDefault="00F74A7B" w:rsidP="00BC5C2A">
            <w:pPr>
              <w:ind w:left="1395" w:hanging="993"/>
              <w:textAlignment w:val="baseline"/>
              <w:rPr>
                <w:sz w:val="20"/>
                <w:szCs w:val="20"/>
                <w:lang w:val="es-ES_tradnl"/>
              </w:rPr>
            </w:pPr>
            <w:r w:rsidRPr="005055EB">
              <w:rPr>
                <w:color w:val="000000"/>
                <w:sz w:val="20"/>
                <w:szCs w:val="20"/>
                <w:lang w:val="es-ES_tradnl"/>
              </w:rPr>
              <w:t>40 &lt;80 </w:t>
            </w:r>
          </w:p>
        </w:tc>
        <w:tc>
          <w:tcPr>
            <w:tcW w:w="4488" w:type="dxa"/>
            <w:tcBorders>
              <w:top w:val="nil"/>
              <w:left w:val="nil"/>
              <w:bottom w:val="single" w:sz="6" w:space="0" w:color="auto"/>
              <w:right w:val="single" w:sz="6" w:space="0" w:color="auto"/>
            </w:tcBorders>
            <w:hideMark/>
          </w:tcPr>
          <w:p w14:paraId="6F302E2C" w14:textId="2FBD4386" w:rsidR="00F74A7B" w:rsidRPr="005055EB" w:rsidRDefault="00F74A7B" w:rsidP="00CF73A5">
            <w:pPr>
              <w:ind w:right="258" w:firstLine="174"/>
              <w:textAlignment w:val="baseline"/>
              <w:rPr>
                <w:sz w:val="20"/>
                <w:szCs w:val="20"/>
                <w:lang w:val="es-ES_tradnl"/>
              </w:rPr>
            </w:pPr>
            <w:r w:rsidRPr="005055EB">
              <w:rPr>
                <w:color w:val="000000"/>
                <w:sz w:val="20"/>
                <w:szCs w:val="20"/>
                <w:lang w:val="es-ES_tradnl"/>
              </w:rPr>
              <w:t>158</w:t>
            </w:r>
            <w:r w:rsidR="007336C4" w:rsidRPr="005055EB">
              <w:rPr>
                <w:color w:val="000000"/>
                <w:sz w:val="20"/>
                <w:szCs w:val="20"/>
                <w:lang w:val="es-ES_tradnl"/>
              </w:rPr>
              <w:t>.</w:t>
            </w:r>
            <w:r w:rsidRPr="005055EB">
              <w:rPr>
                <w:color w:val="000000"/>
                <w:sz w:val="20"/>
                <w:szCs w:val="20"/>
                <w:lang w:val="es-ES_tradnl"/>
              </w:rPr>
              <w:t>000 </w:t>
            </w:r>
          </w:p>
        </w:tc>
      </w:tr>
      <w:tr w:rsidR="00F74A7B" w:rsidRPr="005055EB" w14:paraId="4B08B924" w14:textId="77777777" w:rsidTr="00C9254D">
        <w:trPr>
          <w:trHeight w:val="45"/>
        </w:trPr>
        <w:tc>
          <w:tcPr>
            <w:tcW w:w="4253" w:type="dxa"/>
            <w:tcBorders>
              <w:top w:val="nil"/>
              <w:left w:val="single" w:sz="6" w:space="0" w:color="auto"/>
              <w:bottom w:val="single" w:sz="6" w:space="0" w:color="auto"/>
              <w:right w:val="single" w:sz="6" w:space="0" w:color="auto"/>
            </w:tcBorders>
            <w:hideMark/>
          </w:tcPr>
          <w:p w14:paraId="09D181AB" w14:textId="77777777" w:rsidR="00F74A7B" w:rsidRPr="005055EB" w:rsidRDefault="00F74A7B" w:rsidP="00BC5C2A">
            <w:pPr>
              <w:ind w:left="1395" w:hanging="993"/>
              <w:textAlignment w:val="baseline"/>
              <w:rPr>
                <w:sz w:val="20"/>
                <w:szCs w:val="20"/>
                <w:lang w:val="es-ES_tradnl"/>
              </w:rPr>
            </w:pPr>
            <w:r w:rsidRPr="005055EB">
              <w:rPr>
                <w:color w:val="000000"/>
                <w:sz w:val="20"/>
                <w:szCs w:val="20"/>
                <w:lang w:val="es-ES_tradnl"/>
              </w:rPr>
              <w:t>80 &lt;120 </w:t>
            </w:r>
          </w:p>
        </w:tc>
        <w:tc>
          <w:tcPr>
            <w:tcW w:w="4488" w:type="dxa"/>
            <w:tcBorders>
              <w:top w:val="nil"/>
              <w:left w:val="nil"/>
              <w:bottom w:val="single" w:sz="6" w:space="0" w:color="auto"/>
              <w:right w:val="single" w:sz="6" w:space="0" w:color="auto"/>
            </w:tcBorders>
            <w:hideMark/>
          </w:tcPr>
          <w:p w14:paraId="45683D69" w14:textId="0A11CCCC" w:rsidR="00F74A7B" w:rsidRPr="005055EB" w:rsidRDefault="00F74A7B" w:rsidP="00CF73A5">
            <w:pPr>
              <w:ind w:right="258" w:firstLine="174"/>
              <w:textAlignment w:val="baseline"/>
              <w:rPr>
                <w:sz w:val="20"/>
                <w:szCs w:val="20"/>
                <w:lang w:val="es-ES_tradnl"/>
              </w:rPr>
            </w:pPr>
            <w:r w:rsidRPr="005055EB">
              <w:rPr>
                <w:color w:val="000000"/>
                <w:sz w:val="20"/>
                <w:szCs w:val="20"/>
                <w:lang w:val="es-ES_tradnl"/>
              </w:rPr>
              <w:t>170</w:t>
            </w:r>
            <w:r w:rsidR="007336C4" w:rsidRPr="005055EB">
              <w:rPr>
                <w:color w:val="000000"/>
                <w:sz w:val="20"/>
                <w:szCs w:val="20"/>
                <w:lang w:val="es-ES_tradnl"/>
              </w:rPr>
              <w:t>.</w:t>
            </w:r>
            <w:r w:rsidRPr="005055EB">
              <w:rPr>
                <w:color w:val="000000"/>
                <w:sz w:val="20"/>
                <w:szCs w:val="20"/>
                <w:lang w:val="es-ES_tradnl"/>
              </w:rPr>
              <w:t>000 </w:t>
            </w:r>
          </w:p>
        </w:tc>
      </w:tr>
      <w:tr w:rsidR="00F74A7B" w:rsidRPr="005055EB" w14:paraId="5B0166B4" w14:textId="77777777" w:rsidTr="00C9254D">
        <w:trPr>
          <w:trHeight w:val="45"/>
        </w:trPr>
        <w:tc>
          <w:tcPr>
            <w:tcW w:w="4253" w:type="dxa"/>
            <w:tcBorders>
              <w:top w:val="nil"/>
              <w:left w:val="single" w:sz="6" w:space="0" w:color="auto"/>
              <w:bottom w:val="single" w:sz="6" w:space="0" w:color="auto"/>
              <w:right w:val="single" w:sz="6" w:space="0" w:color="auto"/>
            </w:tcBorders>
            <w:hideMark/>
          </w:tcPr>
          <w:p w14:paraId="28B3654F" w14:textId="77777777" w:rsidR="00F74A7B" w:rsidRPr="005055EB" w:rsidRDefault="00F74A7B" w:rsidP="00BC5C2A">
            <w:pPr>
              <w:ind w:left="1395" w:hanging="993"/>
              <w:textAlignment w:val="baseline"/>
              <w:rPr>
                <w:sz w:val="20"/>
                <w:szCs w:val="20"/>
                <w:lang w:val="es-ES_tradnl"/>
              </w:rPr>
            </w:pPr>
            <w:r w:rsidRPr="005055EB">
              <w:rPr>
                <w:color w:val="000000"/>
                <w:sz w:val="20"/>
                <w:szCs w:val="20"/>
                <w:lang w:val="es-ES_tradnl"/>
              </w:rPr>
              <w:t>120 &lt;160 </w:t>
            </w:r>
          </w:p>
        </w:tc>
        <w:tc>
          <w:tcPr>
            <w:tcW w:w="4488" w:type="dxa"/>
            <w:tcBorders>
              <w:top w:val="nil"/>
              <w:left w:val="nil"/>
              <w:bottom w:val="single" w:sz="6" w:space="0" w:color="auto"/>
              <w:right w:val="single" w:sz="6" w:space="0" w:color="auto"/>
            </w:tcBorders>
            <w:hideMark/>
          </w:tcPr>
          <w:p w14:paraId="05424944" w14:textId="262A239B" w:rsidR="00F74A7B" w:rsidRPr="005055EB" w:rsidRDefault="00F74A7B" w:rsidP="00CF73A5">
            <w:pPr>
              <w:ind w:right="258" w:firstLine="174"/>
              <w:textAlignment w:val="baseline"/>
              <w:rPr>
                <w:sz w:val="20"/>
                <w:szCs w:val="20"/>
                <w:lang w:val="es-ES_tradnl"/>
              </w:rPr>
            </w:pPr>
            <w:r w:rsidRPr="005055EB">
              <w:rPr>
                <w:color w:val="000000"/>
                <w:sz w:val="20"/>
                <w:szCs w:val="20"/>
                <w:lang w:val="es-ES_tradnl"/>
              </w:rPr>
              <w:t>180</w:t>
            </w:r>
            <w:r w:rsidR="007336C4" w:rsidRPr="005055EB">
              <w:rPr>
                <w:color w:val="000000"/>
                <w:sz w:val="20"/>
                <w:szCs w:val="20"/>
                <w:lang w:val="es-ES_tradnl"/>
              </w:rPr>
              <w:t>.</w:t>
            </w:r>
            <w:r w:rsidRPr="005055EB">
              <w:rPr>
                <w:color w:val="000000"/>
                <w:sz w:val="20"/>
                <w:szCs w:val="20"/>
                <w:lang w:val="es-ES_tradnl"/>
              </w:rPr>
              <w:t>000 </w:t>
            </w:r>
          </w:p>
        </w:tc>
      </w:tr>
      <w:tr w:rsidR="00F74A7B" w:rsidRPr="005055EB" w14:paraId="2373E2CF" w14:textId="77777777" w:rsidTr="00C9254D">
        <w:trPr>
          <w:trHeight w:val="210"/>
        </w:trPr>
        <w:tc>
          <w:tcPr>
            <w:tcW w:w="4253" w:type="dxa"/>
            <w:tcBorders>
              <w:top w:val="nil"/>
              <w:left w:val="single" w:sz="6" w:space="0" w:color="auto"/>
              <w:bottom w:val="single" w:sz="6" w:space="0" w:color="auto"/>
              <w:right w:val="single" w:sz="6" w:space="0" w:color="auto"/>
            </w:tcBorders>
            <w:hideMark/>
          </w:tcPr>
          <w:p w14:paraId="5FCDFFA6" w14:textId="77777777" w:rsidR="00F74A7B" w:rsidRPr="005055EB" w:rsidRDefault="00F74A7B" w:rsidP="00BC5C2A">
            <w:pPr>
              <w:ind w:left="1395" w:hanging="993"/>
              <w:textAlignment w:val="baseline"/>
              <w:rPr>
                <w:sz w:val="20"/>
                <w:szCs w:val="20"/>
                <w:lang w:val="es-ES_tradnl"/>
              </w:rPr>
            </w:pPr>
            <w:r w:rsidRPr="005055EB">
              <w:rPr>
                <w:color w:val="000000"/>
                <w:sz w:val="20"/>
                <w:szCs w:val="20"/>
                <w:lang w:val="es-ES_tradnl"/>
              </w:rPr>
              <w:t>160 &lt;200 </w:t>
            </w:r>
          </w:p>
        </w:tc>
        <w:tc>
          <w:tcPr>
            <w:tcW w:w="4488" w:type="dxa"/>
            <w:tcBorders>
              <w:top w:val="nil"/>
              <w:left w:val="nil"/>
              <w:bottom w:val="single" w:sz="6" w:space="0" w:color="auto"/>
              <w:right w:val="single" w:sz="6" w:space="0" w:color="auto"/>
            </w:tcBorders>
            <w:hideMark/>
          </w:tcPr>
          <w:p w14:paraId="7CD57199" w14:textId="7E71CC3F" w:rsidR="00F74A7B" w:rsidRPr="005055EB" w:rsidRDefault="00F74A7B" w:rsidP="00CF73A5">
            <w:pPr>
              <w:ind w:right="258" w:firstLine="174"/>
              <w:textAlignment w:val="baseline"/>
              <w:rPr>
                <w:sz w:val="20"/>
                <w:szCs w:val="20"/>
                <w:lang w:val="es-ES_tradnl"/>
              </w:rPr>
            </w:pPr>
            <w:r w:rsidRPr="005055EB">
              <w:rPr>
                <w:color w:val="000000"/>
                <w:sz w:val="20"/>
                <w:szCs w:val="20"/>
                <w:lang w:val="es-ES_tradnl"/>
              </w:rPr>
              <w:t>190</w:t>
            </w:r>
            <w:r w:rsidR="007336C4" w:rsidRPr="005055EB">
              <w:rPr>
                <w:color w:val="000000"/>
                <w:sz w:val="20"/>
                <w:szCs w:val="20"/>
                <w:lang w:val="es-ES_tradnl"/>
              </w:rPr>
              <w:t>.</w:t>
            </w:r>
            <w:r w:rsidRPr="005055EB">
              <w:rPr>
                <w:color w:val="000000"/>
                <w:sz w:val="20"/>
                <w:szCs w:val="20"/>
                <w:lang w:val="es-ES_tradnl"/>
              </w:rPr>
              <w:t>000 </w:t>
            </w:r>
          </w:p>
        </w:tc>
      </w:tr>
      <w:tr w:rsidR="00F74A7B" w:rsidRPr="005055EB" w14:paraId="11EB5289" w14:textId="77777777" w:rsidTr="00C9254D">
        <w:trPr>
          <w:trHeight w:val="90"/>
        </w:trPr>
        <w:tc>
          <w:tcPr>
            <w:tcW w:w="4253" w:type="dxa"/>
            <w:tcBorders>
              <w:top w:val="nil"/>
              <w:left w:val="single" w:sz="6" w:space="0" w:color="auto"/>
              <w:bottom w:val="single" w:sz="6" w:space="0" w:color="auto"/>
              <w:right w:val="single" w:sz="6" w:space="0" w:color="auto"/>
            </w:tcBorders>
            <w:hideMark/>
          </w:tcPr>
          <w:p w14:paraId="2FD0EC27" w14:textId="77777777" w:rsidR="00F74A7B" w:rsidRPr="005055EB" w:rsidRDefault="00F74A7B" w:rsidP="00BC5C2A">
            <w:pPr>
              <w:ind w:left="1395" w:hanging="993"/>
              <w:textAlignment w:val="baseline"/>
              <w:rPr>
                <w:sz w:val="20"/>
                <w:szCs w:val="20"/>
                <w:lang w:val="es-ES_tradnl"/>
              </w:rPr>
            </w:pPr>
            <w:r w:rsidRPr="005055EB">
              <w:rPr>
                <w:color w:val="000000"/>
                <w:sz w:val="20"/>
                <w:szCs w:val="20"/>
                <w:lang w:val="es-ES_tradnl"/>
              </w:rPr>
              <w:t>200 &lt;300 </w:t>
            </w:r>
          </w:p>
        </w:tc>
        <w:tc>
          <w:tcPr>
            <w:tcW w:w="4488" w:type="dxa"/>
            <w:tcBorders>
              <w:top w:val="nil"/>
              <w:left w:val="nil"/>
              <w:bottom w:val="single" w:sz="6" w:space="0" w:color="auto"/>
              <w:right w:val="single" w:sz="6" w:space="0" w:color="auto"/>
            </w:tcBorders>
            <w:hideMark/>
          </w:tcPr>
          <w:p w14:paraId="7D005C8C" w14:textId="4423B200" w:rsidR="00F74A7B" w:rsidRPr="005055EB" w:rsidRDefault="00F74A7B" w:rsidP="00CF73A5">
            <w:pPr>
              <w:ind w:right="258" w:firstLine="174"/>
              <w:textAlignment w:val="baseline"/>
              <w:rPr>
                <w:sz w:val="20"/>
                <w:szCs w:val="20"/>
                <w:lang w:val="es-ES_tradnl"/>
              </w:rPr>
            </w:pPr>
            <w:r w:rsidRPr="005055EB">
              <w:rPr>
                <w:color w:val="000000"/>
                <w:sz w:val="20"/>
                <w:szCs w:val="20"/>
                <w:lang w:val="es-ES_tradnl"/>
              </w:rPr>
              <w:t>325</w:t>
            </w:r>
            <w:r w:rsidR="007336C4" w:rsidRPr="005055EB">
              <w:rPr>
                <w:color w:val="000000"/>
                <w:sz w:val="20"/>
                <w:szCs w:val="20"/>
                <w:lang w:val="es-ES_tradnl"/>
              </w:rPr>
              <w:t>.</w:t>
            </w:r>
            <w:r w:rsidRPr="005055EB">
              <w:rPr>
                <w:color w:val="000000"/>
                <w:sz w:val="20"/>
                <w:szCs w:val="20"/>
                <w:lang w:val="es-ES_tradnl"/>
              </w:rPr>
              <w:t>000 </w:t>
            </w:r>
          </w:p>
        </w:tc>
      </w:tr>
      <w:tr w:rsidR="00F74A7B" w:rsidRPr="005055EB" w14:paraId="3113513F" w14:textId="77777777" w:rsidTr="00C9254D">
        <w:trPr>
          <w:trHeight w:val="150"/>
        </w:trPr>
        <w:tc>
          <w:tcPr>
            <w:tcW w:w="4253" w:type="dxa"/>
            <w:tcBorders>
              <w:top w:val="nil"/>
              <w:left w:val="single" w:sz="6" w:space="0" w:color="auto"/>
              <w:bottom w:val="single" w:sz="6" w:space="0" w:color="auto"/>
              <w:right w:val="single" w:sz="6" w:space="0" w:color="auto"/>
            </w:tcBorders>
            <w:hideMark/>
          </w:tcPr>
          <w:p w14:paraId="0BCA0600" w14:textId="77777777" w:rsidR="00F74A7B" w:rsidRPr="005055EB" w:rsidRDefault="00F74A7B" w:rsidP="00BC5C2A">
            <w:pPr>
              <w:ind w:left="1395" w:hanging="993"/>
              <w:textAlignment w:val="baseline"/>
              <w:rPr>
                <w:sz w:val="20"/>
                <w:szCs w:val="20"/>
                <w:lang w:val="es-ES_tradnl"/>
              </w:rPr>
            </w:pPr>
            <w:r w:rsidRPr="005055EB">
              <w:rPr>
                <w:color w:val="000000"/>
                <w:sz w:val="20"/>
                <w:szCs w:val="20"/>
                <w:lang w:val="es-ES_tradnl"/>
              </w:rPr>
              <w:t>300 &lt;360 </w:t>
            </w:r>
          </w:p>
        </w:tc>
        <w:tc>
          <w:tcPr>
            <w:tcW w:w="4488" w:type="dxa"/>
            <w:tcBorders>
              <w:top w:val="nil"/>
              <w:left w:val="nil"/>
              <w:bottom w:val="single" w:sz="6" w:space="0" w:color="auto"/>
              <w:right w:val="single" w:sz="6" w:space="0" w:color="auto"/>
            </w:tcBorders>
            <w:hideMark/>
          </w:tcPr>
          <w:p w14:paraId="6054D243" w14:textId="7D79380D" w:rsidR="00F74A7B" w:rsidRPr="005055EB" w:rsidRDefault="00F74A7B" w:rsidP="00CF73A5">
            <w:pPr>
              <w:ind w:right="258" w:firstLine="174"/>
              <w:textAlignment w:val="baseline"/>
              <w:rPr>
                <w:sz w:val="20"/>
                <w:szCs w:val="20"/>
                <w:lang w:val="es-ES_tradnl"/>
              </w:rPr>
            </w:pPr>
            <w:r w:rsidRPr="005055EB">
              <w:rPr>
                <w:color w:val="000000"/>
                <w:sz w:val="20"/>
                <w:szCs w:val="20"/>
                <w:lang w:val="es-ES_tradnl"/>
              </w:rPr>
              <w:t>360</w:t>
            </w:r>
            <w:r w:rsidR="007336C4" w:rsidRPr="005055EB">
              <w:rPr>
                <w:color w:val="000000" w:themeColor="text1"/>
                <w:sz w:val="20"/>
                <w:szCs w:val="20"/>
                <w:lang w:val="es-ES_tradnl"/>
              </w:rPr>
              <w:t>.</w:t>
            </w:r>
            <w:r w:rsidRPr="005055EB">
              <w:rPr>
                <w:color w:val="000000" w:themeColor="text1"/>
                <w:sz w:val="20"/>
                <w:szCs w:val="20"/>
                <w:lang w:val="es-ES_tradnl"/>
              </w:rPr>
              <w:t>000 </w:t>
            </w:r>
          </w:p>
        </w:tc>
      </w:tr>
    </w:tbl>
    <w:p w14:paraId="4D20AFDC" w14:textId="1E581063" w:rsidR="00F74A7B" w:rsidRPr="005055EB" w:rsidRDefault="00F74A7B" w:rsidP="00CF73A5">
      <w:pPr>
        <w:pStyle w:val="Heading3"/>
        <w:numPr>
          <w:ilvl w:val="0"/>
          <w:numId w:val="0"/>
        </w:numPr>
        <w:ind w:left="900" w:hanging="180"/>
        <w:rPr>
          <w:sz w:val="18"/>
          <w:szCs w:val="18"/>
          <w:lang w:val="es-ES_tradnl" w:eastAsia="en-GB"/>
        </w:rPr>
      </w:pPr>
      <w:r w:rsidRPr="005055EB">
        <w:rPr>
          <w:sz w:val="18"/>
          <w:szCs w:val="18"/>
          <w:lang w:val="es-ES_tradnl"/>
        </w:rPr>
        <w:t>*</w:t>
      </w:r>
      <w:r w:rsidR="00F254D0" w:rsidRPr="005055EB">
        <w:rPr>
          <w:sz w:val="18"/>
          <w:szCs w:val="18"/>
          <w:lang w:val="es-ES_tradnl" w:eastAsia="en-GB"/>
        </w:rPr>
        <w:t xml:space="preserve"> Más un 20</w:t>
      </w:r>
      <w:r w:rsidR="00406CC3" w:rsidRPr="005055EB">
        <w:rPr>
          <w:sz w:val="18"/>
          <w:szCs w:val="18"/>
          <w:lang w:val="es-ES_tradnl" w:eastAsia="en-GB"/>
        </w:rPr>
        <w:t> %</w:t>
      </w:r>
      <w:r w:rsidR="00F254D0" w:rsidRPr="005055EB">
        <w:rPr>
          <w:sz w:val="18"/>
          <w:szCs w:val="18"/>
          <w:lang w:val="es-ES_tradnl" w:eastAsia="en-GB"/>
        </w:rPr>
        <w:t xml:space="preserve"> de financiación para los países que se comprometan a reducir el consumo en un 10</w:t>
      </w:r>
      <w:r w:rsidR="00F46B0F" w:rsidRPr="005055EB">
        <w:rPr>
          <w:sz w:val="18"/>
          <w:szCs w:val="18"/>
          <w:lang w:val="es-ES_tradnl" w:eastAsia="en-GB"/>
        </w:rPr>
        <w:t> </w:t>
      </w:r>
      <w:r w:rsidR="00F254D0" w:rsidRPr="005055EB">
        <w:rPr>
          <w:sz w:val="18"/>
          <w:szCs w:val="18"/>
          <w:lang w:val="es-ES_tradnl" w:eastAsia="en-GB"/>
        </w:rPr>
        <w:t>% del consumo medio de HFC en los años de referencia.</w:t>
      </w:r>
    </w:p>
    <w:p w14:paraId="01ACDFC3" w14:textId="6DBCC960" w:rsidR="005F2BB7" w:rsidRPr="005055EB" w:rsidRDefault="00F254D0" w:rsidP="00BC5C2A">
      <w:pPr>
        <w:pStyle w:val="Heading1"/>
        <w:rPr>
          <w:lang w:val="es-ES_tradnl"/>
        </w:rPr>
      </w:pPr>
      <w:r w:rsidRPr="005055EB">
        <w:rPr>
          <w:lang w:val="es-ES_tradnl"/>
        </w:rPr>
        <w:t xml:space="preserve">El Comité Ejecutivo también decidió que los países del Artículo 5 con un consumo medio de HFC superior a 360 toneladas métricas </w:t>
      </w:r>
      <w:r w:rsidR="00F46B0F" w:rsidRPr="005055EB">
        <w:rPr>
          <w:lang w:val="es-ES_tradnl"/>
        </w:rPr>
        <w:t xml:space="preserve">(tm) </w:t>
      </w:r>
      <w:r w:rsidRPr="005055EB">
        <w:rPr>
          <w:lang w:val="es-ES_tradnl"/>
        </w:rPr>
        <w:t xml:space="preserve">e inferior a 25.000 </w:t>
      </w:r>
      <w:r w:rsidR="00F46B0F" w:rsidRPr="005055EB">
        <w:rPr>
          <w:lang w:val="es-ES_tradnl"/>
        </w:rPr>
        <w:t>tm</w:t>
      </w:r>
      <w:r w:rsidRPr="005055EB">
        <w:rPr>
          <w:lang w:val="es-ES_tradnl"/>
        </w:rPr>
        <w:t xml:space="preserve"> en el sector de mantenimiento </w:t>
      </w:r>
      <w:r w:rsidR="00F46B0F" w:rsidRPr="005055EB">
        <w:rPr>
          <w:lang w:val="es-ES_tradnl"/>
        </w:rPr>
        <w:t xml:space="preserve">durante </w:t>
      </w:r>
      <w:r w:rsidRPr="005055EB">
        <w:rPr>
          <w:lang w:val="es-ES_tradnl"/>
        </w:rPr>
        <w:t xml:space="preserve">los años de referencia </w:t>
      </w:r>
      <w:r w:rsidR="00F46B0F" w:rsidRPr="005055EB">
        <w:rPr>
          <w:lang w:val="es-ES_tradnl"/>
        </w:rPr>
        <w:t xml:space="preserve">recibirán </w:t>
      </w:r>
      <w:r w:rsidRPr="005055EB">
        <w:rPr>
          <w:lang w:val="es-ES_tradnl"/>
        </w:rPr>
        <w:t>financia</w:t>
      </w:r>
      <w:r w:rsidR="00FD4DB2" w:rsidRPr="005055EB">
        <w:rPr>
          <w:lang w:val="es-ES_tradnl"/>
        </w:rPr>
        <w:t>miento</w:t>
      </w:r>
      <w:r w:rsidRPr="005055EB">
        <w:rPr>
          <w:lang w:val="es-ES_tradnl"/>
        </w:rPr>
        <w:t>, que se de</w:t>
      </w:r>
      <w:r w:rsidR="00F46B0F" w:rsidRPr="005055EB">
        <w:rPr>
          <w:lang w:val="es-ES_tradnl"/>
        </w:rPr>
        <w:t>scontará</w:t>
      </w:r>
      <w:r w:rsidRPr="005055EB">
        <w:rPr>
          <w:lang w:val="es-ES_tradnl"/>
        </w:rPr>
        <w:t xml:space="preserve"> de su punto de partida para las reducciones </w:t>
      </w:r>
      <w:r w:rsidR="00F46B0F" w:rsidRPr="005055EB">
        <w:rPr>
          <w:lang w:val="es-ES_tradnl"/>
        </w:rPr>
        <w:t xml:space="preserve">acumuladas del </w:t>
      </w:r>
      <w:r w:rsidRPr="005055EB">
        <w:rPr>
          <w:lang w:val="es-ES_tradnl"/>
        </w:rPr>
        <w:t xml:space="preserve">consumo de HFC, </w:t>
      </w:r>
      <w:r w:rsidR="00F46B0F" w:rsidRPr="005055EB">
        <w:rPr>
          <w:lang w:val="es-ES_tradnl"/>
        </w:rPr>
        <w:t xml:space="preserve">por un valor de hasta </w:t>
      </w:r>
      <w:r w:rsidRPr="005055EB">
        <w:rPr>
          <w:lang w:val="es-ES_tradnl"/>
        </w:rPr>
        <w:t xml:space="preserve">5,10 </w:t>
      </w:r>
      <w:r w:rsidR="00F46B0F" w:rsidRPr="005055EB">
        <w:rPr>
          <w:lang w:val="es-ES_tradnl"/>
        </w:rPr>
        <w:t>USD</w:t>
      </w:r>
      <w:r w:rsidRPr="005055EB">
        <w:rPr>
          <w:lang w:val="es-ES_tradnl"/>
        </w:rPr>
        <w:t>/kg</w:t>
      </w:r>
      <w:r w:rsidR="00FD4DB2" w:rsidRPr="005055EB">
        <w:rPr>
          <w:lang w:val="es-ES_tradnl"/>
        </w:rPr>
        <w:t>,</w:t>
      </w:r>
      <w:r w:rsidRPr="005055EB">
        <w:rPr>
          <w:lang w:val="es-ES_tradnl"/>
        </w:rPr>
        <w:t xml:space="preserve"> en el entendi</w:t>
      </w:r>
      <w:r w:rsidR="00F46B0F" w:rsidRPr="005055EB">
        <w:rPr>
          <w:lang w:val="es-ES_tradnl"/>
        </w:rPr>
        <w:t>d</w:t>
      </w:r>
      <w:r w:rsidRPr="005055EB">
        <w:rPr>
          <w:lang w:val="es-ES_tradnl"/>
        </w:rPr>
        <w:t xml:space="preserve">o de que las propuestas de proyecto </w:t>
      </w:r>
      <w:r w:rsidR="00F46B0F" w:rsidRPr="005055EB">
        <w:rPr>
          <w:lang w:val="es-ES_tradnl"/>
        </w:rPr>
        <w:t xml:space="preserve">seguirán sujetas a demostrar </w:t>
      </w:r>
      <w:r w:rsidRPr="005055EB">
        <w:rPr>
          <w:lang w:val="es-ES_tradnl"/>
        </w:rPr>
        <w:t xml:space="preserve">que </w:t>
      </w:r>
      <w:r w:rsidR="00F46B0F" w:rsidRPr="005055EB">
        <w:rPr>
          <w:lang w:val="es-ES_tradnl"/>
        </w:rPr>
        <w:t xml:space="preserve">la </w:t>
      </w:r>
      <w:r w:rsidRPr="005055EB">
        <w:rPr>
          <w:lang w:val="es-ES_tradnl"/>
        </w:rPr>
        <w:t xml:space="preserve">financiación </w:t>
      </w:r>
      <w:r w:rsidR="00F46B0F" w:rsidRPr="005055EB">
        <w:rPr>
          <w:lang w:val="es-ES_tradnl"/>
        </w:rPr>
        <w:t xml:space="preserve">solicitada </w:t>
      </w:r>
      <w:r w:rsidRPr="005055EB">
        <w:rPr>
          <w:lang w:val="es-ES_tradnl"/>
        </w:rPr>
        <w:t>era necesari</w:t>
      </w:r>
      <w:r w:rsidR="00F46B0F" w:rsidRPr="005055EB">
        <w:rPr>
          <w:lang w:val="es-ES_tradnl"/>
        </w:rPr>
        <w:t xml:space="preserve">a </w:t>
      </w:r>
      <w:r w:rsidRPr="005055EB">
        <w:rPr>
          <w:lang w:val="es-ES_tradnl"/>
        </w:rPr>
        <w:t xml:space="preserve">para lograr al menos </w:t>
      </w:r>
      <w:r w:rsidR="00F46B0F" w:rsidRPr="005055EB">
        <w:rPr>
          <w:lang w:val="es-ES_tradnl"/>
        </w:rPr>
        <w:t>un</w:t>
      </w:r>
      <w:r w:rsidRPr="005055EB">
        <w:rPr>
          <w:lang w:val="es-ES_tradnl"/>
        </w:rPr>
        <w:t xml:space="preserve"> 10</w:t>
      </w:r>
      <w:r w:rsidR="00F46B0F" w:rsidRPr="005055EB">
        <w:rPr>
          <w:lang w:val="es-ES_tradnl"/>
        </w:rPr>
        <w:t> </w:t>
      </w:r>
      <w:r w:rsidRPr="005055EB">
        <w:rPr>
          <w:lang w:val="es-ES_tradnl"/>
        </w:rPr>
        <w:t>% de</w:t>
      </w:r>
      <w:r w:rsidR="00F46B0F" w:rsidRPr="005055EB">
        <w:rPr>
          <w:lang w:val="es-ES_tradnl"/>
        </w:rPr>
        <w:t xml:space="preserve">l objetivo de reducción de </w:t>
      </w:r>
      <w:r w:rsidRPr="005055EB">
        <w:rPr>
          <w:lang w:val="es-ES_tradnl"/>
        </w:rPr>
        <w:t>HFC. La financiación para los países del Artículo 5 que tuvieran un consumo medio de HFC en servicio en los años de referencia superior a 25.000 toneladas métricas se consideraría caso por caso.</w:t>
      </w:r>
    </w:p>
    <w:p w14:paraId="17B631BE" w14:textId="2EAC239E" w:rsidR="00F254D0" w:rsidRPr="005055EB" w:rsidRDefault="00F254D0" w:rsidP="00BC5C2A">
      <w:pPr>
        <w:pStyle w:val="Heading1"/>
        <w:rPr>
          <w:lang w:val="es-ES_tradnl"/>
        </w:rPr>
      </w:pPr>
      <w:r w:rsidRPr="005055EB">
        <w:rPr>
          <w:lang w:val="es-ES_tradnl"/>
        </w:rPr>
        <w:t xml:space="preserve">Los países que operan al amparo del Artículo 5 a los que se hace referencia en el párrafo </w:t>
      </w:r>
      <w:r w:rsidRPr="005055EB">
        <w:rPr>
          <w:highlight w:val="yellow"/>
          <w:lang w:val="es-ES_tradnl"/>
        </w:rPr>
        <w:t>21</w:t>
      </w:r>
      <w:r w:rsidRPr="005055EB">
        <w:rPr>
          <w:lang w:val="es-ES_tradnl"/>
        </w:rPr>
        <w:t xml:space="preserve"> </w:t>
      </w:r>
      <w:r w:rsidRPr="005055EB">
        <w:rPr>
          <w:i/>
          <w:iCs/>
          <w:lang w:val="es-ES_tradnl"/>
        </w:rPr>
        <w:t>supra</w:t>
      </w:r>
      <w:r w:rsidRPr="005055EB">
        <w:rPr>
          <w:lang w:val="es-ES_tradnl"/>
        </w:rPr>
        <w:t xml:space="preserve">, cuyos niveles de financiación, si se calculan sobre la base de 5,10 </w:t>
      </w:r>
      <w:r w:rsidR="00237BAB" w:rsidRPr="005055EB">
        <w:rPr>
          <w:lang w:val="es-ES_tradnl"/>
        </w:rPr>
        <w:t>USD</w:t>
      </w:r>
      <w:r w:rsidRPr="005055EB">
        <w:rPr>
          <w:lang w:val="es-ES_tradnl"/>
        </w:rPr>
        <w:t>/kg, serían inferiores a los del grupo de países de bajo consumo que tuvieron un consumo medio de HFC en los servicios de mantenimiento en los años de referencia de entre 300 y 360 toneladas métricas, podrían recibir financiación hasta el nivel determinado para ese grupo de países de bajo consumo, en el entendi</w:t>
      </w:r>
      <w:r w:rsidR="009900FE" w:rsidRPr="005055EB">
        <w:rPr>
          <w:lang w:val="es-ES_tradnl"/>
        </w:rPr>
        <w:t>d</w:t>
      </w:r>
      <w:r w:rsidRPr="005055EB">
        <w:rPr>
          <w:lang w:val="es-ES_tradnl"/>
        </w:rPr>
        <w:t xml:space="preserve">o de que deben incluir en sus planes de eliminación de HFC, como mínimo, los requisitos descritos en el párrafo </w:t>
      </w:r>
      <w:r w:rsidRPr="005055EB">
        <w:rPr>
          <w:highlight w:val="yellow"/>
          <w:lang w:val="es-ES_tradnl"/>
        </w:rPr>
        <w:t>19</w:t>
      </w:r>
      <w:r w:rsidRPr="005055EB">
        <w:rPr>
          <w:lang w:val="es-ES_tradnl"/>
        </w:rPr>
        <w:t xml:space="preserve"> </w:t>
      </w:r>
      <w:r w:rsidRPr="005055EB">
        <w:rPr>
          <w:i/>
          <w:iCs/>
          <w:lang w:val="es-ES_tradnl"/>
        </w:rPr>
        <w:t>supra</w:t>
      </w:r>
      <w:r w:rsidRPr="005055EB">
        <w:rPr>
          <w:lang w:val="es-ES_tradnl"/>
        </w:rPr>
        <w:t>.</w:t>
      </w:r>
    </w:p>
    <w:p w14:paraId="590EF73B" w14:textId="00CA5761" w:rsidR="00DB531E" w:rsidRPr="005055EB" w:rsidRDefault="00E57BB9" w:rsidP="00BC5C2A">
      <w:pPr>
        <w:pStyle w:val="Heading1"/>
        <w:numPr>
          <w:ilvl w:val="0"/>
          <w:numId w:val="0"/>
        </w:numPr>
        <w:rPr>
          <w:lang w:val="es-ES_tradnl"/>
        </w:rPr>
      </w:pPr>
      <w:r w:rsidRPr="005055EB">
        <w:rPr>
          <w:bCs/>
          <w:i/>
          <w:iCs/>
          <w:lang w:val="es-ES_tradnl"/>
        </w:rPr>
        <w:t>Admisibilidad de las sustancias del Anexo F sujetas a</w:t>
      </w:r>
      <w:r w:rsidR="0068095C" w:rsidRPr="005055EB">
        <w:rPr>
          <w:bCs/>
          <w:i/>
          <w:iCs/>
          <w:lang w:val="es-ES_tradnl"/>
        </w:rPr>
        <w:t xml:space="preserve"> </w:t>
      </w:r>
      <w:r w:rsidRPr="005055EB">
        <w:rPr>
          <w:bCs/>
          <w:i/>
          <w:iCs/>
          <w:lang w:val="es-ES_tradnl"/>
        </w:rPr>
        <w:t>exenciones por altas temperaturas ambiente</w:t>
      </w:r>
    </w:p>
    <w:p w14:paraId="6DBD04A1" w14:textId="132926D3" w:rsidR="0068095C" w:rsidRPr="005055EB" w:rsidRDefault="0068095C" w:rsidP="00BC5C2A">
      <w:pPr>
        <w:pStyle w:val="Heading1"/>
        <w:rPr>
          <w:lang w:val="es-ES_tradnl"/>
        </w:rPr>
      </w:pPr>
      <w:r w:rsidRPr="005055EB">
        <w:rPr>
          <w:lang w:val="es-ES_tradnl"/>
        </w:rPr>
        <w:t xml:space="preserve">Por último, el Comité Ejecutivo decidió que </w:t>
      </w:r>
      <w:r w:rsidR="00643B2E" w:rsidRPr="005055EB">
        <w:rPr>
          <w:lang w:val="es-ES_tradnl"/>
        </w:rPr>
        <w:t>las cantidades de sustancias incluidas en el anexo F que están sujetas a la exención por altas temperaturas ambiente no podrán recibir financiación del Fondo Multilateral mientras estén exentas para esa Parte.</w:t>
      </w:r>
    </w:p>
    <w:p w14:paraId="340D3306" w14:textId="15C6B2BB" w:rsidR="00F74A7B" w:rsidRPr="005055EB" w:rsidRDefault="00F74A7B" w:rsidP="00BC5C2A">
      <w:pPr>
        <w:spacing w:after="240"/>
        <w:ind w:left="720" w:hanging="720"/>
        <w:rPr>
          <w:b/>
          <w:bCs/>
          <w:lang w:val="es-ES_tradnl"/>
        </w:rPr>
      </w:pPr>
      <w:r w:rsidRPr="005055EB">
        <w:rPr>
          <w:b/>
          <w:bCs/>
          <w:lang w:val="es-ES_tradnl"/>
        </w:rPr>
        <w:t>b)</w:t>
      </w:r>
      <w:r w:rsidRPr="005055EB">
        <w:rPr>
          <w:b/>
          <w:bCs/>
          <w:lang w:val="es-ES_tradnl"/>
        </w:rPr>
        <w:tab/>
      </w:r>
      <w:r w:rsidR="0068095C" w:rsidRPr="005055EB">
        <w:rPr>
          <w:b/>
          <w:bCs/>
          <w:lang w:val="es-ES_tradnl"/>
        </w:rPr>
        <w:t xml:space="preserve">Párrafos restantes de la decisión </w:t>
      </w:r>
      <w:r w:rsidRPr="005055EB">
        <w:rPr>
          <w:b/>
          <w:bCs/>
          <w:lang w:val="es-ES_tradnl"/>
        </w:rPr>
        <w:t xml:space="preserve">XXVIII/2 </w:t>
      </w:r>
      <w:r w:rsidR="0068095C" w:rsidRPr="005055EB">
        <w:rPr>
          <w:b/>
          <w:bCs/>
          <w:lang w:val="es-ES_tradnl"/>
        </w:rPr>
        <w:t>de las Partes</w:t>
      </w:r>
    </w:p>
    <w:p w14:paraId="26F3A8A1" w14:textId="247BB5AF" w:rsidR="00DB531E" w:rsidRPr="005055EB" w:rsidRDefault="0068095C" w:rsidP="00BC5C2A">
      <w:pPr>
        <w:pStyle w:val="Heading1"/>
        <w:tabs>
          <w:tab w:val="clear" w:pos="0"/>
        </w:tabs>
        <w:rPr>
          <w:lang w:val="es-ES_tradnl"/>
        </w:rPr>
      </w:pPr>
      <w:r w:rsidRPr="005055EB">
        <w:rPr>
          <w:lang w:val="es-ES_tradnl"/>
        </w:rPr>
        <w:t xml:space="preserve">El Comité Ejecutivo examinó el párrafo 23 de la decisión XXVIII/2 sobre creación de capacidad para abordar la seguridad como parte de </w:t>
      </w:r>
      <w:r w:rsidR="00134A00" w:rsidRPr="005055EB">
        <w:rPr>
          <w:lang w:val="es-ES_tradnl"/>
        </w:rPr>
        <w:t xml:space="preserve">los parámetros de </w:t>
      </w:r>
      <w:r w:rsidRPr="005055EB">
        <w:rPr>
          <w:lang w:val="es-ES_tradnl"/>
        </w:rPr>
        <w:t xml:space="preserve">costos en el sector de mantenimiento de </w:t>
      </w:r>
      <w:r w:rsidR="00134A00" w:rsidRPr="005055EB">
        <w:rPr>
          <w:lang w:val="es-ES_tradnl"/>
        </w:rPr>
        <w:t xml:space="preserve">equipos de </w:t>
      </w:r>
      <w:r w:rsidRPr="005055EB">
        <w:rPr>
          <w:lang w:val="es-ES_tradnl"/>
        </w:rPr>
        <w:t xml:space="preserve">refrigeración. En cuanto al párrafo 25 de la decisión XXVIII/2 sobre otros </w:t>
      </w:r>
      <w:r w:rsidR="00154E9F" w:rsidRPr="005055EB">
        <w:rPr>
          <w:lang w:val="es-ES_tradnl"/>
        </w:rPr>
        <w:t>costos</w:t>
      </w:r>
      <w:r w:rsidRPr="005055EB">
        <w:rPr>
          <w:lang w:val="es-ES_tradnl"/>
        </w:rPr>
        <w:t xml:space="preserve">, el Comité tomó nota de que las Partes en el Protocolo de Montreal </w:t>
      </w:r>
      <w:r w:rsidR="00D7288C" w:rsidRPr="005055EB">
        <w:rPr>
          <w:lang w:val="es-ES"/>
        </w:rPr>
        <w:t>podrían identificar otras partidas que</w:t>
      </w:r>
      <w:r w:rsidR="00C52ABB" w:rsidRPr="005055EB">
        <w:rPr>
          <w:lang w:val="es-ES"/>
        </w:rPr>
        <w:t xml:space="preserve"> fuera</w:t>
      </w:r>
      <w:r w:rsidR="00D7288C" w:rsidRPr="005055EB">
        <w:rPr>
          <w:lang w:val="es-ES"/>
        </w:rPr>
        <w:t xml:space="preserve"> necesario agregar a la lista indicativa de los costos adicionales que emanan de la conversión a alternativas de bajo PCA</w:t>
      </w:r>
      <w:r w:rsidRPr="005055EB">
        <w:rPr>
          <w:lang w:val="es-ES_tradnl"/>
        </w:rPr>
        <w:t>. El párrafo 22 de la decisión XXVIII/2 sobre eficiencia energética se había abordado al margen de</w:t>
      </w:r>
      <w:r w:rsidR="00C52ABB" w:rsidRPr="005055EB">
        <w:rPr>
          <w:lang w:val="es-ES_tradnl"/>
        </w:rPr>
        <w:t xml:space="preserve"> los parámetros de </w:t>
      </w:r>
      <w:r w:rsidR="00154E9F" w:rsidRPr="005055EB">
        <w:rPr>
          <w:lang w:val="es-ES_tradnl"/>
        </w:rPr>
        <w:t>costos</w:t>
      </w:r>
      <w:r w:rsidRPr="005055EB">
        <w:rPr>
          <w:lang w:val="es-ES_tradnl"/>
        </w:rPr>
        <w:t xml:space="preserve"> desde la 83ª reunión y había dado lugar a una serie de decisiones que se describen en </w:t>
      </w:r>
      <w:r w:rsidRPr="005055EB">
        <w:rPr>
          <w:lang w:val="es-ES_tradnl"/>
        </w:rPr>
        <w:lastRenderedPageBreak/>
        <w:t xml:space="preserve">los párrafos </w:t>
      </w:r>
      <w:r w:rsidRPr="005055EB">
        <w:rPr>
          <w:highlight w:val="yellow"/>
          <w:lang w:val="es-ES_tradnl"/>
        </w:rPr>
        <w:t>28 a 35</w:t>
      </w:r>
      <w:r w:rsidRPr="005055EB">
        <w:rPr>
          <w:lang w:val="es-ES_tradnl"/>
        </w:rPr>
        <w:t xml:space="preserve">. En cuanto al párrafo 24 de la decisión XXVIII/2 sobre eliminación, el Comité había adoptado e informado a las </w:t>
      </w:r>
      <w:r w:rsidR="00A42C3E" w:rsidRPr="005055EB">
        <w:rPr>
          <w:lang w:val="es-ES_tradnl"/>
        </w:rPr>
        <w:t>P</w:t>
      </w:r>
      <w:r w:rsidRPr="005055EB">
        <w:rPr>
          <w:lang w:val="es-ES_tradnl"/>
        </w:rPr>
        <w:t>artes de una serie de decisiones y seguiría considerando el asunto como parte del debate sobre la gestión del ciclo de vida de los refrigerantes</w:t>
      </w:r>
      <w:r w:rsidR="000B3CCF" w:rsidRPr="005055EB">
        <w:rPr>
          <w:lang w:val="es-ES_tradnl"/>
        </w:rPr>
        <w:t>,</w:t>
      </w:r>
      <w:r w:rsidRPr="005055EB">
        <w:rPr>
          <w:lang w:val="es-ES_tradnl"/>
        </w:rPr>
        <w:t xml:space="preserve"> de conformidad con la decisión XXXV/11, en la 97ª reunión.</w:t>
      </w:r>
    </w:p>
    <w:p w14:paraId="23E3B8BD" w14:textId="4747C23E" w:rsidR="00F74A7B" w:rsidRPr="005055EB" w:rsidRDefault="00F74A7B" w:rsidP="001156A2">
      <w:pPr>
        <w:pStyle w:val="Heading1"/>
        <w:keepNext/>
        <w:keepLines/>
        <w:widowControl w:val="0"/>
        <w:numPr>
          <w:ilvl w:val="0"/>
          <w:numId w:val="0"/>
        </w:numPr>
        <w:rPr>
          <w:b/>
          <w:lang w:val="es-ES_tradnl"/>
        </w:rPr>
      </w:pPr>
      <w:r w:rsidRPr="005055EB">
        <w:rPr>
          <w:b/>
          <w:lang w:val="es-ES_tradnl"/>
        </w:rPr>
        <w:t>c)</w:t>
      </w:r>
      <w:r w:rsidRPr="005055EB">
        <w:rPr>
          <w:b/>
          <w:lang w:val="es-ES_tradnl"/>
        </w:rPr>
        <w:tab/>
      </w:r>
      <w:r w:rsidR="00622466" w:rsidRPr="005055EB">
        <w:rPr>
          <w:b/>
          <w:lang w:val="es-ES_tradnl"/>
        </w:rPr>
        <w:t xml:space="preserve">Cuestiones pendientes relacionadas con los parámetros de costos para la reducción de los </w:t>
      </w:r>
      <w:r w:rsidRPr="005055EB">
        <w:rPr>
          <w:b/>
          <w:lang w:val="es-ES_tradnl"/>
        </w:rPr>
        <w:t>HFC</w:t>
      </w:r>
    </w:p>
    <w:p w14:paraId="4CF81C2B" w14:textId="4B046C53" w:rsidR="00C6757D" w:rsidRPr="005055EB" w:rsidRDefault="00D66534" w:rsidP="00BC5C2A">
      <w:pPr>
        <w:pStyle w:val="Heading1"/>
        <w:tabs>
          <w:tab w:val="clear" w:pos="0"/>
          <w:tab w:val="num" w:pos="720"/>
        </w:tabs>
        <w:rPr>
          <w:lang w:val="es-ES_tradnl"/>
        </w:rPr>
      </w:pPr>
      <w:r w:rsidRPr="005055EB">
        <w:rPr>
          <w:lang w:val="es-ES_tradnl"/>
        </w:rPr>
        <w:t xml:space="preserve">Tras la adopción, en la 95ª reunión, de </w:t>
      </w:r>
      <w:r w:rsidR="008645A6" w:rsidRPr="005055EB">
        <w:rPr>
          <w:lang w:val="es-ES_tradnl"/>
        </w:rPr>
        <w:t xml:space="preserve">los parámetros de costos </w:t>
      </w:r>
      <w:r w:rsidRPr="005055EB">
        <w:rPr>
          <w:lang w:val="es-ES_tradnl"/>
        </w:rPr>
        <w:t xml:space="preserve">para la financiación de la </w:t>
      </w:r>
      <w:r w:rsidR="008645A6" w:rsidRPr="005055EB">
        <w:rPr>
          <w:lang w:val="es-ES_tradnl"/>
        </w:rPr>
        <w:t xml:space="preserve">reducción </w:t>
      </w:r>
      <w:r w:rsidRPr="005055EB">
        <w:rPr>
          <w:lang w:val="es-ES_tradnl"/>
        </w:rPr>
        <w:t xml:space="preserve">de los HFC en los países del artículo 5, el Comité Ejecutivo acordó proseguir el debate de las cuestiones pendientes en reuniones posteriores, incluso sobre la base de las propuestas relativas al punto de partida para las reducciones </w:t>
      </w:r>
      <w:r w:rsidR="008645A6" w:rsidRPr="005055EB">
        <w:rPr>
          <w:lang w:val="es-ES_tradnl"/>
        </w:rPr>
        <w:t xml:space="preserve">acumuladas </w:t>
      </w:r>
      <w:r w:rsidRPr="005055EB">
        <w:rPr>
          <w:lang w:val="es-ES_tradnl"/>
        </w:rPr>
        <w:t xml:space="preserve">sostenidas del consumo de HFC y al cálculo de las reducciones a partir del punto de partida en el sector de </w:t>
      </w:r>
      <w:r w:rsidR="00A42C3E" w:rsidRPr="005055EB">
        <w:rPr>
          <w:lang w:val="es-ES_tradnl"/>
        </w:rPr>
        <w:t xml:space="preserve">mantenimiento </w:t>
      </w:r>
      <w:r w:rsidRPr="005055EB">
        <w:rPr>
          <w:lang w:val="es-ES_tradnl"/>
        </w:rPr>
        <w:t xml:space="preserve">para los </w:t>
      </w:r>
      <w:r w:rsidR="008645A6" w:rsidRPr="005055EB">
        <w:rPr>
          <w:lang w:val="es-ES_tradnl"/>
        </w:rPr>
        <w:t>PAK</w:t>
      </w:r>
      <w:r w:rsidRPr="005055EB">
        <w:rPr>
          <w:lang w:val="es-ES_tradnl"/>
        </w:rPr>
        <w:t xml:space="preserve"> de los países </w:t>
      </w:r>
      <w:r w:rsidR="008645A6" w:rsidRPr="005055EB">
        <w:rPr>
          <w:lang w:val="es-ES_tradnl"/>
        </w:rPr>
        <w:t>de mayor consumo</w:t>
      </w:r>
      <w:r w:rsidR="008645A6" w:rsidRPr="005055EB">
        <w:rPr>
          <w:rStyle w:val="FootnoteReference"/>
          <w:bCs/>
          <w:lang w:val="es-ES_tradnl"/>
        </w:rPr>
        <w:footnoteReference w:id="5"/>
      </w:r>
      <w:r w:rsidRPr="005055EB">
        <w:rPr>
          <w:lang w:val="es-ES_tradnl"/>
        </w:rPr>
        <w:t xml:space="preserve">. </w:t>
      </w:r>
    </w:p>
    <w:p w14:paraId="675C3E71" w14:textId="4E5234D0" w:rsidR="00DB531E" w:rsidRPr="005055EB" w:rsidRDefault="00F74A7B" w:rsidP="00BC5C2A">
      <w:pPr>
        <w:pStyle w:val="Heading1"/>
        <w:tabs>
          <w:tab w:val="clear" w:pos="0"/>
          <w:tab w:val="num" w:pos="720"/>
        </w:tabs>
        <w:rPr>
          <w:lang w:val="es-ES_tradnl"/>
        </w:rPr>
      </w:pPr>
      <w:r w:rsidRPr="005055EB">
        <w:rPr>
          <w:highlight w:val="yellow"/>
          <w:lang w:val="es-ES_tradnl"/>
        </w:rPr>
        <w:t>[</w:t>
      </w:r>
      <w:r w:rsidR="00410D7E" w:rsidRPr="005055EB">
        <w:rPr>
          <w:highlight w:val="yellow"/>
          <w:lang w:val="es-ES_tradnl"/>
        </w:rPr>
        <w:t>En la 96ª reunión</w:t>
      </w:r>
      <w:r w:rsidRPr="005055EB">
        <w:rPr>
          <w:highlight w:val="yellow"/>
          <w:lang w:val="es-ES_tradnl"/>
        </w:rPr>
        <w:t>…]</w:t>
      </w:r>
    </w:p>
    <w:p w14:paraId="741B1C85" w14:textId="12A017D2" w:rsidR="00F74A7B" w:rsidRPr="005055EB" w:rsidRDefault="00F74A7B" w:rsidP="00BC5C2A">
      <w:pPr>
        <w:pStyle w:val="Heading1"/>
        <w:numPr>
          <w:ilvl w:val="0"/>
          <w:numId w:val="0"/>
        </w:numPr>
        <w:tabs>
          <w:tab w:val="num" w:pos="720"/>
        </w:tabs>
        <w:rPr>
          <w:b/>
          <w:lang w:val="es-ES_tradnl"/>
        </w:rPr>
      </w:pPr>
      <w:r w:rsidRPr="005055EB">
        <w:rPr>
          <w:b/>
          <w:lang w:val="es-ES_tradnl"/>
        </w:rPr>
        <w:t>d)</w:t>
      </w:r>
      <w:r w:rsidRPr="005055EB">
        <w:rPr>
          <w:b/>
          <w:lang w:val="es-ES_tradnl"/>
        </w:rPr>
        <w:tab/>
      </w:r>
      <w:r w:rsidR="008645A6" w:rsidRPr="005055EB">
        <w:rPr>
          <w:b/>
          <w:lang w:val="es-ES_tradnl"/>
        </w:rPr>
        <w:t>Otras decisiones del Comité Ejecutivo pertinentes para los parámetros de</w:t>
      </w:r>
      <w:r w:rsidR="003D46A9" w:rsidRPr="005055EB">
        <w:rPr>
          <w:b/>
          <w:lang w:val="es-ES_tradnl"/>
        </w:rPr>
        <w:t xml:space="preserve"> </w:t>
      </w:r>
      <w:r w:rsidR="008645A6" w:rsidRPr="005055EB">
        <w:rPr>
          <w:b/>
          <w:lang w:val="es-ES_tradnl"/>
        </w:rPr>
        <w:t xml:space="preserve">costos para la reducción de los </w:t>
      </w:r>
      <w:r w:rsidRPr="005055EB">
        <w:rPr>
          <w:b/>
          <w:lang w:val="es-ES_tradnl"/>
        </w:rPr>
        <w:t>HFC</w:t>
      </w:r>
    </w:p>
    <w:p w14:paraId="56198B56" w14:textId="3D520FF2" w:rsidR="00FC1D10" w:rsidRPr="005055EB" w:rsidRDefault="00FC1D10" w:rsidP="00BC5C2A">
      <w:pPr>
        <w:pStyle w:val="Heading1"/>
        <w:tabs>
          <w:tab w:val="clear" w:pos="0"/>
        </w:tabs>
        <w:rPr>
          <w:lang w:val="es-ES_tradnl"/>
        </w:rPr>
      </w:pPr>
      <w:r w:rsidRPr="005055EB">
        <w:rPr>
          <w:lang w:val="es-ES_tradnl"/>
        </w:rPr>
        <w:t>En la 92ª reunión, el Comité Ejecutivo decidió que las propuestas relativas a reducir el consumo de HFC antes de lo previsto en el Protocolo se podrán considerar caso a caso cuando se trate de países que demuestren un fuerte compromiso nacional en tal sentido (decisión 92/44).</w:t>
      </w:r>
    </w:p>
    <w:p w14:paraId="67217783" w14:textId="6BBAD18E" w:rsidR="00F74A7B" w:rsidRPr="005055EB" w:rsidRDefault="00FC1D10" w:rsidP="00BC5C2A">
      <w:pPr>
        <w:pStyle w:val="ListParagraph"/>
        <w:keepNext/>
        <w:keepLines/>
        <w:numPr>
          <w:ilvl w:val="0"/>
          <w:numId w:val="35"/>
        </w:numPr>
        <w:spacing w:after="240"/>
        <w:outlineLvl w:val="1"/>
        <w:rPr>
          <w:b/>
          <w:lang w:val="es-ES_tradnl"/>
        </w:rPr>
      </w:pPr>
      <w:r w:rsidRPr="005055EB">
        <w:rPr>
          <w:b/>
          <w:lang w:val="es-ES_tradnl"/>
        </w:rPr>
        <w:t xml:space="preserve">Marco operativo para seguir elaborando los aspectos institucionales, proyectos y actividades que el Fondo Multilateral podría llevar a cabo a fin de mantener o potenciar la eficiencia energética de los equipos y tecnologías sustitutivas en los sectores de manufactura y servicio técnico durante la reducción de los HFC </w:t>
      </w:r>
    </w:p>
    <w:p w14:paraId="10E807A6" w14:textId="619DF026" w:rsidR="00091651" w:rsidRPr="005055EB" w:rsidRDefault="00FC1D10" w:rsidP="00BC5C2A">
      <w:pPr>
        <w:pStyle w:val="Heading1"/>
        <w:tabs>
          <w:tab w:val="clear" w:pos="0"/>
        </w:tabs>
        <w:rPr>
          <w:lang w:val="es-ES_tradnl"/>
        </w:rPr>
      </w:pPr>
      <w:r w:rsidRPr="005055EB">
        <w:rPr>
          <w:lang w:val="es-ES_tradnl"/>
        </w:rPr>
        <w:t xml:space="preserve">Durante el período que abarca el informe, el Comité Ejecutivo continuó debatiendo un marco operativo para </w:t>
      </w:r>
      <w:r w:rsidR="0067525A" w:rsidRPr="005055EB">
        <w:rPr>
          <w:lang w:val="es-ES_tradnl"/>
        </w:rPr>
        <w:t xml:space="preserve">seguir elaborando los </w:t>
      </w:r>
      <w:r w:rsidRPr="005055EB">
        <w:rPr>
          <w:lang w:val="es-ES_tradnl"/>
        </w:rPr>
        <w:t>aspectos institucionales</w:t>
      </w:r>
      <w:r w:rsidR="0067525A" w:rsidRPr="005055EB">
        <w:rPr>
          <w:lang w:val="es-ES_tradnl"/>
        </w:rPr>
        <w:t xml:space="preserve">, </w:t>
      </w:r>
      <w:r w:rsidRPr="005055EB">
        <w:rPr>
          <w:lang w:val="es-ES_tradnl"/>
        </w:rPr>
        <w:t>proyectos y</w:t>
      </w:r>
      <w:r w:rsidR="00865F3C" w:rsidRPr="005055EB">
        <w:rPr>
          <w:lang w:val="es-ES_tradnl"/>
        </w:rPr>
        <w:t xml:space="preserve"> </w:t>
      </w:r>
      <w:r w:rsidRPr="005055EB">
        <w:rPr>
          <w:lang w:val="es-ES_tradnl"/>
        </w:rPr>
        <w:t xml:space="preserve">actividades </w:t>
      </w:r>
      <w:r w:rsidR="0067525A" w:rsidRPr="005055EB">
        <w:rPr>
          <w:lang w:val="es-ES_tradnl"/>
        </w:rPr>
        <w:t xml:space="preserve">que </w:t>
      </w:r>
      <w:r w:rsidRPr="005055EB">
        <w:rPr>
          <w:lang w:val="es-ES_tradnl"/>
        </w:rPr>
        <w:t xml:space="preserve">el Fondo Multilateral </w:t>
      </w:r>
      <w:r w:rsidR="0067525A" w:rsidRPr="005055EB">
        <w:rPr>
          <w:lang w:val="es-ES_tradnl"/>
        </w:rPr>
        <w:t xml:space="preserve">podría llevar a cabo a fin de </w:t>
      </w:r>
      <w:r w:rsidRPr="005055EB">
        <w:rPr>
          <w:lang w:val="es-ES_tradnl"/>
        </w:rPr>
        <w:t xml:space="preserve">mantener </w:t>
      </w:r>
      <w:r w:rsidR="0067525A" w:rsidRPr="005055EB">
        <w:rPr>
          <w:lang w:val="es-ES_tradnl"/>
        </w:rPr>
        <w:t xml:space="preserve">o potenciar </w:t>
      </w:r>
      <w:r w:rsidRPr="005055EB">
        <w:rPr>
          <w:lang w:val="es-ES_tradnl"/>
        </w:rPr>
        <w:t xml:space="preserve">la eficiencia energética de </w:t>
      </w:r>
      <w:r w:rsidR="00865F3C" w:rsidRPr="005055EB">
        <w:rPr>
          <w:lang w:val="es-ES_tradnl"/>
        </w:rPr>
        <w:t xml:space="preserve">los equipos y </w:t>
      </w:r>
      <w:r w:rsidRPr="005055EB">
        <w:rPr>
          <w:lang w:val="es-ES_tradnl"/>
        </w:rPr>
        <w:t xml:space="preserve">las tecnologías </w:t>
      </w:r>
      <w:r w:rsidR="00865F3C" w:rsidRPr="005055EB">
        <w:rPr>
          <w:lang w:val="es-ES_tradnl"/>
        </w:rPr>
        <w:t xml:space="preserve">sustitutivas </w:t>
      </w:r>
      <w:r w:rsidRPr="005055EB">
        <w:rPr>
          <w:lang w:val="es-ES_tradnl"/>
        </w:rPr>
        <w:t xml:space="preserve">en </w:t>
      </w:r>
      <w:r w:rsidR="00865F3C" w:rsidRPr="005055EB">
        <w:rPr>
          <w:lang w:val="es-ES_tradnl"/>
        </w:rPr>
        <w:t xml:space="preserve">los sectores de manufactura y servicio técnico durante la reducción de </w:t>
      </w:r>
      <w:r w:rsidRPr="005055EB">
        <w:rPr>
          <w:lang w:val="es-ES_tradnl"/>
        </w:rPr>
        <w:t>los HFC. El Comité había comenzado a debatir cuestiones de eficiencia energética en la 82ª reunión en respuesta a las deliberaciones de las Partes en la 40ª reunión del Grupo de trabajo de composición abierta y la 30ª</w:t>
      </w:r>
      <w:r w:rsidR="0086047A" w:rsidRPr="005055EB">
        <w:rPr>
          <w:lang w:val="es-ES_tradnl"/>
        </w:rPr>
        <w:t> </w:t>
      </w:r>
      <w:r w:rsidR="00027019" w:rsidRPr="005055EB">
        <w:rPr>
          <w:lang w:val="es-ES_tradnl"/>
        </w:rPr>
        <w:t>r</w:t>
      </w:r>
      <w:r w:rsidRPr="005055EB">
        <w:rPr>
          <w:lang w:val="es-ES_tradnl"/>
        </w:rPr>
        <w:t>eunión de las Partes en relación con el volumen 5 del informe de mayo de 2018 del Grupo de Evaluación Tecnológica y Económica sobre cuestiones relacionadas con la eficiencia energética durante la eliminación gradual de los HFC</w:t>
      </w:r>
      <w:r w:rsidR="00F74A7B" w:rsidRPr="005055EB">
        <w:rPr>
          <w:vertAlign w:val="superscript"/>
          <w:lang w:val="es-ES_tradnl"/>
        </w:rPr>
        <w:footnoteReference w:id="6"/>
      </w:r>
      <w:r w:rsidRPr="005055EB">
        <w:rPr>
          <w:lang w:val="es-ES_tradnl"/>
        </w:rPr>
        <w:t>.</w:t>
      </w:r>
      <w:r w:rsidR="00F74A7B" w:rsidRPr="005055EB">
        <w:rPr>
          <w:vertAlign w:val="superscript"/>
          <w:lang w:val="es-ES_tradnl"/>
        </w:rPr>
        <w:t xml:space="preserve"> </w:t>
      </w:r>
    </w:p>
    <w:p w14:paraId="388398B1" w14:textId="77777777" w:rsidR="00091651" w:rsidRPr="005055EB" w:rsidRDefault="00455AE8" w:rsidP="00BC5C2A">
      <w:pPr>
        <w:pStyle w:val="Heading1"/>
        <w:tabs>
          <w:tab w:val="clear" w:pos="0"/>
        </w:tabs>
        <w:rPr>
          <w:lang w:val="es-ES_tradnl"/>
        </w:rPr>
      </w:pPr>
      <w:r w:rsidRPr="005055EB">
        <w:rPr>
          <w:lang w:val="es-ES_tradnl"/>
        </w:rPr>
        <w:t>En su 95ª reunión, el Comité examinó un informe de la Secretaría</w:t>
      </w:r>
      <w:r w:rsidRPr="005055EB">
        <w:rPr>
          <w:vertAlign w:val="superscript"/>
          <w:lang w:val="es-ES_tradnl"/>
        </w:rPr>
        <w:footnoteReference w:id="7"/>
      </w:r>
      <w:r w:rsidRPr="005055EB">
        <w:rPr>
          <w:lang w:val="es-ES_tradnl"/>
        </w:rPr>
        <w:t xml:space="preserve"> sobre este asunto. Tras amplios debates en sesión plenaria y en un grupo de contacto, el Comité Ejecutivo adoptó una decisión al respecto (decisión 95/87).</w:t>
      </w:r>
    </w:p>
    <w:p w14:paraId="6B6E97C3" w14:textId="5BEA6EE1" w:rsidR="00091651" w:rsidRPr="005055EB" w:rsidRDefault="00723502" w:rsidP="00BC5C2A">
      <w:pPr>
        <w:pStyle w:val="Heading1"/>
        <w:tabs>
          <w:tab w:val="clear" w:pos="0"/>
        </w:tabs>
        <w:rPr>
          <w:lang w:val="es-ES_tradnl"/>
        </w:rPr>
      </w:pPr>
      <w:r w:rsidRPr="005055EB">
        <w:rPr>
          <w:lang w:val="es-ES_tradnl"/>
        </w:rPr>
        <w:t xml:space="preserve">En relación con la fabricación de componentes y bombas de calor, solicitó a la Secretaría que utilizara el marco operativo sobre eficiencia energética </w:t>
      </w:r>
      <w:r w:rsidR="0036698C" w:rsidRPr="005055EB">
        <w:rPr>
          <w:lang w:val="es-ES"/>
        </w:rPr>
        <w:t>durante el proceso de reducción de los HFC</w:t>
      </w:r>
      <w:r w:rsidR="0036698C" w:rsidRPr="005055EB">
        <w:rPr>
          <w:lang w:val="es-ES_tradnl"/>
        </w:rPr>
        <w:t xml:space="preserve"> </w:t>
      </w:r>
      <w:r w:rsidRPr="005055EB">
        <w:rPr>
          <w:lang w:val="es-ES_tradnl"/>
        </w:rPr>
        <w:t xml:space="preserve">y que aplicara, </w:t>
      </w:r>
      <w:r w:rsidR="0036698C" w:rsidRPr="005055EB">
        <w:rPr>
          <w:lang w:val="es-ES_tradnl"/>
        </w:rPr>
        <w:t xml:space="preserve">en el marco de </w:t>
      </w:r>
      <w:r w:rsidRPr="005055EB">
        <w:rPr>
          <w:lang w:val="es-ES_tradnl"/>
        </w:rPr>
        <w:t xml:space="preserve">la decisión 94/60 sobre el uso del marco operativo, durante un período inicial de tres años, modalidades y condiciones específicas para proyectos de fabricación de compresores (párrafos 7-17 del documento UNEP/OzL.Pro/ExCom/95/87), proyectos de fabricación de intercambiadores de calor (párrafos 19-25 del documento UNEP/OzL.Pro/ExCom/95/87) y proyectos de fabricación de bombas de calor (párrafos 27-36 del documento UNEP/OzL.Pro/ExCom/95/87). El Comité tomó nota de que el marco </w:t>
      </w:r>
      <w:r w:rsidRPr="005055EB">
        <w:rPr>
          <w:lang w:val="es-ES_tradnl"/>
        </w:rPr>
        <w:lastRenderedPageBreak/>
        <w:t>operativo se revisaría tras el período inicial de ejecución de tres años, sobre la base de la experiencia adquirida</w:t>
      </w:r>
      <w:r w:rsidR="00091651" w:rsidRPr="005055EB">
        <w:rPr>
          <w:lang w:val="es-ES_tradnl"/>
        </w:rPr>
        <w:t>.</w:t>
      </w:r>
    </w:p>
    <w:p w14:paraId="03C47030" w14:textId="328839B5" w:rsidR="00723502" w:rsidRPr="005055EB" w:rsidRDefault="00723502" w:rsidP="00BC5C2A">
      <w:pPr>
        <w:pStyle w:val="Heading1"/>
        <w:tabs>
          <w:tab w:val="clear" w:pos="0"/>
        </w:tabs>
        <w:rPr>
          <w:lang w:val="es-ES_tradnl"/>
        </w:rPr>
      </w:pPr>
      <w:r w:rsidRPr="005055EB">
        <w:rPr>
          <w:lang w:val="es-ES_tradnl"/>
        </w:rPr>
        <w:t xml:space="preserve">El Comité Ejecutivo acordó los niveles de financiación para la preparación de los proyectos mencionados y de los proyectos relativos a la eficacia energética en virtud de la decisión 94/60. Los niveles de financiación podrían considerarse en el caso de países en los que la preparación del proyecto de inversión </w:t>
      </w:r>
      <w:r w:rsidR="006D3E58" w:rsidRPr="005055EB">
        <w:rPr>
          <w:lang w:val="es-ES_tradnl"/>
        </w:rPr>
        <w:t>del PAK</w:t>
      </w:r>
      <w:r w:rsidRPr="005055EB">
        <w:rPr>
          <w:lang w:val="es-ES_tradnl"/>
        </w:rPr>
        <w:t xml:space="preserve"> estuviera en curso y </w:t>
      </w:r>
      <w:r w:rsidR="006D3E58" w:rsidRPr="005055EB">
        <w:rPr>
          <w:lang w:val="es-ES_tradnl"/>
        </w:rPr>
        <w:t xml:space="preserve">en los que se preveía </w:t>
      </w:r>
      <w:r w:rsidRPr="005055EB">
        <w:rPr>
          <w:lang w:val="es-ES_tradnl"/>
        </w:rPr>
        <w:t xml:space="preserve">que el PAK se presentara en la 96ª reunión o antes, o en los que la preparación del PAK hubiera concluido. Para la preparación de proyectos de inversión individuales con arreglo a la decisión 94/60, podrían utilizarse los siguientes niveles de financiación para los </w:t>
      </w:r>
      <w:r w:rsidR="006D3E58" w:rsidRPr="005055EB">
        <w:rPr>
          <w:lang w:val="es-ES_tradnl"/>
        </w:rPr>
        <w:t>PAK</w:t>
      </w:r>
      <w:r w:rsidRPr="005055EB">
        <w:rPr>
          <w:lang w:val="es-ES_tradnl"/>
        </w:rPr>
        <w:t xml:space="preserve"> que se presenten hasta la 96ª reunión:</w:t>
      </w:r>
    </w:p>
    <w:p w14:paraId="516F103B" w14:textId="0E4A9B74" w:rsidR="00723502" w:rsidRPr="005055EB" w:rsidRDefault="00723502" w:rsidP="00BC5C2A">
      <w:pPr>
        <w:pStyle w:val="Heading3"/>
        <w:ind w:left="1276" w:hanging="567"/>
        <w:rPr>
          <w:lang w:val="es-ES_tradnl"/>
        </w:rPr>
      </w:pPr>
      <w:r w:rsidRPr="005055EB">
        <w:rPr>
          <w:lang w:val="es-ES_tradnl"/>
        </w:rPr>
        <w:t xml:space="preserve">Hasta cuatro empresas </w:t>
      </w:r>
      <w:r w:rsidR="008E571F" w:rsidRPr="005055EB">
        <w:rPr>
          <w:lang w:val="es-ES_tradnl"/>
        </w:rPr>
        <w:t>que harán la conversión en un sector de fabricación</w:t>
      </w:r>
      <w:r w:rsidRPr="005055EB">
        <w:rPr>
          <w:lang w:val="es-ES_tradnl"/>
        </w:rPr>
        <w:t>: USD 30.000</w:t>
      </w:r>
    </w:p>
    <w:p w14:paraId="59D83ACE" w14:textId="765018FF" w:rsidR="00723502" w:rsidRPr="005055EB" w:rsidRDefault="00723502" w:rsidP="00BC5C2A">
      <w:pPr>
        <w:pStyle w:val="Heading3"/>
        <w:ind w:left="1276" w:hanging="567"/>
        <w:rPr>
          <w:lang w:val="es-ES_tradnl"/>
        </w:rPr>
      </w:pPr>
      <w:r w:rsidRPr="005055EB">
        <w:rPr>
          <w:lang w:val="es-ES_tradnl"/>
        </w:rPr>
        <w:t>De cinco a 15 empresas: USD 30.000, más USD 5.000 adicionales por empresa a partir de cuatro;</w:t>
      </w:r>
    </w:p>
    <w:p w14:paraId="33C44FF6" w14:textId="2FFF03F3" w:rsidR="00723502" w:rsidRPr="005055EB" w:rsidRDefault="00723502" w:rsidP="00BC5C2A">
      <w:pPr>
        <w:pStyle w:val="Heading3"/>
        <w:ind w:left="1276" w:hanging="567"/>
        <w:rPr>
          <w:lang w:val="es-ES_tradnl"/>
        </w:rPr>
      </w:pPr>
      <w:r w:rsidRPr="005055EB">
        <w:rPr>
          <w:lang w:val="es-ES_tradnl"/>
        </w:rPr>
        <w:t xml:space="preserve">A partir de 16 empresas </w:t>
      </w:r>
      <w:r w:rsidR="008E571F" w:rsidRPr="005055EB">
        <w:rPr>
          <w:lang w:val="es-ES_tradnl"/>
        </w:rPr>
        <w:t>que harán la conversión en un sector de fabricación</w:t>
      </w:r>
      <w:r w:rsidRPr="005055EB">
        <w:rPr>
          <w:lang w:val="es-ES_tradnl"/>
        </w:rPr>
        <w:t>: USD 85.000, más USD 3.000 adicionales por empresa superior a 15.</w:t>
      </w:r>
    </w:p>
    <w:p w14:paraId="1B69BCDD" w14:textId="04425255" w:rsidR="00723502" w:rsidRPr="005055EB" w:rsidRDefault="00723502" w:rsidP="00BC5C2A">
      <w:pPr>
        <w:pStyle w:val="Heading1"/>
        <w:tabs>
          <w:tab w:val="clear" w:pos="0"/>
        </w:tabs>
        <w:rPr>
          <w:lang w:val="es-ES_tradnl"/>
        </w:rPr>
      </w:pPr>
      <w:r w:rsidRPr="005055EB">
        <w:rPr>
          <w:lang w:val="es-ES_tradnl"/>
        </w:rPr>
        <w:t>Si se propusiera que el PAK se presentara después de la 96ª reunión</w:t>
      </w:r>
      <w:r w:rsidRPr="005055EB">
        <w:rPr>
          <w:vertAlign w:val="superscript"/>
          <w:lang w:val="es-ES_tradnl"/>
        </w:rPr>
        <w:footnoteReference w:id="8"/>
      </w:r>
      <w:r w:rsidRPr="005055EB">
        <w:rPr>
          <w:lang w:val="es-ES_tradnl"/>
        </w:rPr>
        <w:t xml:space="preserve">, se podrían considerar USD 2.000 por empresa para hasta 15 empresas participantes y USD 1.000 por empresa a partir de 15 empresas participantes, en lugar de las cantidades mencionadas en el párrafo </w:t>
      </w:r>
      <w:r w:rsidRPr="005055EB">
        <w:rPr>
          <w:highlight w:val="yellow"/>
          <w:lang w:val="es-ES_tradnl"/>
        </w:rPr>
        <w:t>31</w:t>
      </w:r>
      <w:r w:rsidRPr="005055EB">
        <w:rPr>
          <w:lang w:val="es-ES_tradnl"/>
        </w:rPr>
        <w:t>. La financiación máxima que podría proporcionarse a los países del artículo 5 para la preparación de proyectos sobre eficiencia energética en la fabricación se basaba en su consumo de referencia de HFC en toneladas equivalentes de dióxido de carbono, como se muestra en el cuadro 3 siguiente.</w:t>
      </w:r>
    </w:p>
    <w:p w14:paraId="77CAF273" w14:textId="116D15CB" w:rsidR="00F74A7B" w:rsidRPr="005055EB" w:rsidRDefault="00723502" w:rsidP="00BC5C2A">
      <w:pPr>
        <w:keepNext/>
        <w:ind w:left="706"/>
        <w:rPr>
          <w:lang w:val="es-ES"/>
        </w:rPr>
      </w:pPr>
      <w:r w:rsidRPr="005055EB">
        <w:rPr>
          <w:lang w:val="es-ES"/>
        </w:rPr>
        <w:t xml:space="preserve">Cuadro </w:t>
      </w:r>
      <w:r w:rsidR="00F74A7B" w:rsidRPr="005055EB">
        <w:rPr>
          <w:lang w:val="es-ES"/>
        </w:rPr>
        <w:t>3</w:t>
      </w:r>
    </w:p>
    <w:p w14:paraId="3FC42D2C" w14:textId="0A248C6D" w:rsidR="00F74A7B" w:rsidRPr="005055EB" w:rsidRDefault="00595B67" w:rsidP="00BC5C2A">
      <w:pPr>
        <w:keepNext/>
        <w:ind w:left="706"/>
        <w:rPr>
          <w:lang w:val="es-ES"/>
        </w:rPr>
      </w:pPr>
      <w:r w:rsidRPr="005055EB">
        <w:rPr>
          <w:b/>
          <w:bCs/>
          <w:lang w:val="es-ES"/>
        </w:rPr>
        <w:t xml:space="preserve">Límites de financiamiento preparatorio para los proyectos de inversión </w:t>
      </w:r>
    </w:p>
    <w:tbl>
      <w:tblPr>
        <w:tblW w:w="8636" w:type="dxa"/>
        <w:tblInd w:w="715" w:type="dxa"/>
        <w:tblLook w:val="04A0" w:firstRow="1" w:lastRow="0" w:firstColumn="1" w:lastColumn="0" w:noHBand="0" w:noVBand="1"/>
      </w:tblPr>
      <w:tblGrid>
        <w:gridCol w:w="4950"/>
        <w:gridCol w:w="3686"/>
      </w:tblGrid>
      <w:tr w:rsidR="00F74A7B" w:rsidRPr="005055EB" w14:paraId="2A6B60C4" w14:textId="77777777" w:rsidTr="00C9254D">
        <w:trPr>
          <w:trHeight w:val="260"/>
        </w:trPr>
        <w:tc>
          <w:tcPr>
            <w:tcW w:w="4950" w:type="dxa"/>
            <w:tcBorders>
              <w:top w:val="single" w:sz="4" w:space="0" w:color="auto"/>
              <w:left w:val="single" w:sz="4" w:space="0" w:color="auto"/>
              <w:bottom w:val="single" w:sz="4" w:space="0" w:color="auto"/>
              <w:right w:val="single" w:sz="4" w:space="0" w:color="auto"/>
            </w:tcBorders>
            <w:noWrap/>
            <w:hideMark/>
          </w:tcPr>
          <w:p w14:paraId="4E904352" w14:textId="5A965CF3" w:rsidR="00F74A7B" w:rsidRPr="005055EB" w:rsidRDefault="00723502" w:rsidP="00BC5C2A">
            <w:pPr>
              <w:rPr>
                <w:b/>
                <w:bCs/>
                <w:lang w:val="es-ES_tradnl"/>
              </w:rPr>
            </w:pPr>
            <w:r w:rsidRPr="005055EB">
              <w:rPr>
                <w:b/>
                <w:bCs/>
                <w:lang w:val="es-ES_tradnl"/>
              </w:rPr>
              <w:t>Consumo de referencia de HFC en toneladas equivalentes de dióxido de carbono</w:t>
            </w:r>
          </w:p>
        </w:tc>
        <w:tc>
          <w:tcPr>
            <w:tcW w:w="3686" w:type="dxa"/>
            <w:tcBorders>
              <w:top w:val="single" w:sz="4" w:space="0" w:color="auto"/>
              <w:left w:val="nil"/>
              <w:bottom w:val="single" w:sz="4" w:space="0" w:color="auto"/>
              <w:right w:val="single" w:sz="4" w:space="0" w:color="auto"/>
            </w:tcBorders>
            <w:noWrap/>
            <w:hideMark/>
          </w:tcPr>
          <w:p w14:paraId="5F3C613E" w14:textId="2F63903D" w:rsidR="00F74A7B" w:rsidRPr="005055EB" w:rsidRDefault="00723502" w:rsidP="00BC5C2A">
            <w:pPr>
              <w:rPr>
                <w:b/>
                <w:bCs/>
                <w:lang w:val="es-ES_tradnl"/>
              </w:rPr>
            </w:pPr>
            <w:r w:rsidRPr="005055EB">
              <w:rPr>
                <w:b/>
                <w:bCs/>
                <w:lang w:val="es-ES_tradnl"/>
              </w:rPr>
              <w:t xml:space="preserve">Límites de </w:t>
            </w:r>
            <w:r w:rsidR="00595B67" w:rsidRPr="005055EB">
              <w:rPr>
                <w:b/>
                <w:bCs/>
                <w:lang w:val="es-ES_tradnl"/>
              </w:rPr>
              <w:t xml:space="preserve">financiamiento </w:t>
            </w:r>
            <w:r w:rsidRPr="005055EB">
              <w:rPr>
                <w:b/>
                <w:bCs/>
                <w:lang w:val="es-ES_tradnl"/>
              </w:rPr>
              <w:t>preparatori</w:t>
            </w:r>
            <w:r w:rsidR="00595B67" w:rsidRPr="005055EB">
              <w:rPr>
                <w:b/>
                <w:bCs/>
                <w:lang w:val="es-ES_tradnl"/>
              </w:rPr>
              <w:t>o</w:t>
            </w:r>
            <w:r w:rsidRPr="005055EB">
              <w:rPr>
                <w:b/>
                <w:bCs/>
                <w:lang w:val="es-ES_tradnl"/>
              </w:rPr>
              <w:t xml:space="preserve"> en USD</w:t>
            </w:r>
          </w:p>
        </w:tc>
      </w:tr>
      <w:tr w:rsidR="00F74A7B" w:rsidRPr="005055EB" w14:paraId="0F9B48DF" w14:textId="77777777" w:rsidTr="00C9254D">
        <w:trPr>
          <w:trHeight w:val="260"/>
        </w:trPr>
        <w:tc>
          <w:tcPr>
            <w:tcW w:w="4950" w:type="dxa"/>
            <w:tcBorders>
              <w:top w:val="nil"/>
              <w:left w:val="single" w:sz="4" w:space="0" w:color="auto"/>
              <w:bottom w:val="single" w:sz="4" w:space="0" w:color="auto"/>
              <w:right w:val="single" w:sz="4" w:space="0" w:color="auto"/>
            </w:tcBorders>
            <w:noWrap/>
            <w:hideMark/>
          </w:tcPr>
          <w:p w14:paraId="746BFF7D" w14:textId="452E7C01" w:rsidR="00F74A7B" w:rsidRPr="005055EB" w:rsidRDefault="00723502" w:rsidP="00BC5C2A">
            <w:pPr>
              <w:rPr>
                <w:lang w:val="es-ES_tradnl"/>
              </w:rPr>
            </w:pPr>
            <w:r w:rsidRPr="005055EB">
              <w:rPr>
                <w:lang w:val="es-ES_tradnl"/>
              </w:rPr>
              <w:t xml:space="preserve">Hasta </w:t>
            </w:r>
            <w:r w:rsidR="00F74A7B" w:rsidRPr="005055EB">
              <w:rPr>
                <w:lang w:val="es-ES_tradnl"/>
              </w:rPr>
              <w:t xml:space="preserve">1 </w:t>
            </w:r>
            <w:r w:rsidRPr="005055EB">
              <w:rPr>
                <w:lang w:val="es-ES_tradnl"/>
              </w:rPr>
              <w:t>millón</w:t>
            </w:r>
          </w:p>
        </w:tc>
        <w:tc>
          <w:tcPr>
            <w:tcW w:w="3686" w:type="dxa"/>
            <w:tcBorders>
              <w:top w:val="nil"/>
              <w:left w:val="nil"/>
              <w:bottom w:val="single" w:sz="4" w:space="0" w:color="auto"/>
              <w:right w:val="single" w:sz="4" w:space="0" w:color="auto"/>
            </w:tcBorders>
            <w:noWrap/>
            <w:hideMark/>
          </w:tcPr>
          <w:p w14:paraId="6E3558C4" w14:textId="345CCCEC" w:rsidR="00F74A7B" w:rsidRPr="005055EB" w:rsidRDefault="00F74A7B" w:rsidP="00BC5C2A">
            <w:pPr>
              <w:rPr>
                <w:lang w:val="es-ES_tradnl"/>
              </w:rPr>
            </w:pPr>
            <w:r w:rsidRPr="005055EB">
              <w:rPr>
                <w:lang w:val="es-ES_tradnl"/>
              </w:rPr>
              <w:t>50</w:t>
            </w:r>
            <w:r w:rsidR="00723502" w:rsidRPr="005055EB">
              <w:rPr>
                <w:lang w:val="es-ES_tradnl"/>
              </w:rPr>
              <w:t>.</w:t>
            </w:r>
            <w:r w:rsidRPr="005055EB">
              <w:rPr>
                <w:lang w:val="es-ES_tradnl"/>
              </w:rPr>
              <w:t>000</w:t>
            </w:r>
          </w:p>
        </w:tc>
      </w:tr>
      <w:tr w:rsidR="00F74A7B" w:rsidRPr="005055EB" w14:paraId="59A8D32F" w14:textId="77777777" w:rsidTr="00C9254D">
        <w:trPr>
          <w:trHeight w:val="260"/>
        </w:trPr>
        <w:tc>
          <w:tcPr>
            <w:tcW w:w="4950" w:type="dxa"/>
            <w:tcBorders>
              <w:top w:val="nil"/>
              <w:left w:val="single" w:sz="4" w:space="0" w:color="auto"/>
              <w:bottom w:val="single" w:sz="4" w:space="0" w:color="auto"/>
              <w:right w:val="single" w:sz="4" w:space="0" w:color="auto"/>
            </w:tcBorders>
            <w:noWrap/>
            <w:hideMark/>
          </w:tcPr>
          <w:p w14:paraId="53475B9E" w14:textId="2CD6FE7C" w:rsidR="00F74A7B" w:rsidRPr="005055EB" w:rsidRDefault="00723502" w:rsidP="00BC5C2A">
            <w:pPr>
              <w:rPr>
                <w:lang w:val="es-ES_tradnl"/>
              </w:rPr>
            </w:pPr>
            <w:r w:rsidRPr="005055EB">
              <w:rPr>
                <w:lang w:val="es-ES_tradnl"/>
              </w:rPr>
              <w:t xml:space="preserve">De </w:t>
            </w:r>
            <w:r w:rsidR="00F74A7B" w:rsidRPr="005055EB">
              <w:rPr>
                <w:lang w:val="es-ES_tradnl"/>
              </w:rPr>
              <w:t xml:space="preserve">1 </w:t>
            </w:r>
            <w:r w:rsidRPr="005055EB">
              <w:rPr>
                <w:lang w:val="es-ES_tradnl"/>
              </w:rPr>
              <w:t xml:space="preserve">millón a </w:t>
            </w:r>
            <w:r w:rsidR="00F74A7B" w:rsidRPr="005055EB">
              <w:rPr>
                <w:lang w:val="es-ES_tradnl"/>
              </w:rPr>
              <w:t xml:space="preserve">2 </w:t>
            </w:r>
            <w:r w:rsidRPr="005055EB">
              <w:rPr>
                <w:lang w:val="es-ES_tradnl"/>
              </w:rPr>
              <w:t>millones</w:t>
            </w:r>
          </w:p>
        </w:tc>
        <w:tc>
          <w:tcPr>
            <w:tcW w:w="3686" w:type="dxa"/>
            <w:tcBorders>
              <w:top w:val="nil"/>
              <w:left w:val="nil"/>
              <w:bottom w:val="single" w:sz="4" w:space="0" w:color="auto"/>
              <w:right w:val="single" w:sz="4" w:space="0" w:color="auto"/>
            </w:tcBorders>
            <w:noWrap/>
            <w:hideMark/>
          </w:tcPr>
          <w:p w14:paraId="7392969C" w14:textId="746C010D" w:rsidR="00F74A7B" w:rsidRPr="005055EB" w:rsidRDefault="00F74A7B" w:rsidP="00BC5C2A">
            <w:pPr>
              <w:rPr>
                <w:lang w:val="es-ES_tradnl"/>
              </w:rPr>
            </w:pPr>
            <w:r w:rsidRPr="005055EB">
              <w:rPr>
                <w:lang w:val="es-ES_tradnl"/>
              </w:rPr>
              <w:t>100</w:t>
            </w:r>
            <w:r w:rsidR="00723502" w:rsidRPr="005055EB">
              <w:rPr>
                <w:lang w:val="es-ES_tradnl"/>
              </w:rPr>
              <w:t>.</w:t>
            </w:r>
            <w:r w:rsidRPr="005055EB">
              <w:rPr>
                <w:lang w:val="es-ES_tradnl"/>
              </w:rPr>
              <w:t>000</w:t>
            </w:r>
          </w:p>
        </w:tc>
      </w:tr>
      <w:tr w:rsidR="00F74A7B" w:rsidRPr="005055EB" w14:paraId="22FE203D" w14:textId="77777777" w:rsidTr="00C9254D">
        <w:trPr>
          <w:trHeight w:val="260"/>
        </w:trPr>
        <w:tc>
          <w:tcPr>
            <w:tcW w:w="4950" w:type="dxa"/>
            <w:tcBorders>
              <w:top w:val="nil"/>
              <w:left w:val="single" w:sz="4" w:space="0" w:color="auto"/>
              <w:bottom w:val="single" w:sz="4" w:space="0" w:color="auto"/>
              <w:right w:val="single" w:sz="4" w:space="0" w:color="auto"/>
            </w:tcBorders>
            <w:noWrap/>
            <w:hideMark/>
          </w:tcPr>
          <w:p w14:paraId="3CBA9D4C" w14:textId="4F1A31ED" w:rsidR="00F74A7B" w:rsidRPr="005055EB" w:rsidRDefault="00723502" w:rsidP="00BC5C2A">
            <w:pPr>
              <w:rPr>
                <w:lang w:val="es-ES_tradnl"/>
              </w:rPr>
            </w:pPr>
            <w:r w:rsidRPr="005055EB">
              <w:rPr>
                <w:lang w:val="es-ES_tradnl"/>
              </w:rPr>
              <w:t xml:space="preserve">De </w:t>
            </w:r>
            <w:r w:rsidR="00F74A7B" w:rsidRPr="005055EB">
              <w:rPr>
                <w:lang w:val="es-ES_tradnl"/>
              </w:rPr>
              <w:t xml:space="preserve">2 </w:t>
            </w:r>
            <w:r w:rsidRPr="005055EB">
              <w:rPr>
                <w:lang w:val="es-ES_tradnl"/>
              </w:rPr>
              <w:t>millones a 8 millones</w:t>
            </w:r>
          </w:p>
        </w:tc>
        <w:tc>
          <w:tcPr>
            <w:tcW w:w="3686" w:type="dxa"/>
            <w:tcBorders>
              <w:top w:val="nil"/>
              <w:left w:val="nil"/>
              <w:bottom w:val="single" w:sz="4" w:space="0" w:color="auto"/>
              <w:right w:val="single" w:sz="4" w:space="0" w:color="auto"/>
            </w:tcBorders>
            <w:noWrap/>
            <w:hideMark/>
          </w:tcPr>
          <w:p w14:paraId="5E3143AD" w14:textId="0884D1EB" w:rsidR="00F74A7B" w:rsidRPr="005055EB" w:rsidRDefault="00F74A7B" w:rsidP="00BC5C2A">
            <w:pPr>
              <w:rPr>
                <w:lang w:val="es-ES_tradnl"/>
              </w:rPr>
            </w:pPr>
            <w:r w:rsidRPr="005055EB">
              <w:rPr>
                <w:lang w:val="es-ES_tradnl"/>
              </w:rPr>
              <w:t>140</w:t>
            </w:r>
            <w:r w:rsidR="00723502" w:rsidRPr="005055EB">
              <w:rPr>
                <w:lang w:val="es-ES_tradnl"/>
              </w:rPr>
              <w:t>.</w:t>
            </w:r>
            <w:r w:rsidRPr="005055EB">
              <w:rPr>
                <w:lang w:val="es-ES_tradnl"/>
              </w:rPr>
              <w:t>000</w:t>
            </w:r>
          </w:p>
        </w:tc>
      </w:tr>
      <w:tr w:rsidR="00F74A7B" w:rsidRPr="005055EB" w14:paraId="3487F6EF" w14:textId="77777777" w:rsidTr="00C9254D">
        <w:trPr>
          <w:trHeight w:val="260"/>
        </w:trPr>
        <w:tc>
          <w:tcPr>
            <w:tcW w:w="4950" w:type="dxa"/>
            <w:tcBorders>
              <w:top w:val="nil"/>
              <w:left w:val="single" w:sz="4" w:space="0" w:color="auto"/>
              <w:bottom w:val="single" w:sz="4" w:space="0" w:color="auto"/>
              <w:right w:val="single" w:sz="4" w:space="0" w:color="auto"/>
            </w:tcBorders>
            <w:noWrap/>
            <w:hideMark/>
          </w:tcPr>
          <w:p w14:paraId="0A277637" w14:textId="129044E0" w:rsidR="00F74A7B" w:rsidRPr="005055EB" w:rsidRDefault="00723502" w:rsidP="00BC5C2A">
            <w:pPr>
              <w:rPr>
                <w:lang w:val="es-ES_tradnl"/>
              </w:rPr>
            </w:pPr>
            <w:r w:rsidRPr="005055EB">
              <w:rPr>
                <w:lang w:val="es-ES_tradnl"/>
              </w:rPr>
              <w:t xml:space="preserve">De </w:t>
            </w:r>
            <w:r w:rsidR="00F74A7B" w:rsidRPr="005055EB">
              <w:rPr>
                <w:lang w:val="es-ES_tradnl"/>
              </w:rPr>
              <w:t xml:space="preserve">8 </w:t>
            </w:r>
            <w:r w:rsidRPr="005055EB">
              <w:rPr>
                <w:lang w:val="es-ES_tradnl"/>
              </w:rPr>
              <w:t>millones a 15 millones</w:t>
            </w:r>
          </w:p>
        </w:tc>
        <w:tc>
          <w:tcPr>
            <w:tcW w:w="3686" w:type="dxa"/>
            <w:tcBorders>
              <w:top w:val="nil"/>
              <w:left w:val="nil"/>
              <w:bottom w:val="single" w:sz="4" w:space="0" w:color="auto"/>
              <w:right w:val="single" w:sz="4" w:space="0" w:color="auto"/>
            </w:tcBorders>
            <w:noWrap/>
            <w:hideMark/>
          </w:tcPr>
          <w:p w14:paraId="26EEDC59" w14:textId="483C569B" w:rsidR="00F74A7B" w:rsidRPr="005055EB" w:rsidRDefault="00F74A7B" w:rsidP="00BC5C2A">
            <w:pPr>
              <w:rPr>
                <w:lang w:val="es-ES_tradnl"/>
              </w:rPr>
            </w:pPr>
            <w:r w:rsidRPr="005055EB">
              <w:rPr>
                <w:lang w:val="es-ES_tradnl"/>
              </w:rPr>
              <w:t>180</w:t>
            </w:r>
            <w:r w:rsidR="00723502" w:rsidRPr="005055EB">
              <w:rPr>
                <w:lang w:val="es-ES_tradnl"/>
              </w:rPr>
              <w:t>.</w:t>
            </w:r>
            <w:r w:rsidRPr="005055EB">
              <w:rPr>
                <w:lang w:val="es-ES_tradnl"/>
              </w:rPr>
              <w:t>000</w:t>
            </w:r>
          </w:p>
        </w:tc>
      </w:tr>
      <w:tr w:rsidR="00F74A7B" w:rsidRPr="005055EB" w14:paraId="13F473B0" w14:textId="77777777" w:rsidTr="00C9254D">
        <w:trPr>
          <w:trHeight w:val="260"/>
        </w:trPr>
        <w:tc>
          <w:tcPr>
            <w:tcW w:w="4950" w:type="dxa"/>
            <w:tcBorders>
              <w:top w:val="nil"/>
              <w:left w:val="single" w:sz="4" w:space="0" w:color="auto"/>
              <w:bottom w:val="single" w:sz="4" w:space="0" w:color="auto"/>
              <w:right w:val="single" w:sz="4" w:space="0" w:color="auto"/>
            </w:tcBorders>
            <w:noWrap/>
            <w:hideMark/>
          </w:tcPr>
          <w:p w14:paraId="5F18F5EE" w14:textId="15F9205A" w:rsidR="00F74A7B" w:rsidRPr="005055EB" w:rsidRDefault="00F74A7B" w:rsidP="00BC5C2A">
            <w:pPr>
              <w:rPr>
                <w:lang w:val="es-ES_tradnl"/>
              </w:rPr>
            </w:pPr>
            <w:r w:rsidRPr="005055EB">
              <w:rPr>
                <w:lang w:val="es-ES_tradnl"/>
              </w:rPr>
              <w:t>15 m</w:t>
            </w:r>
            <w:r w:rsidR="00723502" w:rsidRPr="005055EB">
              <w:rPr>
                <w:lang w:val="es-ES_tradnl"/>
              </w:rPr>
              <w:t>illones y más</w:t>
            </w:r>
          </w:p>
        </w:tc>
        <w:tc>
          <w:tcPr>
            <w:tcW w:w="3686" w:type="dxa"/>
            <w:tcBorders>
              <w:top w:val="nil"/>
              <w:left w:val="nil"/>
              <w:bottom w:val="single" w:sz="4" w:space="0" w:color="auto"/>
              <w:right w:val="single" w:sz="4" w:space="0" w:color="auto"/>
            </w:tcBorders>
            <w:noWrap/>
            <w:hideMark/>
          </w:tcPr>
          <w:p w14:paraId="5B9F93C2" w14:textId="660D6157" w:rsidR="00F74A7B" w:rsidRPr="005055EB" w:rsidRDefault="00F74A7B" w:rsidP="00BC5C2A">
            <w:pPr>
              <w:rPr>
                <w:lang w:val="es-ES_tradnl"/>
              </w:rPr>
            </w:pPr>
            <w:r w:rsidRPr="005055EB">
              <w:rPr>
                <w:lang w:val="es-ES_tradnl"/>
              </w:rPr>
              <w:t>220</w:t>
            </w:r>
            <w:r w:rsidR="00723502" w:rsidRPr="005055EB">
              <w:rPr>
                <w:lang w:val="es-ES_tradnl"/>
              </w:rPr>
              <w:t>.</w:t>
            </w:r>
            <w:r w:rsidRPr="005055EB">
              <w:rPr>
                <w:lang w:val="es-ES_tradnl"/>
              </w:rPr>
              <w:t>000</w:t>
            </w:r>
          </w:p>
        </w:tc>
      </w:tr>
    </w:tbl>
    <w:p w14:paraId="2406E43B" w14:textId="77777777" w:rsidR="00F74A7B" w:rsidRPr="005055EB" w:rsidRDefault="00F74A7B" w:rsidP="00BC5C2A">
      <w:pPr>
        <w:rPr>
          <w:lang w:val="es-ES_tradnl"/>
        </w:rPr>
      </w:pPr>
    </w:p>
    <w:p w14:paraId="48F11876" w14:textId="6C0043D6" w:rsidR="00F10DE4" w:rsidRPr="005055EB" w:rsidRDefault="00AA3C1A" w:rsidP="00BC5C2A">
      <w:pPr>
        <w:pStyle w:val="Heading1"/>
        <w:tabs>
          <w:tab w:val="clear" w:pos="0"/>
        </w:tabs>
        <w:rPr>
          <w:lang w:val="es-ES_tradnl"/>
        </w:rPr>
      </w:pPr>
      <w:r w:rsidRPr="005055EB">
        <w:rPr>
          <w:lang w:val="es-ES_tradnl"/>
        </w:rPr>
        <w:t xml:space="preserve">En relación con las actividades no relacionadas con la fabricación, el Comité decidió ampliar la duración del plazo para la propuesta de proyectos con arreglo a la decisión 91/65, únicamente para las actividades de prestación de servicios, hasta su 100ª reunión, inclusive, y pidió a la Secretaría que preparase, para su examen en la 97ª reunión, un documento actualizado en el que se detallasen las funciones específicas tanto de los centros de excelencia para la refrigeración sostenible como de los centros de ensayo para la eficiencia energética; evaluar modelos empresariales sostenibles para los centros regionales; evaluar posibles duplicaciones con actividades financiadas en el marco de los </w:t>
      </w:r>
      <w:r w:rsidR="0099491E" w:rsidRPr="005055EB">
        <w:rPr>
          <w:lang w:val="es-ES_tradnl"/>
        </w:rPr>
        <w:t>PGEH</w:t>
      </w:r>
      <w:r w:rsidRPr="005055EB">
        <w:rPr>
          <w:lang w:val="es-ES_tradnl"/>
        </w:rPr>
        <w:t xml:space="preserve"> y/o los </w:t>
      </w:r>
      <w:r w:rsidR="0099491E" w:rsidRPr="005055EB">
        <w:rPr>
          <w:lang w:val="es-ES_tradnl"/>
        </w:rPr>
        <w:t>PAK</w:t>
      </w:r>
      <w:r w:rsidRPr="005055EB">
        <w:rPr>
          <w:lang w:val="es-ES_tradnl"/>
        </w:rPr>
        <w:t>, así como con los centros existentes; e identificar posibles oportunidades para utilizar los centros y mecanismos ya existentes para probar la eficiencia energética de los equipos.</w:t>
      </w:r>
    </w:p>
    <w:p w14:paraId="098CB9D6" w14:textId="0ABDBDA4" w:rsidR="00C6757D" w:rsidRPr="005055EB" w:rsidRDefault="00AA3C1A" w:rsidP="00BC5C2A">
      <w:pPr>
        <w:pStyle w:val="Heading1"/>
        <w:tabs>
          <w:tab w:val="clear" w:pos="0"/>
        </w:tabs>
        <w:rPr>
          <w:lang w:val="es-ES_tradnl"/>
        </w:rPr>
      </w:pPr>
      <w:r w:rsidRPr="005055EB">
        <w:rPr>
          <w:lang w:val="es-ES_tradnl"/>
        </w:rPr>
        <w:t>En relación con un fondo rotatorio de eficiencia energética para usuarios finales, el Comité estableció una ventan</w:t>
      </w:r>
      <w:r w:rsidR="0099491E" w:rsidRPr="005055EB">
        <w:rPr>
          <w:lang w:val="es-ES_tradnl"/>
        </w:rPr>
        <w:t>illa</w:t>
      </w:r>
      <w:r w:rsidRPr="005055EB">
        <w:rPr>
          <w:lang w:val="es-ES_tradnl"/>
        </w:rPr>
        <w:t xml:space="preserve"> de financiación de </w:t>
      </w:r>
      <w:r w:rsidR="00A34CE1" w:rsidRPr="005055EB">
        <w:rPr>
          <w:lang w:val="es-ES_tradnl"/>
        </w:rPr>
        <w:t xml:space="preserve">USD </w:t>
      </w:r>
      <w:r w:rsidRPr="005055EB">
        <w:rPr>
          <w:lang w:val="es-ES_tradnl"/>
        </w:rPr>
        <w:t xml:space="preserve">40 millones para dos proyectos de eficiencia energética para usuarios finales, utilizando un mecanismo de fondo rotatorio desarrollado y apoyado por los organismos de ejecución, con una duración de ocho años, tras los cuales los fondos se devolverían al Fondo </w:t>
      </w:r>
      <w:r w:rsidRPr="005055EB">
        <w:rPr>
          <w:lang w:val="es-ES_tradnl"/>
        </w:rPr>
        <w:lastRenderedPageBreak/>
        <w:t>Multilateral, en el entendi</w:t>
      </w:r>
      <w:r w:rsidR="0099491E" w:rsidRPr="005055EB">
        <w:rPr>
          <w:lang w:val="es-ES_tradnl"/>
        </w:rPr>
        <w:t>d</w:t>
      </w:r>
      <w:r w:rsidRPr="005055EB">
        <w:rPr>
          <w:lang w:val="es-ES_tradnl"/>
        </w:rPr>
        <w:t xml:space="preserve">o de que el fondo no se pondría en funcionamiento hasta que el Comité Ejecutivo hubiera acordado las modalidades para hacerlo. El Comité Ejecutivo decidió proporcionar financiación para la preparación de un máximo de cinco proyectos, por un importe máximo de </w:t>
      </w:r>
      <w:r w:rsidR="00A34CE1" w:rsidRPr="005055EB">
        <w:rPr>
          <w:lang w:val="es-ES_tradnl"/>
        </w:rPr>
        <w:t>USD </w:t>
      </w:r>
      <w:r w:rsidRPr="005055EB">
        <w:rPr>
          <w:lang w:val="es-ES_tradnl"/>
        </w:rPr>
        <w:t>100.000 por proyecto, en el entendi</w:t>
      </w:r>
      <w:r w:rsidR="0012719C" w:rsidRPr="005055EB">
        <w:rPr>
          <w:lang w:val="es-ES_tradnl"/>
        </w:rPr>
        <w:t>d</w:t>
      </w:r>
      <w:r w:rsidRPr="005055EB">
        <w:rPr>
          <w:lang w:val="es-ES_tradnl"/>
        </w:rPr>
        <w:t xml:space="preserve">o de que dichas propuestas se presentarían en la 96ª reunión y de que sólo se seleccionarían hasta dos proyectos para la ventanilla de financiación. Pidió a la Secretaría que preparase una actualización de la parte C del documento UNEP/OzL.Pro/ExCom/95/87, sobre la puesta en funcionamiento del fondo rotatorio, para que el Comité Ejecutivo la examinase en su 96ª reunión, teniendo en cuenta los debates de la 95ª reunión. También se pidió a la Secretaría que trabajara con los organismos de ejecución que tuvieran experiencia con fondos rotatorios sobre eficiencia energética para </w:t>
      </w:r>
      <w:r w:rsidR="0012719C" w:rsidRPr="005055EB">
        <w:rPr>
          <w:lang w:val="es-ES_tradnl"/>
        </w:rPr>
        <w:t xml:space="preserve">intercambiar </w:t>
      </w:r>
      <w:r w:rsidRPr="005055EB">
        <w:rPr>
          <w:lang w:val="es-ES_tradnl"/>
        </w:rPr>
        <w:t>ejemplos y lecciones aprendidas e ilustrar los beneficios</w:t>
      </w:r>
      <w:r w:rsidR="0012719C" w:rsidRPr="005055EB">
        <w:rPr>
          <w:lang w:val="es-ES_tradnl"/>
        </w:rPr>
        <w:t xml:space="preserve"> previstos </w:t>
      </w:r>
      <w:r w:rsidRPr="005055EB">
        <w:rPr>
          <w:lang w:val="es-ES_tradnl"/>
        </w:rPr>
        <w:t>de la financiación del Fondo Multilateral para los fondos existentes y nuevos, y que preparara un documento de síntesis para la 96ª reunión.</w:t>
      </w:r>
    </w:p>
    <w:p w14:paraId="125D5A3C" w14:textId="2A473A1A" w:rsidR="00F74A7B" w:rsidRPr="005055EB" w:rsidRDefault="00F74A7B" w:rsidP="00BC5C2A">
      <w:pPr>
        <w:pStyle w:val="Heading1"/>
        <w:tabs>
          <w:tab w:val="clear" w:pos="0"/>
        </w:tabs>
        <w:rPr>
          <w:lang w:val="es-ES_tradnl"/>
        </w:rPr>
      </w:pPr>
      <w:r w:rsidRPr="005055EB">
        <w:rPr>
          <w:highlight w:val="yellow"/>
          <w:lang w:val="es-ES_tradnl"/>
        </w:rPr>
        <w:t>[</w:t>
      </w:r>
      <w:r w:rsidR="00AA3C1A" w:rsidRPr="005055EB">
        <w:rPr>
          <w:highlight w:val="yellow"/>
          <w:lang w:val="es-ES_tradnl"/>
        </w:rPr>
        <w:t xml:space="preserve">En la </w:t>
      </w:r>
      <w:r w:rsidRPr="005055EB">
        <w:rPr>
          <w:highlight w:val="yellow"/>
          <w:lang w:val="es-ES_tradnl"/>
        </w:rPr>
        <w:t>96</w:t>
      </w:r>
      <w:r w:rsidR="00AA3C1A" w:rsidRPr="005055EB">
        <w:rPr>
          <w:highlight w:val="yellow"/>
          <w:lang w:val="es-ES_tradnl"/>
        </w:rPr>
        <w:t>ª reunión</w:t>
      </w:r>
      <w:r w:rsidRPr="005055EB">
        <w:rPr>
          <w:highlight w:val="yellow"/>
          <w:lang w:val="es-ES_tradnl"/>
        </w:rPr>
        <w:t>…]</w:t>
      </w:r>
    </w:p>
    <w:p w14:paraId="225B7A94" w14:textId="0F1F0F3A" w:rsidR="00F74A7B" w:rsidRPr="005055EB" w:rsidRDefault="00AA3C1A" w:rsidP="00BC5C2A">
      <w:pPr>
        <w:pStyle w:val="ListParagraph"/>
        <w:keepNext/>
        <w:numPr>
          <w:ilvl w:val="0"/>
          <w:numId w:val="35"/>
        </w:numPr>
        <w:spacing w:after="240"/>
        <w:outlineLvl w:val="1"/>
        <w:rPr>
          <w:b/>
          <w:lang w:val="es-ES_tradnl"/>
        </w:rPr>
      </w:pPr>
      <w:r w:rsidRPr="005055EB">
        <w:rPr>
          <w:b/>
          <w:lang w:val="es-ES_tradnl"/>
        </w:rPr>
        <w:t>Consideración de los HFC en polioles premezclados importados en el sector de espumas de poliuretano, en la etapa I de los planes de aplicación de la Enmienda de Kigali</w:t>
      </w:r>
    </w:p>
    <w:p w14:paraId="29BC49C9" w14:textId="061ED285" w:rsidR="00C6757D" w:rsidRPr="005055EB" w:rsidRDefault="00AA3C1A" w:rsidP="00BC5C2A">
      <w:pPr>
        <w:pStyle w:val="Heading1"/>
        <w:tabs>
          <w:tab w:val="clear" w:pos="0"/>
        </w:tabs>
        <w:rPr>
          <w:lang w:val="es-ES_tradnl"/>
        </w:rPr>
      </w:pPr>
      <w:r w:rsidRPr="005055EB">
        <w:rPr>
          <w:lang w:val="es-ES_tradnl"/>
        </w:rPr>
        <w:t xml:space="preserve">En la 95ª reunión, el Comité Ejecutivo examinó el documento solicitado a la Secretaría en la 93ª reunión sobre la cuestión de los HFC </w:t>
      </w:r>
      <w:r w:rsidR="00BC43D6" w:rsidRPr="005055EB">
        <w:rPr>
          <w:lang w:val="es-ES_tradnl"/>
        </w:rPr>
        <w:t xml:space="preserve">presentes </w:t>
      </w:r>
      <w:r w:rsidRPr="005055EB">
        <w:rPr>
          <w:lang w:val="es-ES_tradnl"/>
        </w:rPr>
        <w:t>en los polioles premezclados importados en el sector de espumas de poliuretano en los países del Artículo 5</w:t>
      </w:r>
      <w:r w:rsidRPr="005055EB">
        <w:rPr>
          <w:vertAlign w:val="superscript"/>
          <w:lang w:val="es-ES_tradnl"/>
        </w:rPr>
        <w:footnoteReference w:id="9"/>
      </w:r>
      <w:r w:rsidRPr="005055EB">
        <w:rPr>
          <w:lang w:val="es-ES_tradnl"/>
        </w:rPr>
        <w:t>. El documento se presentó a la Secretaría en la 96ª reunión.</w:t>
      </w:r>
      <w:r w:rsidR="003D46A9" w:rsidRPr="005055EB">
        <w:rPr>
          <w:lang w:val="es-ES_tradnl"/>
        </w:rPr>
        <w:t xml:space="preserve"> </w:t>
      </w:r>
      <w:r w:rsidRPr="005055EB">
        <w:rPr>
          <w:lang w:val="es-ES_tradnl"/>
        </w:rPr>
        <w:t>Tras las deliberaciones oficiales y oficiosas, el Comité pidió a la Secretaría que, en la 96ª reunión, presentara un análisis adicional sobre el efecto de utilizar años distintos de 2020-2022 como años de referencia para la importación y exportación de polioles premezclados que contienen HFC para los países del grupo 1 del artículo 5 y del grupo 2 del artículo 5, incluso sobre la fecha límite para las empresas, teniendo presentes los principios mencionados en los párrafos 15 y 16 del documento UNEP/OzL.Pro/ExCom/95/88 (decisión 95/88).</w:t>
      </w:r>
    </w:p>
    <w:p w14:paraId="2EA4D0D5" w14:textId="75FDEEBA" w:rsidR="00F74A7B" w:rsidRPr="005055EB" w:rsidRDefault="00F74A7B" w:rsidP="00BC5C2A">
      <w:pPr>
        <w:pStyle w:val="Heading1"/>
        <w:tabs>
          <w:tab w:val="clear" w:pos="0"/>
        </w:tabs>
        <w:rPr>
          <w:lang w:val="es-ES_tradnl"/>
        </w:rPr>
      </w:pPr>
      <w:r w:rsidRPr="005055EB">
        <w:rPr>
          <w:highlight w:val="yellow"/>
          <w:lang w:val="es-ES_tradnl"/>
        </w:rPr>
        <w:t>[</w:t>
      </w:r>
      <w:r w:rsidR="00AA3C1A" w:rsidRPr="005055EB">
        <w:rPr>
          <w:highlight w:val="yellow"/>
          <w:lang w:val="es-ES_tradnl"/>
        </w:rPr>
        <w:t>En la 96ª reunión</w:t>
      </w:r>
      <w:r w:rsidRPr="005055EB">
        <w:rPr>
          <w:highlight w:val="yellow"/>
          <w:lang w:val="es-ES_tradnl"/>
        </w:rPr>
        <w:t>…]</w:t>
      </w:r>
    </w:p>
    <w:p w14:paraId="03EC4B08" w14:textId="22A3E1EB" w:rsidR="00F74A7B" w:rsidRPr="005055EB" w:rsidRDefault="00AA3C1A" w:rsidP="00BC5C2A">
      <w:pPr>
        <w:pStyle w:val="ListParagraph"/>
        <w:keepNext/>
        <w:numPr>
          <w:ilvl w:val="0"/>
          <w:numId w:val="35"/>
        </w:numPr>
        <w:spacing w:after="240"/>
        <w:outlineLvl w:val="1"/>
        <w:rPr>
          <w:b/>
          <w:lang w:val="es-ES_tradnl"/>
        </w:rPr>
      </w:pPr>
      <w:r w:rsidRPr="005055EB">
        <w:rPr>
          <w:b/>
          <w:lang w:val="es-ES_tradnl"/>
        </w:rPr>
        <w:t>Consumo de HFC en el subsector de empresas locales de instalación y montaje</w:t>
      </w:r>
    </w:p>
    <w:p w14:paraId="1AD549DE" w14:textId="0E3364A7" w:rsidR="00386D82" w:rsidRPr="005055EB" w:rsidRDefault="00386D82" w:rsidP="00BC5C2A">
      <w:pPr>
        <w:pStyle w:val="Heading1"/>
        <w:tabs>
          <w:tab w:val="clear" w:pos="0"/>
        </w:tabs>
        <w:rPr>
          <w:lang w:val="es-ES_tradnl"/>
        </w:rPr>
      </w:pPr>
      <w:r w:rsidRPr="005055EB">
        <w:rPr>
          <w:lang w:val="es-ES_tradnl"/>
        </w:rPr>
        <w:t>En la 95ª reunión, el Comité Ejecutivo estudió una actualización sobre el subsector de instalación local y montaje</w:t>
      </w:r>
      <w:r w:rsidRPr="005055EB">
        <w:rPr>
          <w:vertAlign w:val="superscript"/>
          <w:lang w:val="es-ES_tradnl"/>
        </w:rPr>
        <w:footnoteReference w:id="10"/>
      </w:r>
      <w:r w:rsidRPr="005055EB">
        <w:rPr>
          <w:lang w:val="es-ES_tradnl"/>
        </w:rPr>
        <w:t>. Decidió seguir estudiando proyectos en el subsector de instalaciones y montajes locales en el contexto de los PAK caso por caso, en consonancia con sus decisiones 92/39 d) y 93/94 e), y solicitó a la Secretaría que siguiera recopilando información sobre el subsector de instalaciones y montajes locales facilitada por los países del artículo 5 en los PAK presentados para su estudio por el Comité Ejecutivo. También se pidió a la Secretaría que presentara, en la 98ª reunión, una actualización del documento preparado para la 95ª reunión (decisión 95/89).</w:t>
      </w:r>
    </w:p>
    <w:p w14:paraId="7CAD8CB6" w14:textId="6EAA1284" w:rsidR="00F74A7B" w:rsidRPr="005055EB" w:rsidRDefault="00386D82" w:rsidP="00BC5C2A">
      <w:pPr>
        <w:pStyle w:val="ListParagraph"/>
        <w:keepNext/>
        <w:numPr>
          <w:ilvl w:val="0"/>
          <w:numId w:val="35"/>
        </w:numPr>
        <w:spacing w:after="240"/>
        <w:outlineLvl w:val="1"/>
        <w:rPr>
          <w:b/>
          <w:lang w:val="es-ES_tradnl"/>
        </w:rPr>
      </w:pPr>
      <w:r w:rsidRPr="005055EB">
        <w:rPr>
          <w:b/>
          <w:lang w:val="es-ES_tradnl"/>
        </w:rPr>
        <w:t>Plantilla para un acuerdo para la etapa I de los planes de aplicación de la Enmienda de Kigali sobre los HFC</w:t>
      </w:r>
    </w:p>
    <w:p w14:paraId="3C6E8391" w14:textId="0BFA72FB" w:rsidR="00386D82" w:rsidRPr="005055EB" w:rsidRDefault="00386D82" w:rsidP="00BC5C2A">
      <w:pPr>
        <w:pStyle w:val="Heading1"/>
        <w:tabs>
          <w:tab w:val="clear" w:pos="0"/>
        </w:tabs>
        <w:rPr>
          <w:lang w:val="es-ES_tradnl"/>
        </w:rPr>
      </w:pPr>
      <w:r w:rsidRPr="005055EB">
        <w:rPr>
          <w:rFonts w:eastAsiaTheme="minorEastAsia"/>
          <w:lang w:val="es-ES_tradnl"/>
        </w:rPr>
        <w:t xml:space="preserve">En la 95ª reunión, el Comité Ejecutivo prosiguió su examen de los elementos pendientes de la plantilla de un Acuerdo para la etapa I de los </w:t>
      </w:r>
      <w:r w:rsidR="006D3E58" w:rsidRPr="005055EB">
        <w:rPr>
          <w:rFonts w:eastAsiaTheme="minorEastAsia"/>
          <w:lang w:val="es-ES_tradnl"/>
        </w:rPr>
        <w:t>PAK</w:t>
      </w:r>
      <w:r w:rsidRPr="005055EB">
        <w:rPr>
          <w:rFonts w:eastAsiaTheme="minorEastAsia"/>
          <w:lang w:val="es-ES_tradnl"/>
        </w:rPr>
        <w:t xml:space="preserve"> entre los Gobiernos y el Comité Ejecutivo</w:t>
      </w:r>
      <w:r w:rsidRPr="005055EB">
        <w:rPr>
          <w:rStyle w:val="FootnoteReference"/>
          <w:lang w:val="es-ES_tradnl"/>
        </w:rPr>
        <w:footnoteReference w:id="11"/>
      </w:r>
      <w:r w:rsidRPr="005055EB">
        <w:rPr>
          <w:rFonts w:eastAsiaTheme="minorEastAsia"/>
          <w:lang w:val="es-ES_tradnl"/>
        </w:rPr>
        <w:t>.</w:t>
      </w:r>
      <w:r w:rsidR="003D46A9" w:rsidRPr="005055EB">
        <w:rPr>
          <w:rFonts w:eastAsiaTheme="minorEastAsia"/>
          <w:lang w:val="es-ES_tradnl"/>
        </w:rPr>
        <w:t xml:space="preserve"> </w:t>
      </w:r>
      <w:r w:rsidRPr="005055EB">
        <w:rPr>
          <w:rFonts w:eastAsiaTheme="minorEastAsia"/>
          <w:lang w:val="es-ES_tradnl"/>
        </w:rPr>
        <w:t>Tras las deliberaciones en un grupo de contacto, el Comité alcanzó un consenso sobre todos los elementos de la plantilla</w:t>
      </w:r>
      <w:r w:rsidRPr="005055EB">
        <w:rPr>
          <w:rStyle w:val="FootnoteReference"/>
          <w:lang w:val="es-ES_tradnl"/>
        </w:rPr>
        <w:footnoteReference w:id="12"/>
      </w:r>
      <w:r w:rsidRPr="005055EB">
        <w:rPr>
          <w:rFonts w:eastAsiaTheme="minorEastAsia"/>
          <w:lang w:val="es-ES_tradnl"/>
        </w:rPr>
        <w:t xml:space="preserve">, excepto los Apéndices 1-A y 2-A, que debían finalizarse una vez concluidas las deliberaciones sobre los criterios de financiación de la </w:t>
      </w:r>
      <w:r w:rsidR="003D2E2F" w:rsidRPr="005055EB">
        <w:rPr>
          <w:rFonts w:eastAsiaTheme="minorEastAsia"/>
          <w:lang w:val="es-ES_tradnl"/>
        </w:rPr>
        <w:t>reducción</w:t>
      </w:r>
      <w:r w:rsidRPr="005055EB">
        <w:rPr>
          <w:rFonts w:eastAsiaTheme="minorEastAsia"/>
          <w:lang w:val="es-ES_tradnl"/>
        </w:rPr>
        <w:t xml:space="preserve"> de los HFC en los países del artículo 5 (decisión 95/90).</w:t>
      </w:r>
    </w:p>
    <w:p w14:paraId="681CFF3B" w14:textId="6C462662" w:rsidR="00F74A7B" w:rsidRPr="005055EB" w:rsidRDefault="00386D82" w:rsidP="00BC5C2A">
      <w:pPr>
        <w:pStyle w:val="ListParagraph"/>
        <w:keepNext/>
        <w:numPr>
          <w:ilvl w:val="0"/>
          <w:numId w:val="35"/>
        </w:numPr>
        <w:spacing w:after="240"/>
        <w:outlineLvl w:val="1"/>
        <w:rPr>
          <w:b/>
          <w:lang w:val="es-ES_tradnl"/>
        </w:rPr>
      </w:pPr>
      <w:r w:rsidRPr="005055EB">
        <w:rPr>
          <w:b/>
          <w:lang w:val="es-ES_tradnl"/>
        </w:rPr>
        <w:lastRenderedPageBreak/>
        <w:t>Enfoque global para la aplicación de la Enmienda de Kigali</w:t>
      </w:r>
    </w:p>
    <w:p w14:paraId="3C7FC5AD" w14:textId="601C5A3C" w:rsidR="00C6757D" w:rsidRPr="005055EB" w:rsidRDefault="00386D82" w:rsidP="00BC5C2A">
      <w:pPr>
        <w:pStyle w:val="Heading1"/>
        <w:tabs>
          <w:tab w:val="clear" w:pos="0"/>
          <w:tab w:val="num" w:pos="720"/>
        </w:tabs>
        <w:rPr>
          <w:lang w:val="es-ES_tradnl"/>
        </w:rPr>
      </w:pPr>
      <w:r w:rsidRPr="005055EB">
        <w:rPr>
          <w:lang w:val="es-ES_tradnl"/>
        </w:rPr>
        <w:t>En la 95ª reunión, el Comité Ejecutivo debatió su futur</w:t>
      </w:r>
      <w:r w:rsidR="000E58C9" w:rsidRPr="005055EB">
        <w:rPr>
          <w:lang w:val="es-ES_tradnl"/>
        </w:rPr>
        <w:t>o examen</w:t>
      </w:r>
      <w:r w:rsidRPr="005055EB">
        <w:rPr>
          <w:lang w:val="es-ES_tradnl"/>
        </w:rPr>
        <w:t>, en la 96ª reunión, del resultado de la sesión de medi</w:t>
      </w:r>
      <w:r w:rsidR="004E79E7" w:rsidRPr="005055EB">
        <w:rPr>
          <w:lang w:val="es-ES_tradnl"/>
        </w:rPr>
        <w:t xml:space="preserve">o día </w:t>
      </w:r>
      <w:r w:rsidR="00806F2A" w:rsidRPr="005055EB">
        <w:rPr>
          <w:lang w:val="es-ES_tradnl"/>
        </w:rPr>
        <w:t xml:space="preserve">de duración </w:t>
      </w:r>
      <w:r w:rsidRPr="005055EB">
        <w:rPr>
          <w:lang w:val="es-ES_tradnl"/>
        </w:rPr>
        <w:t xml:space="preserve">sobre enfoques estratégicos para la aplicación de la Enmienda de Kigali y la contribución al enfriamiento sostenible de las actividades apoyadas por el Fondo Multilateral, que debía celebrarse el 9 de diciembre de 2024, inmediatamente después de la 95ª reunión, de conformidad con la decisión 94/62. Tras </w:t>
      </w:r>
      <w:r w:rsidR="00806F2A" w:rsidRPr="005055EB">
        <w:rPr>
          <w:lang w:val="es-ES_tradnl"/>
        </w:rPr>
        <w:t xml:space="preserve">dichos </w:t>
      </w:r>
      <w:r w:rsidRPr="005055EB">
        <w:rPr>
          <w:lang w:val="es-ES_tradnl"/>
        </w:rPr>
        <w:t>debates, el Comité decidió celebrar otra sesión de medi</w:t>
      </w:r>
      <w:r w:rsidR="004E79E7" w:rsidRPr="005055EB">
        <w:rPr>
          <w:lang w:val="es-ES_tradnl"/>
        </w:rPr>
        <w:t xml:space="preserve">a jornada </w:t>
      </w:r>
      <w:r w:rsidRPr="005055EB">
        <w:rPr>
          <w:lang w:val="es-ES_tradnl"/>
        </w:rPr>
        <w:t xml:space="preserve">el 25 de mayo de 2025, inmediatamente antes de su 96ª reunión, sobre enfoques estratégicos </w:t>
      </w:r>
      <w:r w:rsidR="004E79E7" w:rsidRPr="005055EB">
        <w:rPr>
          <w:lang w:val="es-ES_tradnl"/>
        </w:rPr>
        <w:t>para</w:t>
      </w:r>
      <w:r w:rsidRPr="005055EB">
        <w:rPr>
          <w:lang w:val="es-ES_tradnl"/>
        </w:rPr>
        <w:t xml:space="preserve"> la aplicación de la Enmienda de Kigali </w:t>
      </w:r>
      <w:r w:rsidR="004E79E7" w:rsidRPr="005055EB">
        <w:rPr>
          <w:lang w:val="es-ES_tradnl"/>
        </w:rPr>
        <w:t>en</w:t>
      </w:r>
      <w:r w:rsidRPr="005055EB">
        <w:rPr>
          <w:lang w:val="es-ES_tradnl"/>
        </w:rPr>
        <w:t xml:space="preserve"> la </w:t>
      </w:r>
      <w:r w:rsidR="004E79E7" w:rsidRPr="005055EB">
        <w:rPr>
          <w:lang w:val="es-ES_tradnl"/>
        </w:rPr>
        <w:t xml:space="preserve">reducción </w:t>
      </w:r>
      <w:r w:rsidRPr="005055EB">
        <w:rPr>
          <w:lang w:val="es-ES_tradnl"/>
        </w:rPr>
        <w:t xml:space="preserve">sostenible de los HFC por las Partes del artículo 5, y añadir al orden del día de la 96ª reunión un punto sobre el resumen y los resultados de los debates de las sesiones de </w:t>
      </w:r>
      <w:r w:rsidR="00327E6C" w:rsidRPr="005055EB">
        <w:rPr>
          <w:lang w:val="es-ES_tradnl"/>
        </w:rPr>
        <w:t xml:space="preserve">media jornada </w:t>
      </w:r>
      <w:r w:rsidRPr="005055EB">
        <w:rPr>
          <w:lang w:val="es-ES_tradnl"/>
        </w:rPr>
        <w:t>celebradas hasta la fecha (decisión 95/96).</w:t>
      </w:r>
    </w:p>
    <w:p w14:paraId="1636C5B6" w14:textId="6617DCD5" w:rsidR="00F74A7B" w:rsidRPr="005055EB" w:rsidRDefault="00F74A7B" w:rsidP="00BC5C2A">
      <w:pPr>
        <w:pStyle w:val="Heading1"/>
        <w:tabs>
          <w:tab w:val="clear" w:pos="0"/>
          <w:tab w:val="num" w:pos="720"/>
        </w:tabs>
        <w:rPr>
          <w:lang w:val="es-ES_tradnl"/>
        </w:rPr>
      </w:pPr>
      <w:r w:rsidRPr="005055EB">
        <w:rPr>
          <w:highlight w:val="yellow"/>
          <w:lang w:val="es-ES_tradnl"/>
        </w:rPr>
        <w:t>[</w:t>
      </w:r>
      <w:r w:rsidR="00386D82" w:rsidRPr="005055EB">
        <w:rPr>
          <w:highlight w:val="yellow"/>
          <w:lang w:val="es-ES_tradnl"/>
        </w:rPr>
        <w:t>En la 96ª reunión</w:t>
      </w:r>
      <w:r w:rsidRPr="005055EB">
        <w:rPr>
          <w:highlight w:val="yellow"/>
          <w:lang w:val="es-ES_tradnl"/>
        </w:rPr>
        <w:t>...]</w:t>
      </w:r>
    </w:p>
    <w:p w14:paraId="4E4B9575" w14:textId="0900EFA6" w:rsidR="00F74A7B" w:rsidRPr="005055EB" w:rsidRDefault="00F74A7B" w:rsidP="00BC5C2A">
      <w:pPr>
        <w:pStyle w:val="Heading2"/>
        <w:keepNext/>
        <w:widowControl/>
        <w:rPr>
          <w:b/>
          <w:bCs/>
          <w:sz w:val="24"/>
          <w:szCs w:val="24"/>
          <w:lang w:val="es-ES_tradnl"/>
        </w:rPr>
      </w:pPr>
      <w:r w:rsidRPr="005055EB">
        <w:rPr>
          <w:b/>
          <w:bCs/>
          <w:sz w:val="24"/>
          <w:szCs w:val="24"/>
          <w:lang w:val="es-ES_tradnl"/>
        </w:rPr>
        <w:t>B.</w:t>
      </w:r>
      <w:r w:rsidRPr="005055EB">
        <w:rPr>
          <w:b/>
          <w:bCs/>
          <w:sz w:val="24"/>
          <w:szCs w:val="24"/>
          <w:lang w:val="es-ES_tradnl"/>
        </w:rPr>
        <w:tab/>
      </w:r>
      <w:r w:rsidR="00386D82" w:rsidRPr="005055EB">
        <w:rPr>
          <w:b/>
          <w:bCs/>
          <w:sz w:val="24"/>
          <w:szCs w:val="24"/>
          <w:lang w:val="es-ES_tradnl"/>
        </w:rPr>
        <w:t>Demás cuestiones sobre políticas</w:t>
      </w:r>
    </w:p>
    <w:p w14:paraId="44B18823" w14:textId="037DD5F4" w:rsidR="00F74A7B" w:rsidRPr="005055EB" w:rsidRDefault="00F74A7B" w:rsidP="00BC5C2A">
      <w:pPr>
        <w:keepNext/>
        <w:spacing w:after="240"/>
        <w:outlineLvl w:val="1"/>
        <w:rPr>
          <w:b/>
          <w:lang w:val="es-ES_tradnl"/>
        </w:rPr>
      </w:pPr>
      <w:r w:rsidRPr="005055EB">
        <w:rPr>
          <w:b/>
          <w:lang w:val="es-ES_tradnl"/>
        </w:rPr>
        <w:t>1.</w:t>
      </w:r>
      <w:r w:rsidRPr="005055EB">
        <w:rPr>
          <w:b/>
          <w:lang w:val="es-ES_tradnl"/>
        </w:rPr>
        <w:tab/>
      </w:r>
      <w:r w:rsidR="00386D82" w:rsidRPr="005055EB">
        <w:rPr>
          <w:b/>
          <w:lang w:val="es-ES_tradnl"/>
        </w:rPr>
        <w:t>Tecnologías alternativas en el sector de la fabricación de espuma de poliuretano</w:t>
      </w:r>
    </w:p>
    <w:p w14:paraId="5F46B857" w14:textId="50F24D5E" w:rsidR="003C6A23" w:rsidRPr="005055EB" w:rsidRDefault="00F11B25" w:rsidP="00BC5C2A">
      <w:pPr>
        <w:pStyle w:val="Heading1"/>
        <w:tabs>
          <w:tab w:val="clear" w:pos="0"/>
        </w:tabs>
        <w:rPr>
          <w:lang w:val="es-ES_tradnl"/>
        </w:rPr>
      </w:pPr>
      <w:r w:rsidRPr="005055EB">
        <w:rPr>
          <w:lang w:val="es-ES_tradnl"/>
        </w:rPr>
        <w:t>En la 95ª reunión, el Comité estudió el documento solicitado a la Secretaría en la 94ª reunión, que contenía una actualización de la información sobre tecnologías alternativas en el sector de fabricación de espumas de poliuretano para los países del Artículo 5</w:t>
      </w:r>
      <w:r w:rsidRPr="005055EB">
        <w:rPr>
          <w:rStyle w:val="FootnoteReference"/>
          <w:lang w:val="es-ES_tradnl"/>
        </w:rPr>
        <w:footnoteReference w:id="13"/>
      </w:r>
      <w:r w:rsidRPr="005055EB">
        <w:rPr>
          <w:lang w:val="es-ES_tradnl"/>
        </w:rPr>
        <w:t>.</w:t>
      </w:r>
      <w:r w:rsidR="003D46A9" w:rsidRPr="005055EB">
        <w:rPr>
          <w:lang w:val="es-ES_tradnl"/>
        </w:rPr>
        <w:t xml:space="preserve"> </w:t>
      </w:r>
      <w:r w:rsidR="003C6A23" w:rsidRPr="005055EB">
        <w:rPr>
          <w:lang w:val="es-ES_tradnl"/>
        </w:rPr>
        <w:t>Tras un debate</w:t>
      </w:r>
      <w:r w:rsidRPr="005055EB">
        <w:rPr>
          <w:lang w:val="es-ES_tradnl"/>
        </w:rPr>
        <w:t xml:space="preserve">, el Comité decidió </w:t>
      </w:r>
      <w:r w:rsidR="003C6A23" w:rsidRPr="005055EB">
        <w:rPr>
          <w:lang w:val="es-ES_tradnl"/>
        </w:rPr>
        <w:t xml:space="preserve">examinar </w:t>
      </w:r>
      <w:r w:rsidRPr="005055EB">
        <w:rPr>
          <w:lang w:val="es-ES_tradnl"/>
        </w:rPr>
        <w:t xml:space="preserve">la información contenida en el documento al </w:t>
      </w:r>
      <w:r w:rsidR="003C6A23" w:rsidRPr="005055EB">
        <w:rPr>
          <w:lang w:val="es-ES_tradnl"/>
        </w:rPr>
        <w:t xml:space="preserve">analizar </w:t>
      </w:r>
      <w:r w:rsidRPr="005055EB">
        <w:rPr>
          <w:lang w:val="es-ES_tradnl"/>
        </w:rPr>
        <w:t>la cuestión de las alternativas en el sector de las espumas de poliuretano y tomó nota de que la Secretaría actualizaría el informe para su examen en la 96ª reunión, en consonancia con la decisión 94/58 (decisión 95/85).</w:t>
      </w:r>
    </w:p>
    <w:p w14:paraId="1B6F1DF9" w14:textId="7DA7882D" w:rsidR="00F74A7B" w:rsidRPr="005055EB" w:rsidRDefault="00F74A7B" w:rsidP="00BC5C2A">
      <w:pPr>
        <w:pStyle w:val="Heading3"/>
        <w:numPr>
          <w:ilvl w:val="0"/>
          <w:numId w:val="0"/>
        </w:numPr>
        <w:ind w:left="709" w:hanging="709"/>
        <w:rPr>
          <w:b/>
          <w:lang w:val="es-ES_tradnl"/>
        </w:rPr>
      </w:pPr>
      <w:r w:rsidRPr="005055EB">
        <w:rPr>
          <w:b/>
          <w:lang w:val="es-ES_tradnl"/>
        </w:rPr>
        <w:t>2.</w:t>
      </w:r>
      <w:r w:rsidRPr="005055EB">
        <w:rPr>
          <w:b/>
          <w:lang w:val="es-ES_tradnl"/>
        </w:rPr>
        <w:tab/>
      </w:r>
      <w:r w:rsidR="00F11B25" w:rsidRPr="005055EB">
        <w:rPr>
          <w:b/>
          <w:lang w:val="es-ES_tradnl"/>
        </w:rPr>
        <w:t>Racionalización de la presentación de informes sobre la marcha de las actividades de los proyectos en todo el espectro de informes</w:t>
      </w:r>
    </w:p>
    <w:p w14:paraId="1DCE76E6" w14:textId="5728681B" w:rsidR="00C6757D" w:rsidRPr="005055EB" w:rsidRDefault="00A036FA" w:rsidP="00BC5C2A">
      <w:pPr>
        <w:pStyle w:val="Heading1"/>
        <w:tabs>
          <w:tab w:val="clear" w:pos="0"/>
          <w:tab w:val="num" w:pos="720"/>
        </w:tabs>
        <w:rPr>
          <w:lang w:val="es-ES_tradnl"/>
        </w:rPr>
      </w:pPr>
      <w:r w:rsidRPr="005055EB">
        <w:rPr>
          <w:lang w:val="es-ES_tradnl"/>
        </w:rPr>
        <w:t xml:space="preserve">En la 95ª reunión, el Comité examinó el documento, solicitado a la Secretaría en la 93ª reunión, sobre la </w:t>
      </w:r>
      <w:r w:rsidR="003C6A23" w:rsidRPr="005055EB">
        <w:rPr>
          <w:lang w:val="es-ES_tradnl"/>
        </w:rPr>
        <w:t xml:space="preserve">identificación </w:t>
      </w:r>
      <w:r w:rsidRPr="005055EB">
        <w:rPr>
          <w:lang w:val="es-ES_tradnl"/>
        </w:rPr>
        <w:t>de los requisitos de presentación de informes y la racionalización de la presentación de informes sobre los</w:t>
      </w:r>
      <w:r w:rsidR="00422C9F" w:rsidRPr="005055EB">
        <w:rPr>
          <w:lang w:val="es-ES_tradnl"/>
        </w:rPr>
        <w:t xml:space="preserve"> progresos logrados en toda la gama de informes</w:t>
      </w:r>
      <w:r w:rsidRPr="005055EB">
        <w:rPr>
          <w:vertAlign w:val="superscript"/>
          <w:lang w:val="es-ES_tradnl"/>
        </w:rPr>
        <w:footnoteReference w:id="14"/>
      </w:r>
      <w:r w:rsidRPr="005055EB">
        <w:rPr>
          <w:lang w:val="es-ES_tradnl"/>
        </w:rPr>
        <w:t>.</w:t>
      </w:r>
      <w:r w:rsidR="003D46A9" w:rsidRPr="005055EB">
        <w:rPr>
          <w:lang w:val="es-ES_tradnl"/>
        </w:rPr>
        <w:t xml:space="preserve"> </w:t>
      </w:r>
      <w:r w:rsidRPr="005055EB">
        <w:rPr>
          <w:lang w:val="es-ES_tradnl"/>
        </w:rPr>
        <w:t>Tomando nota de l</w:t>
      </w:r>
      <w:r w:rsidR="00422C9F" w:rsidRPr="005055EB">
        <w:rPr>
          <w:lang w:val="es-ES_tradnl"/>
        </w:rPr>
        <w:t xml:space="preserve">as iniciativas de </w:t>
      </w:r>
      <w:r w:rsidRPr="005055EB">
        <w:rPr>
          <w:lang w:val="es-ES_tradnl"/>
        </w:rPr>
        <w:t>la Secretaría para racionalizar la presentación de informes sobre la marcha de los proyectos, el Comité Ejecutivo decidió que el documento sobre los retrasos en la presentación de los tramos se presentaría en la primera reunión del Comité Ejecutivo de cada año y pidió a la Secretaría que, en consulta con los organismos de ejecución, revisara el formato de los informes sobre la marcha de los trabajos y financieros, incluida su descripción, con miras a racionalizar la presentación de informes y permitir al mismo tiempo la recopilación de los datos necesarios para la preparación del informe sobre los resultados del Fondo Multilateral, y que presentara el formato revisado a la consideración del Comité Ejecutivo en su 96ª reunión. Se pidió a la Secretaría y a</w:t>
      </w:r>
      <w:r w:rsidR="001907C6" w:rsidRPr="005055EB">
        <w:rPr>
          <w:lang w:val="es-ES_tradnl"/>
        </w:rPr>
        <w:t xml:space="preserve"> </w:t>
      </w:r>
      <w:r w:rsidRPr="005055EB">
        <w:rPr>
          <w:lang w:val="es-ES_tradnl"/>
        </w:rPr>
        <w:t>l</w:t>
      </w:r>
      <w:r w:rsidR="001907C6" w:rsidRPr="005055EB">
        <w:rPr>
          <w:lang w:val="es-ES_tradnl"/>
        </w:rPr>
        <w:t>a</w:t>
      </w:r>
      <w:r w:rsidRPr="005055EB">
        <w:rPr>
          <w:lang w:val="es-ES_tradnl"/>
        </w:rPr>
        <w:t xml:space="preserve"> Oficial Superior de Supervisión y Evaluación que estudiaran la posibilidad de integrar la presentación de informes mediante los informes de terminación de proyecto</w:t>
      </w:r>
      <w:r w:rsidR="00BB72EE" w:rsidRPr="005055EB">
        <w:rPr>
          <w:lang w:val="es-ES_tradnl"/>
        </w:rPr>
        <w:t>s</w:t>
      </w:r>
      <w:r w:rsidRPr="005055EB">
        <w:rPr>
          <w:lang w:val="es-ES_tradnl"/>
        </w:rPr>
        <w:t xml:space="preserve"> </w:t>
      </w:r>
      <w:r w:rsidR="00BB72EE" w:rsidRPr="005055EB">
        <w:rPr>
          <w:lang w:val="es-ES_tradnl"/>
        </w:rPr>
        <w:t xml:space="preserve">(ITP) </w:t>
      </w:r>
      <w:r w:rsidRPr="005055EB">
        <w:rPr>
          <w:lang w:val="es-ES_tradnl"/>
        </w:rPr>
        <w:t xml:space="preserve">y los informes finales detallados de los proyectos, teniendo en cuenta el formato universal aprobado para los </w:t>
      </w:r>
      <w:r w:rsidR="00BB72EE" w:rsidRPr="005055EB">
        <w:rPr>
          <w:lang w:val="es-ES_tradnl"/>
        </w:rPr>
        <w:t>ITP</w:t>
      </w:r>
      <w:r w:rsidRPr="005055EB">
        <w:rPr>
          <w:lang w:val="es-ES_tradnl"/>
        </w:rPr>
        <w:t>, y que informaran al respecto al Comité Ejecutivo en su 97ª reunión (decisión 95/91).</w:t>
      </w:r>
    </w:p>
    <w:p w14:paraId="204EC929" w14:textId="07BDF78C" w:rsidR="00F74A7B" w:rsidRPr="005055EB" w:rsidRDefault="00F74A7B" w:rsidP="00BC5C2A">
      <w:pPr>
        <w:pStyle w:val="Heading1"/>
        <w:tabs>
          <w:tab w:val="clear" w:pos="0"/>
          <w:tab w:val="num" w:pos="720"/>
        </w:tabs>
        <w:rPr>
          <w:lang w:val="es-ES_tradnl"/>
        </w:rPr>
      </w:pPr>
      <w:r w:rsidRPr="005055EB">
        <w:rPr>
          <w:highlight w:val="yellow"/>
          <w:lang w:val="es-ES_tradnl"/>
        </w:rPr>
        <w:t>[</w:t>
      </w:r>
      <w:r w:rsidR="00410D7E" w:rsidRPr="005055EB">
        <w:rPr>
          <w:highlight w:val="yellow"/>
          <w:lang w:val="es-ES_tradnl"/>
        </w:rPr>
        <w:t>En la 96ª reunión</w:t>
      </w:r>
      <w:r w:rsidRPr="005055EB">
        <w:rPr>
          <w:highlight w:val="yellow"/>
          <w:lang w:val="es-ES_tradnl"/>
        </w:rPr>
        <w:t>...]</w:t>
      </w:r>
    </w:p>
    <w:p w14:paraId="0987E77D" w14:textId="433C8312" w:rsidR="00F74A7B" w:rsidRPr="005055EB" w:rsidRDefault="00F74A7B" w:rsidP="00BC5C2A">
      <w:pPr>
        <w:pStyle w:val="Heading3"/>
        <w:numPr>
          <w:ilvl w:val="0"/>
          <w:numId w:val="0"/>
        </w:numPr>
        <w:ind w:left="709" w:hanging="709"/>
        <w:rPr>
          <w:b/>
          <w:lang w:val="es-ES_tradnl"/>
        </w:rPr>
      </w:pPr>
      <w:r w:rsidRPr="005055EB">
        <w:rPr>
          <w:b/>
          <w:lang w:val="es-ES_tradnl"/>
        </w:rPr>
        <w:t>3.</w:t>
      </w:r>
      <w:r w:rsidRPr="005055EB">
        <w:rPr>
          <w:b/>
          <w:lang w:val="es-ES_tradnl"/>
        </w:rPr>
        <w:tab/>
      </w:r>
      <w:r w:rsidR="00A71E30" w:rsidRPr="005055EB">
        <w:rPr>
          <w:b/>
          <w:lang w:val="es-ES_tradnl"/>
        </w:rPr>
        <w:t>Aplicación de la política de integración de la perspectiva de género del Fondo Multilateral</w:t>
      </w:r>
    </w:p>
    <w:p w14:paraId="7C33BA3C" w14:textId="52185951" w:rsidR="00A71E30" w:rsidRPr="005055EB" w:rsidRDefault="00A71E30" w:rsidP="00BC5C2A">
      <w:pPr>
        <w:pStyle w:val="Heading1"/>
        <w:tabs>
          <w:tab w:val="clear" w:pos="0"/>
        </w:tabs>
        <w:rPr>
          <w:lang w:val="es-ES_tradnl"/>
        </w:rPr>
      </w:pPr>
      <w:r w:rsidRPr="005055EB">
        <w:rPr>
          <w:lang w:val="es-ES_tradnl"/>
        </w:rPr>
        <w:t xml:space="preserve">En la 95ª reunión, el Comité Ejecutivo examinó la actualización, solicitada a la Secretaría en la 90ª reunión, sobre la aplicación de la política operativa de integración de la perspectiva de género en los proyectos apoyados por el Fondo Multilateral y la revisión de las áreas de trabajo y mecanismos del Fondo </w:t>
      </w:r>
      <w:r w:rsidRPr="005055EB">
        <w:rPr>
          <w:lang w:val="es-ES_tradnl"/>
        </w:rPr>
        <w:lastRenderedPageBreak/>
        <w:t>en los que se había integrado la perspectiva de género</w:t>
      </w:r>
      <w:r w:rsidR="00D75E36" w:rsidRPr="005055EB">
        <w:rPr>
          <w:rStyle w:val="FootnoteReference"/>
          <w:lang w:val="en-GB"/>
        </w:rPr>
        <w:footnoteReference w:id="15"/>
      </w:r>
      <w:r w:rsidRPr="005055EB">
        <w:rPr>
          <w:lang w:val="es-ES_tradnl"/>
        </w:rPr>
        <w:t>.</w:t>
      </w:r>
      <w:r w:rsidR="003D46A9" w:rsidRPr="005055EB">
        <w:rPr>
          <w:lang w:val="es-ES_tradnl"/>
        </w:rPr>
        <w:t xml:space="preserve"> </w:t>
      </w:r>
      <w:r w:rsidRPr="005055EB">
        <w:rPr>
          <w:lang w:val="es-ES_tradnl"/>
        </w:rPr>
        <w:t>Pidió a la Secretaría que revisara la aplicación de la política de integración de la perspectiva de género del Fondo Multilateral, abarcando la inclusión de los requisitos obligatorios y los indicadores de resultados en las fases de los proyectos de acuerdos plurianuales a partir de la 94ª reunión, y que presentara, para su consideración en la 98ª reunión, una evaluación detallada de la aplicación (decisión 95/92).</w:t>
      </w:r>
    </w:p>
    <w:p w14:paraId="4BF356B4" w14:textId="56A5AAEB" w:rsidR="00F74A7B" w:rsidRPr="005055EB" w:rsidRDefault="00F74A7B" w:rsidP="00BC5C2A">
      <w:pPr>
        <w:pStyle w:val="ListParagraph"/>
        <w:keepNext/>
        <w:spacing w:after="240"/>
        <w:ind w:left="0"/>
        <w:outlineLvl w:val="0"/>
        <w:rPr>
          <w:b/>
          <w:lang w:val="es-ES_tradnl"/>
        </w:rPr>
      </w:pPr>
      <w:r w:rsidRPr="005055EB">
        <w:rPr>
          <w:b/>
          <w:lang w:val="es-ES_tradnl"/>
        </w:rPr>
        <w:t>4.</w:t>
      </w:r>
      <w:r w:rsidRPr="005055EB">
        <w:rPr>
          <w:b/>
          <w:lang w:val="es-ES_tradnl"/>
        </w:rPr>
        <w:tab/>
      </w:r>
      <w:r w:rsidR="00A71E30" w:rsidRPr="005055EB">
        <w:rPr>
          <w:b/>
          <w:lang w:val="es-ES_tradnl"/>
        </w:rPr>
        <w:t xml:space="preserve">Petición al Comité Ejecutivo recogida en el apartado 4 de la decisión </w:t>
      </w:r>
      <w:r w:rsidRPr="005055EB">
        <w:rPr>
          <w:b/>
          <w:lang w:val="es-ES_tradnl"/>
        </w:rPr>
        <w:t xml:space="preserve">XXXVI/1 </w:t>
      </w:r>
      <w:r w:rsidR="00A71E30" w:rsidRPr="005055EB">
        <w:rPr>
          <w:b/>
          <w:lang w:val="es-ES_tradnl"/>
        </w:rPr>
        <w:t>de la 36ª reunión de la Conferencia de las Partes</w:t>
      </w:r>
    </w:p>
    <w:p w14:paraId="0E976722" w14:textId="0536838D" w:rsidR="00C6757D" w:rsidRPr="005055EB" w:rsidRDefault="00A71E30" w:rsidP="00BC5C2A">
      <w:pPr>
        <w:pStyle w:val="Heading1"/>
        <w:tabs>
          <w:tab w:val="clear" w:pos="0"/>
          <w:tab w:val="num" w:pos="720"/>
        </w:tabs>
        <w:rPr>
          <w:lang w:val="es-ES_tradnl"/>
        </w:rPr>
      </w:pPr>
      <w:r w:rsidRPr="005055EB">
        <w:rPr>
          <w:lang w:val="es-ES_tradnl"/>
        </w:rPr>
        <w:t xml:space="preserve">En la 95ª reunión, el Comité examinó un proyecto de decisión, presentado por un miembro, sobre vigilancia atmosférica de conformidad con la solicitud al Comité Ejecutivo </w:t>
      </w:r>
      <w:r w:rsidR="005B67C8" w:rsidRPr="005055EB">
        <w:rPr>
          <w:lang w:val="es-ES_tradnl"/>
        </w:rPr>
        <w:t>dispuesta</w:t>
      </w:r>
      <w:r w:rsidRPr="005055EB">
        <w:rPr>
          <w:lang w:val="es-ES_tradnl"/>
        </w:rPr>
        <w:t xml:space="preserve"> en el párrafo 4 de la decisión XXXVI/1 sobre mejora de la vigilancia atmosférica regional de las sustancias controladas por el Protocolo de Montreal. El Comité Ejecutivo pidió a la Secretaría que preparase un documento para la 96ª</w:t>
      </w:r>
      <w:r w:rsidR="005C3638" w:rsidRPr="005055EB">
        <w:rPr>
          <w:lang w:val="es-ES_tradnl"/>
        </w:rPr>
        <w:t> </w:t>
      </w:r>
      <w:r w:rsidRPr="005055EB">
        <w:rPr>
          <w:lang w:val="es-ES_tradnl"/>
        </w:rPr>
        <w:t xml:space="preserve">reunión sobre las opciones para una modalidad de financiación según lo mencionado en el párrafo 4 de la decisión XXXVI/1 para apoyar un número limitado de proyectos piloto para mejorar la vigilancia atmosférica regional de las sustancias controladas por el Protocolo de Montreal, guiándose por el asesoramiento científico del Comité Asesor del </w:t>
      </w:r>
      <w:r w:rsidR="005B67C8" w:rsidRPr="005055EB">
        <w:rPr>
          <w:lang w:val="es-ES_tradnl"/>
        </w:rPr>
        <w:t xml:space="preserve">Fondo Fiduciario General para Financiar las Actividades de Investigación y Observaciones Sistemáticas de Interés para el Convenio de Viena </w:t>
      </w:r>
      <w:r w:rsidRPr="005055EB">
        <w:rPr>
          <w:lang w:val="es-ES_tradnl"/>
        </w:rPr>
        <w:t>en relación con la ubicación y el establecimiento de nuevas instalaciones de vigilancia (decisión 95/97)</w:t>
      </w:r>
      <w:r w:rsidR="00C6757D" w:rsidRPr="005055EB">
        <w:rPr>
          <w:lang w:val="es-ES_tradnl"/>
        </w:rPr>
        <w:t>.</w:t>
      </w:r>
    </w:p>
    <w:p w14:paraId="5482D512" w14:textId="5B84BEC5" w:rsidR="00F74A7B" w:rsidRPr="005055EB" w:rsidRDefault="00F74A7B" w:rsidP="00BC5C2A">
      <w:pPr>
        <w:pStyle w:val="Heading1"/>
        <w:tabs>
          <w:tab w:val="clear" w:pos="0"/>
          <w:tab w:val="num" w:pos="720"/>
        </w:tabs>
        <w:rPr>
          <w:lang w:val="es-ES_tradnl"/>
        </w:rPr>
      </w:pPr>
      <w:r w:rsidRPr="005055EB">
        <w:rPr>
          <w:highlight w:val="yellow"/>
          <w:lang w:val="es-ES_tradnl"/>
        </w:rPr>
        <w:t>[</w:t>
      </w:r>
      <w:r w:rsidR="00410D7E" w:rsidRPr="005055EB">
        <w:rPr>
          <w:highlight w:val="yellow"/>
          <w:lang w:val="es-ES_tradnl"/>
        </w:rPr>
        <w:t>En la 96ª reunión</w:t>
      </w:r>
      <w:r w:rsidRPr="005055EB">
        <w:rPr>
          <w:highlight w:val="yellow"/>
          <w:lang w:val="es-ES_tradnl"/>
        </w:rPr>
        <w:t>...]</w:t>
      </w:r>
    </w:p>
    <w:p w14:paraId="3A34F253" w14:textId="4E3D7287" w:rsidR="00F74A7B" w:rsidRPr="005055EB" w:rsidRDefault="00F74A7B" w:rsidP="00BC5C2A">
      <w:pPr>
        <w:pStyle w:val="Heading3"/>
        <w:numPr>
          <w:ilvl w:val="0"/>
          <w:numId w:val="0"/>
        </w:numPr>
        <w:rPr>
          <w:b/>
          <w:lang w:val="es-ES_tradnl"/>
        </w:rPr>
      </w:pPr>
      <w:r w:rsidRPr="005055EB">
        <w:rPr>
          <w:b/>
          <w:lang w:val="es-ES_tradnl"/>
        </w:rPr>
        <w:t>5.</w:t>
      </w:r>
      <w:r w:rsidRPr="005055EB">
        <w:rPr>
          <w:b/>
          <w:lang w:val="es-ES_tradnl"/>
        </w:rPr>
        <w:tab/>
      </w:r>
      <w:r w:rsidR="00A71E30" w:rsidRPr="005055EB">
        <w:rPr>
          <w:b/>
          <w:lang w:val="es-ES_tradnl"/>
        </w:rPr>
        <w:t>Subgrupo del Sector de Producción</w:t>
      </w:r>
    </w:p>
    <w:p w14:paraId="2CE86783" w14:textId="7D0A9DB4" w:rsidR="002F2A05" w:rsidRPr="005055EB" w:rsidRDefault="002F2A05" w:rsidP="00BC5C2A">
      <w:pPr>
        <w:rPr>
          <w:lang w:val="es-ES_tradnl"/>
        </w:rPr>
      </w:pPr>
      <w:r w:rsidRPr="005055EB">
        <w:rPr>
          <w:lang w:val="es-ES_tradnl"/>
        </w:rPr>
        <w:t>48.</w:t>
      </w:r>
      <w:r w:rsidRPr="005055EB">
        <w:rPr>
          <w:lang w:val="es-ES_tradnl"/>
        </w:rPr>
        <w:tab/>
        <w:t xml:space="preserve">El </w:t>
      </w:r>
      <w:r w:rsidR="007C288E" w:rsidRPr="005055EB">
        <w:rPr>
          <w:lang w:val="es-ES_tradnl"/>
        </w:rPr>
        <w:t>Subgrupo sobre el sector de producción</w:t>
      </w:r>
      <w:r w:rsidRPr="005055EB">
        <w:rPr>
          <w:lang w:val="es-ES_tradnl"/>
        </w:rPr>
        <w:t xml:space="preserve"> se reunió tres veces al margen de la 95ª reunión [</w:t>
      </w:r>
      <w:r w:rsidRPr="005055EB">
        <w:rPr>
          <w:highlight w:val="yellow"/>
          <w:lang w:val="es-ES_tradnl"/>
        </w:rPr>
        <w:t>y ?? y media veces al margen de la 96ª reunión</w:t>
      </w:r>
      <w:r w:rsidRPr="005055EB">
        <w:rPr>
          <w:lang w:val="es-ES_tradnl"/>
        </w:rPr>
        <w:t>], elaborando un informe para su examen en cada reunión</w:t>
      </w:r>
      <w:r w:rsidR="00D75E36" w:rsidRPr="005055EB">
        <w:rPr>
          <w:vertAlign w:val="superscript"/>
          <w:lang w:val="en-GB"/>
        </w:rPr>
        <w:footnoteReference w:id="16"/>
      </w:r>
      <w:r w:rsidRPr="005055EB">
        <w:rPr>
          <w:lang w:val="es-ES_tradnl"/>
        </w:rPr>
        <w:t>.</w:t>
      </w:r>
      <w:r w:rsidR="003D46A9" w:rsidRPr="005055EB">
        <w:rPr>
          <w:lang w:val="es-ES_tradnl"/>
        </w:rPr>
        <w:t xml:space="preserve"> </w:t>
      </w:r>
    </w:p>
    <w:p w14:paraId="7479C09E" w14:textId="77777777" w:rsidR="002F2A05" w:rsidRPr="005055EB" w:rsidRDefault="002F2A05" w:rsidP="00BC5C2A">
      <w:pPr>
        <w:rPr>
          <w:lang w:val="es-ES_tradnl"/>
        </w:rPr>
      </w:pPr>
    </w:p>
    <w:p w14:paraId="5C11D140" w14:textId="296BA6EB" w:rsidR="002F2A05" w:rsidRPr="005055EB" w:rsidRDefault="00A71E30" w:rsidP="00BC5C2A">
      <w:pPr>
        <w:pStyle w:val="Heading1"/>
        <w:numPr>
          <w:ilvl w:val="0"/>
          <w:numId w:val="37"/>
        </w:numPr>
        <w:rPr>
          <w:lang w:val="es-ES_tradnl" w:eastAsia="zh-CN"/>
        </w:rPr>
      </w:pPr>
      <w:r w:rsidRPr="005055EB">
        <w:rPr>
          <w:lang w:val="es-ES_tradnl" w:eastAsia="zh-CN"/>
        </w:rPr>
        <w:t xml:space="preserve">En la 95ª reunión, el Comité Ejecutivo tomó nota del informe de verificación 2023 del sector de producción de HCFC en China, tomó nota del informe sobre la marcha de la ejecución del segundo tramo y de la solicitud de financiación del tercer tramo de la etapa II del </w:t>
      </w:r>
      <w:r w:rsidR="00B13911" w:rsidRPr="005055EB">
        <w:rPr>
          <w:lang w:val="es-ES" w:eastAsia="zh-CN"/>
        </w:rPr>
        <w:t>plan de gestión para eliminar la producción de HCFC</w:t>
      </w:r>
      <w:r w:rsidR="00B13911" w:rsidRPr="005055EB">
        <w:rPr>
          <w:lang w:val="es-ES_tradnl" w:eastAsia="zh-CN"/>
        </w:rPr>
        <w:t xml:space="preserve"> </w:t>
      </w:r>
      <w:r w:rsidRPr="005055EB">
        <w:rPr>
          <w:lang w:val="es-ES_tradnl" w:eastAsia="zh-CN"/>
        </w:rPr>
        <w:t>(</w:t>
      </w:r>
      <w:r w:rsidR="00B13911" w:rsidRPr="005055EB">
        <w:rPr>
          <w:lang w:val="es-ES_tradnl"/>
        </w:rPr>
        <w:t>PGEPH</w:t>
      </w:r>
      <w:r w:rsidRPr="005055EB">
        <w:rPr>
          <w:lang w:val="es-ES_tradnl" w:eastAsia="zh-CN"/>
        </w:rPr>
        <w:t xml:space="preserve">) para China (véase el párrafo </w:t>
      </w:r>
      <w:r w:rsidRPr="005055EB">
        <w:rPr>
          <w:highlight w:val="yellow"/>
          <w:lang w:val="es-ES_tradnl" w:eastAsia="zh-CN"/>
        </w:rPr>
        <w:t>54</w:t>
      </w:r>
      <w:r w:rsidRPr="005055EB">
        <w:rPr>
          <w:lang w:val="es-ES_tradnl" w:eastAsia="zh-CN"/>
        </w:rPr>
        <w:t xml:space="preserve">) y adoptó una serie de decisiones relacionadas con el </w:t>
      </w:r>
      <w:r w:rsidR="00B13911" w:rsidRPr="005055EB">
        <w:rPr>
          <w:lang w:val="es-ES_tradnl"/>
        </w:rPr>
        <w:t>PGEPH</w:t>
      </w:r>
      <w:r w:rsidRPr="005055EB">
        <w:rPr>
          <w:lang w:val="es-ES_tradnl" w:eastAsia="zh-CN"/>
        </w:rPr>
        <w:t xml:space="preserve"> para China sobre la base de las recomendaciones del Subgrupo (decisiones 95/93 y 95/94). </w:t>
      </w:r>
    </w:p>
    <w:p w14:paraId="2186E3CF" w14:textId="1213E52E" w:rsidR="002F2A05" w:rsidRPr="005055EB" w:rsidRDefault="00A71E30" w:rsidP="00BC5C2A">
      <w:pPr>
        <w:pStyle w:val="Heading1"/>
        <w:rPr>
          <w:lang w:val="es-ES_tradnl" w:eastAsia="zh-CN"/>
        </w:rPr>
      </w:pPr>
      <w:r w:rsidRPr="005055EB">
        <w:rPr>
          <w:lang w:val="es-ES_tradnl" w:eastAsia="zh-CN"/>
        </w:rPr>
        <w:t>Además, el Comité Ejecutivo tomó nota</w:t>
      </w:r>
      <w:r w:rsidR="005C3638" w:rsidRPr="005055EB">
        <w:rPr>
          <w:lang w:val="es-ES_tradnl" w:eastAsia="zh-CN"/>
        </w:rPr>
        <w:t>,</w:t>
      </w:r>
      <w:r w:rsidRPr="005055EB">
        <w:rPr>
          <w:lang w:val="es-ES_tradnl" w:eastAsia="zh-CN"/>
        </w:rPr>
        <w:t xml:space="preserve"> con reconocimiento</w:t>
      </w:r>
      <w:r w:rsidR="005C3638" w:rsidRPr="005055EB">
        <w:rPr>
          <w:lang w:val="es-ES_tradnl" w:eastAsia="zh-CN"/>
        </w:rPr>
        <w:t>,</w:t>
      </w:r>
      <w:r w:rsidRPr="005055EB">
        <w:rPr>
          <w:lang w:val="es-ES_tradnl" w:eastAsia="zh-CN"/>
        </w:rPr>
        <w:t xml:space="preserve"> de la presentación, por parte del Gobierno de China a través del Banco Mundial, del informe sobre la investigación de las solicitudes de materias primas de HCFC en China para 2023 y decidió aplazar el examen de las cuestiones relacionadas con el HFC-23 en China hasta la siguiente reunión del Comité Ejecutivo (decisión 95/95).</w:t>
      </w:r>
      <w:r w:rsidR="002F2A05" w:rsidRPr="005055EB">
        <w:rPr>
          <w:lang w:val="es-ES_tradnl" w:eastAsia="zh-CN"/>
        </w:rPr>
        <w:t xml:space="preserve"> </w:t>
      </w:r>
    </w:p>
    <w:p w14:paraId="1B23A83F" w14:textId="24C12A77" w:rsidR="00F74A7B" w:rsidRPr="005055EB" w:rsidRDefault="00F74A7B" w:rsidP="00BC5C2A">
      <w:pPr>
        <w:pStyle w:val="Heading1"/>
        <w:rPr>
          <w:lang w:val="es-ES_tradnl" w:eastAsia="zh-CN"/>
        </w:rPr>
      </w:pPr>
      <w:r w:rsidRPr="005055EB">
        <w:rPr>
          <w:highlight w:val="yellow"/>
          <w:lang w:val="es-ES_tradnl"/>
        </w:rPr>
        <w:t>[</w:t>
      </w:r>
      <w:r w:rsidR="00410D7E" w:rsidRPr="005055EB">
        <w:rPr>
          <w:highlight w:val="yellow"/>
          <w:lang w:val="es-ES_tradnl"/>
        </w:rPr>
        <w:t>En la 96ª reunión</w:t>
      </w:r>
      <w:r w:rsidRPr="005055EB">
        <w:rPr>
          <w:highlight w:val="yellow"/>
          <w:lang w:val="es-ES_tradnl"/>
        </w:rPr>
        <w:t xml:space="preserve">…] </w:t>
      </w:r>
    </w:p>
    <w:p w14:paraId="41FA33A1" w14:textId="327553ED" w:rsidR="00F74A7B" w:rsidRPr="005055EB" w:rsidRDefault="00F74A7B" w:rsidP="00BC5C2A">
      <w:pPr>
        <w:pStyle w:val="Heading2"/>
        <w:keepNext/>
        <w:widowControl/>
        <w:rPr>
          <w:b/>
          <w:bCs/>
          <w:sz w:val="24"/>
          <w:szCs w:val="24"/>
          <w:lang w:val="es-ES_tradnl"/>
        </w:rPr>
      </w:pPr>
      <w:r w:rsidRPr="005055EB">
        <w:rPr>
          <w:b/>
          <w:bCs/>
          <w:sz w:val="24"/>
          <w:szCs w:val="24"/>
          <w:lang w:val="es-ES_tradnl"/>
        </w:rPr>
        <w:t>C.</w:t>
      </w:r>
      <w:r w:rsidRPr="005055EB">
        <w:rPr>
          <w:b/>
          <w:bCs/>
          <w:sz w:val="24"/>
          <w:szCs w:val="24"/>
          <w:lang w:val="es-ES_tradnl"/>
        </w:rPr>
        <w:tab/>
      </w:r>
      <w:r w:rsidR="00A71E30" w:rsidRPr="005055EB">
        <w:rPr>
          <w:b/>
          <w:bCs/>
          <w:sz w:val="24"/>
          <w:szCs w:val="24"/>
          <w:lang w:val="es-ES_tradnl"/>
        </w:rPr>
        <w:t>Proyectos, ejecución y supervisión</w:t>
      </w:r>
    </w:p>
    <w:p w14:paraId="369B90EA" w14:textId="5C4A4839" w:rsidR="00F74A7B" w:rsidRPr="005055EB" w:rsidRDefault="00F74A7B" w:rsidP="00BC5C2A">
      <w:pPr>
        <w:keepNext/>
        <w:spacing w:after="240"/>
        <w:outlineLvl w:val="1"/>
        <w:rPr>
          <w:b/>
          <w:lang w:val="es-ES_tradnl"/>
        </w:rPr>
      </w:pPr>
      <w:r w:rsidRPr="005055EB">
        <w:rPr>
          <w:b/>
          <w:lang w:val="es-ES_tradnl"/>
        </w:rPr>
        <w:t>1.</w:t>
      </w:r>
      <w:r w:rsidRPr="005055EB">
        <w:rPr>
          <w:b/>
          <w:lang w:val="es-ES_tradnl"/>
        </w:rPr>
        <w:tab/>
      </w:r>
      <w:r w:rsidR="00A71E30" w:rsidRPr="005055EB">
        <w:rPr>
          <w:b/>
          <w:lang w:val="es-ES_tradnl"/>
        </w:rPr>
        <w:t xml:space="preserve">Aprobaciones realizadas durante el período </w:t>
      </w:r>
      <w:r w:rsidR="006A082B" w:rsidRPr="005055EB">
        <w:rPr>
          <w:b/>
          <w:lang w:val="es-ES_tradnl"/>
        </w:rPr>
        <w:t>informado</w:t>
      </w:r>
    </w:p>
    <w:p w14:paraId="5C7186D8" w14:textId="48247263" w:rsidR="0062074E" w:rsidRPr="005055EB" w:rsidRDefault="0062074E" w:rsidP="00BC5C2A">
      <w:pPr>
        <w:pStyle w:val="Heading1"/>
        <w:tabs>
          <w:tab w:val="clear" w:pos="0"/>
        </w:tabs>
        <w:rPr>
          <w:lang w:val="es-ES_tradnl"/>
        </w:rPr>
      </w:pPr>
      <w:r w:rsidRPr="005055EB">
        <w:rPr>
          <w:lang w:val="es-ES_tradnl"/>
        </w:rPr>
        <w:t xml:space="preserve">Durante el período </w:t>
      </w:r>
      <w:r w:rsidR="006A082B" w:rsidRPr="005055EB">
        <w:rPr>
          <w:lang w:val="es-ES_tradnl"/>
        </w:rPr>
        <w:t>informado</w:t>
      </w:r>
      <w:r w:rsidRPr="005055EB">
        <w:rPr>
          <w:lang w:val="es-ES_tradnl"/>
        </w:rPr>
        <w:t xml:space="preserve">, el Comité Ejecutivo aprobó un total de </w:t>
      </w:r>
      <w:r w:rsidRPr="005055EB">
        <w:rPr>
          <w:highlight w:val="yellow"/>
          <w:lang w:val="es-ES_tradnl"/>
        </w:rPr>
        <w:t>???</w:t>
      </w:r>
      <w:r w:rsidRPr="005055EB">
        <w:rPr>
          <w:lang w:val="es-ES_tradnl"/>
        </w:rPr>
        <w:t xml:space="preserve"> proyectos y actividades adicionales, con una eliminación prevista de </w:t>
      </w:r>
      <w:r w:rsidRPr="005055EB">
        <w:rPr>
          <w:highlight w:val="yellow"/>
          <w:lang w:val="es-ES_tradnl"/>
        </w:rPr>
        <w:t>???</w:t>
      </w:r>
      <w:r w:rsidRPr="005055EB">
        <w:rPr>
          <w:lang w:val="es-ES_tradnl"/>
        </w:rPr>
        <w:t xml:space="preserve"> toneladas PAO de producción y consumo de HCFC y un total de </w:t>
      </w:r>
      <w:r w:rsidR="00D75E36" w:rsidRPr="005055EB">
        <w:rPr>
          <w:highlight w:val="yellow"/>
          <w:lang w:val="es-ES_tradnl"/>
        </w:rPr>
        <w:t>???</w:t>
      </w:r>
      <w:r w:rsidR="00D75E36" w:rsidRPr="005055EB">
        <w:rPr>
          <w:lang w:val="es-ES_tradnl"/>
        </w:rPr>
        <w:t xml:space="preserve"> </w:t>
      </w:r>
      <w:r w:rsidRPr="005055EB">
        <w:rPr>
          <w:lang w:val="es-ES_tradnl"/>
        </w:rPr>
        <w:t xml:space="preserve">toneladas métricas (toneladas equivalentes de dióxido de carbono) de consumo de HFC, por un </w:t>
      </w:r>
      <w:r w:rsidRPr="005055EB">
        <w:rPr>
          <w:lang w:val="es-ES_tradnl"/>
        </w:rPr>
        <w:lastRenderedPageBreak/>
        <w:t xml:space="preserve">importe de </w:t>
      </w:r>
      <w:r w:rsidR="000A70E6" w:rsidRPr="005055EB">
        <w:rPr>
          <w:lang w:val="es-ES_tradnl"/>
        </w:rPr>
        <w:t>USD </w:t>
      </w:r>
      <w:r w:rsidR="000A70E6" w:rsidRPr="005055EB">
        <w:rPr>
          <w:highlight w:val="yellow"/>
          <w:lang w:val="es-ES_tradnl"/>
        </w:rPr>
        <w:t>???</w:t>
      </w:r>
      <w:r w:rsidR="003D46A9" w:rsidRPr="005055EB">
        <w:rPr>
          <w:lang w:val="es-ES_tradnl"/>
        </w:rPr>
        <w:t xml:space="preserve"> </w:t>
      </w:r>
      <w:r w:rsidRPr="005055EB">
        <w:rPr>
          <w:lang w:val="es-ES_tradnl"/>
        </w:rPr>
        <w:t xml:space="preserve">millones, incluidos </w:t>
      </w:r>
      <w:r w:rsidR="000A70E6" w:rsidRPr="005055EB">
        <w:rPr>
          <w:lang w:val="es-ES_tradnl"/>
        </w:rPr>
        <w:t>USD </w:t>
      </w:r>
      <w:r w:rsidR="000A70E6" w:rsidRPr="005055EB">
        <w:rPr>
          <w:highlight w:val="yellow"/>
          <w:lang w:val="es-ES_tradnl"/>
        </w:rPr>
        <w:t>???</w:t>
      </w:r>
      <w:r w:rsidR="003D46A9" w:rsidRPr="005055EB">
        <w:rPr>
          <w:lang w:val="es-ES_tradnl"/>
        </w:rPr>
        <w:t xml:space="preserve"> </w:t>
      </w:r>
      <w:r w:rsidRPr="005055EB">
        <w:rPr>
          <w:lang w:val="es-ES_tradnl"/>
        </w:rPr>
        <w:t xml:space="preserve">millones en costos de apoyo del organismo, según se indica en el cuadro 4 </w:t>
      </w:r>
      <w:r w:rsidR="000A70E6" w:rsidRPr="005055EB">
        <w:rPr>
          <w:lang w:val="es-ES_tradnl"/>
        </w:rPr>
        <w:t>a continuación</w:t>
      </w:r>
      <w:r w:rsidRPr="005055EB">
        <w:rPr>
          <w:lang w:val="es-ES_tradnl"/>
        </w:rPr>
        <w:t>.</w:t>
      </w:r>
    </w:p>
    <w:p w14:paraId="3F4A2516" w14:textId="35829208" w:rsidR="00F74A7B" w:rsidRPr="005055EB" w:rsidRDefault="00714F57" w:rsidP="00BC5C2A">
      <w:pPr>
        <w:keepNext/>
        <w:ind w:left="706"/>
        <w:rPr>
          <w:lang w:val="es-ES_tradnl"/>
        </w:rPr>
      </w:pPr>
      <w:r w:rsidRPr="005055EB">
        <w:rPr>
          <w:lang w:val="es-ES_tradnl"/>
        </w:rPr>
        <w:t xml:space="preserve">Cuadro </w:t>
      </w:r>
      <w:r w:rsidR="00F74A7B" w:rsidRPr="005055EB">
        <w:rPr>
          <w:lang w:val="es-ES_tradnl"/>
        </w:rPr>
        <w:t>4</w:t>
      </w:r>
    </w:p>
    <w:p w14:paraId="1A7D8C6B" w14:textId="39F71690" w:rsidR="00F74A7B" w:rsidRPr="005055EB" w:rsidRDefault="00714F57" w:rsidP="00BC5C2A">
      <w:pPr>
        <w:keepNext/>
        <w:ind w:left="709"/>
        <w:rPr>
          <w:b/>
          <w:bCs/>
          <w:lang w:val="es-ES_tradnl"/>
        </w:rPr>
      </w:pPr>
      <w:r w:rsidRPr="005055EB">
        <w:rPr>
          <w:b/>
          <w:bCs/>
          <w:lang w:val="es-ES_tradnl"/>
        </w:rPr>
        <w:t>Fondos aprobados durante el período informado, por organismo</w:t>
      </w:r>
    </w:p>
    <w:tbl>
      <w:tblPr>
        <w:tblW w:w="4609" w:type="pct"/>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6"/>
        <w:gridCol w:w="2373"/>
        <w:gridCol w:w="2565"/>
        <w:gridCol w:w="1675"/>
      </w:tblGrid>
      <w:tr w:rsidR="0064239C" w:rsidRPr="005055EB" w14:paraId="68A4B033" w14:textId="77777777" w:rsidTr="00C9254D">
        <w:trPr>
          <w:trHeight w:val="179"/>
        </w:trPr>
        <w:tc>
          <w:tcPr>
            <w:tcW w:w="1194" w:type="pct"/>
            <w:shd w:val="clear" w:color="auto" w:fill="auto"/>
            <w:noWrap/>
            <w:hideMark/>
          </w:tcPr>
          <w:p w14:paraId="5D80AD07" w14:textId="19B1623F" w:rsidR="00F74A7B" w:rsidRPr="005055EB" w:rsidRDefault="0064239C" w:rsidP="00BC5C2A">
            <w:pPr>
              <w:keepNext/>
              <w:rPr>
                <w:b/>
                <w:bCs/>
                <w:color w:val="000000"/>
                <w:sz w:val="20"/>
                <w:szCs w:val="20"/>
                <w:lang w:val="es-ES_tradnl" w:eastAsia="zh-CN"/>
              </w:rPr>
            </w:pPr>
            <w:r w:rsidRPr="005055EB">
              <w:rPr>
                <w:b/>
                <w:bCs/>
                <w:color w:val="000000"/>
                <w:sz w:val="20"/>
                <w:szCs w:val="20"/>
                <w:lang w:val="es-ES_tradnl" w:eastAsia="zh-CN"/>
              </w:rPr>
              <w:t>Organismo</w:t>
            </w:r>
          </w:p>
        </w:tc>
        <w:tc>
          <w:tcPr>
            <w:tcW w:w="1286" w:type="pct"/>
            <w:shd w:val="clear" w:color="auto" w:fill="auto"/>
            <w:noWrap/>
            <w:hideMark/>
          </w:tcPr>
          <w:p w14:paraId="2C7ABC50" w14:textId="33C15595" w:rsidR="00F74A7B" w:rsidRPr="005055EB" w:rsidRDefault="0064239C" w:rsidP="00BC5C2A">
            <w:pPr>
              <w:keepNext/>
              <w:rPr>
                <w:b/>
                <w:bCs/>
                <w:color w:val="000000"/>
                <w:sz w:val="20"/>
                <w:szCs w:val="20"/>
                <w:lang w:val="es-ES_tradnl" w:eastAsia="zh-CN"/>
              </w:rPr>
            </w:pPr>
            <w:r w:rsidRPr="005055EB">
              <w:rPr>
                <w:b/>
                <w:bCs/>
                <w:color w:val="000000"/>
                <w:sz w:val="20"/>
                <w:szCs w:val="20"/>
                <w:lang w:val="es-ES_tradnl" w:eastAsia="en-CA"/>
              </w:rPr>
              <w:t>Fondos aprobados</w:t>
            </w:r>
            <w:r w:rsidR="00F74A7B" w:rsidRPr="005055EB">
              <w:rPr>
                <w:b/>
                <w:bCs/>
                <w:color w:val="000000"/>
                <w:sz w:val="20"/>
                <w:szCs w:val="20"/>
                <w:lang w:val="es-ES_tradnl" w:eastAsia="en-CA"/>
              </w:rPr>
              <w:t xml:space="preserve"> (</w:t>
            </w:r>
            <w:r w:rsidRPr="005055EB">
              <w:rPr>
                <w:b/>
                <w:bCs/>
                <w:sz w:val="20"/>
                <w:lang w:val="es-ES_tradnl"/>
              </w:rPr>
              <w:t>USD)</w:t>
            </w:r>
          </w:p>
        </w:tc>
        <w:tc>
          <w:tcPr>
            <w:tcW w:w="1518" w:type="pct"/>
            <w:shd w:val="clear" w:color="auto" w:fill="auto"/>
            <w:noWrap/>
            <w:hideMark/>
          </w:tcPr>
          <w:p w14:paraId="7B970993" w14:textId="34001F4D" w:rsidR="00F74A7B" w:rsidRPr="005055EB" w:rsidRDefault="0064239C" w:rsidP="00BC5C2A">
            <w:pPr>
              <w:keepNext/>
              <w:rPr>
                <w:b/>
                <w:bCs/>
                <w:color w:val="000000"/>
                <w:sz w:val="20"/>
                <w:szCs w:val="20"/>
                <w:lang w:val="es-ES_tradnl" w:eastAsia="zh-CN"/>
              </w:rPr>
            </w:pPr>
            <w:r w:rsidRPr="005055EB">
              <w:rPr>
                <w:b/>
                <w:bCs/>
                <w:color w:val="000000"/>
                <w:sz w:val="20"/>
                <w:szCs w:val="20"/>
                <w:lang w:val="es-ES_tradnl" w:eastAsia="en-CA"/>
              </w:rPr>
              <w:t>Gastos de apoyo</w:t>
            </w:r>
            <w:r w:rsidR="00F74A7B" w:rsidRPr="005055EB">
              <w:rPr>
                <w:b/>
                <w:bCs/>
                <w:color w:val="000000"/>
                <w:sz w:val="20"/>
                <w:szCs w:val="20"/>
                <w:lang w:val="es-ES_tradnl" w:eastAsia="en-CA"/>
              </w:rPr>
              <w:t xml:space="preserve"> </w:t>
            </w:r>
            <w:r w:rsidRPr="005055EB">
              <w:rPr>
                <w:b/>
                <w:bCs/>
                <w:color w:val="000000"/>
                <w:sz w:val="20"/>
                <w:szCs w:val="20"/>
                <w:lang w:val="es-ES_tradnl" w:eastAsia="en-CA"/>
              </w:rPr>
              <w:t>(</w:t>
            </w:r>
            <w:r w:rsidRPr="005055EB">
              <w:rPr>
                <w:b/>
                <w:bCs/>
                <w:sz w:val="20"/>
                <w:lang w:val="es-ES_tradnl"/>
              </w:rPr>
              <w:t>USD)</w:t>
            </w:r>
          </w:p>
        </w:tc>
        <w:tc>
          <w:tcPr>
            <w:tcW w:w="1002" w:type="pct"/>
            <w:shd w:val="clear" w:color="auto" w:fill="auto"/>
            <w:hideMark/>
          </w:tcPr>
          <w:p w14:paraId="6C57354D" w14:textId="0B3B47F9" w:rsidR="00F74A7B" w:rsidRPr="005055EB" w:rsidRDefault="00F74A7B" w:rsidP="00BC5C2A">
            <w:pPr>
              <w:keepNext/>
              <w:rPr>
                <w:b/>
                <w:bCs/>
                <w:color w:val="000000"/>
                <w:sz w:val="20"/>
                <w:szCs w:val="20"/>
                <w:lang w:val="es-ES_tradnl" w:eastAsia="zh-CN"/>
              </w:rPr>
            </w:pPr>
            <w:r w:rsidRPr="005055EB">
              <w:rPr>
                <w:b/>
                <w:bCs/>
                <w:color w:val="000000"/>
                <w:sz w:val="20"/>
                <w:szCs w:val="20"/>
                <w:lang w:val="es-ES_tradnl" w:eastAsia="en-CA"/>
              </w:rPr>
              <w:t>Total (</w:t>
            </w:r>
            <w:r w:rsidR="0064239C" w:rsidRPr="005055EB">
              <w:rPr>
                <w:b/>
                <w:bCs/>
                <w:sz w:val="20"/>
                <w:lang w:val="es-ES_tradnl"/>
              </w:rPr>
              <w:t>USD</w:t>
            </w:r>
            <w:r w:rsidRPr="005055EB">
              <w:rPr>
                <w:b/>
                <w:bCs/>
                <w:color w:val="000000"/>
                <w:sz w:val="20"/>
                <w:szCs w:val="20"/>
                <w:lang w:val="es-ES_tradnl" w:eastAsia="en-CA"/>
              </w:rPr>
              <w:t>)</w:t>
            </w:r>
          </w:p>
        </w:tc>
      </w:tr>
      <w:tr w:rsidR="0064239C" w:rsidRPr="005055EB" w14:paraId="7F89DAB6" w14:textId="77777777" w:rsidTr="00C9254D">
        <w:trPr>
          <w:trHeight w:val="251"/>
        </w:trPr>
        <w:tc>
          <w:tcPr>
            <w:tcW w:w="1194" w:type="pct"/>
            <w:shd w:val="clear" w:color="auto" w:fill="auto"/>
            <w:noWrap/>
            <w:hideMark/>
          </w:tcPr>
          <w:p w14:paraId="11087DA8" w14:textId="77777777" w:rsidR="00F74A7B" w:rsidRPr="005055EB" w:rsidRDefault="00F74A7B" w:rsidP="00BC5C2A">
            <w:pPr>
              <w:keepNext/>
              <w:rPr>
                <w:color w:val="000000"/>
                <w:sz w:val="20"/>
                <w:szCs w:val="20"/>
                <w:lang w:val="es-ES_tradnl" w:eastAsia="zh-CN"/>
              </w:rPr>
            </w:pPr>
            <w:r w:rsidRPr="005055EB">
              <w:rPr>
                <w:color w:val="000000"/>
                <w:sz w:val="20"/>
                <w:szCs w:val="20"/>
                <w:lang w:val="es-ES_tradnl" w:eastAsia="zh-CN"/>
              </w:rPr>
              <w:t>Bilateral</w:t>
            </w:r>
          </w:p>
        </w:tc>
        <w:tc>
          <w:tcPr>
            <w:tcW w:w="1286" w:type="pct"/>
            <w:shd w:val="clear" w:color="auto" w:fill="auto"/>
            <w:noWrap/>
            <w:hideMark/>
          </w:tcPr>
          <w:p w14:paraId="0DC94371" w14:textId="1620591C" w:rsidR="00F74A7B" w:rsidRPr="005055EB" w:rsidRDefault="00714F57" w:rsidP="00BC5C2A">
            <w:pPr>
              <w:keepNext/>
              <w:rPr>
                <w:i/>
                <w:iCs/>
                <w:color w:val="000000"/>
                <w:sz w:val="18"/>
                <w:szCs w:val="18"/>
                <w:lang w:val="es-ES_tradnl" w:eastAsia="zh-CN"/>
              </w:rPr>
            </w:pPr>
            <w:r w:rsidRPr="005055EB">
              <w:rPr>
                <w:i/>
                <w:iCs/>
                <w:sz w:val="18"/>
                <w:szCs w:val="18"/>
                <w:lang w:val="es-ES_tradnl"/>
              </w:rPr>
              <w:t>Pendiente</w:t>
            </w:r>
          </w:p>
        </w:tc>
        <w:tc>
          <w:tcPr>
            <w:tcW w:w="1518" w:type="pct"/>
            <w:shd w:val="clear" w:color="auto" w:fill="auto"/>
            <w:noWrap/>
            <w:hideMark/>
          </w:tcPr>
          <w:p w14:paraId="7D2CFC5F" w14:textId="191A12B9" w:rsidR="00F74A7B" w:rsidRPr="005055EB" w:rsidRDefault="00714F57" w:rsidP="00BC5C2A">
            <w:pPr>
              <w:keepNext/>
              <w:rPr>
                <w:color w:val="000000"/>
                <w:sz w:val="20"/>
                <w:szCs w:val="20"/>
                <w:lang w:val="es-ES_tradnl" w:eastAsia="zh-CN"/>
              </w:rPr>
            </w:pPr>
            <w:r w:rsidRPr="005055EB">
              <w:rPr>
                <w:i/>
                <w:iCs/>
                <w:sz w:val="18"/>
                <w:szCs w:val="18"/>
                <w:lang w:val="es-ES_tradnl"/>
              </w:rPr>
              <w:t>Pendiente</w:t>
            </w:r>
          </w:p>
        </w:tc>
        <w:tc>
          <w:tcPr>
            <w:tcW w:w="1002" w:type="pct"/>
            <w:shd w:val="clear" w:color="auto" w:fill="auto"/>
            <w:noWrap/>
            <w:hideMark/>
          </w:tcPr>
          <w:p w14:paraId="41DABCCD" w14:textId="5CF959BA" w:rsidR="00F74A7B" w:rsidRPr="005055EB" w:rsidRDefault="00714F57" w:rsidP="00BC5C2A">
            <w:pPr>
              <w:keepNext/>
              <w:rPr>
                <w:color w:val="000000"/>
                <w:sz w:val="20"/>
                <w:szCs w:val="20"/>
                <w:lang w:val="es-ES_tradnl" w:eastAsia="zh-CN"/>
              </w:rPr>
            </w:pPr>
            <w:r w:rsidRPr="005055EB">
              <w:rPr>
                <w:i/>
                <w:iCs/>
                <w:sz w:val="18"/>
                <w:szCs w:val="18"/>
                <w:lang w:val="es-ES_tradnl"/>
              </w:rPr>
              <w:t>Pendiente</w:t>
            </w:r>
          </w:p>
        </w:tc>
      </w:tr>
      <w:tr w:rsidR="0064239C" w:rsidRPr="005055EB" w14:paraId="0D0DB0F8" w14:textId="77777777" w:rsidTr="00C9254D">
        <w:trPr>
          <w:trHeight w:val="170"/>
        </w:trPr>
        <w:tc>
          <w:tcPr>
            <w:tcW w:w="1194" w:type="pct"/>
            <w:shd w:val="clear" w:color="auto" w:fill="auto"/>
            <w:noWrap/>
            <w:hideMark/>
          </w:tcPr>
          <w:p w14:paraId="66987AF1" w14:textId="20F80B5E" w:rsidR="00F74A7B" w:rsidRPr="005055EB" w:rsidRDefault="00714F57" w:rsidP="00BC5C2A">
            <w:pPr>
              <w:keepNext/>
              <w:rPr>
                <w:color w:val="000000"/>
                <w:sz w:val="20"/>
                <w:szCs w:val="20"/>
                <w:lang w:val="es-ES_tradnl" w:eastAsia="zh-CN"/>
              </w:rPr>
            </w:pPr>
            <w:r w:rsidRPr="005055EB">
              <w:rPr>
                <w:color w:val="000000"/>
                <w:sz w:val="20"/>
                <w:szCs w:val="20"/>
                <w:lang w:val="es-ES_tradnl" w:eastAsia="zh-CN"/>
              </w:rPr>
              <w:t>PNUD</w:t>
            </w:r>
          </w:p>
        </w:tc>
        <w:tc>
          <w:tcPr>
            <w:tcW w:w="1286" w:type="pct"/>
            <w:shd w:val="clear" w:color="auto" w:fill="auto"/>
            <w:noWrap/>
            <w:hideMark/>
          </w:tcPr>
          <w:p w14:paraId="02B14F17" w14:textId="02695D5B" w:rsidR="00F74A7B" w:rsidRPr="005055EB" w:rsidRDefault="00714F57" w:rsidP="00BC5C2A">
            <w:pPr>
              <w:keepNext/>
              <w:rPr>
                <w:color w:val="000000"/>
                <w:sz w:val="20"/>
                <w:szCs w:val="20"/>
                <w:lang w:val="es-ES_tradnl" w:eastAsia="zh-CN"/>
              </w:rPr>
            </w:pPr>
            <w:r w:rsidRPr="005055EB">
              <w:rPr>
                <w:i/>
                <w:iCs/>
                <w:sz w:val="18"/>
                <w:szCs w:val="18"/>
                <w:lang w:val="es-ES_tradnl"/>
              </w:rPr>
              <w:t>Pendiente</w:t>
            </w:r>
          </w:p>
        </w:tc>
        <w:tc>
          <w:tcPr>
            <w:tcW w:w="1518" w:type="pct"/>
            <w:shd w:val="clear" w:color="auto" w:fill="auto"/>
            <w:noWrap/>
            <w:hideMark/>
          </w:tcPr>
          <w:p w14:paraId="6733C92B" w14:textId="6BA635CA" w:rsidR="00F74A7B" w:rsidRPr="005055EB" w:rsidRDefault="00714F57" w:rsidP="00BC5C2A">
            <w:pPr>
              <w:keepNext/>
              <w:rPr>
                <w:color w:val="000000"/>
                <w:sz w:val="20"/>
                <w:szCs w:val="20"/>
                <w:lang w:val="es-ES_tradnl" w:eastAsia="zh-CN"/>
              </w:rPr>
            </w:pPr>
            <w:r w:rsidRPr="005055EB">
              <w:rPr>
                <w:i/>
                <w:iCs/>
                <w:sz w:val="18"/>
                <w:szCs w:val="18"/>
                <w:lang w:val="es-ES_tradnl"/>
              </w:rPr>
              <w:t>Pendiente</w:t>
            </w:r>
          </w:p>
        </w:tc>
        <w:tc>
          <w:tcPr>
            <w:tcW w:w="1002" w:type="pct"/>
            <w:shd w:val="clear" w:color="auto" w:fill="auto"/>
            <w:noWrap/>
            <w:hideMark/>
          </w:tcPr>
          <w:p w14:paraId="48B97015" w14:textId="29ABF1D5" w:rsidR="00F74A7B" w:rsidRPr="005055EB" w:rsidRDefault="00714F57" w:rsidP="00BC5C2A">
            <w:pPr>
              <w:keepNext/>
              <w:rPr>
                <w:color w:val="000000"/>
                <w:sz w:val="20"/>
                <w:szCs w:val="20"/>
                <w:lang w:val="es-ES_tradnl" w:eastAsia="zh-CN"/>
              </w:rPr>
            </w:pPr>
            <w:r w:rsidRPr="005055EB">
              <w:rPr>
                <w:i/>
                <w:iCs/>
                <w:sz w:val="18"/>
                <w:szCs w:val="18"/>
                <w:lang w:val="es-ES_tradnl"/>
              </w:rPr>
              <w:t>Pendiente</w:t>
            </w:r>
          </w:p>
        </w:tc>
      </w:tr>
      <w:tr w:rsidR="0064239C" w:rsidRPr="005055EB" w14:paraId="6370C13A" w14:textId="77777777" w:rsidTr="00C9254D">
        <w:trPr>
          <w:trHeight w:val="179"/>
        </w:trPr>
        <w:tc>
          <w:tcPr>
            <w:tcW w:w="1194" w:type="pct"/>
            <w:shd w:val="clear" w:color="auto" w:fill="auto"/>
            <w:noWrap/>
            <w:hideMark/>
          </w:tcPr>
          <w:p w14:paraId="614ADDAD" w14:textId="4CA74CFE" w:rsidR="00F74A7B" w:rsidRPr="005055EB" w:rsidRDefault="00714F57" w:rsidP="00BC5C2A">
            <w:pPr>
              <w:keepNext/>
              <w:rPr>
                <w:color w:val="000000"/>
                <w:sz w:val="20"/>
                <w:szCs w:val="20"/>
                <w:lang w:val="es-ES_tradnl" w:eastAsia="zh-CN"/>
              </w:rPr>
            </w:pPr>
            <w:r w:rsidRPr="005055EB">
              <w:rPr>
                <w:color w:val="000000"/>
                <w:sz w:val="20"/>
                <w:szCs w:val="20"/>
                <w:lang w:val="es-ES_tradnl" w:eastAsia="zh-CN"/>
              </w:rPr>
              <w:t>PNUMA</w:t>
            </w:r>
          </w:p>
        </w:tc>
        <w:tc>
          <w:tcPr>
            <w:tcW w:w="1286" w:type="pct"/>
            <w:shd w:val="clear" w:color="auto" w:fill="auto"/>
            <w:noWrap/>
            <w:hideMark/>
          </w:tcPr>
          <w:p w14:paraId="10272FE9" w14:textId="157BB76D" w:rsidR="00F74A7B" w:rsidRPr="005055EB" w:rsidRDefault="00714F57" w:rsidP="00BC5C2A">
            <w:pPr>
              <w:keepNext/>
              <w:rPr>
                <w:color w:val="000000"/>
                <w:sz w:val="20"/>
                <w:szCs w:val="20"/>
                <w:lang w:val="es-ES_tradnl" w:eastAsia="zh-CN"/>
              </w:rPr>
            </w:pPr>
            <w:r w:rsidRPr="005055EB">
              <w:rPr>
                <w:i/>
                <w:iCs/>
                <w:sz w:val="18"/>
                <w:szCs w:val="18"/>
                <w:lang w:val="es-ES_tradnl"/>
              </w:rPr>
              <w:t>Pendiente</w:t>
            </w:r>
          </w:p>
        </w:tc>
        <w:tc>
          <w:tcPr>
            <w:tcW w:w="1518" w:type="pct"/>
            <w:shd w:val="clear" w:color="auto" w:fill="auto"/>
            <w:noWrap/>
            <w:hideMark/>
          </w:tcPr>
          <w:p w14:paraId="4A65AD00" w14:textId="03AAE1FF" w:rsidR="00F74A7B" w:rsidRPr="005055EB" w:rsidRDefault="00714F57" w:rsidP="00BC5C2A">
            <w:pPr>
              <w:keepNext/>
              <w:rPr>
                <w:color w:val="000000"/>
                <w:sz w:val="20"/>
                <w:szCs w:val="20"/>
                <w:lang w:val="es-ES_tradnl" w:eastAsia="zh-CN"/>
              </w:rPr>
            </w:pPr>
            <w:r w:rsidRPr="005055EB">
              <w:rPr>
                <w:i/>
                <w:iCs/>
                <w:sz w:val="18"/>
                <w:szCs w:val="18"/>
                <w:lang w:val="es-ES_tradnl"/>
              </w:rPr>
              <w:t>Pendiente</w:t>
            </w:r>
          </w:p>
        </w:tc>
        <w:tc>
          <w:tcPr>
            <w:tcW w:w="1002" w:type="pct"/>
            <w:shd w:val="clear" w:color="auto" w:fill="auto"/>
            <w:noWrap/>
            <w:hideMark/>
          </w:tcPr>
          <w:p w14:paraId="39AAAB0C" w14:textId="7500E4C8" w:rsidR="00F74A7B" w:rsidRPr="005055EB" w:rsidRDefault="00714F57" w:rsidP="00BC5C2A">
            <w:pPr>
              <w:keepNext/>
              <w:rPr>
                <w:color w:val="000000"/>
                <w:sz w:val="20"/>
                <w:szCs w:val="20"/>
                <w:lang w:val="es-ES_tradnl" w:eastAsia="zh-CN"/>
              </w:rPr>
            </w:pPr>
            <w:r w:rsidRPr="005055EB">
              <w:rPr>
                <w:i/>
                <w:iCs/>
                <w:sz w:val="18"/>
                <w:szCs w:val="18"/>
                <w:lang w:val="es-ES_tradnl"/>
              </w:rPr>
              <w:t>Pendiente</w:t>
            </w:r>
          </w:p>
        </w:tc>
      </w:tr>
      <w:tr w:rsidR="0064239C" w:rsidRPr="005055EB" w14:paraId="3C14FF0D" w14:textId="77777777" w:rsidTr="00C9254D">
        <w:trPr>
          <w:trHeight w:val="188"/>
        </w:trPr>
        <w:tc>
          <w:tcPr>
            <w:tcW w:w="1194" w:type="pct"/>
            <w:shd w:val="clear" w:color="auto" w:fill="auto"/>
            <w:noWrap/>
            <w:hideMark/>
          </w:tcPr>
          <w:p w14:paraId="77B1AE0D" w14:textId="479EE4D5" w:rsidR="00F74A7B" w:rsidRPr="005055EB" w:rsidRDefault="00714F57" w:rsidP="00BC5C2A">
            <w:pPr>
              <w:keepNext/>
              <w:rPr>
                <w:color w:val="000000"/>
                <w:sz w:val="20"/>
                <w:szCs w:val="20"/>
                <w:lang w:val="es-ES_tradnl" w:eastAsia="zh-CN"/>
              </w:rPr>
            </w:pPr>
            <w:r w:rsidRPr="005055EB">
              <w:rPr>
                <w:color w:val="000000"/>
                <w:sz w:val="20"/>
                <w:szCs w:val="20"/>
                <w:lang w:val="es-ES_tradnl" w:eastAsia="zh-CN"/>
              </w:rPr>
              <w:t>ONUDI</w:t>
            </w:r>
          </w:p>
        </w:tc>
        <w:tc>
          <w:tcPr>
            <w:tcW w:w="1286" w:type="pct"/>
            <w:shd w:val="clear" w:color="auto" w:fill="auto"/>
            <w:noWrap/>
            <w:hideMark/>
          </w:tcPr>
          <w:p w14:paraId="766F1CB5" w14:textId="78DDF0EA" w:rsidR="00F74A7B" w:rsidRPr="005055EB" w:rsidRDefault="00714F57" w:rsidP="00BC5C2A">
            <w:pPr>
              <w:keepNext/>
              <w:rPr>
                <w:color w:val="000000"/>
                <w:sz w:val="20"/>
                <w:szCs w:val="20"/>
                <w:lang w:val="es-ES_tradnl" w:eastAsia="zh-CN"/>
              </w:rPr>
            </w:pPr>
            <w:r w:rsidRPr="005055EB">
              <w:rPr>
                <w:i/>
                <w:iCs/>
                <w:sz w:val="18"/>
                <w:szCs w:val="18"/>
                <w:lang w:val="es-ES_tradnl"/>
              </w:rPr>
              <w:t>Pendiente</w:t>
            </w:r>
          </w:p>
        </w:tc>
        <w:tc>
          <w:tcPr>
            <w:tcW w:w="1518" w:type="pct"/>
            <w:shd w:val="clear" w:color="auto" w:fill="auto"/>
            <w:noWrap/>
            <w:hideMark/>
          </w:tcPr>
          <w:p w14:paraId="1FAD52DA" w14:textId="6E5D281E" w:rsidR="00F74A7B" w:rsidRPr="005055EB" w:rsidRDefault="00714F57" w:rsidP="00BC5C2A">
            <w:pPr>
              <w:keepNext/>
              <w:rPr>
                <w:color w:val="000000"/>
                <w:sz w:val="20"/>
                <w:szCs w:val="20"/>
                <w:lang w:val="es-ES_tradnl" w:eastAsia="zh-CN"/>
              </w:rPr>
            </w:pPr>
            <w:r w:rsidRPr="005055EB">
              <w:rPr>
                <w:i/>
                <w:iCs/>
                <w:sz w:val="18"/>
                <w:szCs w:val="18"/>
                <w:lang w:val="es-ES_tradnl"/>
              </w:rPr>
              <w:t>Pendiente</w:t>
            </w:r>
          </w:p>
        </w:tc>
        <w:tc>
          <w:tcPr>
            <w:tcW w:w="1002" w:type="pct"/>
            <w:shd w:val="clear" w:color="auto" w:fill="auto"/>
            <w:noWrap/>
            <w:hideMark/>
          </w:tcPr>
          <w:p w14:paraId="57503BDA" w14:textId="4D8252BF" w:rsidR="00F74A7B" w:rsidRPr="005055EB" w:rsidRDefault="00714F57" w:rsidP="00BC5C2A">
            <w:pPr>
              <w:keepNext/>
              <w:rPr>
                <w:color w:val="000000"/>
                <w:sz w:val="20"/>
                <w:szCs w:val="20"/>
                <w:lang w:val="es-ES_tradnl" w:eastAsia="zh-CN"/>
              </w:rPr>
            </w:pPr>
            <w:r w:rsidRPr="005055EB">
              <w:rPr>
                <w:i/>
                <w:iCs/>
                <w:sz w:val="18"/>
                <w:szCs w:val="18"/>
                <w:lang w:val="es-ES_tradnl"/>
              </w:rPr>
              <w:t>Pendiente</w:t>
            </w:r>
          </w:p>
        </w:tc>
      </w:tr>
      <w:tr w:rsidR="0064239C" w:rsidRPr="005055EB" w14:paraId="19CEE896" w14:textId="77777777" w:rsidTr="00C9254D">
        <w:trPr>
          <w:trHeight w:val="98"/>
        </w:trPr>
        <w:tc>
          <w:tcPr>
            <w:tcW w:w="1194" w:type="pct"/>
            <w:shd w:val="clear" w:color="auto" w:fill="auto"/>
            <w:noWrap/>
            <w:hideMark/>
          </w:tcPr>
          <w:p w14:paraId="0C895BEF" w14:textId="696C7209" w:rsidR="00F74A7B" w:rsidRPr="005055EB" w:rsidRDefault="00714F57" w:rsidP="00BC5C2A">
            <w:pPr>
              <w:keepNext/>
              <w:rPr>
                <w:color w:val="000000"/>
                <w:sz w:val="20"/>
                <w:szCs w:val="20"/>
                <w:lang w:val="es-ES_tradnl" w:eastAsia="zh-CN"/>
              </w:rPr>
            </w:pPr>
            <w:r w:rsidRPr="005055EB">
              <w:rPr>
                <w:color w:val="000000"/>
                <w:sz w:val="20"/>
                <w:szCs w:val="20"/>
                <w:lang w:val="es-ES_tradnl" w:eastAsia="zh-CN"/>
              </w:rPr>
              <w:t>Banco Mundial</w:t>
            </w:r>
          </w:p>
        </w:tc>
        <w:tc>
          <w:tcPr>
            <w:tcW w:w="1286" w:type="pct"/>
            <w:shd w:val="clear" w:color="auto" w:fill="auto"/>
            <w:noWrap/>
            <w:hideMark/>
          </w:tcPr>
          <w:p w14:paraId="0C989ADF" w14:textId="6082FF0B" w:rsidR="00F74A7B" w:rsidRPr="005055EB" w:rsidRDefault="00714F57" w:rsidP="00BC5C2A">
            <w:pPr>
              <w:keepNext/>
              <w:rPr>
                <w:color w:val="000000"/>
                <w:sz w:val="20"/>
                <w:szCs w:val="20"/>
                <w:lang w:val="es-ES_tradnl" w:eastAsia="zh-CN"/>
              </w:rPr>
            </w:pPr>
            <w:r w:rsidRPr="005055EB">
              <w:rPr>
                <w:i/>
                <w:iCs/>
                <w:sz w:val="18"/>
                <w:szCs w:val="18"/>
                <w:lang w:val="es-ES_tradnl"/>
              </w:rPr>
              <w:t>Pendiente</w:t>
            </w:r>
          </w:p>
        </w:tc>
        <w:tc>
          <w:tcPr>
            <w:tcW w:w="1518" w:type="pct"/>
            <w:shd w:val="clear" w:color="auto" w:fill="auto"/>
            <w:noWrap/>
            <w:hideMark/>
          </w:tcPr>
          <w:p w14:paraId="557A1595" w14:textId="56AA036B" w:rsidR="00F74A7B" w:rsidRPr="005055EB" w:rsidRDefault="00714F57" w:rsidP="00BC5C2A">
            <w:pPr>
              <w:keepNext/>
              <w:rPr>
                <w:color w:val="000000"/>
                <w:sz w:val="20"/>
                <w:szCs w:val="20"/>
                <w:lang w:val="es-ES_tradnl" w:eastAsia="zh-CN"/>
              </w:rPr>
            </w:pPr>
            <w:r w:rsidRPr="005055EB">
              <w:rPr>
                <w:i/>
                <w:iCs/>
                <w:sz w:val="18"/>
                <w:szCs w:val="18"/>
                <w:lang w:val="es-ES_tradnl"/>
              </w:rPr>
              <w:t>Pendiente</w:t>
            </w:r>
          </w:p>
        </w:tc>
        <w:tc>
          <w:tcPr>
            <w:tcW w:w="1002" w:type="pct"/>
            <w:shd w:val="clear" w:color="auto" w:fill="auto"/>
            <w:noWrap/>
            <w:hideMark/>
          </w:tcPr>
          <w:p w14:paraId="479AD44A" w14:textId="0D2D128A" w:rsidR="00F74A7B" w:rsidRPr="005055EB" w:rsidRDefault="00714F57" w:rsidP="00BC5C2A">
            <w:pPr>
              <w:keepNext/>
              <w:rPr>
                <w:color w:val="000000"/>
                <w:sz w:val="20"/>
                <w:szCs w:val="20"/>
                <w:lang w:val="es-ES_tradnl" w:eastAsia="zh-CN"/>
              </w:rPr>
            </w:pPr>
            <w:r w:rsidRPr="005055EB">
              <w:rPr>
                <w:i/>
                <w:iCs/>
                <w:sz w:val="18"/>
                <w:szCs w:val="18"/>
                <w:lang w:val="es-ES_tradnl"/>
              </w:rPr>
              <w:t>Pendiente</w:t>
            </w:r>
          </w:p>
        </w:tc>
      </w:tr>
      <w:tr w:rsidR="0064239C" w:rsidRPr="005055EB" w14:paraId="3BB4096E" w14:textId="77777777" w:rsidTr="00C9254D">
        <w:trPr>
          <w:trHeight w:val="107"/>
        </w:trPr>
        <w:tc>
          <w:tcPr>
            <w:tcW w:w="1194" w:type="pct"/>
            <w:shd w:val="clear" w:color="auto" w:fill="auto"/>
            <w:noWrap/>
            <w:hideMark/>
          </w:tcPr>
          <w:p w14:paraId="31BD83D5" w14:textId="21D14E34" w:rsidR="00F74A7B" w:rsidRPr="005055EB" w:rsidRDefault="00F74A7B" w:rsidP="00BC5C2A">
            <w:pPr>
              <w:keepNext/>
              <w:rPr>
                <w:b/>
                <w:bCs/>
                <w:color w:val="000000"/>
                <w:sz w:val="20"/>
                <w:szCs w:val="20"/>
                <w:lang w:val="es-ES_tradnl" w:eastAsia="zh-CN"/>
              </w:rPr>
            </w:pPr>
            <w:r w:rsidRPr="005055EB">
              <w:rPr>
                <w:b/>
                <w:bCs/>
                <w:color w:val="000000"/>
                <w:sz w:val="20"/>
                <w:szCs w:val="20"/>
                <w:lang w:val="es-ES_tradnl" w:eastAsia="zh-CN"/>
              </w:rPr>
              <w:t>Total</w:t>
            </w:r>
            <w:r w:rsidR="00714F57" w:rsidRPr="005055EB">
              <w:rPr>
                <w:b/>
                <w:bCs/>
                <w:color w:val="000000"/>
                <w:sz w:val="20"/>
                <w:szCs w:val="20"/>
                <w:lang w:val="es-ES_tradnl" w:eastAsia="zh-CN"/>
              </w:rPr>
              <w:t xml:space="preserve"> general</w:t>
            </w:r>
          </w:p>
        </w:tc>
        <w:tc>
          <w:tcPr>
            <w:tcW w:w="1286" w:type="pct"/>
            <w:shd w:val="clear" w:color="auto" w:fill="auto"/>
            <w:noWrap/>
            <w:hideMark/>
          </w:tcPr>
          <w:p w14:paraId="4E7744D7" w14:textId="7862E550" w:rsidR="00F74A7B" w:rsidRPr="005055EB" w:rsidRDefault="00714F57" w:rsidP="00BC5C2A">
            <w:pPr>
              <w:keepNext/>
              <w:rPr>
                <w:b/>
                <w:bCs/>
                <w:color w:val="000000"/>
                <w:sz w:val="20"/>
                <w:szCs w:val="20"/>
                <w:lang w:val="es-ES_tradnl" w:eastAsia="zh-CN"/>
              </w:rPr>
            </w:pPr>
            <w:r w:rsidRPr="005055EB">
              <w:rPr>
                <w:i/>
                <w:iCs/>
                <w:sz w:val="18"/>
                <w:szCs w:val="18"/>
                <w:lang w:val="es-ES_tradnl"/>
              </w:rPr>
              <w:t>Pendiente</w:t>
            </w:r>
          </w:p>
        </w:tc>
        <w:tc>
          <w:tcPr>
            <w:tcW w:w="1518" w:type="pct"/>
            <w:shd w:val="clear" w:color="auto" w:fill="auto"/>
            <w:noWrap/>
            <w:hideMark/>
          </w:tcPr>
          <w:p w14:paraId="5098CA5D" w14:textId="0C6CD8A8" w:rsidR="00F74A7B" w:rsidRPr="005055EB" w:rsidRDefault="00714F57" w:rsidP="00BC5C2A">
            <w:pPr>
              <w:keepNext/>
              <w:rPr>
                <w:b/>
                <w:bCs/>
                <w:color w:val="000000"/>
                <w:sz w:val="20"/>
                <w:szCs w:val="20"/>
                <w:lang w:val="es-ES_tradnl" w:eastAsia="zh-CN"/>
              </w:rPr>
            </w:pPr>
            <w:r w:rsidRPr="005055EB">
              <w:rPr>
                <w:i/>
                <w:iCs/>
                <w:sz w:val="18"/>
                <w:szCs w:val="18"/>
                <w:lang w:val="es-ES_tradnl"/>
              </w:rPr>
              <w:t>Pendiente</w:t>
            </w:r>
          </w:p>
        </w:tc>
        <w:tc>
          <w:tcPr>
            <w:tcW w:w="1002" w:type="pct"/>
            <w:shd w:val="clear" w:color="auto" w:fill="auto"/>
            <w:noWrap/>
            <w:hideMark/>
          </w:tcPr>
          <w:p w14:paraId="10983EF5" w14:textId="5EB3C681" w:rsidR="00F74A7B" w:rsidRPr="005055EB" w:rsidRDefault="00714F57" w:rsidP="00BC5C2A">
            <w:pPr>
              <w:keepNext/>
              <w:rPr>
                <w:b/>
                <w:bCs/>
                <w:color w:val="000000"/>
                <w:sz w:val="20"/>
                <w:szCs w:val="20"/>
                <w:lang w:val="es-ES_tradnl" w:eastAsia="zh-CN"/>
              </w:rPr>
            </w:pPr>
            <w:r w:rsidRPr="005055EB">
              <w:rPr>
                <w:i/>
                <w:iCs/>
                <w:sz w:val="18"/>
                <w:szCs w:val="18"/>
                <w:lang w:val="es-ES_tradnl"/>
              </w:rPr>
              <w:t>Pendiente</w:t>
            </w:r>
          </w:p>
        </w:tc>
      </w:tr>
    </w:tbl>
    <w:p w14:paraId="04DAA54B" w14:textId="77777777" w:rsidR="00F74A7B" w:rsidRPr="005055EB" w:rsidRDefault="00F74A7B" w:rsidP="00BC5C2A">
      <w:pPr>
        <w:rPr>
          <w:sz w:val="20"/>
          <w:szCs w:val="20"/>
          <w:highlight w:val="yellow"/>
          <w:lang w:val="es-ES_tradnl"/>
        </w:rPr>
      </w:pPr>
    </w:p>
    <w:p w14:paraId="6EC90967" w14:textId="7FFB27CA" w:rsidR="00287A73" w:rsidRPr="005055EB" w:rsidRDefault="00287A73" w:rsidP="00BC5C2A">
      <w:pPr>
        <w:pStyle w:val="Heading1"/>
        <w:tabs>
          <w:tab w:val="clear" w:pos="0"/>
        </w:tabs>
        <w:rPr>
          <w:lang w:val="es-ES_tradnl"/>
        </w:rPr>
      </w:pPr>
      <w:r w:rsidRPr="005055EB">
        <w:rPr>
          <w:lang w:val="es-ES_tradnl"/>
        </w:rPr>
        <w:t>En las reuniones 95ª [</w:t>
      </w:r>
      <w:r w:rsidRPr="005055EB">
        <w:rPr>
          <w:highlight w:val="yellow"/>
          <w:lang w:val="es-ES_tradnl"/>
        </w:rPr>
        <w:t>y 96ª</w:t>
      </w:r>
      <w:r w:rsidRPr="005055EB">
        <w:rPr>
          <w:lang w:val="es-ES_tradnl"/>
        </w:rPr>
        <w:t>], tras examinar los documentos sobre proyectos recomendados para aprobación general</w:t>
      </w:r>
      <w:r w:rsidR="00D75E36" w:rsidRPr="005055EB">
        <w:rPr>
          <w:rStyle w:val="FootnoteReference"/>
        </w:rPr>
        <w:footnoteReference w:id="17"/>
      </w:r>
      <w:r w:rsidRPr="005055EB">
        <w:rPr>
          <w:lang w:val="es-ES_tradnl"/>
        </w:rPr>
        <w:t xml:space="preserve"> y los documentos sobre proyectos recomendados para examen individual</w:t>
      </w:r>
      <w:r w:rsidR="00D75E36" w:rsidRPr="005055EB">
        <w:rPr>
          <w:rStyle w:val="FootnoteReference"/>
        </w:rPr>
        <w:footnoteReference w:id="18"/>
      </w:r>
      <w:r w:rsidRPr="005055EB">
        <w:rPr>
          <w:lang w:val="es-ES_tradnl"/>
        </w:rPr>
        <w:t>, el Comité Ejecutivo aprobó los proyectos y actividades que se resumen a continuación.</w:t>
      </w:r>
    </w:p>
    <w:p w14:paraId="58365986" w14:textId="3310FE8B" w:rsidR="00F74A7B" w:rsidRPr="005055EB" w:rsidRDefault="00F74A7B" w:rsidP="00BC5C2A">
      <w:pPr>
        <w:pStyle w:val="Heading3"/>
        <w:keepNext/>
        <w:keepLines/>
        <w:widowControl/>
        <w:numPr>
          <w:ilvl w:val="0"/>
          <w:numId w:val="0"/>
        </w:numPr>
        <w:rPr>
          <w:b/>
          <w:bCs/>
          <w:iCs/>
          <w:lang w:val="es-ES_tradnl"/>
        </w:rPr>
      </w:pPr>
      <w:r w:rsidRPr="005055EB">
        <w:rPr>
          <w:b/>
          <w:bCs/>
          <w:iCs/>
          <w:lang w:val="es-ES_tradnl"/>
        </w:rPr>
        <w:t>a)</w:t>
      </w:r>
      <w:r w:rsidRPr="005055EB">
        <w:rPr>
          <w:b/>
          <w:bCs/>
          <w:iCs/>
          <w:lang w:val="es-ES_tradnl"/>
        </w:rPr>
        <w:tab/>
      </w:r>
      <w:r w:rsidR="00287A73" w:rsidRPr="005055EB">
        <w:rPr>
          <w:b/>
          <w:bCs/>
          <w:iCs/>
          <w:lang w:val="es-ES_tradnl"/>
        </w:rPr>
        <w:t>Proyecto</w:t>
      </w:r>
      <w:r w:rsidR="009D1EAB" w:rsidRPr="005055EB">
        <w:rPr>
          <w:b/>
          <w:bCs/>
          <w:iCs/>
          <w:lang w:val="es-ES_tradnl"/>
        </w:rPr>
        <w:t>s</w:t>
      </w:r>
      <w:r w:rsidR="00287A73" w:rsidRPr="005055EB">
        <w:rPr>
          <w:b/>
          <w:bCs/>
          <w:iCs/>
          <w:lang w:val="es-ES_tradnl"/>
        </w:rPr>
        <w:t xml:space="preserve"> de invers</w:t>
      </w:r>
      <w:r w:rsidR="00542F31" w:rsidRPr="005055EB">
        <w:rPr>
          <w:b/>
          <w:bCs/>
          <w:iCs/>
          <w:lang w:val="es-ES_tradnl"/>
        </w:rPr>
        <w:t>ió</w:t>
      </w:r>
      <w:r w:rsidR="00287A73" w:rsidRPr="005055EB">
        <w:rPr>
          <w:b/>
          <w:bCs/>
          <w:iCs/>
          <w:lang w:val="es-ES_tradnl"/>
        </w:rPr>
        <w:t>n</w:t>
      </w:r>
    </w:p>
    <w:p w14:paraId="381545FE" w14:textId="02F3D73E" w:rsidR="00F74A7B" w:rsidRPr="005055EB" w:rsidRDefault="00287A73" w:rsidP="00BC5C2A">
      <w:pPr>
        <w:keepNext/>
        <w:keepLines/>
        <w:spacing w:after="240"/>
        <w:rPr>
          <w:iCs/>
          <w:u w:val="single"/>
          <w:lang w:val="es-ES_tradnl"/>
        </w:rPr>
      </w:pPr>
      <w:r w:rsidRPr="005055EB">
        <w:rPr>
          <w:iCs/>
          <w:u w:val="single"/>
          <w:lang w:val="es-ES_tradnl"/>
        </w:rPr>
        <w:t>PGEH y PGEPH</w:t>
      </w:r>
    </w:p>
    <w:p w14:paraId="2288AD1F" w14:textId="47C0598E" w:rsidR="009A428D" w:rsidRPr="005055EB" w:rsidRDefault="009A428D" w:rsidP="00BC5C2A">
      <w:pPr>
        <w:keepNext/>
        <w:keepLines/>
        <w:spacing w:after="240"/>
        <w:rPr>
          <w:lang w:val="es-ES_tradnl"/>
        </w:rPr>
      </w:pPr>
      <w:r w:rsidRPr="005055EB">
        <w:rPr>
          <w:lang w:val="es-ES_tradnl"/>
        </w:rPr>
        <w:t>54.</w:t>
      </w:r>
      <w:r w:rsidRPr="005055EB">
        <w:rPr>
          <w:lang w:val="es-ES_tradnl"/>
        </w:rPr>
        <w:tab/>
      </w:r>
      <w:r w:rsidR="00287A73" w:rsidRPr="005055EB">
        <w:rPr>
          <w:lang w:val="es-ES_tradnl"/>
        </w:rPr>
        <w:t xml:space="preserve">En la 95ª reunión, el Comité Ejecutivo aprobó tramos de </w:t>
      </w:r>
      <w:r w:rsidR="00D75E36" w:rsidRPr="005055EB">
        <w:rPr>
          <w:lang w:val="es-ES_tradnl"/>
        </w:rPr>
        <w:t>PGEH</w:t>
      </w:r>
      <w:r w:rsidR="00287A73" w:rsidRPr="005055EB">
        <w:rPr>
          <w:lang w:val="es-ES_tradnl"/>
        </w:rPr>
        <w:t xml:space="preserve"> para 17 países y un grupo de 12 países (decisiones 95/34, 95/40, 95/44 a 95/47, 95/49, 95/51, 95/52 y 95/55), el primer tramo de la </w:t>
      </w:r>
      <w:r w:rsidR="00C109F2" w:rsidRPr="005055EB">
        <w:rPr>
          <w:lang w:val="es-ES_tradnl"/>
        </w:rPr>
        <w:t xml:space="preserve">etapa </w:t>
      </w:r>
      <w:r w:rsidR="00287A73" w:rsidRPr="005055EB">
        <w:rPr>
          <w:lang w:val="es-ES_tradnl"/>
        </w:rPr>
        <w:t xml:space="preserve">II de los PGEH para cinco países (decisiones 95/41, 95/42, 95/48, 95/50 y 95/57) y el primer tramo de la etapa III de los PGEH para tres países (decisiones 95/53, 95/54 y 95/56). Como se mencionó anteriormente en el informe del </w:t>
      </w:r>
      <w:r w:rsidR="007C288E" w:rsidRPr="005055EB">
        <w:rPr>
          <w:lang w:val="es-ES_tradnl"/>
        </w:rPr>
        <w:t>Subgrupo sobre el sector de producción</w:t>
      </w:r>
      <w:r w:rsidR="00287A73" w:rsidRPr="005055EB">
        <w:rPr>
          <w:lang w:val="es-ES_tradnl"/>
        </w:rPr>
        <w:t>, el Comité también aprobó un tramo del PGEPH para un país (decisión 95/94).</w:t>
      </w:r>
    </w:p>
    <w:p w14:paraId="118B912C" w14:textId="5851D701" w:rsidR="009A428D" w:rsidRPr="005055EB" w:rsidRDefault="009A428D" w:rsidP="00BC5C2A">
      <w:pPr>
        <w:keepNext/>
        <w:keepLines/>
        <w:spacing w:after="240"/>
        <w:rPr>
          <w:lang w:val="es-ES_tradnl"/>
        </w:rPr>
      </w:pPr>
      <w:r w:rsidRPr="005055EB">
        <w:rPr>
          <w:lang w:val="es-ES_tradnl"/>
        </w:rPr>
        <w:t>55.</w:t>
      </w:r>
      <w:r w:rsidRPr="005055EB">
        <w:rPr>
          <w:lang w:val="es-ES_tradnl"/>
        </w:rPr>
        <w:tab/>
      </w:r>
      <w:r w:rsidR="00287A73" w:rsidRPr="005055EB">
        <w:rPr>
          <w:lang w:val="es-ES_tradnl"/>
        </w:rPr>
        <w:t xml:space="preserve">El Comité Ejecutivo aprobó una propuesta de proyecto individual relativa a actividades adicionales para la introducción de alternativas a los HCFC con un PCA bajo o nulo y para mantener la eficiencia energética en el sector de mantenimiento de </w:t>
      </w:r>
      <w:r w:rsidR="007C288E" w:rsidRPr="005055EB">
        <w:rPr>
          <w:lang w:val="es-ES_tradnl"/>
        </w:rPr>
        <w:t xml:space="preserve">equipos de </w:t>
      </w:r>
      <w:r w:rsidR="00287A73" w:rsidRPr="005055EB">
        <w:rPr>
          <w:lang w:val="es-ES_tradnl"/>
        </w:rPr>
        <w:t>refrigeración en un país (decisión 95/34)</w:t>
      </w:r>
      <w:r w:rsidRPr="005055EB">
        <w:rPr>
          <w:lang w:val="es-ES_tradnl"/>
        </w:rPr>
        <w:t>.</w:t>
      </w:r>
    </w:p>
    <w:p w14:paraId="5ACCCBE3" w14:textId="74041950" w:rsidR="00F74A7B" w:rsidRPr="005055EB" w:rsidRDefault="009A428D" w:rsidP="00BC5C2A">
      <w:pPr>
        <w:keepNext/>
        <w:keepLines/>
        <w:spacing w:after="240"/>
        <w:rPr>
          <w:lang w:val="es-ES_tradnl"/>
        </w:rPr>
      </w:pPr>
      <w:r w:rsidRPr="005055EB">
        <w:rPr>
          <w:lang w:val="es-ES_tradnl"/>
        </w:rPr>
        <w:t>56.</w:t>
      </w:r>
      <w:r w:rsidRPr="005055EB">
        <w:rPr>
          <w:lang w:val="es-ES_tradnl"/>
        </w:rPr>
        <w:tab/>
      </w:r>
      <w:r w:rsidR="00F74A7B" w:rsidRPr="005055EB">
        <w:rPr>
          <w:sz w:val="20"/>
          <w:szCs w:val="20"/>
          <w:highlight w:val="yellow"/>
          <w:lang w:val="es-ES_tradnl"/>
        </w:rPr>
        <w:t>[</w:t>
      </w:r>
      <w:r w:rsidR="00410D7E" w:rsidRPr="005055EB">
        <w:rPr>
          <w:highlight w:val="yellow"/>
          <w:lang w:val="es-ES_tradnl"/>
        </w:rPr>
        <w:t>En la 96ª reunión</w:t>
      </w:r>
      <w:r w:rsidR="00F74A7B" w:rsidRPr="005055EB">
        <w:rPr>
          <w:highlight w:val="yellow"/>
          <w:lang w:val="es-ES_tradnl"/>
        </w:rPr>
        <w:t xml:space="preserve">…] </w:t>
      </w:r>
    </w:p>
    <w:p w14:paraId="6535C30B" w14:textId="59861B53" w:rsidR="00F74A7B" w:rsidRPr="005055EB" w:rsidRDefault="00A816BF" w:rsidP="00BC5C2A">
      <w:pPr>
        <w:spacing w:after="240"/>
        <w:rPr>
          <w:iCs/>
          <w:u w:val="single"/>
          <w:lang w:val="es-ES_tradnl"/>
        </w:rPr>
      </w:pPr>
      <w:r w:rsidRPr="005055EB">
        <w:rPr>
          <w:iCs/>
          <w:u w:val="single"/>
          <w:lang w:val="es-ES_tradnl"/>
        </w:rPr>
        <w:t>Proyectos relativos a los HFC</w:t>
      </w:r>
    </w:p>
    <w:p w14:paraId="2404FD69" w14:textId="40C24949" w:rsidR="009A428D" w:rsidRPr="005055EB" w:rsidRDefault="009A428D" w:rsidP="00BC5C2A">
      <w:pPr>
        <w:spacing w:after="240"/>
        <w:rPr>
          <w:lang w:val="es-ES_tradnl"/>
        </w:rPr>
      </w:pPr>
      <w:r w:rsidRPr="005055EB">
        <w:rPr>
          <w:lang w:val="es-ES_tradnl"/>
        </w:rPr>
        <w:t>57.</w:t>
      </w:r>
      <w:r w:rsidRPr="005055EB">
        <w:rPr>
          <w:lang w:val="es-ES_tradnl"/>
        </w:rPr>
        <w:tab/>
      </w:r>
      <w:r w:rsidR="00A816BF" w:rsidRPr="005055EB">
        <w:rPr>
          <w:lang w:val="es-ES_tradnl"/>
        </w:rPr>
        <w:t xml:space="preserve">En la 95ª reunión, el Comité Ejecutivo aprobó, en principio, la etapa I de los </w:t>
      </w:r>
      <w:r w:rsidR="006D3E58" w:rsidRPr="005055EB">
        <w:rPr>
          <w:lang w:val="es-ES_tradnl"/>
        </w:rPr>
        <w:t>PAK</w:t>
      </w:r>
      <w:r w:rsidR="00A816BF" w:rsidRPr="005055EB">
        <w:rPr>
          <w:lang w:val="es-ES_tradnl"/>
        </w:rPr>
        <w:t xml:space="preserve"> para 14 países y un grupo de 12 países, aprobando también el primer tramo de financiación en virtud de cada uno (decisiones 95/59 a 95/61, 95/63, 95/65 a 95/67, 95/69 a 95/75 y 95/77). El Comité también aprobó, para tres de los países, un proyecto piloto, en virtud de la decisión 91/65, cada uno relacionado con el mantenimiento o la mejora de la eficacia energética de</w:t>
      </w:r>
      <w:r w:rsidR="00F309F4" w:rsidRPr="005055EB">
        <w:rPr>
          <w:lang w:val="es-ES_tradnl"/>
        </w:rPr>
        <w:t xml:space="preserve"> los equipos y las tecnologías sustitutivas </w:t>
      </w:r>
      <w:r w:rsidR="00A816BF" w:rsidRPr="005055EB">
        <w:rPr>
          <w:lang w:val="es-ES_tradnl"/>
        </w:rPr>
        <w:t xml:space="preserve">en el contexto de la </w:t>
      </w:r>
      <w:r w:rsidR="00F309F4" w:rsidRPr="005055EB">
        <w:rPr>
          <w:lang w:val="es-ES_tradnl"/>
        </w:rPr>
        <w:t xml:space="preserve">reducción de </w:t>
      </w:r>
      <w:r w:rsidR="00A816BF" w:rsidRPr="005055EB">
        <w:rPr>
          <w:lang w:val="es-ES_tradnl"/>
        </w:rPr>
        <w:t xml:space="preserve">los HFC (decisiones 95/62, 95/64 y 95/76). Para dos países, el Comité aprobó proyectos de inversión en HFC que debían incluirse en los futuros </w:t>
      </w:r>
      <w:r w:rsidR="006D3E58" w:rsidRPr="005055EB">
        <w:rPr>
          <w:lang w:val="es-ES_tradnl"/>
        </w:rPr>
        <w:t>PAK</w:t>
      </w:r>
      <w:r w:rsidR="00A816BF" w:rsidRPr="005055EB">
        <w:rPr>
          <w:lang w:val="es-ES_tradnl"/>
        </w:rPr>
        <w:t xml:space="preserve"> de dichos países (decisiones 95/58 y 95/68).</w:t>
      </w:r>
    </w:p>
    <w:p w14:paraId="2821F002" w14:textId="5E72206C" w:rsidR="00A816BF" w:rsidRPr="005055EB" w:rsidRDefault="009A428D" w:rsidP="00BC5C2A">
      <w:pPr>
        <w:spacing w:after="240"/>
        <w:rPr>
          <w:iCs/>
          <w:u w:val="single"/>
          <w:lang w:val="es-ES_tradnl"/>
        </w:rPr>
      </w:pPr>
      <w:r w:rsidRPr="005055EB">
        <w:rPr>
          <w:lang w:val="es-ES_tradnl"/>
        </w:rPr>
        <w:t>58.</w:t>
      </w:r>
      <w:r w:rsidRPr="005055EB">
        <w:rPr>
          <w:lang w:val="es-ES_tradnl"/>
        </w:rPr>
        <w:tab/>
      </w:r>
      <w:r w:rsidR="00A816BF" w:rsidRPr="005055EB">
        <w:rPr>
          <w:lang w:val="es-ES_tradnl"/>
        </w:rPr>
        <w:t xml:space="preserve">También en la 95ª reunión, en lo que respecta a proyectos piloto independientes relacionados con el mantenimiento o la mejora de la eficiencia energética en el contexto de la </w:t>
      </w:r>
      <w:r w:rsidR="00F309F4" w:rsidRPr="005055EB">
        <w:rPr>
          <w:lang w:val="es-ES_tradnl"/>
        </w:rPr>
        <w:t xml:space="preserve">reducción </w:t>
      </w:r>
      <w:r w:rsidR="00A816BF" w:rsidRPr="005055EB">
        <w:rPr>
          <w:lang w:val="es-ES_tradnl"/>
        </w:rPr>
        <w:t xml:space="preserve">de los HFC, el Comité aprobó, para un país, un proyecto que era una mezcla de actividades de inversión y </w:t>
      </w:r>
      <w:r w:rsidR="00F309F4" w:rsidRPr="005055EB">
        <w:rPr>
          <w:lang w:val="es-ES_tradnl"/>
        </w:rPr>
        <w:t xml:space="preserve">sin </w:t>
      </w:r>
      <w:r w:rsidR="00A816BF" w:rsidRPr="005055EB">
        <w:rPr>
          <w:lang w:val="es-ES_tradnl"/>
        </w:rPr>
        <w:t xml:space="preserve">inversión en virtud tanto de la decisión 91/65 como de la 94/60 y, para cuatro países, cuatro proyectos </w:t>
      </w:r>
      <w:r w:rsidR="00F309F4" w:rsidRPr="005055EB">
        <w:rPr>
          <w:lang w:val="es-ES_tradnl"/>
        </w:rPr>
        <w:t xml:space="preserve">sin </w:t>
      </w:r>
      <w:r w:rsidR="00A816BF" w:rsidRPr="005055EB">
        <w:rPr>
          <w:lang w:val="es-ES_tradnl"/>
        </w:rPr>
        <w:t xml:space="preserve">inversión </w:t>
      </w:r>
      <w:r w:rsidR="00F309F4" w:rsidRPr="005055EB">
        <w:rPr>
          <w:lang w:val="es-ES_tradnl"/>
        </w:rPr>
        <w:t xml:space="preserve">con arreglo a </w:t>
      </w:r>
      <w:r w:rsidR="00A816BF" w:rsidRPr="005055EB">
        <w:rPr>
          <w:lang w:val="es-ES_tradnl"/>
        </w:rPr>
        <w:t>la decisión 91/65 (decisiones 95/78 a 95/82). El Comité acordó no examinar una sexta propuesta de proyecto.</w:t>
      </w:r>
    </w:p>
    <w:p w14:paraId="4ADF7C4A" w14:textId="35552BB2" w:rsidR="00F74A7B" w:rsidRPr="005055EB" w:rsidRDefault="00F74A7B" w:rsidP="00BC5C2A">
      <w:pPr>
        <w:pStyle w:val="Heading1"/>
        <w:numPr>
          <w:ilvl w:val="0"/>
          <w:numId w:val="38"/>
        </w:numPr>
        <w:tabs>
          <w:tab w:val="clear" w:pos="0"/>
          <w:tab w:val="num" w:pos="360"/>
        </w:tabs>
        <w:rPr>
          <w:highlight w:val="yellow"/>
          <w:lang w:val="es-ES_tradnl"/>
        </w:rPr>
      </w:pPr>
      <w:r w:rsidRPr="005055EB">
        <w:rPr>
          <w:highlight w:val="yellow"/>
          <w:lang w:val="es-ES_tradnl"/>
        </w:rPr>
        <w:lastRenderedPageBreak/>
        <w:t>[</w:t>
      </w:r>
      <w:r w:rsidR="00410D7E" w:rsidRPr="005055EB">
        <w:rPr>
          <w:highlight w:val="yellow"/>
          <w:lang w:val="es-ES_tradnl"/>
        </w:rPr>
        <w:t>En la 96ª reunión</w:t>
      </w:r>
      <w:r w:rsidRPr="005055EB">
        <w:rPr>
          <w:highlight w:val="yellow"/>
          <w:lang w:val="es-ES_tradnl"/>
        </w:rPr>
        <w:t xml:space="preserve">] </w:t>
      </w:r>
    </w:p>
    <w:p w14:paraId="7AAFF081" w14:textId="08A7345F" w:rsidR="00F74A7B" w:rsidRPr="005055EB" w:rsidRDefault="00F74A7B" w:rsidP="00BC5C2A">
      <w:pPr>
        <w:pStyle w:val="Heading3"/>
        <w:keepNext/>
        <w:widowControl/>
        <w:numPr>
          <w:ilvl w:val="0"/>
          <w:numId w:val="0"/>
        </w:numPr>
        <w:rPr>
          <w:b/>
          <w:bCs/>
          <w:lang w:val="es-ES_tradnl"/>
        </w:rPr>
      </w:pPr>
      <w:r w:rsidRPr="005055EB">
        <w:rPr>
          <w:b/>
          <w:bCs/>
          <w:lang w:val="es-ES_tradnl"/>
        </w:rPr>
        <w:t>b)</w:t>
      </w:r>
      <w:r w:rsidRPr="005055EB">
        <w:rPr>
          <w:b/>
          <w:bCs/>
          <w:lang w:val="es-ES_tradnl"/>
        </w:rPr>
        <w:tab/>
      </w:r>
      <w:r w:rsidR="00A816BF" w:rsidRPr="005055EB">
        <w:rPr>
          <w:b/>
          <w:bCs/>
          <w:lang w:val="es-ES_tradnl"/>
        </w:rPr>
        <w:t>Actividades sin inversión</w:t>
      </w:r>
    </w:p>
    <w:p w14:paraId="76D6C6EF" w14:textId="365DC263" w:rsidR="009A428D" w:rsidRPr="005055EB" w:rsidRDefault="001F4CDD" w:rsidP="00BC5C2A">
      <w:pPr>
        <w:pStyle w:val="Heading1"/>
        <w:tabs>
          <w:tab w:val="clear" w:pos="0"/>
        </w:tabs>
        <w:rPr>
          <w:lang w:val="es-ES_tradnl"/>
        </w:rPr>
      </w:pPr>
      <w:bookmarkStart w:id="4" w:name="_Hlk196857850"/>
      <w:r w:rsidRPr="005055EB">
        <w:rPr>
          <w:lang w:val="es-ES_tradnl"/>
        </w:rPr>
        <w:t>En la 95ª reunión, el Comité Ejecutivo aprobó todas menos una de las solicitudes de financiación no relacionadas con inversiones. Las solicitudes se referían a la financiación de la preparación de las</w:t>
      </w:r>
      <w:r w:rsidR="00C109F2" w:rsidRPr="005055EB">
        <w:rPr>
          <w:lang w:val="es-ES_tradnl"/>
        </w:rPr>
        <w:t xml:space="preserve"> etapas </w:t>
      </w:r>
      <w:r w:rsidRPr="005055EB">
        <w:rPr>
          <w:lang w:val="es-ES_tradnl"/>
        </w:rPr>
        <w:t xml:space="preserve">II, III y IV de los PGEH, la preparación de los PAK y/o actividades relacionadas con la inversión, la renovación de los proyectos de fortalecimiento institucional, las actividades de apoyo a la reducción de los HFC, la preparación de proyectos piloto de inversión en eficiencia energética y la preparación de inventarios nacionales de bancos de residuos de sustancias controladas y </w:t>
      </w:r>
      <w:r w:rsidR="00C109F2" w:rsidRPr="005055EB">
        <w:rPr>
          <w:lang w:val="es-ES_tradnl"/>
        </w:rPr>
        <w:t xml:space="preserve">la elaboración </w:t>
      </w:r>
      <w:r w:rsidRPr="005055EB">
        <w:rPr>
          <w:lang w:val="es-ES_tradnl"/>
        </w:rPr>
        <w:t>de planes para su gestión. Las solicitudes se presentaron en los documentos sobre cooperación bilateral</w:t>
      </w:r>
      <w:r w:rsidRPr="005055EB">
        <w:rPr>
          <w:vertAlign w:val="superscript"/>
          <w:lang w:val="es-ES_tradnl"/>
        </w:rPr>
        <w:footnoteReference w:id="19"/>
      </w:r>
      <w:r w:rsidRPr="005055EB">
        <w:rPr>
          <w:lang w:val="es-ES_tradnl"/>
        </w:rPr>
        <w:t xml:space="preserve"> y las enmiendas a los programas de trabajo para 2024 del PNUD</w:t>
      </w:r>
      <w:r w:rsidRPr="005055EB">
        <w:rPr>
          <w:vertAlign w:val="superscript"/>
          <w:lang w:val="es-ES_tradnl"/>
        </w:rPr>
        <w:footnoteReference w:id="20"/>
      </w:r>
      <w:r w:rsidRPr="005055EB">
        <w:rPr>
          <w:lang w:val="es-ES_tradnl"/>
        </w:rPr>
        <w:t>, el PNUMA</w:t>
      </w:r>
      <w:r w:rsidRPr="005055EB">
        <w:rPr>
          <w:vertAlign w:val="superscript"/>
          <w:lang w:val="es-ES_tradnl"/>
        </w:rPr>
        <w:footnoteReference w:id="21"/>
      </w:r>
      <w:r w:rsidRPr="005055EB">
        <w:rPr>
          <w:lang w:val="es-ES_tradnl"/>
        </w:rPr>
        <w:t>, la ONUDI</w:t>
      </w:r>
      <w:r w:rsidRPr="005055EB">
        <w:rPr>
          <w:vertAlign w:val="superscript"/>
          <w:lang w:val="es-ES_tradnl"/>
        </w:rPr>
        <w:footnoteReference w:id="22"/>
      </w:r>
      <w:r w:rsidRPr="005055EB">
        <w:rPr>
          <w:lang w:val="es-ES_tradnl"/>
        </w:rPr>
        <w:t xml:space="preserve"> y el Banco Mundial</w:t>
      </w:r>
      <w:r w:rsidRPr="005055EB">
        <w:rPr>
          <w:vertAlign w:val="superscript"/>
          <w:lang w:val="es-ES_tradnl"/>
        </w:rPr>
        <w:footnoteReference w:id="23"/>
      </w:r>
      <w:r w:rsidRPr="005055EB">
        <w:rPr>
          <w:lang w:val="es-ES_tradnl"/>
        </w:rPr>
        <w:t xml:space="preserve"> (decisiones 95/34 y 95/35 a 95/39). La solicitud</w:t>
      </w:r>
      <w:r w:rsidR="00C109F2" w:rsidRPr="005055EB">
        <w:rPr>
          <w:lang w:val="es-ES_tradnl"/>
        </w:rPr>
        <w:t>,</w:t>
      </w:r>
      <w:r w:rsidRPr="005055EB">
        <w:rPr>
          <w:lang w:val="es-ES_tradnl"/>
        </w:rPr>
        <w:t xml:space="preserve"> cuyo examen se acordó aplazar hasta una futura reunión</w:t>
      </w:r>
      <w:r w:rsidR="00C109F2" w:rsidRPr="005055EB">
        <w:rPr>
          <w:lang w:val="es-ES_tradnl"/>
        </w:rPr>
        <w:t>,</w:t>
      </w:r>
      <w:r w:rsidRPr="005055EB">
        <w:rPr>
          <w:lang w:val="es-ES_tradnl"/>
        </w:rPr>
        <w:t xml:space="preserve"> se refería a la preparación de la etapa I de un PAK para un país.</w:t>
      </w:r>
      <w:bookmarkEnd w:id="4"/>
    </w:p>
    <w:p w14:paraId="0BC82307" w14:textId="3B9C50DB" w:rsidR="00F74A7B" w:rsidRPr="005055EB" w:rsidRDefault="00F74A7B" w:rsidP="00BC5C2A">
      <w:pPr>
        <w:pStyle w:val="Heading1"/>
        <w:tabs>
          <w:tab w:val="clear" w:pos="0"/>
          <w:tab w:val="num" w:pos="720"/>
        </w:tabs>
        <w:rPr>
          <w:lang w:val="es-ES_tradnl"/>
        </w:rPr>
      </w:pPr>
      <w:r w:rsidRPr="005055EB">
        <w:rPr>
          <w:highlight w:val="yellow"/>
          <w:lang w:val="es-ES_tradnl"/>
        </w:rPr>
        <w:t>[</w:t>
      </w:r>
      <w:r w:rsidR="00410D7E" w:rsidRPr="005055EB">
        <w:rPr>
          <w:highlight w:val="yellow"/>
          <w:lang w:val="es-ES_tradnl"/>
        </w:rPr>
        <w:t>En la 96ª reunión</w:t>
      </w:r>
      <w:r w:rsidRPr="005055EB">
        <w:rPr>
          <w:highlight w:val="yellow"/>
          <w:lang w:val="es-ES_tradnl"/>
        </w:rPr>
        <w:t>]</w:t>
      </w:r>
    </w:p>
    <w:p w14:paraId="17F48209" w14:textId="1BAC4DD5" w:rsidR="00F74A7B" w:rsidRPr="005055EB" w:rsidRDefault="00F74A7B" w:rsidP="00BC5C2A">
      <w:pPr>
        <w:pStyle w:val="Heading3"/>
        <w:keepNext/>
        <w:widowControl/>
        <w:numPr>
          <w:ilvl w:val="0"/>
          <w:numId w:val="0"/>
        </w:numPr>
        <w:ind w:left="709" w:hanging="709"/>
        <w:rPr>
          <w:b/>
          <w:lang w:val="es-ES_tradnl"/>
        </w:rPr>
      </w:pPr>
      <w:r w:rsidRPr="005055EB">
        <w:rPr>
          <w:b/>
          <w:lang w:val="es-ES_tradnl"/>
        </w:rPr>
        <w:t>c)</w:t>
      </w:r>
      <w:r w:rsidRPr="005055EB">
        <w:rPr>
          <w:b/>
          <w:lang w:val="es-ES_tradnl"/>
        </w:rPr>
        <w:tab/>
      </w:r>
      <w:r w:rsidR="001F4CDD" w:rsidRPr="005055EB">
        <w:rPr>
          <w:b/>
          <w:lang w:val="es-ES_tradnl"/>
        </w:rPr>
        <w:t xml:space="preserve">Presupuesto del Programa de Asistencia al Cumplimiento del PNUMA para </w:t>
      </w:r>
      <w:r w:rsidRPr="005055EB">
        <w:rPr>
          <w:b/>
          <w:lang w:val="es-ES_tradnl"/>
        </w:rPr>
        <w:t xml:space="preserve">2025 </w:t>
      </w:r>
    </w:p>
    <w:p w14:paraId="54BB8EFD" w14:textId="28F93CA9" w:rsidR="001F4CDD" w:rsidRPr="005055EB" w:rsidRDefault="001F4CDD" w:rsidP="00BC5C2A">
      <w:pPr>
        <w:pStyle w:val="Heading1"/>
        <w:tabs>
          <w:tab w:val="clear" w:pos="0"/>
        </w:tabs>
        <w:rPr>
          <w:lang w:val="es-ES_tradnl"/>
        </w:rPr>
      </w:pPr>
      <w:bookmarkStart w:id="5" w:name="_Hlk196858081"/>
      <w:r w:rsidRPr="005055EB">
        <w:rPr>
          <w:lang w:val="es-ES_tradnl"/>
        </w:rPr>
        <w:t xml:space="preserve">En la 95ª reunión, el Comité Ejecutivo tomó nota del informe </w:t>
      </w:r>
      <w:r w:rsidR="002B372B" w:rsidRPr="005055EB">
        <w:rPr>
          <w:lang w:val="es-ES_tradnl"/>
        </w:rPr>
        <w:t>sobre la marcha de las actividades</w:t>
      </w:r>
      <w:r w:rsidRPr="005055EB">
        <w:rPr>
          <w:lang w:val="es-ES_tradnl"/>
        </w:rPr>
        <w:t xml:space="preserve"> </w:t>
      </w:r>
      <w:r w:rsidR="002B372B" w:rsidRPr="005055EB">
        <w:rPr>
          <w:lang w:val="es-ES_tradnl"/>
        </w:rPr>
        <w:t xml:space="preserve">de </w:t>
      </w:r>
      <w:r w:rsidRPr="005055EB">
        <w:rPr>
          <w:lang w:val="es-ES_tradnl"/>
        </w:rPr>
        <w:t>2024 y del plan de trabajo y presupuesto para 2025 del Programa de Asistencia al Cumplimiento (PAC)</w:t>
      </w:r>
      <w:r w:rsidRPr="005055EB">
        <w:rPr>
          <w:vertAlign w:val="superscript"/>
          <w:lang w:val="es-ES_tradnl"/>
        </w:rPr>
        <w:footnoteReference w:id="24"/>
      </w:r>
      <w:r w:rsidRPr="005055EB">
        <w:rPr>
          <w:lang w:val="es-ES_tradnl"/>
        </w:rPr>
        <w:t xml:space="preserve"> del PNUMA .</w:t>
      </w:r>
      <w:r w:rsidR="003D46A9" w:rsidRPr="005055EB">
        <w:rPr>
          <w:lang w:val="es-ES_tradnl"/>
        </w:rPr>
        <w:t xml:space="preserve"> </w:t>
      </w:r>
      <w:r w:rsidRPr="005055EB">
        <w:rPr>
          <w:lang w:val="es-ES_tradnl"/>
        </w:rPr>
        <w:t>El Comité Ejecutivo aprobó, con carácter excepcional, las actividades y el presupuesto del PAC para 2025 que figuran en el anexo del informe de dicha reunión</w:t>
      </w:r>
      <w:r w:rsidRPr="005055EB">
        <w:rPr>
          <w:vertAlign w:val="superscript"/>
          <w:lang w:val="es-ES_tradnl"/>
        </w:rPr>
        <w:footnoteReference w:id="25"/>
      </w:r>
      <w:r w:rsidRPr="005055EB">
        <w:rPr>
          <w:lang w:val="es-ES_tradnl"/>
        </w:rPr>
        <w:t>, por un importe de USD 11.191.331, más los gastos de apoyo del organismo del 8</w:t>
      </w:r>
      <w:r w:rsidR="002B372B" w:rsidRPr="005055EB">
        <w:rPr>
          <w:lang w:val="es-ES_tradnl"/>
        </w:rPr>
        <w:t> </w:t>
      </w:r>
      <w:r w:rsidRPr="005055EB">
        <w:rPr>
          <w:lang w:val="es-ES_tradnl"/>
        </w:rPr>
        <w:t>%, que ascienden a USD 895.306, en el entendi</w:t>
      </w:r>
      <w:r w:rsidR="002B372B" w:rsidRPr="005055EB">
        <w:rPr>
          <w:lang w:val="es-ES_tradnl"/>
        </w:rPr>
        <w:t>d</w:t>
      </w:r>
      <w:r w:rsidRPr="005055EB">
        <w:rPr>
          <w:lang w:val="es-ES_tradnl"/>
        </w:rPr>
        <w:t xml:space="preserve">o de que los futuros aumentos del presupuesto del PAC se mantendrían dentro del 3 %, de conformidad con la decisión 47/24. El Comité Ejecutivo pidió al PNUMA que presentara un informe final </w:t>
      </w:r>
      <w:r w:rsidR="004C7577" w:rsidRPr="005055EB">
        <w:rPr>
          <w:lang w:val="es-ES_tradnl"/>
        </w:rPr>
        <w:t>en el que se detall</w:t>
      </w:r>
      <w:r w:rsidR="00C2014A" w:rsidRPr="005055EB">
        <w:rPr>
          <w:lang w:val="es-ES_tradnl"/>
        </w:rPr>
        <w:t>aran</w:t>
      </w:r>
      <w:r w:rsidR="004C7577" w:rsidRPr="005055EB">
        <w:rPr>
          <w:lang w:val="es-ES_tradnl"/>
        </w:rPr>
        <w:t xml:space="preserve"> </w:t>
      </w:r>
      <w:r w:rsidRPr="005055EB">
        <w:rPr>
          <w:lang w:val="es-ES_tradnl"/>
        </w:rPr>
        <w:t xml:space="preserve">las lecciones aprendidas de la </w:t>
      </w:r>
      <w:r w:rsidR="004C7577" w:rsidRPr="005055EB">
        <w:rPr>
          <w:lang w:val="es-ES_tradnl"/>
        </w:rPr>
        <w:t xml:space="preserve">aplicación </w:t>
      </w:r>
      <w:r w:rsidRPr="005055EB">
        <w:rPr>
          <w:lang w:val="es-ES_tradnl"/>
        </w:rPr>
        <w:t xml:space="preserve">de la primera fase del proyecto mundial de asistencia técnica para el hermanamiento de </w:t>
      </w:r>
      <w:r w:rsidR="004C7577" w:rsidRPr="005055EB">
        <w:rPr>
          <w:lang w:val="es-ES_tradnl"/>
        </w:rPr>
        <w:t xml:space="preserve">los oficiales nacionales del </w:t>
      </w:r>
      <w:r w:rsidRPr="005055EB">
        <w:rPr>
          <w:lang w:val="es-ES_tradnl"/>
        </w:rPr>
        <w:t xml:space="preserve">ozono y </w:t>
      </w:r>
      <w:r w:rsidR="004C7577" w:rsidRPr="005055EB">
        <w:rPr>
          <w:lang w:val="es-ES_tradnl"/>
        </w:rPr>
        <w:t xml:space="preserve">los </w:t>
      </w:r>
      <w:r w:rsidRPr="005055EB">
        <w:rPr>
          <w:lang w:val="es-ES_tradnl"/>
        </w:rPr>
        <w:t xml:space="preserve">responsables </w:t>
      </w:r>
      <w:r w:rsidR="004C7577" w:rsidRPr="005055EB">
        <w:rPr>
          <w:lang w:val="es-ES_tradnl"/>
        </w:rPr>
        <w:t xml:space="preserve">de las políticas </w:t>
      </w:r>
      <w:r w:rsidRPr="005055EB">
        <w:rPr>
          <w:lang w:val="es-ES_tradnl"/>
        </w:rPr>
        <w:t>nacionales de eficiencia energética para apoyar los objetivos de la Enmienda de Kigali cuando se presente la segunda fase del proyecto en la primera reunión de 2025 (decisión 95/83).</w:t>
      </w:r>
    </w:p>
    <w:bookmarkEnd w:id="5"/>
    <w:p w14:paraId="58CE7EBA" w14:textId="01D7B9B0" w:rsidR="00F74A7B" w:rsidRPr="005055EB" w:rsidRDefault="00F74A7B" w:rsidP="00BC5C2A">
      <w:pPr>
        <w:pStyle w:val="Heading3"/>
        <w:numPr>
          <w:ilvl w:val="0"/>
          <w:numId w:val="0"/>
        </w:numPr>
        <w:rPr>
          <w:b/>
          <w:lang w:val="es-ES_tradnl"/>
        </w:rPr>
      </w:pPr>
      <w:r w:rsidRPr="005055EB">
        <w:rPr>
          <w:b/>
          <w:lang w:val="es-ES_tradnl"/>
        </w:rPr>
        <w:t>d)</w:t>
      </w:r>
      <w:r w:rsidRPr="005055EB">
        <w:rPr>
          <w:b/>
          <w:lang w:val="es-ES_tradnl"/>
        </w:rPr>
        <w:tab/>
      </w:r>
      <w:r w:rsidR="001F4CDD" w:rsidRPr="005055EB">
        <w:rPr>
          <w:b/>
          <w:lang w:val="es-ES_tradnl"/>
        </w:rPr>
        <w:t>Costos de las unidades centrales del PNUD, la ONUDI y el Banco Mundial</w:t>
      </w:r>
    </w:p>
    <w:p w14:paraId="04E08482" w14:textId="779E6C74" w:rsidR="00F74A7B" w:rsidRPr="005055EB" w:rsidRDefault="00A47C58" w:rsidP="00BC5C2A">
      <w:pPr>
        <w:pStyle w:val="Heading1"/>
        <w:tabs>
          <w:tab w:val="clear" w:pos="0"/>
          <w:tab w:val="left" w:pos="709"/>
        </w:tabs>
        <w:rPr>
          <w:lang w:val="es-ES_tradnl"/>
        </w:rPr>
      </w:pPr>
      <w:r w:rsidRPr="005055EB">
        <w:rPr>
          <w:lang w:val="es-ES_tradnl"/>
        </w:rPr>
        <w:t>En la 95ª reunión, el Comité Ejecutivo aprobó los presupuestos para 2025 de las unidades centrales del PNUD, la ONUDI y el Banco Mundial, tal como se había solicitado</w:t>
      </w:r>
      <w:r w:rsidRPr="005055EB">
        <w:rPr>
          <w:vertAlign w:val="superscript"/>
          <w:lang w:val="es-ES_tradnl"/>
        </w:rPr>
        <w:footnoteReference w:id="26"/>
      </w:r>
      <w:r w:rsidRPr="005055EB">
        <w:rPr>
          <w:lang w:val="es-ES_tradnl"/>
        </w:rPr>
        <w:t xml:space="preserve"> (decisión 95/84).</w:t>
      </w:r>
    </w:p>
    <w:p w14:paraId="34482806" w14:textId="2B320D20" w:rsidR="00F74A7B" w:rsidRPr="005055EB" w:rsidRDefault="00F74A7B" w:rsidP="00BC5C2A">
      <w:pPr>
        <w:keepNext/>
        <w:spacing w:after="240"/>
        <w:outlineLvl w:val="1"/>
        <w:rPr>
          <w:b/>
          <w:lang w:val="es-ES_tradnl"/>
        </w:rPr>
      </w:pPr>
      <w:r w:rsidRPr="005055EB">
        <w:rPr>
          <w:b/>
          <w:lang w:val="es-ES_tradnl"/>
        </w:rPr>
        <w:t>2.</w:t>
      </w:r>
      <w:r w:rsidRPr="005055EB">
        <w:rPr>
          <w:b/>
          <w:lang w:val="es-ES_tradnl"/>
        </w:rPr>
        <w:tab/>
      </w:r>
      <w:r w:rsidR="00A47C58" w:rsidRPr="005055EB">
        <w:rPr>
          <w:b/>
          <w:lang w:val="es-ES_tradnl"/>
        </w:rPr>
        <w:t>Ejecución y presentación de informes</w:t>
      </w:r>
    </w:p>
    <w:p w14:paraId="4F343BE1" w14:textId="3A2D93E8" w:rsidR="00F74A7B" w:rsidRPr="005055EB" w:rsidRDefault="00F74A7B" w:rsidP="00BC5C2A">
      <w:pPr>
        <w:pStyle w:val="Heading3"/>
        <w:numPr>
          <w:ilvl w:val="0"/>
          <w:numId w:val="0"/>
        </w:numPr>
        <w:rPr>
          <w:b/>
          <w:bCs/>
          <w:lang w:val="es-ES_tradnl"/>
        </w:rPr>
      </w:pPr>
      <w:r w:rsidRPr="005055EB">
        <w:rPr>
          <w:b/>
          <w:lang w:val="es-ES_tradnl"/>
        </w:rPr>
        <w:t>a)</w:t>
      </w:r>
      <w:r w:rsidRPr="005055EB">
        <w:rPr>
          <w:b/>
          <w:lang w:val="es-ES_tradnl"/>
        </w:rPr>
        <w:tab/>
      </w:r>
      <w:r w:rsidR="00A47C58" w:rsidRPr="005055EB">
        <w:rPr>
          <w:b/>
          <w:bCs/>
          <w:lang w:val="es-ES_tradnl"/>
        </w:rPr>
        <w:t>Datos de programas país y perspectivas de cumplimiento</w:t>
      </w:r>
    </w:p>
    <w:p w14:paraId="6C2EF802" w14:textId="1A1B1DF4" w:rsidR="00376FA7" w:rsidRPr="005055EB" w:rsidRDefault="00D034B6" w:rsidP="00BC5C2A">
      <w:pPr>
        <w:pStyle w:val="Heading1"/>
        <w:tabs>
          <w:tab w:val="clear" w:pos="0"/>
          <w:tab w:val="left" w:pos="709"/>
          <w:tab w:val="num" w:pos="1080"/>
        </w:tabs>
        <w:rPr>
          <w:lang w:val="es-ES_tradnl"/>
        </w:rPr>
      </w:pPr>
      <w:r w:rsidRPr="005055EB">
        <w:rPr>
          <w:lang w:val="es-ES_tradnl"/>
        </w:rPr>
        <w:t>En la 95ª reunión</w:t>
      </w:r>
      <w:r w:rsidRPr="005055EB">
        <w:rPr>
          <w:rStyle w:val="FootnoteReference"/>
          <w:highlight w:val="yellow"/>
          <w:lang w:val="es-ES_tradnl"/>
        </w:rPr>
        <w:footnoteReference w:id="27"/>
      </w:r>
      <w:r w:rsidRPr="005055EB">
        <w:rPr>
          <w:lang w:val="es-ES_tradnl"/>
        </w:rPr>
        <w:t xml:space="preserve"> [</w:t>
      </w:r>
      <w:r w:rsidRPr="005055EB">
        <w:rPr>
          <w:highlight w:val="yellow"/>
          <w:lang w:val="es-ES_tradnl"/>
        </w:rPr>
        <w:t>y en la 96ª reunión</w:t>
      </w:r>
      <w:r w:rsidRPr="005055EB">
        <w:rPr>
          <w:rStyle w:val="FootnoteReference"/>
          <w:highlight w:val="yellow"/>
          <w:lang w:val="es-ES_tradnl"/>
        </w:rPr>
        <w:footnoteReference w:id="28"/>
      </w:r>
      <w:r w:rsidRPr="005055EB">
        <w:rPr>
          <w:lang w:val="es-ES_tradnl"/>
        </w:rPr>
        <w:t>,] el Comité Ejecutivo examinó los documentos sobre los datos de los programas país y las perspectivas de cumplimiento. En la 95ª reunión, solicitó a los organismos de ejecución pertinentes que siguieran ayudando a los Gobiernos respectivos a aclarar las discrepancias</w:t>
      </w:r>
      <w:r w:rsidR="005C3638" w:rsidRPr="005055EB">
        <w:rPr>
          <w:lang w:val="es-ES_tradnl"/>
        </w:rPr>
        <w:t xml:space="preserve"> </w:t>
      </w:r>
      <w:r w:rsidRPr="005055EB">
        <w:rPr>
          <w:lang w:val="es-ES_tradnl"/>
        </w:rPr>
        <w:lastRenderedPageBreak/>
        <w:t>entre los datos de sus programas país y los del Artículo 7 para 2023. Se pidió a la Secretaría que enviara una carta a seis países en relación con el informe de datos del programa de país pendiente (decisión 95/6).</w:t>
      </w:r>
    </w:p>
    <w:p w14:paraId="2B38C784" w14:textId="5B51CCE9" w:rsidR="00F74A7B" w:rsidRPr="005055EB" w:rsidRDefault="00F74A7B" w:rsidP="00BC5C2A">
      <w:pPr>
        <w:pStyle w:val="Heading1"/>
        <w:tabs>
          <w:tab w:val="clear" w:pos="0"/>
          <w:tab w:val="left" w:pos="709"/>
          <w:tab w:val="num" w:pos="1080"/>
        </w:tabs>
        <w:rPr>
          <w:lang w:val="es-ES_tradnl"/>
        </w:rPr>
      </w:pPr>
      <w:r w:rsidRPr="005055EB">
        <w:rPr>
          <w:highlight w:val="yellow"/>
          <w:lang w:val="es-ES_tradnl"/>
        </w:rPr>
        <w:t>[</w:t>
      </w:r>
      <w:r w:rsidR="00410D7E" w:rsidRPr="005055EB">
        <w:rPr>
          <w:highlight w:val="yellow"/>
          <w:lang w:val="es-ES_tradnl"/>
        </w:rPr>
        <w:t>En la 96ª reunión</w:t>
      </w:r>
      <w:r w:rsidRPr="005055EB">
        <w:rPr>
          <w:highlight w:val="yellow"/>
          <w:lang w:val="es-ES_tradnl"/>
        </w:rPr>
        <w:t xml:space="preserve">…] </w:t>
      </w:r>
    </w:p>
    <w:p w14:paraId="3C4ACADA" w14:textId="6A31E85C" w:rsidR="00F74A7B" w:rsidRPr="005055EB" w:rsidRDefault="00F74A7B" w:rsidP="00BC5C2A">
      <w:pPr>
        <w:pStyle w:val="Heading3"/>
        <w:numPr>
          <w:ilvl w:val="0"/>
          <w:numId w:val="0"/>
        </w:numPr>
        <w:rPr>
          <w:b/>
          <w:color w:val="000000"/>
          <w:lang w:val="es-ES_tradnl"/>
        </w:rPr>
      </w:pPr>
      <w:r w:rsidRPr="005055EB">
        <w:rPr>
          <w:b/>
          <w:color w:val="000000"/>
          <w:lang w:val="es-ES_tradnl"/>
        </w:rPr>
        <w:t>b)</w:t>
      </w:r>
      <w:r w:rsidRPr="005055EB">
        <w:rPr>
          <w:b/>
          <w:color w:val="000000"/>
          <w:lang w:val="es-ES_tradnl"/>
        </w:rPr>
        <w:tab/>
      </w:r>
      <w:r w:rsidR="00D034B6" w:rsidRPr="005055EB">
        <w:rPr>
          <w:b/>
          <w:color w:val="000000"/>
          <w:lang w:val="es-ES_tradnl"/>
        </w:rPr>
        <w:t>Demoras en la presentación de tramos</w:t>
      </w:r>
    </w:p>
    <w:p w14:paraId="21397417" w14:textId="0F1D9855" w:rsidR="00D034B6" w:rsidRPr="005055EB" w:rsidRDefault="00D034B6" w:rsidP="00BC5C2A">
      <w:pPr>
        <w:pStyle w:val="Heading1"/>
        <w:rPr>
          <w:lang w:val="es-ES_tradnl"/>
        </w:rPr>
      </w:pPr>
      <w:r w:rsidRPr="005055EB">
        <w:rPr>
          <w:lang w:val="es-ES_tradnl"/>
        </w:rPr>
        <w:t>En la 95ª reunión</w:t>
      </w:r>
      <w:r w:rsidRPr="005055EB">
        <w:rPr>
          <w:vertAlign w:val="superscript"/>
          <w:lang w:val="es-ES_tradnl"/>
        </w:rPr>
        <w:footnoteReference w:id="29"/>
      </w:r>
      <w:r w:rsidR="003D46A9" w:rsidRPr="005055EB">
        <w:rPr>
          <w:lang w:val="es-ES_tradnl"/>
        </w:rPr>
        <w:t xml:space="preserve"> </w:t>
      </w:r>
      <w:r w:rsidRPr="005055EB">
        <w:rPr>
          <w:lang w:val="es-ES_tradnl"/>
        </w:rPr>
        <w:t>[y en la 96ª reunión</w:t>
      </w:r>
      <w:r w:rsidRPr="005055EB">
        <w:rPr>
          <w:rStyle w:val="FootnoteReference"/>
          <w:highlight w:val="yellow"/>
          <w:lang w:val="es-ES_tradnl"/>
        </w:rPr>
        <w:footnoteReference w:id="30"/>
      </w:r>
      <w:r w:rsidRPr="005055EB">
        <w:rPr>
          <w:lang w:val="es-ES_tradnl"/>
        </w:rPr>
        <w:t xml:space="preserve">] el Comité Ejecutivo examinó los informes sobre </w:t>
      </w:r>
      <w:r w:rsidR="00316ACA" w:rsidRPr="005055EB">
        <w:rPr>
          <w:lang w:val="es-ES_tradnl"/>
        </w:rPr>
        <w:t xml:space="preserve">demoras </w:t>
      </w:r>
      <w:r w:rsidRPr="005055EB">
        <w:rPr>
          <w:lang w:val="es-ES_tradnl"/>
        </w:rPr>
        <w:t xml:space="preserve">en la presentación de tramos y pidió a la Secretaría que enviara cartas a los </w:t>
      </w:r>
      <w:r w:rsidR="00316ACA" w:rsidRPr="005055EB">
        <w:rPr>
          <w:lang w:val="es-ES_tradnl"/>
        </w:rPr>
        <w:t>G</w:t>
      </w:r>
      <w:r w:rsidRPr="005055EB">
        <w:rPr>
          <w:lang w:val="es-ES_tradnl"/>
        </w:rPr>
        <w:t>obiernos pert</w:t>
      </w:r>
      <w:r w:rsidR="00316ACA" w:rsidRPr="005055EB">
        <w:rPr>
          <w:lang w:val="es-ES_tradnl"/>
        </w:rPr>
        <w:t>i</w:t>
      </w:r>
      <w:r w:rsidRPr="005055EB">
        <w:rPr>
          <w:lang w:val="es-ES_tradnl"/>
        </w:rPr>
        <w:t xml:space="preserve">nentes en relación con las decisiones sobre </w:t>
      </w:r>
      <w:r w:rsidR="00316ACA" w:rsidRPr="005055EB">
        <w:rPr>
          <w:lang w:val="es-ES_tradnl"/>
        </w:rPr>
        <w:t xml:space="preserve">demoras </w:t>
      </w:r>
      <w:r w:rsidRPr="005055EB">
        <w:rPr>
          <w:lang w:val="es-ES_tradnl"/>
        </w:rPr>
        <w:t>en la presentación de tramos</w:t>
      </w:r>
      <w:r w:rsidR="00316ACA" w:rsidRPr="005055EB">
        <w:rPr>
          <w:lang w:val="es-ES_tradnl"/>
        </w:rPr>
        <w:t xml:space="preserve"> que recogen </w:t>
      </w:r>
      <w:r w:rsidRPr="005055EB">
        <w:rPr>
          <w:lang w:val="es-ES_tradnl"/>
        </w:rPr>
        <w:t xml:space="preserve">los anexos </w:t>
      </w:r>
      <w:r w:rsidR="00316ACA" w:rsidRPr="005055EB">
        <w:rPr>
          <w:lang w:val="es-ES_tradnl"/>
        </w:rPr>
        <w:t xml:space="preserve">correspondientes </w:t>
      </w:r>
      <w:r w:rsidRPr="005055EB">
        <w:rPr>
          <w:lang w:val="es-ES_tradnl"/>
        </w:rPr>
        <w:t>de los informes de dichas reuniones</w:t>
      </w:r>
      <w:r w:rsidRPr="005055EB">
        <w:rPr>
          <w:vertAlign w:val="superscript"/>
          <w:lang w:val="es-ES_tradnl"/>
        </w:rPr>
        <w:footnoteReference w:id="31"/>
      </w:r>
      <w:r w:rsidRPr="005055EB">
        <w:rPr>
          <w:lang w:val="es-ES_tradnl"/>
        </w:rPr>
        <w:t>.</w:t>
      </w:r>
      <w:r w:rsidR="00316ACA" w:rsidRPr="005055EB">
        <w:rPr>
          <w:lang w:val="es-ES_tradnl"/>
        </w:rPr>
        <w:t xml:space="preserve"> </w:t>
      </w:r>
      <w:r w:rsidRPr="005055EB">
        <w:rPr>
          <w:lang w:val="es-ES_tradnl"/>
        </w:rPr>
        <w:t xml:space="preserve">No obstante, tomó nota de que los organismos de ejecución pertinentes habían indicado que </w:t>
      </w:r>
      <w:r w:rsidR="00316ACA" w:rsidRPr="005055EB">
        <w:rPr>
          <w:lang w:val="es-ES_tradnl"/>
        </w:rPr>
        <w:t xml:space="preserve">la demora </w:t>
      </w:r>
      <w:r w:rsidRPr="005055EB">
        <w:rPr>
          <w:lang w:val="es-ES_tradnl"/>
        </w:rPr>
        <w:t xml:space="preserve">en la presentación de los tramos de los </w:t>
      </w:r>
      <w:r w:rsidR="00316ACA" w:rsidRPr="005055EB">
        <w:rPr>
          <w:lang w:val="es-ES_tradnl"/>
        </w:rPr>
        <w:t>PGEH</w:t>
      </w:r>
      <w:r w:rsidRPr="005055EB">
        <w:rPr>
          <w:lang w:val="es-ES_tradnl"/>
        </w:rPr>
        <w:t xml:space="preserve"> que debían presentarse no repercutiría en el cumplimiento del Protocolo de Montreal por parte de los países y que no había indicios de que ninguno de los países afectados incumpliera las medidas de control del Protocolo de Montreal (decisiones 95/26 [</w:t>
      </w:r>
      <w:r w:rsidRPr="005055EB">
        <w:rPr>
          <w:highlight w:val="yellow"/>
          <w:lang w:val="es-ES_tradnl"/>
        </w:rPr>
        <w:t>y 96/???</w:t>
      </w:r>
      <w:r w:rsidRPr="005055EB">
        <w:rPr>
          <w:lang w:val="es-ES_tradnl"/>
        </w:rPr>
        <w:t>]).</w:t>
      </w:r>
    </w:p>
    <w:p w14:paraId="7D55F6C9" w14:textId="265567B5" w:rsidR="00F74A7B" w:rsidRPr="005055EB" w:rsidRDefault="00F74A7B" w:rsidP="00BC5C2A">
      <w:pPr>
        <w:pStyle w:val="Heading3"/>
        <w:keepNext/>
        <w:widowControl/>
        <w:numPr>
          <w:ilvl w:val="0"/>
          <w:numId w:val="0"/>
        </w:numPr>
        <w:rPr>
          <w:b/>
          <w:color w:val="000000"/>
          <w:lang w:val="es-ES_tradnl"/>
        </w:rPr>
      </w:pPr>
      <w:r w:rsidRPr="005055EB">
        <w:rPr>
          <w:b/>
          <w:color w:val="000000"/>
          <w:lang w:val="es-ES_tradnl"/>
        </w:rPr>
        <w:t>c)</w:t>
      </w:r>
      <w:r w:rsidRPr="005055EB">
        <w:rPr>
          <w:b/>
          <w:color w:val="000000"/>
          <w:lang w:val="es-ES_tradnl"/>
        </w:rPr>
        <w:tab/>
      </w:r>
      <w:r w:rsidR="00593D42" w:rsidRPr="005055EB">
        <w:rPr>
          <w:b/>
          <w:color w:val="000000"/>
          <w:lang w:val="es-ES_tradnl"/>
        </w:rPr>
        <w:t>Informes sobre la marcha de las actividades</w:t>
      </w:r>
    </w:p>
    <w:p w14:paraId="4E136B43" w14:textId="2D05B95A" w:rsidR="00376FA7" w:rsidRPr="005055EB" w:rsidRDefault="00CD7D76" w:rsidP="00BC5C2A">
      <w:pPr>
        <w:pStyle w:val="Heading1"/>
        <w:tabs>
          <w:tab w:val="clear" w:pos="0"/>
          <w:tab w:val="num" w:pos="810"/>
        </w:tabs>
        <w:rPr>
          <w:lang w:val="es-ES_tradnl"/>
        </w:rPr>
      </w:pPr>
      <w:r w:rsidRPr="005055EB">
        <w:rPr>
          <w:lang w:val="es-ES_tradnl"/>
        </w:rPr>
        <w:t xml:space="preserve">En la 95ª reunión, el Comité Ejecutivo tomó nota del </w:t>
      </w:r>
      <w:r w:rsidR="00AC19AA" w:rsidRPr="005055EB">
        <w:rPr>
          <w:lang w:val="es-ES_tradnl"/>
        </w:rPr>
        <w:t>informe refundido sobre la marcha de las actividades</w:t>
      </w:r>
      <w:r w:rsidRPr="005055EB">
        <w:rPr>
          <w:lang w:val="es-ES_tradnl"/>
        </w:rPr>
        <w:t xml:space="preserve"> del Fondo Multilateral al 31 de diciembre de 2023</w:t>
      </w:r>
      <w:r w:rsidRPr="005055EB">
        <w:rPr>
          <w:vertAlign w:val="superscript"/>
          <w:lang w:val="es-ES_tradnl"/>
        </w:rPr>
        <w:footnoteReference w:id="32"/>
      </w:r>
      <w:r w:rsidRPr="005055EB">
        <w:rPr>
          <w:lang w:val="es-ES_tradnl"/>
        </w:rPr>
        <w:t>.</w:t>
      </w:r>
      <w:r w:rsidR="003D46A9" w:rsidRPr="005055EB">
        <w:rPr>
          <w:lang w:val="es-ES_tradnl"/>
        </w:rPr>
        <w:t xml:space="preserve"> </w:t>
      </w:r>
      <w:r w:rsidRPr="005055EB">
        <w:rPr>
          <w:lang w:val="es-ES_tradnl"/>
        </w:rPr>
        <w:t xml:space="preserve">También tomó nota de los informes </w:t>
      </w:r>
      <w:r w:rsidR="00AC19AA" w:rsidRPr="005055EB">
        <w:rPr>
          <w:lang w:val="es-ES_tradnl"/>
        </w:rPr>
        <w:t>sobre la marcha de las actividades</w:t>
      </w:r>
      <w:r w:rsidRPr="005055EB">
        <w:rPr>
          <w:lang w:val="es-ES_tradnl"/>
        </w:rPr>
        <w:t>, a</w:t>
      </w:r>
      <w:r w:rsidR="00CE02A2" w:rsidRPr="005055EB">
        <w:rPr>
          <w:lang w:val="es-ES_tradnl"/>
        </w:rPr>
        <w:t>l</w:t>
      </w:r>
      <w:r w:rsidRPr="005055EB">
        <w:rPr>
          <w:lang w:val="es-ES_tradnl"/>
        </w:rPr>
        <w:t xml:space="preserve"> 31 de diciembre de 2023, de los organismos bilaterales</w:t>
      </w:r>
      <w:r w:rsidRPr="005055EB">
        <w:rPr>
          <w:vertAlign w:val="superscript"/>
          <w:lang w:val="es-ES_tradnl"/>
        </w:rPr>
        <w:footnoteReference w:id="33"/>
      </w:r>
      <w:r w:rsidR="003D46A9" w:rsidRPr="005055EB">
        <w:rPr>
          <w:lang w:val="es-ES_tradnl"/>
        </w:rPr>
        <w:t xml:space="preserve"> </w:t>
      </w:r>
      <w:r w:rsidRPr="005055EB">
        <w:rPr>
          <w:lang w:val="es-ES_tradnl"/>
        </w:rPr>
        <w:t>(los Gobiernos de Alemania, Australia, Canadá, España, Francia, Italia y Japón), el PNUD</w:t>
      </w:r>
      <w:r w:rsidRPr="005055EB">
        <w:rPr>
          <w:vertAlign w:val="superscript"/>
          <w:lang w:val="es-ES_tradnl"/>
        </w:rPr>
        <w:footnoteReference w:id="34"/>
      </w:r>
      <w:r w:rsidRPr="005055EB">
        <w:rPr>
          <w:lang w:val="es-ES_tradnl"/>
        </w:rPr>
        <w:t>, el PNUMA</w:t>
      </w:r>
      <w:r w:rsidRPr="005055EB">
        <w:rPr>
          <w:vertAlign w:val="superscript"/>
          <w:lang w:val="es-ES_tradnl"/>
        </w:rPr>
        <w:footnoteReference w:id="35"/>
      </w:r>
      <w:r w:rsidRPr="005055EB">
        <w:rPr>
          <w:lang w:val="es-ES_tradnl"/>
        </w:rPr>
        <w:t>, la ONUDI</w:t>
      </w:r>
      <w:r w:rsidRPr="005055EB">
        <w:rPr>
          <w:vertAlign w:val="superscript"/>
          <w:lang w:val="es-ES_tradnl"/>
        </w:rPr>
        <w:footnoteReference w:id="36"/>
      </w:r>
      <w:r w:rsidR="003D46A9" w:rsidRPr="005055EB">
        <w:rPr>
          <w:lang w:val="es-ES_tradnl"/>
        </w:rPr>
        <w:t xml:space="preserve"> </w:t>
      </w:r>
      <w:r w:rsidRPr="005055EB">
        <w:rPr>
          <w:lang w:val="es-ES_tradnl"/>
        </w:rPr>
        <w:t>y el Banco Mundial</w:t>
      </w:r>
      <w:r w:rsidRPr="005055EB">
        <w:rPr>
          <w:vertAlign w:val="superscript"/>
          <w:lang w:val="es-ES_tradnl"/>
        </w:rPr>
        <w:footnoteReference w:id="37"/>
      </w:r>
      <w:r w:rsidRPr="005055EB">
        <w:rPr>
          <w:lang w:val="es-ES_tradnl"/>
        </w:rPr>
        <w:t>.</w:t>
      </w:r>
      <w:r w:rsidR="003D46A9" w:rsidRPr="005055EB">
        <w:rPr>
          <w:lang w:val="es-ES_tradnl"/>
        </w:rPr>
        <w:t xml:space="preserve"> </w:t>
      </w:r>
      <w:r w:rsidRPr="005055EB">
        <w:rPr>
          <w:lang w:val="es-ES_tradnl"/>
        </w:rPr>
        <w:t xml:space="preserve">Para todos los informes </w:t>
      </w:r>
      <w:r w:rsidR="00AC19AA" w:rsidRPr="005055EB">
        <w:rPr>
          <w:lang w:val="es-ES_tradnl"/>
        </w:rPr>
        <w:t xml:space="preserve">sobre la marcha de las </w:t>
      </w:r>
      <w:r w:rsidR="003D46A9" w:rsidRPr="005055EB">
        <w:rPr>
          <w:lang w:val="es-ES_tradnl"/>
        </w:rPr>
        <w:t>actividades</w:t>
      </w:r>
      <w:r w:rsidRPr="005055EB">
        <w:rPr>
          <w:lang w:val="es-ES_tradnl"/>
        </w:rPr>
        <w:t>, el Comité aprobó las recomendaciones relativas a los proyectos en curso con cuestiones específicas que figuraban en los anexos correspondientes del informe de la reunión</w:t>
      </w:r>
      <w:r w:rsidRPr="005055EB">
        <w:rPr>
          <w:vertAlign w:val="superscript"/>
          <w:lang w:val="es-ES_tradnl"/>
        </w:rPr>
        <w:footnoteReference w:id="38"/>
      </w:r>
      <w:r w:rsidRPr="005055EB">
        <w:rPr>
          <w:lang w:val="es-ES_tradnl"/>
        </w:rPr>
        <w:t>.</w:t>
      </w:r>
      <w:r w:rsidR="003D46A9" w:rsidRPr="005055EB">
        <w:rPr>
          <w:lang w:val="es-ES_tradnl"/>
        </w:rPr>
        <w:t xml:space="preserve"> </w:t>
      </w:r>
      <w:r w:rsidRPr="005055EB">
        <w:rPr>
          <w:lang w:val="es-ES_tradnl"/>
        </w:rPr>
        <w:t xml:space="preserve">También adoptó otras medidas, como la prórroga de las fechas de finalización de dos proyectos y la cancelación de un proyecto; pidió a los organismos bilaterales y de ejecución que, antes de la última reunión de cada año, presentaran información actualizada sobre los países para los que no se hubieran presentado solicitudes de renovación de proyectos de fortalecimiento institucional durante tres años, y pidió a la Secretaría que, en el </w:t>
      </w:r>
      <w:r w:rsidR="00AC19AA" w:rsidRPr="005055EB">
        <w:rPr>
          <w:lang w:val="es-ES_tradnl"/>
        </w:rPr>
        <w:t>informe refundido sobre la marcha de las actividades</w:t>
      </w:r>
      <w:r w:rsidRPr="005055EB">
        <w:rPr>
          <w:lang w:val="es-ES_tradnl"/>
        </w:rPr>
        <w:t xml:space="preserve"> al 31 de diciembre de 2024, presentara un informe final sobre los logros de los seis proyectos de inversión financiados con cargo a las contribuciones voluntarias adicionales para </w:t>
      </w:r>
      <w:r w:rsidR="00760E7F" w:rsidRPr="005055EB">
        <w:rPr>
          <w:lang w:val="es-ES_tradnl"/>
        </w:rPr>
        <w:t xml:space="preserve">prestar </w:t>
      </w:r>
      <w:r w:rsidRPr="005055EB">
        <w:rPr>
          <w:lang w:val="es-ES_tradnl"/>
        </w:rPr>
        <w:t>apoyo</w:t>
      </w:r>
      <w:r w:rsidR="00CE02A2" w:rsidRPr="005055EB">
        <w:rPr>
          <w:lang w:val="es-ES_tradnl"/>
        </w:rPr>
        <w:t xml:space="preserve"> inmediato </w:t>
      </w:r>
      <w:r w:rsidRPr="005055EB">
        <w:rPr>
          <w:lang w:val="es-ES_tradnl"/>
        </w:rPr>
        <w:t xml:space="preserve">a la </w:t>
      </w:r>
      <w:r w:rsidR="00760E7F" w:rsidRPr="005055EB">
        <w:rPr>
          <w:lang w:val="es-ES_tradnl"/>
        </w:rPr>
        <w:t>reducción</w:t>
      </w:r>
      <w:r w:rsidRPr="005055EB">
        <w:rPr>
          <w:lang w:val="es-ES_tradnl"/>
        </w:rPr>
        <w:t xml:space="preserve"> de los HFC (decisiones 95/12 a 9</w:t>
      </w:r>
      <w:r w:rsidR="00F42683" w:rsidRPr="005055EB">
        <w:rPr>
          <w:lang w:val="es-ES_tradnl"/>
        </w:rPr>
        <w:t>5</w:t>
      </w:r>
      <w:r w:rsidRPr="005055EB">
        <w:rPr>
          <w:lang w:val="es-ES_tradnl"/>
        </w:rPr>
        <w:t>/17).</w:t>
      </w:r>
    </w:p>
    <w:p w14:paraId="4B083359" w14:textId="4F0D58C5" w:rsidR="00F74A7B" w:rsidRPr="005055EB" w:rsidRDefault="00F74A7B" w:rsidP="00BC5C2A">
      <w:pPr>
        <w:pStyle w:val="Heading1"/>
        <w:tabs>
          <w:tab w:val="clear" w:pos="0"/>
          <w:tab w:val="num" w:pos="810"/>
        </w:tabs>
        <w:rPr>
          <w:lang w:val="es-ES_tradnl"/>
        </w:rPr>
      </w:pPr>
      <w:r w:rsidRPr="005055EB">
        <w:rPr>
          <w:highlight w:val="yellow"/>
          <w:lang w:val="es-ES_tradnl"/>
        </w:rPr>
        <w:t>[</w:t>
      </w:r>
      <w:r w:rsidR="00410D7E" w:rsidRPr="005055EB">
        <w:rPr>
          <w:highlight w:val="yellow"/>
          <w:lang w:val="es-ES_tradnl"/>
        </w:rPr>
        <w:t>En la 96ª reunión</w:t>
      </w:r>
      <w:r w:rsidRPr="005055EB">
        <w:rPr>
          <w:highlight w:val="yellow"/>
          <w:lang w:val="es-ES_tradnl"/>
        </w:rPr>
        <w:t>…]</w:t>
      </w:r>
    </w:p>
    <w:p w14:paraId="14A6BC32" w14:textId="34394ADC" w:rsidR="00F74A7B" w:rsidRPr="005055EB" w:rsidRDefault="00F74A7B" w:rsidP="00BC5C2A">
      <w:pPr>
        <w:pStyle w:val="Heading3"/>
        <w:numPr>
          <w:ilvl w:val="0"/>
          <w:numId w:val="0"/>
        </w:numPr>
        <w:ind w:left="851" w:hanging="851"/>
        <w:rPr>
          <w:b/>
          <w:highlight w:val="yellow"/>
          <w:lang w:val="es-ES_tradnl"/>
        </w:rPr>
      </w:pPr>
      <w:r w:rsidRPr="005055EB">
        <w:rPr>
          <w:b/>
          <w:lang w:val="es-ES_tradnl"/>
        </w:rPr>
        <w:t>d)</w:t>
      </w:r>
      <w:r w:rsidRPr="005055EB">
        <w:rPr>
          <w:b/>
          <w:lang w:val="es-ES_tradnl"/>
        </w:rPr>
        <w:tab/>
      </w:r>
      <w:r w:rsidR="00CD7D76" w:rsidRPr="005055EB">
        <w:rPr>
          <w:b/>
          <w:lang w:val="es-ES_tradnl"/>
        </w:rPr>
        <w:t>Informes de situación e informes sobre proyectos con requisitos específicos de presentación de informes</w:t>
      </w:r>
    </w:p>
    <w:p w14:paraId="2F982770" w14:textId="77777777" w:rsidR="00376FA7" w:rsidRPr="005055EB" w:rsidRDefault="00834AB3" w:rsidP="00BC5C2A">
      <w:pPr>
        <w:pStyle w:val="Heading1"/>
        <w:tabs>
          <w:tab w:val="clear" w:pos="0"/>
          <w:tab w:val="num" w:pos="810"/>
        </w:tabs>
        <w:rPr>
          <w:lang w:val="es-ES_tradnl"/>
        </w:rPr>
      </w:pPr>
      <w:bookmarkStart w:id="6" w:name="_Hlk196861099"/>
      <w:r w:rsidRPr="005055EB">
        <w:rPr>
          <w:lang w:val="es-ES_tradnl"/>
        </w:rPr>
        <w:t>En la 95ª reunión</w:t>
      </w:r>
      <w:r w:rsidRPr="005055EB">
        <w:rPr>
          <w:vertAlign w:val="superscript"/>
          <w:lang w:val="es-ES_tradnl"/>
        </w:rPr>
        <w:footnoteReference w:id="39"/>
      </w:r>
      <w:r w:rsidRPr="005055EB">
        <w:rPr>
          <w:lang w:val="es-ES_tradnl"/>
        </w:rPr>
        <w:t xml:space="preserve"> [</w:t>
      </w:r>
      <w:r w:rsidRPr="005055EB">
        <w:rPr>
          <w:highlight w:val="yellow"/>
          <w:lang w:val="es-ES_tradnl"/>
        </w:rPr>
        <w:t>y en la 96ª reunión</w:t>
      </w:r>
      <w:r w:rsidRPr="005055EB">
        <w:rPr>
          <w:rStyle w:val="FootnoteReference"/>
          <w:highlight w:val="yellow"/>
          <w:lang w:val="es-ES_tradnl"/>
        </w:rPr>
        <w:footnoteReference w:id="40"/>
      </w:r>
      <w:r w:rsidRPr="005055EB">
        <w:rPr>
          <w:lang w:val="es-ES_tradnl"/>
        </w:rPr>
        <w:t>] el Comité Ejecutivo examinó documentos que contenían informes de situación e informes sobre proyectos con requisitos específicos de presentación de informes.</w:t>
      </w:r>
    </w:p>
    <w:p w14:paraId="7560D1C4" w14:textId="1E61DA91" w:rsidR="00376FA7" w:rsidRPr="005055EB" w:rsidRDefault="00834AB3" w:rsidP="00BC5C2A">
      <w:pPr>
        <w:pStyle w:val="Heading1"/>
        <w:tabs>
          <w:tab w:val="clear" w:pos="0"/>
          <w:tab w:val="num" w:pos="810"/>
        </w:tabs>
        <w:rPr>
          <w:lang w:val="es-ES_tradnl"/>
        </w:rPr>
      </w:pPr>
      <w:r w:rsidRPr="005055EB">
        <w:rPr>
          <w:lang w:val="es-ES_tradnl"/>
        </w:rPr>
        <w:t xml:space="preserve">En la 95ª reunión, los proyectos para los que no había cuestiones pendientes de política, </w:t>
      </w:r>
      <w:r w:rsidR="00154E9F" w:rsidRPr="005055EB">
        <w:rPr>
          <w:lang w:val="es-ES_tradnl"/>
        </w:rPr>
        <w:t>costos</w:t>
      </w:r>
      <w:r w:rsidRPr="005055EB">
        <w:rPr>
          <w:lang w:val="es-ES_tradnl"/>
        </w:rPr>
        <w:t xml:space="preserve"> u otras cuestiones estaban relacionados con los </w:t>
      </w:r>
      <w:r w:rsidR="00371E58" w:rsidRPr="005055EB">
        <w:rPr>
          <w:lang w:val="es-ES_tradnl"/>
        </w:rPr>
        <w:t>PGEH</w:t>
      </w:r>
      <w:r w:rsidRPr="005055EB">
        <w:rPr>
          <w:lang w:val="es-ES_tradnl"/>
        </w:rPr>
        <w:t xml:space="preserve"> para seis países, actividades adicionales para mantener </w:t>
      </w:r>
      <w:r w:rsidRPr="005055EB">
        <w:rPr>
          <w:lang w:val="es-ES_tradnl"/>
        </w:rPr>
        <w:lastRenderedPageBreak/>
        <w:t>la eficiencia energética para un país y una solicitud de cambio de tecnología en un proyecto aprobado en un país, y [</w:t>
      </w:r>
      <w:r w:rsidRPr="005055EB">
        <w:rPr>
          <w:highlight w:val="yellow"/>
          <w:lang w:val="es-ES_tradnl"/>
        </w:rPr>
        <w:t>en la 96ª reunión, para los proyectos ...</w:t>
      </w:r>
      <w:r w:rsidRPr="005055EB">
        <w:rPr>
          <w:lang w:val="es-ES_tradnl"/>
        </w:rPr>
        <w:t>], el Comité tomó nota de los informes y la información facilitados y acordó una serie de medidas, incluida la transferencia de la ejecución de determinados tramos de los PGEH de un organismo de ejecución a otro, la ampliación del período de ejecución de determinados tramos de los PGEH y un cambio de tecnología dentro de un proyecto. También solicitó otras medidas a los países y organismos de ejecución (decisiones 95/18 a 9</w:t>
      </w:r>
      <w:r w:rsidR="00F42683" w:rsidRPr="005055EB">
        <w:rPr>
          <w:lang w:val="es-ES_tradnl"/>
        </w:rPr>
        <w:t>5</w:t>
      </w:r>
      <w:r w:rsidRPr="005055EB">
        <w:rPr>
          <w:lang w:val="es-ES_tradnl"/>
        </w:rPr>
        <w:t xml:space="preserve">/21 </w:t>
      </w:r>
      <w:r w:rsidRPr="005055EB">
        <w:rPr>
          <w:highlight w:val="yellow"/>
          <w:lang w:val="es-ES_tradnl"/>
        </w:rPr>
        <w:t>[y 96/...]).</w:t>
      </w:r>
      <w:r w:rsidRPr="005055EB">
        <w:rPr>
          <w:lang w:val="es-ES_tradnl"/>
        </w:rPr>
        <w:t xml:space="preserve"> </w:t>
      </w:r>
    </w:p>
    <w:p w14:paraId="4C850A4C" w14:textId="0684B1C1" w:rsidR="00376FA7" w:rsidRPr="005055EB" w:rsidRDefault="00834AB3" w:rsidP="00BC5C2A">
      <w:pPr>
        <w:pStyle w:val="Heading1"/>
        <w:tabs>
          <w:tab w:val="clear" w:pos="0"/>
          <w:tab w:val="num" w:pos="810"/>
        </w:tabs>
        <w:rPr>
          <w:lang w:val="es-ES_tradnl"/>
        </w:rPr>
      </w:pPr>
      <w:r w:rsidRPr="005055EB">
        <w:rPr>
          <w:lang w:val="es-ES_tradnl"/>
        </w:rPr>
        <w:t xml:space="preserve">En la 95ª reunión, se examinaron individualmente la etapa I del PAK para Burkina Faso y un proyecto para la conversión de HFC a propano de una </w:t>
      </w:r>
      <w:r w:rsidR="00B93AC0" w:rsidRPr="005055EB">
        <w:rPr>
          <w:lang w:val="es-ES_tradnl"/>
        </w:rPr>
        <w:t xml:space="preserve">fábrica de grandes climatizadores unitarios comerciales de azotea </w:t>
      </w:r>
      <w:r w:rsidR="00BC5C2A" w:rsidRPr="005055EB">
        <w:rPr>
          <w:lang w:val="es-ES_tradnl"/>
        </w:rPr>
        <w:t>de la empresa</w:t>
      </w:r>
      <w:r w:rsidRPr="005055EB">
        <w:rPr>
          <w:lang w:val="es-ES_tradnl"/>
        </w:rPr>
        <w:t xml:space="preserve"> Petra Engineering Industries Co. (Jordania). Tomando nota de los informes, el Comité Ejecutivo aprobó la solicitud del Gobierno de Burkina Faso de sustituir el establecimiento de un centro de distribución de refrigerantes para hidrocarburos por el establecimiento de un centro de recuperación, reciclado y regeneración de HCFC, HFC y refrigerantes mezclados, al mismo costo (decisión 95/22); también invitó a la ONUDI, en nombre del Gobierno de Jordania, a presentar una propuesta a la 96ª reunión para que Petra Engineering Industries Co. Ltd., a utilizar el equipo suministrado en el marco del proyecto para fabricar refrigeradores de R-290, en el entendimiento de que no se aprobarían fondos adicionales para el proyecto, y el Comité también solicitó otras medidas a la empresa (decisión 95/23).</w:t>
      </w:r>
    </w:p>
    <w:p w14:paraId="5C35C6EA" w14:textId="71B2F02E" w:rsidR="00834AB3" w:rsidRPr="005055EB" w:rsidRDefault="00834AB3" w:rsidP="00BC5C2A">
      <w:pPr>
        <w:pStyle w:val="Heading1"/>
        <w:tabs>
          <w:tab w:val="clear" w:pos="0"/>
          <w:tab w:val="num" w:pos="810"/>
        </w:tabs>
        <w:rPr>
          <w:lang w:val="es-ES_tradnl"/>
        </w:rPr>
      </w:pPr>
      <w:r w:rsidRPr="005055EB">
        <w:rPr>
          <w:lang w:val="es-ES_tradnl"/>
        </w:rPr>
        <w:t xml:space="preserve">En la 95ª reunión, el Comité Ejecutivo examinó también un informe, </w:t>
      </w:r>
      <w:r w:rsidR="00CF4AA0" w:rsidRPr="005055EB">
        <w:rPr>
          <w:lang w:val="es-ES_tradnl"/>
        </w:rPr>
        <w:t xml:space="preserve">pedido en </w:t>
      </w:r>
      <w:r w:rsidRPr="005055EB">
        <w:rPr>
          <w:lang w:val="es-ES_tradnl"/>
        </w:rPr>
        <w:t xml:space="preserve">la decisión 94/11, sobre la forma de aplicar los principios generales para la gestión de los fondos transferidos de los organismos de ejecución a la Oficina de Cooperación Económica Exterior de China, para la etapa II del </w:t>
      </w:r>
      <w:r w:rsidR="000C2994" w:rsidRPr="005055EB">
        <w:rPr>
          <w:lang w:val="es-ES_tradnl"/>
        </w:rPr>
        <w:t>PGEH</w:t>
      </w:r>
      <w:r w:rsidRPr="005055EB">
        <w:rPr>
          <w:lang w:val="es-ES_tradnl"/>
        </w:rPr>
        <w:t xml:space="preserve"> para el país</w:t>
      </w:r>
      <w:r w:rsidRPr="005055EB">
        <w:rPr>
          <w:vertAlign w:val="superscript"/>
          <w:lang w:val="es-ES_tradnl"/>
        </w:rPr>
        <w:footnoteReference w:id="41"/>
      </w:r>
      <w:r w:rsidRPr="005055EB">
        <w:rPr>
          <w:lang w:val="es-ES_tradnl"/>
        </w:rPr>
        <w:t>.</w:t>
      </w:r>
      <w:r w:rsidR="003D46A9" w:rsidRPr="005055EB">
        <w:rPr>
          <w:lang w:val="es-ES_tradnl"/>
        </w:rPr>
        <w:t xml:space="preserve"> </w:t>
      </w:r>
      <w:r w:rsidRPr="005055EB">
        <w:rPr>
          <w:lang w:val="es-ES_tradnl"/>
        </w:rPr>
        <w:t xml:space="preserve">El Comité pidió al PNUD, la ONUDI y el PNUMA, en su calidad de organismos principales de los planes sectoriales pertinentes, que aplicaran, a título </w:t>
      </w:r>
      <w:r w:rsidR="00693E46" w:rsidRPr="005055EB">
        <w:rPr>
          <w:lang w:val="es-ES_tradnl"/>
        </w:rPr>
        <w:t>experimental</w:t>
      </w:r>
      <w:r w:rsidRPr="005055EB">
        <w:rPr>
          <w:lang w:val="es-ES_tradnl"/>
        </w:rPr>
        <w:t xml:space="preserve">, los principios generales establecidos en el anexo III del documento UNEP/OzL.Pro/ExCom/95/47 al plan </w:t>
      </w:r>
      <w:r w:rsidR="00693E46" w:rsidRPr="005055EB">
        <w:rPr>
          <w:lang w:val="es-ES_tradnl"/>
        </w:rPr>
        <w:t xml:space="preserve">sectorial de </w:t>
      </w:r>
      <w:r w:rsidRPr="005055EB">
        <w:rPr>
          <w:lang w:val="es-ES_tradnl"/>
        </w:rPr>
        <w:t xml:space="preserve">refrigeración industrial y comercial y aire acondicionado, el plan sectorial de disolventes, el plan sectorial de espuma de poliestireno extruido, el plan sectorial de fabricación de aire acondicionado y calentadores de agua con bomba de calor, y el plan sectorial de mantenimiento de </w:t>
      </w:r>
      <w:r w:rsidR="007C288E" w:rsidRPr="005055EB">
        <w:rPr>
          <w:lang w:val="es-ES_tradnl"/>
        </w:rPr>
        <w:t xml:space="preserve">equipos de </w:t>
      </w:r>
      <w:r w:rsidRPr="005055EB">
        <w:rPr>
          <w:lang w:val="es-ES_tradnl"/>
        </w:rPr>
        <w:t xml:space="preserve">refrigeración y aire acondicionado y el programa nacional de </w:t>
      </w:r>
      <w:r w:rsidR="000E3CA0" w:rsidRPr="005055EB">
        <w:rPr>
          <w:lang w:val="es-ES_tradnl"/>
        </w:rPr>
        <w:t>facilitación</w:t>
      </w:r>
      <w:r w:rsidRPr="005055EB">
        <w:rPr>
          <w:lang w:val="es-ES_tradnl"/>
        </w:rPr>
        <w:t>, en el marco de la etapa II del PGEH para China (decisión 95/43).</w:t>
      </w:r>
    </w:p>
    <w:bookmarkEnd w:id="6"/>
    <w:p w14:paraId="08E35B79" w14:textId="2244BF84" w:rsidR="00F74A7B" w:rsidRPr="005055EB" w:rsidRDefault="00F74A7B" w:rsidP="00BC5C2A">
      <w:pPr>
        <w:pStyle w:val="Heading3"/>
        <w:numPr>
          <w:ilvl w:val="0"/>
          <w:numId w:val="0"/>
        </w:numPr>
        <w:rPr>
          <w:b/>
          <w:lang w:val="es-ES_tradnl"/>
        </w:rPr>
      </w:pPr>
      <w:r w:rsidRPr="005055EB">
        <w:rPr>
          <w:b/>
          <w:lang w:val="es-ES_tradnl"/>
        </w:rPr>
        <w:t>e)</w:t>
      </w:r>
      <w:r w:rsidRPr="005055EB">
        <w:rPr>
          <w:b/>
          <w:lang w:val="es-ES_tradnl"/>
        </w:rPr>
        <w:tab/>
      </w:r>
      <w:r w:rsidR="00CD7D76" w:rsidRPr="005055EB">
        <w:rPr>
          <w:b/>
          <w:lang w:val="es-ES_tradnl"/>
        </w:rPr>
        <w:t>Informes consolidados de terminación de proyectos</w:t>
      </w:r>
    </w:p>
    <w:p w14:paraId="2DBBECE6" w14:textId="590D4CC5" w:rsidR="00032F2D" w:rsidRPr="005055EB" w:rsidRDefault="003978AD" w:rsidP="00BC5C2A">
      <w:pPr>
        <w:pStyle w:val="Heading1"/>
        <w:tabs>
          <w:tab w:val="clear" w:pos="0"/>
          <w:tab w:val="num" w:pos="792"/>
        </w:tabs>
        <w:rPr>
          <w:lang w:val="es-ES_tradnl"/>
        </w:rPr>
      </w:pPr>
      <w:r w:rsidRPr="005055EB">
        <w:rPr>
          <w:lang w:val="es-ES_tradnl"/>
        </w:rPr>
        <w:t xml:space="preserve">En la 95ª reunión, el Comité Ejecutivo examinó el </w:t>
      </w:r>
      <w:r w:rsidR="000E3CA0" w:rsidRPr="005055EB">
        <w:rPr>
          <w:lang w:val="es-ES_tradnl"/>
        </w:rPr>
        <w:t>informe de terminación de proyectos (ITP)</w:t>
      </w:r>
      <w:r w:rsidRPr="005055EB">
        <w:rPr>
          <w:lang w:val="es-ES_tradnl"/>
        </w:rPr>
        <w:t xml:space="preserve"> </w:t>
      </w:r>
      <w:r w:rsidR="000E3CA0" w:rsidRPr="005055EB">
        <w:rPr>
          <w:lang w:val="es-ES_tradnl"/>
        </w:rPr>
        <w:t xml:space="preserve">de </w:t>
      </w:r>
      <w:r w:rsidRPr="005055EB">
        <w:rPr>
          <w:lang w:val="es-ES_tradnl"/>
        </w:rPr>
        <w:t>2024 (parte II)</w:t>
      </w:r>
      <w:r w:rsidR="009F5B27" w:rsidRPr="005055EB">
        <w:rPr>
          <w:rStyle w:val="FootnoteReference"/>
          <w:bCs/>
          <w:lang w:val="es-ES_tradnl"/>
        </w:rPr>
        <w:footnoteReference w:id="42"/>
      </w:r>
      <w:r w:rsidRPr="005055EB">
        <w:rPr>
          <w:lang w:val="es-ES_tradnl"/>
        </w:rPr>
        <w:t>, [</w:t>
      </w:r>
      <w:r w:rsidRPr="005055EB">
        <w:rPr>
          <w:highlight w:val="yellow"/>
          <w:lang w:val="es-ES_tradnl"/>
        </w:rPr>
        <w:t>y en la 96ª reunión...</w:t>
      </w:r>
      <w:r w:rsidRPr="005055EB">
        <w:rPr>
          <w:lang w:val="es-ES_tradnl"/>
        </w:rPr>
        <w:t>] [</w:t>
      </w:r>
      <w:r w:rsidR="000E3CA0" w:rsidRPr="005055EB">
        <w:rPr>
          <w:highlight w:val="yellow"/>
          <w:lang w:val="es-ES_tradnl"/>
        </w:rPr>
        <w:t xml:space="preserve">En cada </w:t>
      </w:r>
      <w:r w:rsidRPr="005055EB">
        <w:rPr>
          <w:highlight w:val="yellow"/>
          <w:lang w:val="es-ES_tradnl"/>
        </w:rPr>
        <w:t>reunión,</w:t>
      </w:r>
      <w:r w:rsidRPr="005055EB">
        <w:rPr>
          <w:lang w:val="es-ES_tradnl"/>
        </w:rPr>
        <w:t>] solicitó a los organismos bilaterales y de ejecución que presentaran, en la</w:t>
      </w:r>
      <w:r w:rsidR="004D2E89" w:rsidRPr="005055EB">
        <w:rPr>
          <w:lang w:val="es-ES_tradnl"/>
        </w:rPr>
        <w:t xml:space="preserve"> siguiente</w:t>
      </w:r>
      <w:r w:rsidRPr="005055EB">
        <w:rPr>
          <w:lang w:val="es-ES_tradnl"/>
        </w:rPr>
        <w:t xml:space="preserve"> reunión, los I</w:t>
      </w:r>
      <w:r w:rsidR="00032F2D" w:rsidRPr="005055EB">
        <w:rPr>
          <w:lang w:val="es-ES_tradnl"/>
        </w:rPr>
        <w:t>T</w:t>
      </w:r>
      <w:r w:rsidRPr="005055EB">
        <w:rPr>
          <w:lang w:val="es-ES_tradnl"/>
        </w:rPr>
        <w:t xml:space="preserve">P pendientes para los acuerdos plurianuales y los proyectos individuales o que expusieran las razones por las que no lo habían hecho. Se </w:t>
      </w:r>
      <w:r w:rsidR="004D2E89" w:rsidRPr="005055EB">
        <w:rPr>
          <w:lang w:val="es-ES_tradnl"/>
        </w:rPr>
        <w:t>solicitó</w:t>
      </w:r>
      <w:r w:rsidRPr="005055EB">
        <w:rPr>
          <w:lang w:val="es-ES_tradnl"/>
        </w:rPr>
        <w:t xml:space="preserve"> a los organismos de ejecución principales y a los organismos de ejecución cooperantes que siguieran coordinando estrechamente sus trabajos para </w:t>
      </w:r>
      <w:r w:rsidR="004D2E89" w:rsidRPr="005055EB">
        <w:rPr>
          <w:lang w:val="es-ES_tradnl"/>
        </w:rPr>
        <w:t xml:space="preserve">concluir </w:t>
      </w:r>
      <w:r w:rsidRPr="005055EB">
        <w:rPr>
          <w:lang w:val="es-ES_tradnl"/>
        </w:rPr>
        <w:t xml:space="preserve">sus respectivas partes de los </w:t>
      </w:r>
      <w:r w:rsidR="00032F2D" w:rsidRPr="005055EB">
        <w:rPr>
          <w:lang w:val="es-ES_tradnl"/>
        </w:rPr>
        <w:t>ITP</w:t>
      </w:r>
      <w:r w:rsidRPr="005055EB">
        <w:rPr>
          <w:lang w:val="es-ES_tradnl"/>
        </w:rPr>
        <w:t xml:space="preserve"> a fin de </w:t>
      </w:r>
      <w:r w:rsidR="004D2E89" w:rsidRPr="005055EB">
        <w:rPr>
          <w:lang w:val="es-ES_tradnl"/>
        </w:rPr>
        <w:t>que el organismo de ejecución principal pudiera presentarlos oportunamente</w:t>
      </w:r>
      <w:r w:rsidRPr="005055EB">
        <w:rPr>
          <w:lang w:val="es-ES_tradnl"/>
        </w:rPr>
        <w:t xml:space="preserve">, y se </w:t>
      </w:r>
      <w:r w:rsidR="004D2E89" w:rsidRPr="005055EB">
        <w:rPr>
          <w:lang w:val="es-ES_tradnl"/>
        </w:rPr>
        <w:t>solicitó</w:t>
      </w:r>
      <w:r w:rsidRPr="005055EB">
        <w:rPr>
          <w:lang w:val="es-ES_tradnl"/>
        </w:rPr>
        <w:t xml:space="preserve"> a los organismos bilaterales y de ejecución que</w:t>
      </w:r>
      <w:r w:rsidR="004D2E89" w:rsidRPr="005055EB">
        <w:rPr>
          <w:lang w:val="es-ES_tradnl"/>
        </w:rPr>
        <w:t>, al presentar los informes de término de proyectos, se aseguraran de proporcionar datos útiles y pertinentes, incluidos los datos de género, e informaran sobre las experiencias recogidas y los motivos de las demoras a fin de mejorar el diseño y ejecución de futuros proyectos</w:t>
      </w:r>
      <w:r w:rsidRPr="005055EB">
        <w:rPr>
          <w:lang w:val="es-ES_tradnl"/>
        </w:rPr>
        <w:t xml:space="preserve">. Se invitó a todos los participantes en la preparación y </w:t>
      </w:r>
      <w:r w:rsidR="004D2E89" w:rsidRPr="005055EB">
        <w:rPr>
          <w:lang w:val="es-ES_tradnl"/>
        </w:rPr>
        <w:t xml:space="preserve">aplicación </w:t>
      </w:r>
      <w:r w:rsidRPr="005055EB">
        <w:rPr>
          <w:lang w:val="es-ES_tradnl"/>
        </w:rPr>
        <w:t xml:space="preserve">de </w:t>
      </w:r>
      <w:r w:rsidR="004D2E89" w:rsidRPr="005055EB">
        <w:rPr>
          <w:lang w:val="es-ES_tradnl"/>
        </w:rPr>
        <w:t xml:space="preserve">los </w:t>
      </w:r>
      <w:r w:rsidRPr="005055EB">
        <w:rPr>
          <w:lang w:val="es-ES_tradnl"/>
        </w:rPr>
        <w:t xml:space="preserve">acuerdos plurianuales y proyectos individuales a que tuvieran en cuenta las lecciones aprendidas de los </w:t>
      </w:r>
      <w:r w:rsidR="00032F2D" w:rsidRPr="005055EB">
        <w:rPr>
          <w:lang w:val="es-ES_tradnl"/>
        </w:rPr>
        <w:t>ITP</w:t>
      </w:r>
      <w:r w:rsidRPr="005055EB">
        <w:rPr>
          <w:lang w:val="es-ES_tradnl"/>
        </w:rPr>
        <w:t xml:space="preserve">, </w:t>
      </w:r>
      <w:r w:rsidR="004D2E89" w:rsidRPr="005055EB">
        <w:rPr>
          <w:lang w:val="es-ES_tradnl"/>
        </w:rPr>
        <w:t xml:space="preserve">según correspondiese </w:t>
      </w:r>
      <w:r w:rsidRPr="005055EB">
        <w:rPr>
          <w:lang w:val="es-ES_tradnl"/>
        </w:rPr>
        <w:t xml:space="preserve">(decisiones 95/24 [y </w:t>
      </w:r>
      <w:r w:rsidRPr="005055EB">
        <w:rPr>
          <w:highlight w:val="yellow"/>
          <w:lang w:val="es-ES_tradnl"/>
        </w:rPr>
        <w:t>96/???</w:t>
      </w:r>
      <w:r w:rsidRPr="005055EB">
        <w:rPr>
          <w:lang w:val="es-ES_tradnl"/>
        </w:rPr>
        <w:t>]).</w:t>
      </w:r>
      <w:r w:rsidR="00032F2D" w:rsidRPr="005055EB">
        <w:rPr>
          <w:sz w:val="18"/>
          <w:szCs w:val="18"/>
          <w:lang w:val="es-ES"/>
        </w:rPr>
        <w:t xml:space="preserve"> </w:t>
      </w:r>
    </w:p>
    <w:p w14:paraId="453E09DD" w14:textId="7A6C1F23" w:rsidR="00F74A7B" w:rsidRPr="005055EB" w:rsidRDefault="00F74A7B" w:rsidP="001156A2">
      <w:pPr>
        <w:pStyle w:val="Heading1"/>
        <w:keepNext/>
        <w:keepLines/>
        <w:widowControl w:val="0"/>
        <w:numPr>
          <w:ilvl w:val="0"/>
          <w:numId w:val="0"/>
        </w:numPr>
        <w:rPr>
          <w:b/>
          <w:bCs/>
          <w:lang w:val="es-ES_tradnl"/>
        </w:rPr>
      </w:pPr>
      <w:r w:rsidRPr="005055EB">
        <w:rPr>
          <w:b/>
          <w:bCs/>
          <w:lang w:val="es-ES_tradnl"/>
        </w:rPr>
        <w:lastRenderedPageBreak/>
        <w:t>f)</w:t>
      </w:r>
      <w:r w:rsidRPr="005055EB">
        <w:rPr>
          <w:b/>
          <w:bCs/>
          <w:lang w:val="es-ES_tradnl"/>
        </w:rPr>
        <w:tab/>
      </w:r>
      <w:r w:rsidR="009F5B27" w:rsidRPr="005055EB">
        <w:rPr>
          <w:b/>
          <w:bCs/>
          <w:lang w:val="es-ES_tradnl"/>
        </w:rPr>
        <w:t>Desempeño de los organismos de ejecución</w:t>
      </w:r>
    </w:p>
    <w:p w14:paraId="63EF0BD7" w14:textId="51D6F608" w:rsidR="008001A5" w:rsidRPr="005055EB" w:rsidRDefault="009F5B27" w:rsidP="001156A2">
      <w:pPr>
        <w:pStyle w:val="Heading1"/>
        <w:keepNext/>
        <w:keepLines/>
        <w:widowControl w:val="0"/>
        <w:tabs>
          <w:tab w:val="clear" w:pos="0"/>
          <w:tab w:val="num" w:pos="792"/>
        </w:tabs>
        <w:rPr>
          <w:lang w:val="es-ES_tradnl"/>
        </w:rPr>
      </w:pPr>
      <w:r w:rsidRPr="005055EB">
        <w:rPr>
          <w:lang w:val="es-ES_tradnl"/>
        </w:rPr>
        <w:t xml:space="preserve">En la 95ª reunión, el Comité Ejecutivo tomó nota de la evaluación del </w:t>
      </w:r>
      <w:r w:rsidR="0064193C" w:rsidRPr="005055EB">
        <w:rPr>
          <w:lang w:val="es-ES_tradnl"/>
        </w:rPr>
        <w:t xml:space="preserve">desempeño </w:t>
      </w:r>
      <w:r w:rsidRPr="005055EB">
        <w:rPr>
          <w:lang w:val="es-ES_tradnl"/>
        </w:rPr>
        <w:t>de los organismos de ejecución</w:t>
      </w:r>
      <w:r w:rsidR="0064193C" w:rsidRPr="005055EB">
        <w:rPr>
          <w:lang w:val="es-ES_tradnl"/>
        </w:rPr>
        <w:t xml:space="preserve"> comparándolos con sus </w:t>
      </w:r>
      <w:r w:rsidRPr="005055EB">
        <w:rPr>
          <w:lang w:val="es-ES_tradnl"/>
        </w:rPr>
        <w:t>planes</w:t>
      </w:r>
      <w:r w:rsidRPr="005055EB">
        <w:rPr>
          <w:bCs/>
          <w:lang w:val="es-ES_tradnl"/>
        </w:rPr>
        <w:t xml:space="preserve"> administrativos</w:t>
      </w:r>
      <w:r w:rsidRPr="005055EB">
        <w:rPr>
          <w:bCs/>
          <w:vertAlign w:val="superscript"/>
          <w:lang w:val="es-ES_tradnl"/>
        </w:rPr>
        <w:footnoteReference w:id="43"/>
      </w:r>
      <w:r w:rsidRPr="005055EB">
        <w:rPr>
          <w:bCs/>
          <w:lang w:val="es-ES_tradnl"/>
        </w:rPr>
        <w:t xml:space="preserve"> </w:t>
      </w:r>
      <w:r w:rsidRPr="005055EB">
        <w:rPr>
          <w:lang w:val="es-ES_tradnl"/>
        </w:rPr>
        <w:t>para 2023.</w:t>
      </w:r>
      <w:r w:rsidR="003D46A9" w:rsidRPr="005055EB">
        <w:rPr>
          <w:lang w:val="es-ES_tradnl"/>
        </w:rPr>
        <w:t xml:space="preserve"> </w:t>
      </w:r>
      <w:r w:rsidRPr="005055EB">
        <w:rPr>
          <w:lang w:val="es-ES_tradnl"/>
        </w:rPr>
        <w:t xml:space="preserve">Todos los organismos de ejecución </w:t>
      </w:r>
      <w:r w:rsidR="005B61BC" w:rsidRPr="005055EB">
        <w:rPr>
          <w:lang w:val="es-ES_tradnl"/>
        </w:rPr>
        <w:t xml:space="preserve">tuvieron </w:t>
      </w:r>
      <w:r w:rsidRPr="005055EB">
        <w:rPr>
          <w:lang w:val="es-ES_tradnl"/>
        </w:rPr>
        <w:t xml:space="preserve">una evaluación cuantitativa de su </w:t>
      </w:r>
      <w:r w:rsidR="005B61BC" w:rsidRPr="005055EB">
        <w:rPr>
          <w:lang w:val="es-ES_tradnl"/>
        </w:rPr>
        <w:t>desempeño</w:t>
      </w:r>
      <w:r w:rsidRPr="005055EB">
        <w:rPr>
          <w:lang w:val="es-ES_tradnl"/>
        </w:rPr>
        <w:t xml:space="preserve"> para 2023 de 80 </w:t>
      </w:r>
      <w:r w:rsidR="005B61BC" w:rsidRPr="005055EB">
        <w:rPr>
          <w:lang w:val="es-ES_tradnl"/>
        </w:rPr>
        <w:t xml:space="preserve">como mínimo </w:t>
      </w:r>
      <w:r w:rsidRPr="005055EB">
        <w:rPr>
          <w:lang w:val="es-ES_tradnl"/>
        </w:rPr>
        <w:t xml:space="preserve">en una escala de 100, y el </w:t>
      </w:r>
      <w:r w:rsidR="005B61BC" w:rsidRPr="005055EB">
        <w:rPr>
          <w:lang w:val="es-ES_tradnl"/>
        </w:rPr>
        <w:t xml:space="preserve">desempeño </w:t>
      </w:r>
      <w:r w:rsidRPr="005055EB">
        <w:rPr>
          <w:lang w:val="es-ES_tradnl"/>
        </w:rPr>
        <w:t>cuantitativo del PNUD, la ONUDI y el Banco Mundial en 2023 había mejorado en comparación con 2022. Sin embargo, el análisis de tendencias</w:t>
      </w:r>
      <w:r w:rsidR="005B61BC" w:rsidRPr="005055EB">
        <w:rPr>
          <w:lang w:val="es-ES_tradnl"/>
        </w:rPr>
        <w:t xml:space="preserve"> señal</w:t>
      </w:r>
      <w:r w:rsidRPr="005055EB">
        <w:rPr>
          <w:lang w:val="es-ES_tradnl"/>
        </w:rPr>
        <w:t xml:space="preserve">ó que, en 2023, </w:t>
      </w:r>
      <w:r w:rsidR="005B61BC" w:rsidRPr="005055EB">
        <w:rPr>
          <w:lang w:val="es-ES"/>
        </w:rPr>
        <w:t xml:space="preserve">para algunos indicadores, el desempeño de los organismos de ejecución no había mejorado en comparación con </w:t>
      </w:r>
      <w:r w:rsidRPr="005055EB">
        <w:rPr>
          <w:lang w:val="es-ES_tradnl"/>
        </w:rPr>
        <w:t xml:space="preserve">2022. El Comité tomó nota, con reconocimiento, de los esfuerzos </w:t>
      </w:r>
      <w:r w:rsidR="008001A5" w:rsidRPr="005055EB">
        <w:rPr>
          <w:lang w:val="es-ES_tradnl"/>
        </w:rPr>
        <w:t>desplegados</w:t>
      </w:r>
      <w:r w:rsidRPr="005055EB">
        <w:rPr>
          <w:lang w:val="es-ES_tradnl"/>
        </w:rPr>
        <w:t xml:space="preserve"> por los organismos bilaterales y de ejecución </w:t>
      </w:r>
      <w:r w:rsidR="008001A5" w:rsidRPr="005055EB">
        <w:rPr>
          <w:lang w:val="es-ES_tradnl"/>
        </w:rPr>
        <w:t xml:space="preserve">en cuanto a sostener </w:t>
      </w:r>
      <w:r w:rsidRPr="005055EB">
        <w:rPr>
          <w:lang w:val="es-ES_tradnl"/>
        </w:rPr>
        <w:t>conversaciones abiertas y constructivas con las respectivas</w:t>
      </w:r>
      <w:r w:rsidR="008001A5" w:rsidRPr="005055EB">
        <w:rPr>
          <w:lang w:val="es-ES_tradnl"/>
        </w:rPr>
        <w:t xml:space="preserve"> oficinas </w:t>
      </w:r>
      <w:r w:rsidRPr="005055EB">
        <w:rPr>
          <w:lang w:val="es-ES_tradnl"/>
        </w:rPr>
        <w:t>nacionales del ozono (</w:t>
      </w:r>
      <w:r w:rsidR="008001A5" w:rsidRPr="005055EB">
        <w:rPr>
          <w:lang w:val="es-ES_tradnl"/>
        </w:rPr>
        <w:t>ONO</w:t>
      </w:r>
      <w:r w:rsidRPr="005055EB">
        <w:rPr>
          <w:lang w:val="es-ES_tradnl"/>
        </w:rPr>
        <w:t>)</w:t>
      </w:r>
      <w:r w:rsidR="008001A5" w:rsidRPr="005055EB">
        <w:rPr>
          <w:lang w:val="es-ES_tradnl"/>
        </w:rPr>
        <w:t xml:space="preserve"> </w:t>
      </w:r>
      <w:r w:rsidR="008001A5" w:rsidRPr="005055EB">
        <w:rPr>
          <w:lang w:val="es-ES"/>
        </w:rPr>
        <w:t>sobre los ámbitos en que sus servicios fueron percibidos como menos que satisfactorios y de los satisfactorios resultados logrados por estas consultas</w:t>
      </w:r>
      <w:r w:rsidRPr="005055EB">
        <w:rPr>
          <w:lang w:val="es-ES_tradnl"/>
        </w:rPr>
        <w:t xml:space="preserve">. </w:t>
      </w:r>
      <w:r w:rsidR="008001A5" w:rsidRPr="005055EB">
        <w:rPr>
          <w:lang w:val="es-ES_tradnl"/>
        </w:rPr>
        <w:t xml:space="preserve">El Comité Ejecutivo alentó a las Oficinas Nacionales del Ozono a presentar anualmente y con puntualidad su evaluación del desempeño cualitativo de los organismos bilaterales y de ejecución que colaboraban con sus Gobiernos </w:t>
      </w:r>
      <w:r w:rsidRPr="005055EB">
        <w:rPr>
          <w:lang w:val="es-ES_tradnl"/>
        </w:rPr>
        <w:t>(decisión 95/7)</w:t>
      </w:r>
      <w:r w:rsidR="005B61BC" w:rsidRPr="005055EB">
        <w:rPr>
          <w:lang w:val="es-ES_tradnl"/>
        </w:rPr>
        <w:t>.</w:t>
      </w:r>
    </w:p>
    <w:p w14:paraId="2EB26904" w14:textId="192CBA2D" w:rsidR="00F74A7B" w:rsidRPr="005055EB" w:rsidRDefault="00F74A7B" w:rsidP="00BC5C2A">
      <w:pPr>
        <w:pStyle w:val="Heading1"/>
        <w:keepNext/>
        <w:numPr>
          <w:ilvl w:val="0"/>
          <w:numId w:val="0"/>
        </w:numPr>
        <w:rPr>
          <w:b/>
          <w:bCs/>
          <w:sz w:val="24"/>
          <w:szCs w:val="24"/>
          <w:lang w:val="es-ES_tradnl"/>
        </w:rPr>
      </w:pPr>
      <w:r w:rsidRPr="005055EB">
        <w:rPr>
          <w:b/>
          <w:bCs/>
          <w:sz w:val="24"/>
          <w:szCs w:val="24"/>
          <w:lang w:val="es-ES_tradnl"/>
        </w:rPr>
        <w:t>D.</w:t>
      </w:r>
      <w:r w:rsidRPr="005055EB">
        <w:rPr>
          <w:b/>
          <w:bCs/>
          <w:sz w:val="24"/>
          <w:szCs w:val="24"/>
          <w:lang w:val="es-ES_tradnl"/>
        </w:rPr>
        <w:tab/>
        <w:t>Evalua</w:t>
      </w:r>
      <w:r w:rsidR="009F5B27" w:rsidRPr="005055EB">
        <w:rPr>
          <w:b/>
          <w:bCs/>
          <w:sz w:val="24"/>
          <w:szCs w:val="24"/>
          <w:lang w:val="es-ES_tradnl"/>
        </w:rPr>
        <w:t>ción</w:t>
      </w:r>
    </w:p>
    <w:p w14:paraId="0C9E4108" w14:textId="55228B68" w:rsidR="009F5B27" w:rsidRPr="005055EB" w:rsidRDefault="009F5B27" w:rsidP="00BC5C2A">
      <w:pPr>
        <w:pStyle w:val="Heading1"/>
        <w:tabs>
          <w:tab w:val="clear" w:pos="0"/>
        </w:tabs>
        <w:rPr>
          <w:lang w:val="es-ES_tradnl"/>
        </w:rPr>
      </w:pPr>
      <w:r w:rsidRPr="005055EB">
        <w:rPr>
          <w:lang w:val="es-ES_tradnl"/>
        </w:rPr>
        <w:t>En la 95ª reunión, el Comité Ejecutivo examinó el informe anual sobre la aplicación del programa de trabajo de seguimiento y evaluación para 2024</w:t>
      </w:r>
      <w:r w:rsidRPr="005055EB">
        <w:rPr>
          <w:rStyle w:val="FootnoteReference"/>
          <w:lang w:val="es-ES_tradnl"/>
        </w:rPr>
        <w:footnoteReference w:id="44"/>
      </w:r>
      <w:r w:rsidRPr="005055EB">
        <w:rPr>
          <w:lang w:val="es-ES_tradnl"/>
        </w:rPr>
        <w:t xml:space="preserve"> y aprobó el programa de trabajo revisado de seguimiento y evaluación para 2025</w:t>
      </w:r>
      <w:r w:rsidRPr="005055EB">
        <w:rPr>
          <w:rStyle w:val="FootnoteReference"/>
          <w:lang w:val="es-ES_tradnl"/>
        </w:rPr>
        <w:footnoteReference w:id="45"/>
      </w:r>
      <w:r w:rsidRPr="005055EB">
        <w:rPr>
          <w:lang w:val="es-ES_tradnl"/>
        </w:rPr>
        <w:t>, señalando que el informe de término de proyectos consolidado se presentaría anualmente, a partir de la primera reunión de 2025 (decisión 95/11).</w:t>
      </w:r>
    </w:p>
    <w:p w14:paraId="2B0D542B" w14:textId="26E0D131" w:rsidR="00376FA7" w:rsidRPr="005055EB" w:rsidRDefault="009F5B27" w:rsidP="00BC5C2A">
      <w:pPr>
        <w:pStyle w:val="Heading1"/>
        <w:rPr>
          <w:lang w:val="es-ES_tradnl"/>
        </w:rPr>
      </w:pPr>
      <w:r w:rsidRPr="005055EB">
        <w:rPr>
          <w:lang w:val="es-ES_tradnl"/>
        </w:rPr>
        <w:t>También en la 95ª reunión, el Comité tomó nota del informe final sobre la evaluación externa de la función de evaluación del Fondo Multilateral</w:t>
      </w:r>
      <w:r w:rsidRPr="005055EB">
        <w:rPr>
          <w:rStyle w:val="FootnoteReference"/>
          <w:lang w:val="es-ES_tradnl"/>
        </w:rPr>
        <w:footnoteReference w:id="46"/>
      </w:r>
      <w:r w:rsidRPr="005055EB">
        <w:rPr>
          <w:lang w:val="es-ES_tradnl"/>
        </w:rPr>
        <w:t xml:space="preserve"> y pidió a</w:t>
      </w:r>
      <w:r w:rsidR="001907C6" w:rsidRPr="005055EB">
        <w:rPr>
          <w:lang w:val="es-ES_tradnl"/>
        </w:rPr>
        <w:t xml:space="preserve"> la </w:t>
      </w:r>
      <w:r w:rsidRPr="005055EB">
        <w:rPr>
          <w:lang w:val="es-ES_tradnl"/>
        </w:rPr>
        <w:t>Oficial Superior de Supervisión y Evaluación que preparase, para su examen en la 96ª reunión, una posible respuesta de la dirección a la evaluación, incluida una política de evaluación para el Fondo Multilateral, teniendo en cuenta las sugerencias formuladas por los miembros del Comité Ejecutivo en la 95ª reunión</w:t>
      </w:r>
      <w:r w:rsidR="005F6B64" w:rsidRPr="005055EB">
        <w:rPr>
          <w:rStyle w:val="FootnoteReference"/>
          <w:lang w:val="es-ES_tradnl"/>
        </w:rPr>
        <w:footnoteReference w:id="47"/>
      </w:r>
      <w:r w:rsidRPr="005055EB">
        <w:rPr>
          <w:lang w:val="es-ES_tradnl"/>
        </w:rPr>
        <w:t xml:space="preserve">, el proyecto </w:t>
      </w:r>
      <w:r w:rsidR="003020EC" w:rsidRPr="005055EB">
        <w:rPr>
          <w:lang w:val="es-ES_tradnl"/>
        </w:rPr>
        <w:t xml:space="preserve">de esbozo </w:t>
      </w:r>
      <w:r w:rsidRPr="005055EB">
        <w:rPr>
          <w:lang w:val="es-ES_tradnl"/>
        </w:rPr>
        <w:t>de dicha política</w:t>
      </w:r>
      <w:r w:rsidR="005F6B64" w:rsidRPr="005055EB">
        <w:rPr>
          <w:rStyle w:val="FootnoteReference"/>
          <w:lang w:val="es-ES_tradnl"/>
        </w:rPr>
        <w:footnoteReference w:id="48"/>
      </w:r>
      <w:r w:rsidRPr="005055EB">
        <w:rPr>
          <w:lang w:val="es-ES_tradnl"/>
        </w:rPr>
        <w:t xml:space="preserve"> y las recomendaciones del informe final sobre la evaluación externa (decisión 95/8).</w:t>
      </w:r>
      <w:bookmarkStart w:id="7" w:name="_Hlk196862066"/>
    </w:p>
    <w:p w14:paraId="105280A2" w14:textId="1028C3BB" w:rsidR="00376FA7" w:rsidRPr="005055EB" w:rsidRDefault="005F6B64" w:rsidP="00BC5C2A">
      <w:pPr>
        <w:pStyle w:val="Heading1"/>
        <w:rPr>
          <w:lang w:val="es-ES_tradnl"/>
        </w:rPr>
      </w:pPr>
      <w:r w:rsidRPr="005055EB">
        <w:rPr>
          <w:lang w:val="es-ES_tradnl"/>
        </w:rPr>
        <w:t xml:space="preserve">En la misma reunión, el Comité Ejecutivo examinó el estudio teórico para la evaluación del </w:t>
      </w:r>
      <w:r w:rsidR="007879BF" w:rsidRPr="005055EB">
        <w:rPr>
          <w:lang w:val="es-ES"/>
        </w:rPr>
        <w:t>Programa de Asistencia al Cumplimiento (PAC)</w:t>
      </w:r>
      <w:r w:rsidR="007879BF" w:rsidRPr="005055EB">
        <w:rPr>
          <w:lang w:val="es-ES_tradnl"/>
        </w:rPr>
        <w:t xml:space="preserve"> </w:t>
      </w:r>
      <w:r w:rsidR="007879BF" w:rsidRPr="005055EB">
        <w:rPr>
          <w:rStyle w:val="FootnoteReference"/>
          <w:lang w:val="es-ES_tradnl"/>
        </w:rPr>
        <w:footnoteReference w:id="49"/>
      </w:r>
      <w:r w:rsidR="003D46A9" w:rsidRPr="005055EB">
        <w:rPr>
          <w:lang w:val="es-ES_tradnl"/>
        </w:rPr>
        <w:t xml:space="preserve"> </w:t>
      </w:r>
      <w:r w:rsidR="007879BF" w:rsidRPr="005055EB">
        <w:rPr>
          <w:lang w:val="es-ES"/>
        </w:rPr>
        <w:t xml:space="preserve">del PNUMA </w:t>
      </w:r>
      <w:r w:rsidRPr="005055EB">
        <w:rPr>
          <w:lang w:val="es-ES_tradnl"/>
        </w:rPr>
        <w:t>y pidió a</w:t>
      </w:r>
      <w:r w:rsidR="007879BF" w:rsidRPr="005055EB">
        <w:rPr>
          <w:lang w:val="es-ES_tradnl"/>
        </w:rPr>
        <w:t xml:space="preserve"> la</w:t>
      </w:r>
      <w:r w:rsidRPr="005055EB">
        <w:rPr>
          <w:lang w:val="es-ES_tradnl"/>
        </w:rPr>
        <w:t xml:space="preserve"> Oficial Superior de Supervisión y Evaluación que presentara</w:t>
      </w:r>
      <w:r w:rsidR="007879BF" w:rsidRPr="005055EB">
        <w:rPr>
          <w:lang w:val="es-ES_tradnl"/>
        </w:rPr>
        <w:t xml:space="preserve"> </w:t>
      </w:r>
      <w:r w:rsidR="007879BF" w:rsidRPr="005055EB">
        <w:rPr>
          <w:lang w:val="es-ES"/>
        </w:rPr>
        <w:t>a la 97ª reunión un mandato actualizado para una evaluación exhaustiva a fondo del PAC, teniendo en cuenta</w:t>
      </w:r>
      <w:r w:rsidRPr="005055EB">
        <w:rPr>
          <w:lang w:val="es-ES_tradnl"/>
        </w:rPr>
        <w:t xml:space="preserve"> las sugerencias formuladas por los miembros del Comité Ejecutivo en la 95ª reunión</w:t>
      </w:r>
      <w:r w:rsidRPr="005055EB">
        <w:rPr>
          <w:rStyle w:val="FootnoteReference"/>
          <w:lang w:val="es-ES_tradnl"/>
        </w:rPr>
        <w:footnoteReference w:id="50"/>
      </w:r>
      <w:r w:rsidRPr="005055EB">
        <w:rPr>
          <w:lang w:val="es-ES_tradnl"/>
        </w:rPr>
        <w:t xml:space="preserve"> y los informes que presentarían el programa AcciónOzono y </w:t>
      </w:r>
      <w:r w:rsidR="007879BF" w:rsidRPr="005055EB">
        <w:rPr>
          <w:lang w:val="es-ES_tradnl"/>
        </w:rPr>
        <w:t xml:space="preserve">la </w:t>
      </w:r>
      <w:r w:rsidRPr="005055EB">
        <w:rPr>
          <w:lang w:val="es-ES_tradnl"/>
        </w:rPr>
        <w:t>Oficial Superior de Supervisión y Evaluación a las reuniones 96ª</w:t>
      </w:r>
      <w:r w:rsidR="00C445D8" w:rsidRPr="005055EB">
        <w:rPr>
          <w:rStyle w:val="FootnoteReference"/>
        </w:rPr>
        <w:footnoteReference w:id="51"/>
      </w:r>
      <w:r w:rsidR="003D46A9" w:rsidRPr="005055EB">
        <w:rPr>
          <w:lang w:val="es-ES"/>
        </w:rPr>
        <w:t xml:space="preserve"> </w:t>
      </w:r>
      <w:r w:rsidRPr="005055EB">
        <w:rPr>
          <w:lang w:val="es-ES_tradnl"/>
        </w:rPr>
        <w:t>y 97ª, respectivamente, y l</w:t>
      </w:r>
      <w:r w:rsidR="001907C6" w:rsidRPr="005055EB">
        <w:rPr>
          <w:lang w:val="es-ES_tradnl"/>
        </w:rPr>
        <w:t xml:space="preserve">as deliberaciones y </w:t>
      </w:r>
      <w:r w:rsidRPr="005055EB">
        <w:rPr>
          <w:lang w:val="es-ES_tradnl"/>
        </w:rPr>
        <w:t>decisiones conex</w:t>
      </w:r>
      <w:r w:rsidR="001907C6" w:rsidRPr="005055EB">
        <w:rPr>
          <w:lang w:val="es-ES_tradnl"/>
        </w:rPr>
        <w:t>a</w:t>
      </w:r>
      <w:r w:rsidRPr="005055EB">
        <w:rPr>
          <w:lang w:val="es-ES_tradnl"/>
        </w:rPr>
        <w:t>s (decisión 95/9). El Comité Ejecutivo tomó nota asimismo del mandato del estudio teórico para la evaluación de los proyectos de recuperación, reciclado y regeneración</w:t>
      </w:r>
      <w:r w:rsidRPr="005055EB">
        <w:rPr>
          <w:rStyle w:val="FootnoteReference"/>
          <w:lang w:val="es-ES_tradnl"/>
        </w:rPr>
        <w:footnoteReference w:id="52"/>
      </w:r>
      <w:r w:rsidRPr="005055EB">
        <w:rPr>
          <w:lang w:val="es-ES_tradnl"/>
        </w:rPr>
        <w:t xml:space="preserve"> y pidió a</w:t>
      </w:r>
      <w:r w:rsidR="001907C6" w:rsidRPr="005055EB">
        <w:rPr>
          <w:lang w:val="es-ES_tradnl"/>
        </w:rPr>
        <w:t xml:space="preserve"> </w:t>
      </w:r>
      <w:r w:rsidRPr="005055EB">
        <w:rPr>
          <w:lang w:val="es-ES_tradnl"/>
        </w:rPr>
        <w:t>l</w:t>
      </w:r>
      <w:r w:rsidR="001907C6" w:rsidRPr="005055EB">
        <w:rPr>
          <w:lang w:val="es-ES_tradnl"/>
        </w:rPr>
        <w:t xml:space="preserve">a </w:t>
      </w:r>
      <w:r w:rsidRPr="005055EB">
        <w:rPr>
          <w:lang w:val="es-ES_tradnl"/>
        </w:rPr>
        <w:t>Oficial Superior de Supervisión y Evaluación que, al llevar a cabo la evaluación de los proyectos de recuperación, reciclado y regeneración, tuviera en cuenta las observaciones al respecto formuladas por los miembros del Comité Ejecutivo en la 95ª reunión</w:t>
      </w:r>
      <w:r w:rsidRPr="005055EB">
        <w:rPr>
          <w:rStyle w:val="FootnoteReference"/>
          <w:lang w:val="es-ES_tradnl"/>
        </w:rPr>
        <w:footnoteReference w:id="53"/>
      </w:r>
      <w:r w:rsidRPr="005055EB">
        <w:rPr>
          <w:lang w:val="es-ES_tradnl"/>
        </w:rPr>
        <w:t xml:space="preserve"> (decisión 95/10).</w:t>
      </w:r>
      <w:bookmarkEnd w:id="7"/>
    </w:p>
    <w:p w14:paraId="7929DECB" w14:textId="5174FE74" w:rsidR="00F74A7B" w:rsidRPr="005055EB" w:rsidRDefault="00F74A7B" w:rsidP="001156A2">
      <w:pPr>
        <w:pStyle w:val="Heading1"/>
        <w:keepNext/>
        <w:keepLines/>
        <w:widowControl w:val="0"/>
        <w:rPr>
          <w:lang w:val="es-ES_tradnl"/>
        </w:rPr>
      </w:pPr>
      <w:r w:rsidRPr="005055EB">
        <w:rPr>
          <w:highlight w:val="yellow"/>
          <w:lang w:val="es-ES_tradnl"/>
        </w:rPr>
        <w:lastRenderedPageBreak/>
        <w:t>[</w:t>
      </w:r>
      <w:r w:rsidR="00410D7E" w:rsidRPr="005055EB">
        <w:rPr>
          <w:highlight w:val="yellow"/>
          <w:lang w:val="es-ES_tradnl"/>
        </w:rPr>
        <w:t>En la 96ª reunión</w:t>
      </w:r>
      <w:r w:rsidRPr="005055EB">
        <w:rPr>
          <w:highlight w:val="yellow"/>
          <w:lang w:val="es-ES_tradnl"/>
        </w:rPr>
        <w:t>…]</w:t>
      </w:r>
    </w:p>
    <w:p w14:paraId="5655147F" w14:textId="53C5A657" w:rsidR="00F74A7B" w:rsidRPr="005055EB" w:rsidRDefault="00F74A7B" w:rsidP="001156A2">
      <w:pPr>
        <w:pStyle w:val="Heading2"/>
        <w:keepNext/>
        <w:keepLines/>
        <w:rPr>
          <w:b/>
          <w:bCs/>
          <w:sz w:val="24"/>
          <w:szCs w:val="24"/>
          <w:lang w:val="es-ES_tradnl"/>
        </w:rPr>
      </w:pPr>
      <w:r w:rsidRPr="005055EB">
        <w:rPr>
          <w:b/>
          <w:bCs/>
          <w:sz w:val="24"/>
          <w:szCs w:val="24"/>
          <w:lang w:val="es-ES_tradnl"/>
        </w:rPr>
        <w:t>E.</w:t>
      </w:r>
      <w:r w:rsidRPr="005055EB">
        <w:rPr>
          <w:b/>
          <w:bCs/>
          <w:sz w:val="24"/>
          <w:szCs w:val="24"/>
          <w:lang w:val="es-ES_tradnl"/>
        </w:rPr>
        <w:tab/>
      </w:r>
      <w:r w:rsidR="005574A6" w:rsidRPr="005055EB">
        <w:rPr>
          <w:b/>
          <w:bCs/>
          <w:sz w:val="24"/>
          <w:szCs w:val="24"/>
          <w:lang w:val="es-ES_tradnl"/>
        </w:rPr>
        <w:t>Planificación administrativa y asuntos financieros</w:t>
      </w:r>
    </w:p>
    <w:p w14:paraId="190024A1" w14:textId="6DD2F9D3" w:rsidR="00F74A7B" w:rsidRPr="005055EB" w:rsidRDefault="00F74A7B" w:rsidP="00BC5C2A">
      <w:pPr>
        <w:pStyle w:val="Heading2"/>
        <w:rPr>
          <w:b/>
          <w:bCs/>
          <w:lang w:val="es-ES_tradnl"/>
        </w:rPr>
      </w:pPr>
      <w:r w:rsidRPr="005055EB">
        <w:rPr>
          <w:b/>
          <w:bCs/>
          <w:lang w:val="es-ES_tradnl"/>
        </w:rPr>
        <w:t>1.</w:t>
      </w:r>
      <w:r w:rsidRPr="005055EB">
        <w:rPr>
          <w:b/>
          <w:bCs/>
          <w:lang w:val="es-ES_tradnl"/>
        </w:rPr>
        <w:tab/>
      </w:r>
      <w:r w:rsidR="005574A6" w:rsidRPr="005055EB">
        <w:rPr>
          <w:b/>
          <w:bCs/>
          <w:lang w:val="es-ES_tradnl"/>
        </w:rPr>
        <w:t>Planificación administrativa</w:t>
      </w:r>
    </w:p>
    <w:p w14:paraId="0FC108F2" w14:textId="43650C1D" w:rsidR="00376FA7" w:rsidRPr="005055EB" w:rsidRDefault="00E966D9" w:rsidP="00BC5C2A">
      <w:pPr>
        <w:pStyle w:val="Heading1"/>
        <w:tabs>
          <w:tab w:val="clear" w:pos="0"/>
          <w:tab w:val="num" w:pos="709"/>
        </w:tabs>
        <w:rPr>
          <w:lang w:val="es-ES_tradnl"/>
        </w:rPr>
      </w:pPr>
      <w:r w:rsidRPr="005055EB">
        <w:rPr>
          <w:lang w:val="es-ES_tradnl"/>
        </w:rPr>
        <w:t xml:space="preserve">En la 95ª reunión, el Comité Ejecutivo examinó una actualización del estado de ejecución del </w:t>
      </w:r>
      <w:r w:rsidR="00EE56B2" w:rsidRPr="005055EB">
        <w:rPr>
          <w:lang w:val="es-ES_tradnl"/>
        </w:rPr>
        <w:t xml:space="preserve">plan administrativo </w:t>
      </w:r>
      <w:r w:rsidR="00C445D8" w:rsidRPr="005055EB">
        <w:rPr>
          <w:lang w:val="es-ES_tradnl"/>
        </w:rPr>
        <w:t xml:space="preserve">consolidado </w:t>
      </w:r>
      <w:r w:rsidRPr="005055EB">
        <w:rPr>
          <w:lang w:val="es-ES_tradnl"/>
        </w:rPr>
        <w:t>del Fondo Multilateral para 2024-2026</w:t>
      </w:r>
      <w:r w:rsidRPr="005055EB">
        <w:rPr>
          <w:bCs/>
          <w:vertAlign w:val="superscript"/>
          <w:lang w:val="es-ES_tradnl"/>
        </w:rPr>
        <w:footnoteReference w:id="54"/>
      </w:r>
      <w:r w:rsidRPr="005055EB">
        <w:rPr>
          <w:lang w:val="es-ES_tradnl"/>
        </w:rPr>
        <w:t>, tomando nota del valor total de las actividades presentadas a la 95ª reunión. (decisión 95/25).</w:t>
      </w:r>
    </w:p>
    <w:p w14:paraId="087A8EEA" w14:textId="2DE969EE" w:rsidR="00376FA7" w:rsidRPr="005055EB" w:rsidRDefault="00E966D9" w:rsidP="00BC5C2A">
      <w:pPr>
        <w:pStyle w:val="Heading1"/>
        <w:tabs>
          <w:tab w:val="clear" w:pos="0"/>
          <w:tab w:val="num" w:pos="709"/>
        </w:tabs>
        <w:rPr>
          <w:lang w:val="es-ES_tradnl"/>
        </w:rPr>
      </w:pPr>
      <w:r w:rsidRPr="005055EB">
        <w:rPr>
          <w:lang w:val="es-ES_tradnl"/>
        </w:rPr>
        <w:t xml:space="preserve">Asimismo, en la 95ª reunión, el Comité Ejecutivo examinó el </w:t>
      </w:r>
      <w:r w:rsidR="00EE56B2" w:rsidRPr="005055EB">
        <w:rPr>
          <w:lang w:val="es-ES_tradnl"/>
        </w:rPr>
        <w:t xml:space="preserve">plan administrativo </w:t>
      </w:r>
      <w:r w:rsidR="00195990" w:rsidRPr="005055EB">
        <w:rPr>
          <w:lang w:val="es-ES_tradnl"/>
        </w:rPr>
        <w:t>consolidado</w:t>
      </w:r>
      <w:r w:rsidRPr="005055EB">
        <w:rPr>
          <w:lang w:val="es-ES_tradnl"/>
        </w:rPr>
        <w:t xml:space="preserve"> del Fondo Multilateral para 2025-2027</w:t>
      </w:r>
      <w:r w:rsidR="00DD65DA" w:rsidRPr="005055EB">
        <w:rPr>
          <w:bCs/>
          <w:vertAlign w:val="superscript"/>
          <w:lang w:val="es-ES_tradnl"/>
        </w:rPr>
        <w:footnoteReference w:id="55"/>
      </w:r>
      <w:r w:rsidRPr="005055EB">
        <w:rPr>
          <w:lang w:val="es-ES_tradnl"/>
        </w:rPr>
        <w:t>.</w:t>
      </w:r>
      <w:r w:rsidR="003D46A9" w:rsidRPr="005055EB">
        <w:rPr>
          <w:lang w:val="es-ES_tradnl"/>
        </w:rPr>
        <w:t xml:space="preserve"> </w:t>
      </w:r>
      <w:r w:rsidRPr="005055EB">
        <w:rPr>
          <w:lang w:val="es-ES_tradnl"/>
        </w:rPr>
        <w:t xml:space="preserve">Tras realizar una serie de ajustes, </w:t>
      </w:r>
      <w:r w:rsidR="00195990" w:rsidRPr="005055EB">
        <w:rPr>
          <w:lang w:val="es-ES_tradnl"/>
        </w:rPr>
        <w:t>avaló</w:t>
      </w:r>
      <w:r w:rsidRPr="005055EB">
        <w:rPr>
          <w:lang w:val="es-ES_tradnl"/>
        </w:rPr>
        <w:t xml:space="preserve"> el </w:t>
      </w:r>
      <w:r w:rsidR="00EE56B2" w:rsidRPr="005055EB">
        <w:rPr>
          <w:lang w:val="es-ES_tradnl"/>
        </w:rPr>
        <w:t xml:space="preserve">plan administrativo </w:t>
      </w:r>
      <w:r w:rsidR="00195990" w:rsidRPr="005055EB">
        <w:rPr>
          <w:lang w:val="es-ES_tradnl"/>
        </w:rPr>
        <w:t>consolidado</w:t>
      </w:r>
      <w:r w:rsidRPr="005055EB">
        <w:rPr>
          <w:lang w:val="es-ES_tradnl"/>
        </w:rPr>
        <w:t xml:space="preserve"> para 2025-2027, señalando que </w:t>
      </w:r>
      <w:r w:rsidR="00195990" w:rsidRPr="005055EB">
        <w:rPr>
          <w:lang w:val="es-ES_tradnl"/>
        </w:rPr>
        <w:t xml:space="preserve">dicho aval </w:t>
      </w:r>
      <w:r w:rsidRPr="005055EB">
        <w:rPr>
          <w:lang w:val="es-ES_tradnl"/>
        </w:rPr>
        <w:t xml:space="preserve">no </w:t>
      </w:r>
      <w:r w:rsidR="00195990" w:rsidRPr="005055EB">
        <w:rPr>
          <w:lang w:val="es-ES_tradnl"/>
        </w:rPr>
        <w:t xml:space="preserve">suponía </w:t>
      </w:r>
      <w:r w:rsidRPr="005055EB">
        <w:rPr>
          <w:lang w:val="es-ES_tradnl"/>
        </w:rPr>
        <w:t xml:space="preserve">la aprobación </w:t>
      </w:r>
      <w:r w:rsidR="00195990" w:rsidRPr="005055EB">
        <w:rPr>
          <w:lang w:val="es-ES_tradnl"/>
        </w:rPr>
        <w:t xml:space="preserve">ni </w:t>
      </w:r>
      <w:r w:rsidRPr="005055EB">
        <w:rPr>
          <w:lang w:val="es-ES_tradnl"/>
        </w:rPr>
        <w:t xml:space="preserve">de los proyectos </w:t>
      </w:r>
      <w:r w:rsidR="00195990" w:rsidRPr="005055EB">
        <w:rPr>
          <w:lang w:val="es-ES_tradnl"/>
        </w:rPr>
        <w:t xml:space="preserve">incluidos </w:t>
      </w:r>
      <w:r w:rsidRPr="005055EB">
        <w:rPr>
          <w:lang w:val="es-ES_tradnl"/>
        </w:rPr>
        <w:t xml:space="preserve">en </w:t>
      </w:r>
      <w:r w:rsidR="00195990" w:rsidRPr="005055EB">
        <w:rPr>
          <w:lang w:val="es-ES_tradnl"/>
        </w:rPr>
        <w:t xml:space="preserve">ese plan </w:t>
      </w:r>
      <w:r w:rsidRPr="005055EB">
        <w:rPr>
          <w:lang w:val="es-ES_tradnl"/>
        </w:rPr>
        <w:t xml:space="preserve">ni de sus niveles de </w:t>
      </w:r>
      <w:r w:rsidR="00195990" w:rsidRPr="005055EB">
        <w:rPr>
          <w:lang w:val="es-ES_tradnl"/>
        </w:rPr>
        <w:t xml:space="preserve">financiamiento </w:t>
      </w:r>
      <w:r w:rsidRPr="005055EB">
        <w:rPr>
          <w:lang w:val="es-ES_tradnl"/>
        </w:rPr>
        <w:t xml:space="preserve">o tonelaje (decisión 95/27). El Comité también examinó los planes </w:t>
      </w:r>
      <w:r w:rsidR="00195990" w:rsidRPr="005055EB">
        <w:rPr>
          <w:lang w:val="es-ES_tradnl"/>
        </w:rPr>
        <w:t xml:space="preserve">administrativos </w:t>
      </w:r>
      <w:r w:rsidRPr="005055EB">
        <w:rPr>
          <w:lang w:val="es-ES_tradnl"/>
        </w:rPr>
        <w:t>para 2025-2027 de los organismos bilaterales (Gobiernos de Alemania, Australia, Chequia, Francia y el Reino Unido de Gran Bretaña e Irlanda del Norte)</w:t>
      </w:r>
      <w:r w:rsidR="00DD65DA" w:rsidRPr="005055EB">
        <w:rPr>
          <w:bCs/>
          <w:vertAlign w:val="superscript"/>
          <w:lang w:val="es-ES_tradnl"/>
        </w:rPr>
        <w:footnoteReference w:id="56"/>
      </w:r>
      <w:r w:rsidRPr="005055EB">
        <w:rPr>
          <w:lang w:val="es-ES_tradnl"/>
        </w:rPr>
        <w:t>, el PNUD</w:t>
      </w:r>
      <w:r w:rsidR="00DD65DA" w:rsidRPr="005055EB">
        <w:rPr>
          <w:bCs/>
          <w:vertAlign w:val="superscript"/>
          <w:lang w:val="es-ES_tradnl"/>
        </w:rPr>
        <w:footnoteReference w:id="57"/>
      </w:r>
      <w:r w:rsidRPr="005055EB">
        <w:rPr>
          <w:lang w:val="es-ES_tradnl"/>
        </w:rPr>
        <w:t>, el PNUMA</w:t>
      </w:r>
      <w:r w:rsidR="00DD65DA" w:rsidRPr="005055EB">
        <w:rPr>
          <w:bCs/>
          <w:vertAlign w:val="superscript"/>
          <w:lang w:val="es-ES_tradnl"/>
        </w:rPr>
        <w:footnoteReference w:id="58"/>
      </w:r>
      <w:r w:rsidRPr="005055EB">
        <w:rPr>
          <w:lang w:val="es-ES_tradnl"/>
        </w:rPr>
        <w:t>, la ONUDI</w:t>
      </w:r>
      <w:r w:rsidR="00DD65DA" w:rsidRPr="005055EB">
        <w:rPr>
          <w:bCs/>
          <w:vertAlign w:val="superscript"/>
          <w:lang w:val="es-ES_tradnl"/>
        </w:rPr>
        <w:footnoteReference w:id="59"/>
      </w:r>
      <w:r w:rsidRPr="005055EB">
        <w:rPr>
          <w:lang w:val="es-ES_tradnl"/>
        </w:rPr>
        <w:t xml:space="preserve"> y el Banco Mundial</w:t>
      </w:r>
      <w:r w:rsidR="00DD65DA" w:rsidRPr="005055EB">
        <w:rPr>
          <w:bCs/>
          <w:vertAlign w:val="superscript"/>
          <w:lang w:val="es-ES_tradnl"/>
        </w:rPr>
        <w:footnoteReference w:id="60"/>
      </w:r>
      <w:r w:rsidRPr="005055EB">
        <w:rPr>
          <w:lang w:val="es-ES_tradnl"/>
        </w:rPr>
        <w:t>.</w:t>
      </w:r>
      <w:r w:rsidR="003D46A9" w:rsidRPr="005055EB">
        <w:rPr>
          <w:lang w:val="es-ES_tradnl"/>
        </w:rPr>
        <w:t xml:space="preserve"> </w:t>
      </w:r>
      <w:r w:rsidRPr="005055EB">
        <w:rPr>
          <w:lang w:val="es-ES_tradnl"/>
        </w:rPr>
        <w:t xml:space="preserve">Tomando nota de los planes, aprobó los indicadores de </w:t>
      </w:r>
      <w:r w:rsidR="00195990" w:rsidRPr="005055EB">
        <w:rPr>
          <w:lang w:val="es-ES_tradnl"/>
        </w:rPr>
        <w:t>desempeño</w:t>
      </w:r>
      <w:r w:rsidRPr="005055EB">
        <w:rPr>
          <w:lang w:val="es-ES_tradnl"/>
        </w:rPr>
        <w:t xml:space="preserve"> para el PNUD, el PNUMA, la ONUDI y el Banco Mundial que figuran en los anexos pertinentes del informe de dicha reunión</w:t>
      </w:r>
      <w:r w:rsidR="00DD65DA" w:rsidRPr="005055EB">
        <w:rPr>
          <w:bCs/>
          <w:vertAlign w:val="superscript"/>
          <w:lang w:val="es-ES_tradnl"/>
        </w:rPr>
        <w:footnoteReference w:id="61"/>
      </w:r>
      <w:r w:rsidR="00DD65DA" w:rsidRPr="005055EB">
        <w:rPr>
          <w:bCs/>
          <w:lang w:val="es-ES_tradnl"/>
        </w:rPr>
        <w:t xml:space="preserve"> </w:t>
      </w:r>
      <w:r w:rsidRPr="005055EB">
        <w:rPr>
          <w:lang w:val="es-ES_tradnl"/>
        </w:rPr>
        <w:t>(decisiones 95/28 a 95/32).</w:t>
      </w:r>
    </w:p>
    <w:p w14:paraId="3A89A5D5" w14:textId="3456FED2" w:rsidR="00F74A7B" w:rsidRPr="005055EB" w:rsidRDefault="00F74A7B" w:rsidP="00BC5C2A">
      <w:pPr>
        <w:pStyle w:val="Heading1"/>
        <w:tabs>
          <w:tab w:val="clear" w:pos="0"/>
          <w:tab w:val="num" w:pos="709"/>
        </w:tabs>
        <w:rPr>
          <w:lang w:val="es-ES_tradnl"/>
        </w:rPr>
      </w:pPr>
      <w:r w:rsidRPr="005055EB">
        <w:rPr>
          <w:bCs/>
          <w:highlight w:val="yellow"/>
          <w:lang w:val="es-ES_tradnl"/>
        </w:rPr>
        <w:t>[</w:t>
      </w:r>
      <w:r w:rsidR="00410D7E" w:rsidRPr="005055EB">
        <w:rPr>
          <w:bCs/>
          <w:highlight w:val="yellow"/>
          <w:lang w:val="es-ES_tradnl"/>
        </w:rPr>
        <w:t>En la 96ª reunión</w:t>
      </w:r>
      <w:r w:rsidRPr="005055EB">
        <w:rPr>
          <w:bCs/>
          <w:highlight w:val="yellow"/>
          <w:lang w:val="es-ES_tradnl"/>
        </w:rPr>
        <w:t xml:space="preserve">…] </w:t>
      </w:r>
    </w:p>
    <w:p w14:paraId="4DABC128" w14:textId="6A6C90C7" w:rsidR="00F74A7B" w:rsidRPr="005055EB" w:rsidRDefault="00F74A7B" w:rsidP="00BC5C2A">
      <w:pPr>
        <w:pStyle w:val="Heading1"/>
        <w:keepNext/>
        <w:numPr>
          <w:ilvl w:val="0"/>
          <w:numId w:val="0"/>
        </w:numPr>
        <w:rPr>
          <w:b/>
          <w:bCs/>
          <w:lang w:val="es-ES_tradnl"/>
        </w:rPr>
      </w:pPr>
      <w:r w:rsidRPr="005055EB">
        <w:rPr>
          <w:b/>
          <w:bCs/>
          <w:lang w:val="es-ES_tradnl"/>
        </w:rPr>
        <w:t>2.</w:t>
      </w:r>
      <w:r w:rsidRPr="005055EB">
        <w:rPr>
          <w:b/>
          <w:bCs/>
          <w:lang w:val="es-ES_tradnl"/>
        </w:rPr>
        <w:tab/>
      </w:r>
      <w:r w:rsidR="00DD65DA" w:rsidRPr="005055EB">
        <w:rPr>
          <w:b/>
          <w:bCs/>
          <w:lang w:val="es-ES_tradnl"/>
        </w:rPr>
        <w:t>Asuntos financieros</w:t>
      </w:r>
    </w:p>
    <w:p w14:paraId="511E0122" w14:textId="1BD9CAD3" w:rsidR="00F74A7B" w:rsidRPr="005055EB" w:rsidRDefault="00F74A7B" w:rsidP="00BC5C2A">
      <w:pPr>
        <w:pStyle w:val="Heading1"/>
        <w:keepNext/>
        <w:numPr>
          <w:ilvl w:val="0"/>
          <w:numId w:val="0"/>
        </w:numPr>
        <w:spacing w:before="240"/>
        <w:rPr>
          <w:b/>
          <w:lang w:val="es-ES_tradnl"/>
        </w:rPr>
      </w:pPr>
      <w:r w:rsidRPr="005055EB">
        <w:rPr>
          <w:b/>
          <w:lang w:val="es-ES_tradnl"/>
        </w:rPr>
        <w:t>a)</w:t>
      </w:r>
      <w:r w:rsidRPr="005055EB">
        <w:rPr>
          <w:b/>
          <w:lang w:val="es-ES_tradnl"/>
        </w:rPr>
        <w:tab/>
      </w:r>
      <w:r w:rsidR="00DD65DA" w:rsidRPr="005055EB">
        <w:rPr>
          <w:b/>
          <w:lang w:val="es-ES_tradnl"/>
        </w:rPr>
        <w:t>Situación del Fondo</w:t>
      </w:r>
      <w:r w:rsidRPr="005055EB">
        <w:rPr>
          <w:b/>
          <w:lang w:val="es-ES_tradnl"/>
        </w:rPr>
        <w:t xml:space="preserve"> Multilateral</w:t>
      </w:r>
    </w:p>
    <w:p w14:paraId="021EADD2" w14:textId="13A241E8" w:rsidR="005F0FFF" w:rsidRPr="005055EB" w:rsidRDefault="005F0FFF" w:rsidP="00BC5C2A">
      <w:pPr>
        <w:pStyle w:val="Heading1"/>
        <w:tabs>
          <w:tab w:val="clear" w:pos="0"/>
          <w:tab w:val="num" w:pos="720"/>
        </w:tabs>
        <w:rPr>
          <w:lang w:val="es-ES_tradnl"/>
        </w:rPr>
      </w:pPr>
      <w:r w:rsidRPr="005055EB">
        <w:rPr>
          <w:lang w:val="es-ES_tradnl"/>
        </w:rPr>
        <w:t xml:space="preserve">A fecha de </w:t>
      </w:r>
      <w:r w:rsidRPr="005055EB">
        <w:rPr>
          <w:highlight w:val="yellow"/>
          <w:lang w:val="es-ES_tradnl"/>
        </w:rPr>
        <w:t>[?? de mayo de 2025</w:t>
      </w:r>
      <w:r w:rsidRPr="005055EB">
        <w:rPr>
          <w:lang w:val="es-ES_tradnl"/>
        </w:rPr>
        <w:t xml:space="preserve">], el total de ingresos del Fondo Multilateral, incluyendo pagos en efectivo, pagarés en cartera, contribuciones bilaterales, intereses devengados e ingresos varios, ascendía a </w:t>
      </w:r>
      <w:r w:rsidRPr="005055EB">
        <w:rPr>
          <w:highlight w:val="yellow"/>
          <w:lang w:val="es-ES_tradnl"/>
        </w:rPr>
        <w:t>USD ???</w:t>
      </w:r>
      <w:r w:rsidRPr="005055EB">
        <w:rPr>
          <w:lang w:val="es-ES_tradnl"/>
        </w:rPr>
        <w:t xml:space="preserve">, y el total de asignaciones, incluyendo provisiones, ascendía a </w:t>
      </w:r>
      <w:r w:rsidRPr="005055EB">
        <w:rPr>
          <w:highlight w:val="yellow"/>
          <w:lang w:val="es-ES_tradnl"/>
        </w:rPr>
        <w:t>USD ???</w:t>
      </w:r>
      <w:r w:rsidRPr="005055EB">
        <w:rPr>
          <w:lang w:val="es-ES_tradnl"/>
        </w:rPr>
        <w:t xml:space="preserve">. Por lo tanto, el saldo disponible ascendía a </w:t>
      </w:r>
      <w:r w:rsidRPr="005055EB">
        <w:rPr>
          <w:highlight w:val="yellow"/>
          <w:lang w:val="es-ES_tradnl"/>
        </w:rPr>
        <w:t>USD ???</w:t>
      </w:r>
      <w:r w:rsidRPr="005055EB">
        <w:rPr>
          <w:rStyle w:val="FootnoteReference"/>
          <w:bCs/>
          <w:lang w:val="es-ES_tradnl"/>
        </w:rPr>
        <w:footnoteReference w:id="62"/>
      </w:r>
      <w:r w:rsidRPr="005055EB">
        <w:rPr>
          <w:lang w:val="es-ES_tradnl"/>
        </w:rPr>
        <w:t>.</w:t>
      </w:r>
    </w:p>
    <w:p w14:paraId="3291484D" w14:textId="723C3FF9" w:rsidR="00F74A7B" w:rsidRPr="005055EB" w:rsidRDefault="00F74A7B" w:rsidP="00BC5C2A">
      <w:pPr>
        <w:pStyle w:val="Heading1"/>
        <w:keepNext/>
        <w:numPr>
          <w:ilvl w:val="0"/>
          <w:numId w:val="0"/>
        </w:numPr>
        <w:spacing w:before="240"/>
        <w:rPr>
          <w:b/>
          <w:lang w:val="es-ES_tradnl"/>
        </w:rPr>
      </w:pPr>
      <w:r w:rsidRPr="005055EB">
        <w:rPr>
          <w:b/>
          <w:lang w:val="es-ES_tradnl"/>
        </w:rPr>
        <w:t>b)</w:t>
      </w:r>
      <w:r w:rsidRPr="005055EB">
        <w:rPr>
          <w:b/>
          <w:lang w:val="es-ES_tradnl"/>
        </w:rPr>
        <w:tab/>
      </w:r>
      <w:r w:rsidR="00B91B23" w:rsidRPr="005055EB">
        <w:rPr>
          <w:b/>
          <w:lang w:val="es-ES_tradnl"/>
        </w:rPr>
        <w:t xml:space="preserve">Contribuciones y desembolsos, saldos y recursos y cuentas y presupuestos </w:t>
      </w:r>
    </w:p>
    <w:p w14:paraId="220AA0B2" w14:textId="7A5F7789" w:rsidR="00E86156" w:rsidRPr="005055EB" w:rsidRDefault="00C41E78" w:rsidP="00BC5C2A">
      <w:pPr>
        <w:pStyle w:val="Heading1"/>
        <w:tabs>
          <w:tab w:val="clear" w:pos="0"/>
          <w:tab w:val="num" w:pos="720"/>
        </w:tabs>
        <w:rPr>
          <w:lang w:val="es-ES_tradnl"/>
        </w:rPr>
      </w:pPr>
      <w:r w:rsidRPr="005055EB">
        <w:rPr>
          <w:lang w:val="es-ES_tradnl"/>
        </w:rPr>
        <w:t>En la 95ª reunión, el Comité Ejecutivo examinó el informe de</w:t>
      </w:r>
      <w:r w:rsidR="00AF5D1A" w:rsidRPr="005055EB">
        <w:rPr>
          <w:lang w:val="es-ES_tradnl"/>
        </w:rPr>
        <w:t xml:space="preserve"> Tesorería </w:t>
      </w:r>
      <w:r w:rsidRPr="005055EB">
        <w:rPr>
          <w:lang w:val="es-ES_tradnl"/>
        </w:rPr>
        <w:t xml:space="preserve">sobre </w:t>
      </w:r>
      <w:r w:rsidR="00AF5D1A" w:rsidRPr="005055EB">
        <w:rPr>
          <w:lang w:val="es-ES_tradnl"/>
        </w:rPr>
        <w:t xml:space="preserve">la </w:t>
      </w:r>
      <w:r w:rsidR="003D46A9" w:rsidRPr="005055EB">
        <w:rPr>
          <w:lang w:val="es-ES_tradnl"/>
        </w:rPr>
        <w:t xml:space="preserve">situación </w:t>
      </w:r>
      <w:r w:rsidR="00AF5D1A" w:rsidRPr="005055EB">
        <w:rPr>
          <w:lang w:val="es-ES"/>
        </w:rPr>
        <w:t xml:space="preserve">de las </w:t>
      </w:r>
      <w:r w:rsidRPr="005055EB">
        <w:rPr>
          <w:lang w:val="es-ES_tradnl"/>
        </w:rPr>
        <w:t xml:space="preserve">contribuciones y </w:t>
      </w:r>
      <w:r w:rsidR="00AF5D1A" w:rsidRPr="005055EB">
        <w:rPr>
          <w:lang w:val="es-ES_tradnl"/>
        </w:rPr>
        <w:t xml:space="preserve">los </w:t>
      </w:r>
      <w:r w:rsidRPr="005055EB">
        <w:rPr>
          <w:lang w:val="es-ES_tradnl"/>
        </w:rPr>
        <w:t>desembolsos</w:t>
      </w:r>
      <w:r w:rsidRPr="005055EB">
        <w:rPr>
          <w:bCs/>
          <w:vertAlign w:val="superscript"/>
          <w:lang w:val="es-ES_tradnl"/>
        </w:rPr>
        <w:footnoteReference w:id="63"/>
      </w:r>
      <w:r w:rsidRPr="005055EB">
        <w:rPr>
          <w:lang w:val="es-ES_tradnl"/>
        </w:rPr>
        <w:t>, el informe sobre saldos y disponibilidad de recursos</w:t>
      </w:r>
      <w:r w:rsidRPr="005055EB">
        <w:rPr>
          <w:bCs/>
          <w:vertAlign w:val="superscript"/>
          <w:lang w:val="es-ES_tradnl"/>
        </w:rPr>
        <w:footnoteReference w:id="64"/>
      </w:r>
      <w:r w:rsidRPr="005055EB">
        <w:rPr>
          <w:lang w:val="es-ES_tradnl"/>
        </w:rPr>
        <w:t>, las cuentas definitivas de 2023 del Fondo Multilateral</w:t>
      </w:r>
      <w:r w:rsidRPr="005055EB">
        <w:rPr>
          <w:bCs/>
          <w:vertAlign w:val="superscript"/>
          <w:lang w:val="es-ES_tradnl"/>
        </w:rPr>
        <w:footnoteReference w:id="65"/>
      </w:r>
      <w:r w:rsidRPr="005055EB">
        <w:rPr>
          <w:lang w:val="es-ES_tradnl"/>
        </w:rPr>
        <w:t xml:space="preserve"> y la conciliación de las cuentas de 2023</w:t>
      </w:r>
      <w:r w:rsidRPr="005055EB">
        <w:rPr>
          <w:bCs/>
          <w:vertAlign w:val="superscript"/>
          <w:lang w:val="es-ES_tradnl"/>
        </w:rPr>
        <w:footnoteReference w:id="66"/>
      </w:r>
      <w:r w:rsidRPr="005055EB">
        <w:rPr>
          <w:lang w:val="es-ES_tradnl"/>
        </w:rPr>
        <w:t xml:space="preserve">, solicitando medidas </w:t>
      </w:r>
      <w:r w:rsidR="00AF5D1A" w:rsidRPr="005055EB">
        <w:rPr>
          <w:lang w:val="es-ES_tradnl"/>
        </w:rPr>
        <w:t xml:space="preserve">conexas de </w:t>
      </w:r>
      <w:r w:rsidRPr="005055EB">
        <w:rPr>
          <w:lang w:val="es-ES_tradnl"/>
        </w:rPr>
        <w:t xml:space="preserve">las Partes, los organismos de ejecución, </w:t>
      </w:r>
      <w:r w:rsidR="00AF5D1A" w:rsidRPr="005055EB">
        <w:rPr>
          <w:lang w:val="es-ES_tradnl"/>
        </w:rPr>
        <w:t>la Tesorería y la Directora</w:t>
      </w:r>
      <w:r w:rsidRPr="005055EB">
        <w:rPr>
          <w:lang w:val="es-ES_tradnl"/>
        </w:rPr>
        <w:t xml:space="preserve"> (decisiones 95/1 a 95/4). También examinó los presupuestos aprobados para 2025 y 2026 y el presupuesto propuesto para 2027 de </w:t>
      </w:r>
      <w:r w:rsidRPr="005055EB">
        <w:rPr>
          <w:lang w:val="es-ES_tradnl"/>
        </w:rPr>
        <w:lastRenderedPageBreak/>
        <w:t>la Secretaría</w:t>
      </w:r>
      <w:r w:rsidRPr="005055EB">
        <w:rPr>
          <w:bCs/>
          <w:vertAlign w:val="superscript"/>
          <w:lang w:val="es-ES_tradnl"/>
        </w:rPr>
        <w:footnoteReference w:id="67"/>
      </w:r>
      <w:r w:rsidRPr="005055EB">
        <w:rPr>
          <w:lang w:val="es-ES_tradnl"/>
        </w:rPr>
        <w:t xml:space="preserve"> y aprobó un presupuesto revisado para 2025, un presupuesto revisado para 2026 y el presupuesto propuesto para 2027 de la Secretaría (decisión 95/5).</w:t>
      </w:r>
    </w:p>
    <w:p w14:paraId="724FE33A" w14:textId="77777777" w:rsidR="00E86156" w:rsidRPr="005055EB" w:rsidRDefault="00F74A7B" w:rsidP="00BC5C2A">
      <w:pPr>
        <w:pStyle w:val="Heading1"/>
        <w:tabs>
          <w:tab w:val="clear" w:pos="0"/>
          <w:tab w:val="num" w:pos="720"/>
        </w:tabs>
        <w:rPr>
          <w:lang w:val="es-ES_tradnl"/>
        </w:rPr>
      </w:pPr>
      <w:r w:rsidRPr="005055EB">
        <w:rPr>
          <w:highlight w:val="yellow"/>
          <w:lang w:val="es-ES_tradnl"/>
        </w:rPr>
        <w:t>[</w:t>
      </w:r>
      <w:r w:rsidR="00410D7E" w:rsidRPr="005055EB">
        <w:rPr>
          <w:highlight w:val="yellow"/>
          <w:lang w:val="es-ES_tradnl"/>
        </w:rPr>
        <w:t>En la 96ª reunión</w:t>
      </w:r>
      <w:r w:rsidRPr="005055EB">
        <w:rPr>
          <w:highlight w:val="yellow"/>
          <w:lang w:val="es-ES_tradnl"/>
        </w:rPr>
        <w:t>…]</w:t>
      </w:r>
    </w:p>
    <w:p w14:paraId="20AC8828" w14:textId="4DAEE566" w:rsidR="00AF5D1A" w:rsidRPr="005055EB" w:rsidRDefault="00C41E78" w:rsidP="00BC5C2A">
      <w:pPr>
        <w:pStyle w:val="Heading1"/>
        <w:tabs>
          <w:tab w:val="clear" w:pos="0"/>
          <w:tab w:val="num" w:pos="720"/>
        </w:tabs>
        <w:rPr>
          <w:lang w:val="es-ES_tradnl"/>
        </w:rPr>
      </w:pPr>
      <w:r w:rsidRPr="005055EB">
        <w:rPr>
          <w:lang w:val="es-ES_tradnl"/>
        </w:rPr>
        <w:t>En las reuniones 95ª [</w:t>
      </w:r>
      <w:r w:rsidRPr="005055EB">
        <w:rPr>
          <w:highlight w:val="yellow"/>
          <w:lang w:val="es-ES_tradnl"/>
        </w:rPr>
        <w:t>y 96ª</w:t>
      </w:r>
      <w:r w:rsidRPr="005055EB">
        <w:rPr>
          <w:lang w:val="es-ES_tradnl"/>
        </w:rPr>
        <w:t>], el Comité Ejecutivo pidió a</w:t>
      </w:r>
      <w:r w:rsidR="00AF5D1A" w:rsidRPr="005055EB">
        <w:rPr>
          <w:lang w:val="es-ES_tradnl"/>
        </w:rPr>
        <w:t xml:space="preserve"> la Tesorería </w:t>
      </w:r>
      <w:r w:rsidRPr="005055EB">
        <w:rPr>
          <w:lang w:val="es-ES_tradnl"/>
        </w:rPr>
        <w:t xml:space="preserve">que compensara </w:t>
      </w:r>
      <w:r w:rsidR="00AF5D1A" w:rsidRPr="005055EB">
        <w:rPr>
          <w:lang w:val="es-ES_tradnl"/>
        </w:rPr>
        <w:t xml:space="preserve">el costo </w:t>
      </w:r>
      <w:r w:rsidRPr="005055EB">
        <w:rPr>
          <w:lang w:val="es-ES_tradnl"/>
        </w:rPr>
        <w:t>de los proyectos bilaterales aprobados en la reunión en cuestión con</w:t>
      </w:r>
      <w:r w:rsidR="00AF5D1A" w:rsidRPr="005055EB">
        <w:rPr>
          <w:lang w:val="es-ES_tradnl"/>
        </w:rPr>
        <w:t>tra</w:t>
      </w:r>
      <w:r w:rsidRPr="005055EB">
        <w:rPr>
          <w:lang w:val="es-ES_tradnl"/>
        </w:rPr>
        <w:t xml:space="preserve"> las contribuciones bilaterales de los gobiernos </w:t>
      </w:r>
      <w:r w:rsidR="00AF5D1A" w:rsidRPr="005055EB">
        <w:rPr>
          <w:lang w:val="es-ES_tradnl"/>
        </w:rPr>
        <w:t xml:space="preserve">pertinentes </w:t>
      </w:r>
      <w:r w:rsidRPr="005055EB">
        <w:rPr>
          <w:lang w:val="es-ES_tradnl"/>
        </w:rPr>
        <w:t>(decisiones 95/33 y [</w:t>
      </w:r>
      <w:r w:rsidRPr="005055EB">
        <w:rPr>
          <w:highlight w:val="yellow"/>
          <w:lang w:val="es-ES_tradnl"/>
        </w:rPr>
        <w:t>96/??</w:t>
      </w:r>
      <w:r w:rsidRPr="005055EB">
        <w:rPr>
          <w:lang w:val="es-ES_tradnl"/>
        </w:rPr>
        <w:t>]).</w:t>
      </w:r>
    </w:p>
    <w:p w14:paraId="193206C6" w14:textId="2C28F4A5" w:rsidR="00F74A7B" w:rsidRPr="005055EB" w:rsidRDefault="00F74A7B" w:rsidP="00BC5C2A">
      <w:pPr>
        <w:pStyle w:val="Heading1"/>
        <w:numPr>
          <w:ilvl w:val="0"/>
          <w:numId w:val="0"/>
        </w:numPr>
        <w:rPr>
          <w:b/>
          <w:bCs/>
          <w:sz w:val="24"/>
          <w:szCs w:val="24"/>
          <w:lang w:val="es-ES_tradnl"/>
        </w:rPr>
      </w:pPr>
      <w:r w:rsidRPr="005055EB">
        <w:rPr>
          <w:b/>
          <w:bCs/>
          <w:sz w:val="24"/>
          <w:szCs w:val="24"/>
          <w:lang w:val="es-ES_tradnl"/>
        </w:rPr>
        <w:t>F.</w:t>
      </w:r>
      <w:r w:rsidRPr="005055EB">
        <w:rPr>
          <w:b/>
          <w:bCs/>
          <w:sz w:val="24"/>
          <w:szCs w:val="24"/>
          <w:lang w:val="es-ES_tradnl"/>
        </w:rPr>
        <w:tab/>
      </w:r>
      <w:r w:rsidR="00B91B23" w:rsidRPr="005055EB">
        <w:rPr>
          <w:b/>
          <w:bCs/>
          <w:sz w:val="24"/>
          <w:szCs w:val="24"/>
          <w:lang w:val="es-ES_tradnl"/>
        </w:rPr>
        <w:t>Actividades de la Secretaría del Fondo</w:t>
      </w:r>
    </w:p>
    <w:p w14:paraId="33FB3F41" w14:textId="2B41A8AA" w:rsidR="00C41E78" w:rsidRPr="005055EB" w:rsidRDefault="00C41E78" w:rsidP="00BC5C2A">
      <w:pPr>
        <w:pStyle w:val="Heading1"/>
        <w:tabs>
          <w:tab w:val="clear" w:pos="0"/>
          <w:tab w:val="num" w:pos="720"/>
        </w:tabs>
        <w:rPr>
          <w:lang w:val="es-ES_tradnl"/>
        </w:rPr>
      </w:pPr>
      <w:r w:rsidRPr="005055EB">
        <w:rPr>
          <w:lang w:val="es-ES_tradnl"/>
        </w:rPr>
        <w:t>En la 95ª reunión</w:t>
      </w:r>
      <w:r w:rsidRPr="005055EB">
        <w:rPr>
          <w:vertAlign w:val="superscript"/>
          <w:lang w:val="es-ES_tradnl"/>
        </w:rPr>
        <w:footnoteReference w:id="68"/>
      </w:r>
      <w:r w:rsidRPr="005055EB">
        <w:rPr>
          <w:lang w:val="es-ES_tradnl"/>
        </w:rPr>
        <w:t xml:space="preserve"> [</w:t>
      </w:r>
      <w:r w:rsidRPr="005055EB">
        <w:rPr>
          <w:highlight w:val="yellow"/>
          <w:lang w:val="es-ES_tradnl"/>
        </w:rPr>
        <w:t>y en la 96ª reunión</w:t>
      </w:r>
      <w:r w:rsidRPr="005055EB">
        <w:rPr>
          <w:highlight w:val="yellow"/>
          <w:vertAlign w:val="superscript"/>
          <w:lang w:val="es-ES_tradnl"/>
        </w:rPr>
        <w:footnoteReference w:id="69"/>
      </w:r>
      <w:r w:rsidRPr="005055EB">
        <w:rPr>
          <w:highlight w:val="yellow"/>
          <w:lang w:val="es-ES_tradnl"/>
        </w:rPr>
        <w:t>,</w:t>
      </w:r>
      <w:r w:rsidRPr="005055EB">
        <w:rPr>
          <w:lang w:val="es-ES_tradnl"/>
        </w:rPr>
        <w:t>] el Comité Ejecutivo tomó nota, con agradecimiento, de un informe sobre las actividades realizadas por la Secretaría desde la reunión anterior. [</w:t>
      </w:r>
      <w:r w:rsidRPr="005055EB">
        <w:rPr>
          <w:highlight w:val="yellow"/>
          <w:lang w:val="es-ES_tradnl"/>
        </w:rPr>
        <w:t xml:space="preserve">En ambas reuniones, se informó al Comité sobre los progresos realizados en </w:t>
      </w:r>
      <w:r w:rsidR="00AF5D1A" w:rsidRPr="005055EB">
        <w:rPr>
          <w:highlight w:val="yellow"/>
          <w:lang w:val="es-ES_tradnl"/>
        </w:rPr>
        <w:t xml:space="preserve">la elaboración de </w:t>
      </w:r>
      <w:r w:rsidRPr="005055EB">
        <w:rPr>
          <w:highlight w:val="yellow"/>
          <w:lang w:val="es-ES_tradnl"/>
        </w:rPr>
        <w:t>los sistemas de gestión de</w:t>
      </w:r>
      <w:r w:rsidR="00AF5D1A" w:rsidRPr="005055EB">
        <w:rPr>
          <w:highlight w:val="yellow"/>
          <w:lang w:val="es-ES_tradnl"/>
        </w:rPr>
        <w:t xml:space="preserve">l </w:t>
      </w:r>
      <w:r w:rsidRPr="005055EB">
        <w:rPr>
          <w:highlight w:val="yellow"/>
          <w:lang w:val="es-ES_tradnl"/>
        </w:rPr>
        <w:t>conocimiento...</w:t>
      </w:r>
      <w:r w:rsidRPr="005055EB">
        <w:rPr>
          <w:lang w:val="es-ES_tradnl"/>
        </w:rPr>
        <w:t>].</w:t>
      </w:r>
    </w:p>
    <w:p w14:paraId="78EA2B6D" w14:textId="51C339BA" w:rsidR="00F74A7B" w:rsidRPr="005055EB" w:rsidRDefault="00B91B23" w:rsidP="00BC5C2A">
      <w:pPr>
        <w:pStyle w:val="StyleHeader4Para4Left0Firstline0"/>
        <w:keepNext/>
        <w:widowControl/>
        <w:numPr>
          <w:ilvl w:val="0"/>
          <w:numId w:val="21"/>
        </w:numPr>
        <w:tabs>
          <w:tab w:val="left" w:pos="720"/>
        </w:tabs>
        <w:ind w:left="720"/>
        <w:rPr>
          <w:b/>
          <w:sz w:val="22"/>
          <w:lang w:val="es-ES_tradnl"/>
        </w:rPr>
      </w:pPr>
      <w:r w:rsidRPr="005055EB">
        <w:rPr>
          <w:b/>
          <w:sz w:val="24"/>
          <w:szCs w:val="24"/>
          <w:lang w:val="es-ES_tradnl"/>
        </w:rPr>
        <w:t>Logros del Fondo Multilateral desde sus comienzos</w:t>
      </w:r>
      <w:r w:rsidR="00F74A7B" w:rsidRPr="005055EB">
        <w:rPr>
          <w:rStyle w:val="FootnoteReference"/>
          <w:b/>
          <w:lang w:val="es-ES_tradnl"/>
        </w:rPr>
        <w:footnoteReference w:id="70"/>
      </w:r>
    </w:p>
    <w:p w14:paraId="37A9CD07" w14:textId="1612252C" w:rsidR="00B91B23" w:rsidRPr="005055EB" w:rsidRDefault="00B91B23" w:rsidP="00BC5C2A">
      <w:pPr>
        <w:pStyle w:val="Heading1"/>
        <w:tabs>
          <w:tab w:val="clear" w:pos="0"/>
        </w:tabs>
        <w:rPr>
          <w:lang w:val="es-ES_tradnl"/>
        </w:rPr>
      </w:pPr>
      <w:r w:rsidRPr="005055EB">
        <w:rPr>
          <w:lang w:val="es-ES_tradnl"/>
        </w:rPr>
        <w:t xml:space="preserve">Hasta la 96ª reunión, desde 1991 se habían aprobado </w:t>
      </w:r>
      <w:r w:rsidRPr="005055EB">
        <w:rPr>
          <w:color w:val="000000"/>
          <w:highlight w:val="yellow"/>
          <w:lang w:val="es-ES_tradnl" w:eastAsia="en-CA"/>
        </w:rPr>
        <w:t>???</w:t>
      </w:r>
      <w:r w:rsidR="003D46A9" w:rsidRPr="005055EB">
        <w:rPr>
          <w:highlight w:val="yellow"/>
          <w:lang w:val="es-ES_tradnl" w:eastAsia="zh-CN"/>
        </w:rPr>
        <w:t xml:space="preserve"> </w:t>
      </w:r>
      <w:r w:rsidRPr="005055EB">
        <w:rPr>
          <w:lang w:val="es-ES_tradnl"/>
        </w:rPr>
        <w:t xml:space="preserve">proyectos y actividades por valor de (excluidos los proyectos cancelados y transferidos). La cantidad total de SAO que se preveía eliminar mediante la ejecución de dichos proyectos ascendía a </w:t>
      </w:r>
      <w:r w:rsidRPr="005055EB">
        <w:rPr>
          <w:highlight w:val="yellow"/>
          <w:lang w:val="es-ES_tradnl"/>
        </w:rPr>
        <w:t>???</w:t>
      </w:r>
      <w:r w:rsidRPr="005055EB">
        <w:rPr>
          <w:lang w:val="es-ES_tradnl"/>
        </w:rPr>
        <w:t xml:space="preserve"> toneladas PAO. Sin embargo, el número de toneladas PAO realmente eliminadas fue de </w:t>
      </w:r>
      <w:r w:rsidRPr="005055EB">
        <w:rPr>
          <w:highlight w:val="yellow"/>
          <w:lang w:val="es-ES_tradnl"/>
        </w:rPr>
        <w:t>???</w:t>
      </w:r>
      <w:r w:rsidRPr="005055EB">
        <w:rPr>
          <w:lang w:val="es-ES_tradnl"/>
        </w:rPr>
        <w:t xml:space="preserve"> toneladas PAO (tanto de consumo como de producción), lo que demuestra que la eliminación lograda gracias a los proyectos completados hasta la fecha superó con creces la cantidad prevista. Además, para la misma fecha, se había aprobado la reducción del consumo de HFC </w:t>
      </w:r>
      <w:r w:rsidR="00FC3261" w:rsidRPr="005055EB">
        <w:rPr>
          <w:lang w:val="es-ES_tradnl"/>
        </w:rPr>
        <w:t>de</w:t>
      </w:r>
      <w:r w:rsidR="00EE56B2" w:rsidRPr="005055EB">
        <w:rPr>
          <w:lang w:val="es-ES_tradnl"/>
        </w:rPr>
        <w:t xml:space="preserve"> </w:t>
      </w:r>
      <w:r w:rsidR="00EE56B2" w:rsidRPr="005055EB">
        <w:rPr>
          <w:color w:val="000000"/>
          <w:highlight w:val="yellow"/>
          <w:lang w:val="es-ES" w:eastAsia="en-CA"/>
        </w:rPr>
        <w:t>???</w:t>
      </w:r>
      <w:r w:rsidR="00EE56B2" w:rsidRPr="005055EB">
        <w:rPr>
          <w:lang w:val="es-ES"/>
        </w:rPr>
        <w:t xml:space="preserve"> </w:t>
      </w:r>
      <w:r w:rsidRPr="005055EB">
        <w:rPr>
          <w:lang w:val="es-ES_tradnl"/>
        </w:rPr>
        <w:t>toneladas métricas (</w:t>
      </w:r>
      <w:r w:rsidR="00EE56B2" w:rsidRPr="005055EB">
        <w:rPr>
          <w:color w:val="000000"/>
          <w:highlight w:val="yellow"/>
          <w:lang w:val="es-ES" w:eastAsia="en-CA"/>
        </w:rPr>
        <w:t>???</w:t>
      </w:r>
      <w:r w:rsidR="00EE56B2" w:rsidRPr="005055EB">
        <w:rPr>
          <w:lang w:val="es-ES"/>
        </w:rPr>
        <w:t xml:space="preserve"> </w:t>
      </w:r>
      <w:r w:rsidRPr="005055EB">
        <w:rPr>
          <w:lang w:val="es-ES_tradnl"/>
        </w:rPr>
        <w:t xml:space="preserve">toneladas equivalentes de dióxido de carbono) y se habían eliminado realmente </w:t>
      </w:r>
      <w:r w:rsidR="00EE56B2" w:rsidRPr="005055EB">
        <w:rPr>
          <w:color w:val="000000"/>
          <w:highlight w:val="yellow"/>
          <w:lang w:val="es-ES" w:eastAsia="en-CA"/>
        </w:rPr>
        <w:t>???</w:t>
      </w:r>
      <w:r w:rsidR="00EE56B2" w:rsidRPr="005055EB">
        <w:rPr>
          <w:lang w:val="es-ES"/>
        </w:rPr>
        <w:t xml:space="preserve"> </w:t>
      </w:r>
      <w:r w:rsidRPr="005055EB">
        <w:rPr>
          <w:lang w:val="es-ES_tradnl"/>
        </w:rPr>
        <w:t>toneladas métricas (toneladas equivalentes de dióxido de carbono). La distribución geográfica y sectorial de la eliminación en todos los proyectos y actividades aprobados y fondos aprobados desde el inicio se muestra en el cuadro 5 a continuación.</w:t>
      </w:r>
    </w:p>
    <w:p w14:paraId="3F62C580" w14:textId="152E616F" w:rsidR="00530B53" w:rsidRPr="005055EB" w:rsidRDefault="00530B53" w:rsidP="00C70B95">
      <w:pPr>
        <w:pStyle w:val="Heading1"/>
        <w:numPr>
          <w:ilvl w:val="0"/>
          <w:numId w:val="0"/>
        </w:numPr>
        <w:spacing w:after="0"/>
        <w:rPr>
          <w:color w:val="000000"/>
          <w:lang w:eastAsia="en-CA"/>
        </w:rPr>
      </w:pPr>
      <w:r w:rsidRPr="005055EB">
        <w:t>Cuadro 5</w:t>
      </w:r>
    </w:p>
    <w:p w14:paraId="4B3F8E40" w14:textId="77777777" w:rsidR="00530B53" w:rsidRPr="005055EB" w:rsidRDefault="00530B53" w:rsidP="00C70B95">
      <w:pPr>
        <w:pStyle w:val="Heading1"/>
        <w:numPr>
          <w:ilvl w:val="0"/>
          <w:numId w:val="0"/>
        </w:numPr>
        <w:spacing w:after="0"/>
        <w:rPr>
          <w:b/>
          <w:bCs/>
        </w:rPr>
      </w:pPr>
      <w:r w:rsidRPr="005055EB">
        <w:rPr>
          <w:b/>
          <w:bCs/>
        </w:rPr>
        <w:t>Eliminación y fondos aprobados, por región y sector, desde el comienzo del Fondo Multilateral</w:t>
      </w:r>
    </w:p>
    <w:tbl>
      <w:tblPr>
        <w:tblW w:w="534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4"/>
        <w:gridCol w:w="915"/>
        <w:gridCol w:w="1167"/>
        <w:gridCol w:w="1173"/>
        <w:gridCol w:w="1313"/>
        <w:gridCol w:w="1029"/>
        <w:gridCol w:w="989"/>
        <w:gridCol w:w="1081"/>
        <w:gridCol w:w="1079"/>
      </w:tblGrid>
      <w:tr w:rsidR="00530B53" w:rsidRPr="005055EB" w14:paraId="1FAA27DB" w14:textId="77777777" w:rsidTr="005E6582">
        <w:trPr>
          <w:trHeight w:val="1673"/>
          <w:tblHeader/>
        </w:trPr>
        <w:tc>
          <w:tcPr>
            <w:tcW w:w="623" w:type="pct"/>
            <w:shd w:val="clear" w:color="auto" w:fill="auto"/>
            <w:hideMark/>
          </w:tcPr>
          <w:p w14:paraId="60411A6B" w14:textId="77777777" w:rsidR="00530B53" w:rsidRPr="0063385B" w:rsidRDefault="00530B53" w:rsidP="00530B53">
            <w:pPr>
              <w:jc w:val="center"/>
              <w:rPr>
                <w:b/>
                <w:bCs/>
                <w:color w:val="000000"/>
                <w:sz w:val="18"/>
                <w:szCs w:val="18"/>
                <w:lang w:eastAsia="en-CA"/>
              </w:rPr>
            </w:pPr>
            <w:r w:rsidRPr="0063385B">
              <w:rPr>
                <w:b/>
                <w:bCs/>
                <w:color w:val="000000"/>
                <w:sz w:val="18"/>
                <w:szCs w:val="18"/>
                <w:lang w:eastAsia="en-CA"/>
              </w:rPr>
              <w:t>Descripción</w:t>
            </w:r>
          </w:p>
        </w:tc>
        <w:tc>
          <w:tcPr>
            <w:tcW w:w="458" w:type="pct"/>
            <w:shd w:val="clear" w:color="auto" w:fill="auto"/>
            <w:hideMark/>
          </w:tcPr>
          <w:p w14:paraId="3C9F6DA9" w14:textId="77777777" w:rsidR="00530B53" w:rsidRPr="0063385B" w:rsidRDefault="00530B53" w:rsidP="00530B53">
            <w:pPr>
              <w:ind w:left="-104" w:right="-104"/>
              <w:jc w:val="center"/>
              <w:rPr>
                <w:b/>
                <w:bCs/>
                <w:color w:val="000000"/>
                <w:sz w:val="18"/>
                <w:szCs w:val="18"/>
                <w:lang w:eastAsia="en-CA"/>
              </w:rPr>
            </w:pPr>
            <w:r w:rsidRPr="0063385B">
              <w:rPr>
                <w:b/>
                <w:bCs/>
                <w:color w:val="000000"/>
                <w:sz w:val="18"/>
                <w:szCs w:val="18"/>
                <w:lang w:eastAsia="en-CA"/>
              </w:rPr>
              <w:t>Total de</w:t>
            </w:r>
          </w:p>
          <w:p w14:paraId="4B3ED0B9" w14:textId="77777777" w:rsidR="00530B53" w:rsidRPr="0063385B" w:rsidRDefault="00530B53" w:rsidP="00530B53">
            <w:pPr>
              <w:ind w:left="-104" w:right="-104"/>
              <w:jc w:val="center"/>
              <w:rPr>
                <w:b/>
                <w:bCs/>
                <w:color w:val="000000"/>
                <w:sz w:val="18"/>
                <w:szCs w:val="18"/>
                <w:lang w:eastAsia="en-CA"/>
              </w:rPr>
            </w:pPr>
            <w:r w:rsidRPr="0063385B">
              <w:rPr>
                <w:b/>
                <w:bCs/>
                <w:color w:val="000000"/>
                <w:sz w:val="18"/>
                <w:szCs w:val="18"/>
                <w:lang w:eastAsia="en-CA"/>
              </w:rPr>
              <w:t>proyectos</w:t>
            </w:r>
          </w:p>
        </w:tc>
        <w:tc>
          <w:tcPr>
            <w:tcW w:w="584" w:type="pct"/>
            <w:shd w:val="clear" w:color="auto" w:fill="auto"/>
            <w:hideMark/>
          </w:tcPr>
          <w:p w14:paraId="43DA2B5D" w14:textId="77777777" w:rsidR="00530B53" w:rsidRPr="0063385B" w:rsidRDefault="00530B53" w:rsidP="00530B53">
            <w:pPr>
              <w:ind w:left="-178" w:right="-167"/>
              <w:jc w:val="center"/>
              <w:rPr>
                <w:b/>
                <w:bCs/>
                <w:color w:val="000000"/>
                <w:sz w:val="18"/>
                <w:szCs w:val="18"/>
                <w:lang w:eastAsia="en-CA"/>
              </w:rPr>
            </w:pPr>
            <w:r w:rsidRPr="0063385B">
              <w:rPr>
                <w:b/>
                <w:bCs/>
                <w:color w:val="000000"/>
                <w:sz w:val="18"/>
                <w:szCs w:val="18"/>
                <w:lang w:eastAsia="en-CA"/>
              </w:rPr>
              <w:t>Consumo</w:t>
            </w:r>
          </w:p>
          <w:p w14:paraId="1082161B" w14:textId="77777777" w:rsidR="0063385B" w:rsidRDefault="00530B53" w:rsidP="00530B53">
            <w:pPr>
              <w:ind w:left="-178" w:right="-167"/>
              <w:jc w:val="center"/>
              <w:rPr>
                <w:b/>
                <w:bCs/>
                <w:color w:val="000000"/>
                <w:sz w:val="18"/>
                <w:szCs w:val="18"/>
                <w:lang w:eastAsia="en-CA"/>
              </w:rPr>
            </w:pPr>
            <w:r w:rsidRPr="0063385B">
              <w:rPr>
                <w:b/>
                <w:bCs/>
                <w:color w:val="000000"/>
                <w:sz w:val="18"/>
                <w:szCs w:val="18"/>
                <w:lang w:eastAsia="en-CA"/>
              </w:rPr>
              <w:t xml:space="preserve">Toneladas </w:t>
            </w:r>
          </w:p>
          <w:p w14:paraId="5A4104A7" w14:textId="77777777" w:rsidR="0063385B" w:rsidRDefault="00530B53" w:rsidP="00530B53">
            <w:pPr>
              <w:ind w:left="-178" w:right="-167"/>
              <w:jc w:val="center"/>
              <w:rPr>
                <w:b/>
                <w:bCs/>
                <w:color w:val="000000"/>
                <w:sz w:val="18"/>
                <w:szCs w:val="18"/>
                <w:lang w:eastAsia="en-CA"/>
              </w:rPr>
            </w:pPr>
            <w:r w:rsidRPr="0063385B">
              <w:rPr>
                <w:b/>
                <w:bCs/>
                <w:color w:val="000000"/>
                <w:sz w:val="18"/>
                <w:szCs w:val="18"/>
                <w:lang w:eastAsia="en-CA"/>
              </w:rPr>
              <w:t>PAO</w:t>
            </w:r>
          </w:p>
          <w:p w14:paraId="70005273" w14:textId="77777777" w:rsidR="0063385B" w:rsidRDefault="00530B53" w:rsidP="00530B53">
            <w:pPr>
              <w:ind w:left="-178" w:right="-167"/>
              <w:jc w:val="center"/>
              <w:rPr>
                <w:b/>
                <w:bCs/>
                <w:color w:val="000000"/>
                <w:sz w:val="18"/>
                <w:szCs w:val="18"/>
                <w:lang w:val="fr-CA" w:eastAsia="en-CA"/>
              </w:rPr>
            </w:pPr>
            <w:r w:rsidRPr="0063385B">
              <w:rPr>
                <w:b/>
                <w:bCs/>
                <w:color w:val="000000"/>
                <w:sz w:val="18"/>
                <w:szCs w:val="18"/>
                <w:lang w:val="fr-CA" w:eastAsia="en-CA"/>
              </w:rPr>
              <w:t xml:space="preserve"> aprobadas </w:t>
            </w:r>
          </w:p>
          <w:p w14:paraId="4892AFC8" w14:textId="77777777" w:rsidR="0063385B" w:rsidRDefault="00530B53" w:rsidP="00530B53">
            <w:pPr>
              <w:ind w:left="-178" w:right="-167"/>
              <w:jc w:val="center"/>
              <w:rPr>
                <w:b/>
                <w:bCs/>
                <w:color w:val="000000"/>
                <w:sz w:val="18"/>
                <w:szCs w:val="18"/>
                <w:lang w:val="fr-CA" w:eastAsia="en-CA"/>
              </w:rPr>
            </w:pPr>
            <w:r w:rsidRPr="0063385B">
              <w:rPr>
                <w:b/>
                <w:bCs/>
                <w:color w:val="000000"/>
                <w:sz w:val="18"/>
                <w:szCs w:val="18"/>
                <w:lang w:val="fr-CA" w:eastAsia="en-CA"/>
              </w:rPr>
              <w:t xml:space="preserve">para </w:t>
            </w:r>
          </w:p>
          <w:p w14:paraId="2BBCF05F" w14:textId="77777777" w:rsidR="0063385B" w:rsidRDefault="00530B53" w:rsidP="00530B53">
            <w:pPr>
              <w:ind w:left="-178" w:right="-167"/>
              <w:jc w:val="center"/>
              <w:rPr>
                <w:b/>
                <w:bCs/>
                <w:color w:val="000000"/>
                <w:sz w:val="18"/>
                <w:szCs w:val="18"/>
                <w:lang w:val="fr-CA" w:eastAsia="en-CA"/>
              </w:rPr>
            </w:pPr>
            <w:r w:rsidRPr="0063385B">
              <w:rPr>
                <w:b/>
                <w:bCs/>
                <w:color w:val="000000"/>
                <w:sz w:val="18"/>
                <w:szCs w:val="18"/>
                <w:lang w:val="fr-CA" w:eastAsia="en-CA"/>
              </w:rPr>
              <w:t xml:space="preserve">proyectos relacionados </w:t>
            </w:r>
          </w:p>
          <w:p w14:paraId="23BE66AE" w14:textId="3E6E6246" w:rsidR="00530B53" w:rsidRPr="0063385B" w:rsidRDefault="00530B53" w:rsidP="00530B53">
            <w:pPr>
              <w:ind w:left="-178" w:right="-167"/>
              <w:jc w:val="center"/>
              <w:rPr>
                <w:b/>
                <w:bCs/>
                <w:color w:val="000000"/>
                <w:sz w:val="18"/>
                <w:szCs w:val="18"/>
                <w:lang w:val="fr-CA" w:eastAsia="en-CA"/>
              </w:rPr>
            </w:pPr>
            <w:r w:rsidRPr="0063385B">
              <w:rPr>
                <w:b/>
                <w:bCs/>
                <w:color w:val="000000"/>
                <w:sz w:val="18"/>
                <w:szCs w:val="18"/>
                <w:lang w:val="fr-CA" w:eastAsia="en-CA"/>
              </w:rPr>
              <w:t>con SAO*</w:t>
            </w:r>
          </w:p>
        </w:tc>
        <w:tc>
          <w:tcPr>
            <w:tcW w:w="587" w:type="pct"/>
            <w:shd w:val="clear" w:color="auto" w:fill="auto"/>
            <w:hideMark/>
          </w:tcPr>
          <w:p w14:paraId="5A75D728" w14:textId="77777777" w:rsidR="00530B53" w:rsidRPr="0063385B" w:rsidRDefault="00530B53" w:rsidP="00530B53">
            <w:pPr>
              <w:ind w:left="-188" w:right="-192"/>
              <w:jc w:val="center"/>
              <w:rPr>
                <w:b/>
                <w:bCs/>
                <w:color w:val="000000"/>
                <w:sz w:val="18"/>
                <w:szCs w:val="18"/>
                <w:lang w:eastAsia="en-CA"/>
              </w:rPr>
            </w:pPr>
            <w:r w:rsidRPr="0063385B">
              <w:rPr>
                <w:b/>
                <w:bCs/>
                <w:color w:val="000000"/>
                <w:sz w:val="18"/>
                <w:szCs w:val="18"/>
                <w:lang w:eastAsia="en-CA"/>
              </w:rPr>
              <w:t>Consumo</w:t>
            </w:r>
          </w:p>
          <w:p w14:paraId="5B7BF65C" w14:textId="77777777" w:rsidR="0063385B" w:rsidRDefault="00530B53" w:rsidP="00530B53">
            <w:pPr>
              <w:ind w:left="-188" w:right="-192"/>
              <w:jc w:val="center"/>
              <w:rPr>
                <w:b/>
                <w:bCs/>
                <w:color w:val="000000"/>
                <w:sz w:val="18"/>
                <w:szCs w:val="18"/>
                <w:lang w:eastAsia="en-CA"/>
              </w:rPr>
            </w:pPr>
            <w:r w:rsidRPr="0063385B">
              <w:rPr>
                <w:b/>
                <w:bCs/>
                <w:color w:val="000000"/>
                <w:sz w:val="18"/>
                <w:szCs w:val="18"/>
                <w:lang w:eastAsia="en-CA"/>
              </w:rPr>
              <w:t xml:space="preserve">Toneladas </w:t>
            </w:r>
          </w:p>
          <w:p w14:paraId="4E3DF29A" w14:textId="77777777" w:rsidR="0063385B" w:rsidRDefault="00530B53" w:rsidP="00530B53">
            <w:pPr>
              <w:ind w:left="-188" w:right="-192"/>
              <w:jc w:val="center"/>
              <w:rPr>
                <w:b/>
                <w:bCs/>
                <w:color w:val="000000"/>
                <w:sz w:val="18"/>
                <w:szCs w:val="18"/>
                <w:lang w:eastAsia="en-CA"/>
              </w:rPr>
            </w:pPr>
            <w:r w:rsidRPr="0063385B">
              <w:rPr>
                <w:b/>
                <w:bCs/>
                <w:color w:val="000000"/>
                <w:sz w:val="18"/>
                <w:szCs w:val="18"/>
                <w:lang w:eastAsia="en-CA"/>
              </w:rPr>
              <w:t xml:space="preserve">PAO </w:t>
            </w:r>
          </w:p>
          <w:p w14:paraId="052EA622" w14:textId="77777777" w:rsidR="0063385B" w:rsidRDefault="00530B53" w:rsidP="00530B53">
            <w:pPr>
              <w:ind w:left="-188" w:right="-192"/>
              <w:jc w:val="center"/>
              <w:rPr>
                <w:b/>
                <w:bCs/>
                <w:color w:val="000000"/>
                <w:sz w:val="18"/>
                <w:szCs w:val="18"/>
                <w:lang w:eastAsia="en-CA"/>
              </w:rPr>
            </w:pPr>
            <w:r w:rsidRPr="0063385B">
              <w:rPr>
                <w:b/>
                <w:bCs/>
                <w:color w:val="000000"/>
                <w:sz w:val="18"/>
                <w:szCs w:val="18"/>
                <w:lang w:eastAsia="en-CA"/>
              </w:rPr>
              <w:t xml:space="preserve">eliminadas </w:t>
            </w:r>
          </w:p>
          <w:p w14:paraId="7312F33E" w14:textId="77777777" w:rsidR="0063385B" w:rsidRPr="005E6582" w:rsidRDefault="00530B53" w:rsidP="00530B53">
            <w:pPr>
              <w:ind w:left="-188" w:right="-192"/>
              <w:jc w:val="center"/>
              <w:rPr>
                <w:b/>
                <w:bCs/>
                <w:color w:val="000000"/>
                <w:sz w:val="18"/>
                <w:szCs w:val="18"/>
                <w:lang w:val="en-US" w:eastAsia="en-CA"/>
              </w:rPr>
            </w:pPr>
            <w:r w:rsidRPr="005E6582">
              <w:rPr>
                <w:b/>
                <w:bCs/>
                <w:color w:val="000000"/>
                <w:sz w:val="18"/>
                <w:szCs w:val="18"/>
                <w:lang w:val="en-US" w:eastAsia="en-CA"/>
              </w:rPr>
              <w:t xml:space="preserve">para </w:t>
            </w:r>
          </w:p>
          <w:p w14:paraId="63B69336" w14:textId="77777777" w:rsidR="0063385B" w:rsidRPr="005E6582" w:rsidRDefault="00530B53" w:rsidP="00530B53">
            <w:pPr>
              <w:ind w:left="-188" w:right="-192"/>
              <w:jc w:val="center"/>
              <w:rPr>
                <w:b/>
                <w:bCs/>
                <w:color w:val="000000"/>
                <w:sz w:val="18"/>
                <w:szCs w:val="18"/>
                <w:lang w:val="en-US" w:eastAsia="en-CA"/>
              </w:rPr>
            </w:pPr>
            <w:r w:rsidRPr="005E6582">
              <w:rPr>
                <w:b/>
                <w:bCs/>
                <w:color w:val="000000"/>
                <w:sz w:val="18"/>
                <w:szCs w:val="18"/>
                <w:lang w:val="en-US" w:eastAsia="en-CA"/>
              </w:rPr>
              <w:t xml:space="preserve">proyectos relacionados </w:t>
            </w:r>
          </w:p>
          <w:p w14:paraId="75CC1157" w14:textId="390A85AA" w:rsidR="00530B53" w:rsidRPr="0063385B" w:rsidRDefault="00530B53" w:rsidP="00530B53">
            <w:pPr>
              <w:ind w:left="-188" w:right="-192"/>
              <w:jc w:val="center"/>
              <w:rPr>
                <w:b/>
                <w:bCs/>
                <w:color w:val="000000"/>
                <w:sz w:val="18"/>
                <w:szCs w:val="18"/>
                <w:lang w:val="fr-CA" w:eastAsia="en-CA"/>
              </w:rPr>
            </w:pPr>
            <w:r w:rsidRPr="0063385B">
              <w:rPr>
                <w:b/>
                <w:bCs/>
                <w:color w:val="000000"/>
                <w:sz w:val="18"/>
                <w:szCs w:val="18"/>
                <w:lang w:val="fr-CA" w:eastAsia="en-CA"/>
              </w:rPr>
              <w:t>con SAO*</w:t>
            </w:r>
          </w:p>
        </w:tc>
        <w:tc>
          <w:tcPr>
            <w:tcW w:w="657" w:type="pct"/>
            <w:shd w:val="clear" w:color="auto" w:fill="auto"/>
            <w:hideMark/>
          </w:tcPr>
          <w:p w14:paraId="30C22174" w14:textId="77777777" w:rsidR="00530B53" w:rsidRPr="0063385B" w:rsidRDefault="00530B53" w:rsidP="00530B53">
            <w:pPr>
              <w:ind w:left="-190" w:right="-189"/>
              <w:jc w:val="center"/>
              <w:rPr>
                <w:b/>
                <w:bCs/>
                <w:color w:val="000000"/>
                <w:sz w:val="18"/>
                <w:szCs w:val="18"/>
                <w:lang w:eastAsia="en-CA"/>
              </w:rPr>
            </w:pPr>
            <w:r w:rsidRPr="0063385B">
              <w:rPr>
                <w:b/>
                <w:bCs/>
                <w:color w:val="000000"/>
                <w:sz w:val="18"/>
                <w:szCs w:val="18"/>
                <w:lang w:eastAsia="en-CA"/>
              </w:rPr>
              <w:t>Consumo</w:t>
            </w:r>
          </w:p>
          <w:p w14:paraId="5317C75E" w14:textId="77777777" w:rsidR="0063385B" w:rsidRDefault="00530B53" w:rsidP="00530B53">
            <w:pPr>
              <w:ind w:left="-190" w:right="-189"/>
              <w:jc w:val="center"/>
              <w:rPr>
                <w:b/>
                <w:bCs/>
                <w:color w:val="000000"/>
                <w:sz w:val="18"/>
                <w:szCs w:val="18"/>
                <w:lang w:eastAsia="en-CA"/>
              </w:rPr>
            </w:pPr>
            <w:r w:rsidRPr="0063385B">
              <w:rPr>
                <w:b/>
                <w:bCs/>
                <w:color w:val="000000"/>
                <w:sz w:val="18"/>
                <w:szCs w:val="18"/>
                <w:lang w:eastAsia="en-CA"/>
              </w:rPr>
              <w:t xml:space="preserve">Toneladas métricas aprobadas </w:t>
            </w:r>
          </w:p>
          <w:p w14:paraId="3A89F0DF" w14:textId="77777777" w:rsidR="0063385B" w:rsidRDefault="00530B53" w:rsidP="00530B53">
            <w:pPr>
              <w:ind w:left="-190" w:right="-189"/>
              <w:jc w:val="center"/>
              <w:rPr>
                <w:b/>
                <w:bCs/>
                <w:color w:val="000000"/>
                <w:sz w:val="18"/>
                <w:szCs w:val="18"/>
                <w:lang w:val="fr-CA" w:eastAsia="en-CA"/>
              </w:rPr>
            </w:pPr>
            <w:r w:rsidRPr="0063385B">
              <w:rPr>
                <w:b/>
                <w:bCs/>
                <w:color w:val="000000"/>
                <w:sz w:val="18"/>
                <w:szCs w:val="18"/>
                <w:lang w:val="fr-CA" w:eastAsia="en-CA"/>
              </w:rPr>
              <w:t xml:space="preserve">para proyectos relacionados </w:t>
            </w:r>
          </w:p>
          <w:p w14:paraId="228A39E2" w14:textId="52484B9F" w:rsidR="00530B53" w:rsidRPr="0063385B" w:rsidRDefault="00530B53" w:rsidP="00530B53">
            <w:pPr>
              <w:ind w:left="-190" w:right="-189"/>
              <w:jc w:val="center"/>
              <w:rPr>
                <w:b/>
                <w:bCs/>
                <w:color w:val="000000"/>
                <w:sz w:val="18"/>
                <w:szCs w:val="18"/>
                <w:lang w:val="fr-CA" w:eastAsia="en-CA"/>
              </w:rPr>
            </w:pPr>
            <w:r w:rsidRPr="0063385B">
              <w:rPr>
                <w:b/>
                <w:bCs/>
                <w:color w:val="000000"/>
                <w:sz w:val="18"/>
                <w:szCs w:val="18"/>
                <w:lang w:val="fr-CA" w:eastAsia="en-CA"/>
              </w:rPr>
              <w:t>con HFC**</w:t>
            </w:r>
          </w:p>
        </w:tc>
        <w:tc>
          <w:tcPr>
            <w:tcW w:w="515" w:type="pct"/>
            <w:shd w:val="clear" w:color="auto" w:fill="auto"/>
            <w:hideMark/>
          </w:tcPr>
          <w:p w14:paraId="2BDB454E" w14:textId="77777777" w:rsidR="00530B53" w:rsidRPr="0063385B" w:rsidRDefault="00530B53" w:rsidP="00530B53">
            <w:pPr>
              <w:ind w:left="-148" w:right="-90"/>
              <w:jc w:val="center"/>
              <w:rPr>
                <w:b/>
                <w:bCs/>
                <w:color w:val="000000"/>
                <w:sz w:val="18"/>
                <w:szCs w:val="18"/>
                <w:lang w:eastAsia="en-CA"/>
              </w:rPr>
            </w:pPr>
            <w:r w:rsidRPr="0063385B">
              <w:rPr>
                <w:b/>
                <w:bCs/>
                <w:color w:val="000000"/>
                <w:sz w:val="18"/>
                <w:szCs w:val="18"/>
                <w:lang w:eastAsia="en-CA"/>
              </w:rPr>
              <w:t>Consumo</w:t>
            </w:r>
          </w:p>
          <w:p w14:paraId="15FE8FA4" w14:textId="77777777" w:rsidR="00530B53" w:rsidRPr="0063385B" w:rsidRDefault="00530B53" w:rsidP="00530B53">
            <w:pPr>
              <w:ind w:left="-148" w:right="-159"/>
              <w:jc w:val="center"/>
              <w:rPr>
                <w:b/>
                <w:bCs/>
                <w:color w:val="000000"/>
                <w:sz w:val="18"/>
                <w:szCs w:val="18"/>
                <w:lang w:eastAsia="en-CA"/>
              </w:rPr>
            </w:pPr>
            <w:r w:rsidRPr="0063385B">
              <w:rPr>
                <w:b/>
                <w:bCs/>
                <w:color w:val="000000"/>
                <w:sz w:val="18"/>
                <w:szCs w:val="18"/>
                <w:lang w:eastAsia="en-CA"/>
              </w:rPr>
              <w:t>Toneladas métricas eliminadas para proyectos relacionados con HFC**</w:t>
            </w:r>
          </w:p>
        </w:tc>
        <w:tc>
          <w:tcPr>
            <w:tcW w:w="495" w:type="pct"/>
            <w:shd w:val="clear" w:color="auto" w:fill="auto"/>
            <w:hideMark/>
          </w:tcPr>
          <w:p w14:paraId="61D932EF" w14:textId="77777777" w:rsidR="00530B53" w:rsidRPr="0063385B" w:rsidRDefault="00530B53" w:rsidP="00530B53">
            <w:pPr>
              <w:ind w:left="-156" w:right="-103"/>
              <w:jc w:val="center"/>
              <w:rPr>
                <w:b/>
                <w:bCs/>
                <w:color w:val="000000"/>
                <w:sz w:val="18"/>
                <w:szCs w:val="18"/>
                <w:lang w:eastAsia="en-CA"/>
              </w:rPr>
            </w:pPr>
            <w:r w:rsidRPr="0063385B">
              <w:rPr>
                <w:b/>
                <w:bCs/>
                <w:color w:val="000000"/>
                <w:sz w:val="18"/>
                <w:szCs w:val="18"/>
                <w:lang w:eastAsia="en-CA"/>
              </w:rPr>
              <w:t>Producción</w:t>
            </w:r>
          </w:p>
          <w:p w14:paraId="6483E90B" w14:textId="77777777" w:rsidR="00530B53" w:rsidRPr="0063385B" w:rsidRDefault="00530B53" w:rsidP="00530B53">
            <w:pPr>
              <w:ind w:left="-156" w:right="-103"/>
              <w:jc w:val="center"/>
              <w:rPr>
                <w:b/>
                <w:bCs/>
                <w:color w:val="000000"/>
                <w:sz w:val="18"/>
                <w:szCs w:val="18"/>
                <w:lang w:eastAsia="en-CA"/>
              </w:rPr>
            </w:pPr>
            <w:r w:rsidRPr="0063385B">
              <w:rPr>
                <w:b/>
                <w:bCs/>
                <w:color w:val="000000"/>
                <w:sz w:val="18"/>
                <w:szCs w:val="18"/>
                <w:lang w:eastAsia="en-CA"/>
              </w:rPr>
              <w:t>Toneladas  PAO aprobadas*</w:t>
            </w:r>
          </w:p>
        </w:tc>
        <w:tc>
          <w:tcPr>
            <w:tcW w:w="541" w:type="pct"/>
            <w:shd w:val="clear" w:color="auto" w:fill="auto"/>
            <w:hideMark/>
          </w:tcPr>
          <w:p w14:paraId="33902C41" w14:textId="77777777" w:rsidR="00530B53" w:rsidRPr="0063385B" w:rsidRDefault="00530B53" w:rsidP="00530B53">
            <w:pPr>
              <w:ind w:left="-105" w:right="-106"/>
              <w:jc w:val="center"/>
              <w:rPr>
                <w:b/>
                <w:bCs/>
                <w:color w:val="000000"/>
                <w:sz w:val="18"/>
                <w:szCs w:val="18"/>
                <w:lang w:eastAsia="en-CA"/>
              </w:rPr>
            </w:pPr>
            <w:r w:rsidRPr="0063385B">
              <w:rPr>
                <w:b/>
                <w:bCs/>
                <w:color w:val="000000"/>
                <w:sz w:val="18"/>
                <w:szCs w:val="18"/>
                <w:lang w:eastAsia="en-CA"/>
              </w:rPr>
              <w:t>Producción Toneladas. PAO eliminadas*</w:t>
            </w:r>
          </w:p>
        </w:tc>
        <w:tc>
          <w:tcPr>
            <w:tcW w:w="540" w:type="pct"/>
            <w:shd w:val="clear" w:color="auto" w:fill="auto"/>
            <w:hideMark/>
          </w:tcPr>
          <w:p w14:paraId="3CFE8A9C" w14:textId="77777777" w:rsidR="00530B53" w:rsidRPr="0063385B" w:rsidRDefault="00530B53" w:rsidP="00530B53">
            <w:pPr>
              <w:jc w:val="center"/>
              <w:rPr>
                <w:b/>
                <w:bCs/>
                <w:color w:val="000000"/>
                <w:sz w:val="18"/>
                <w:szCs w:val="18"/>
                <w:lang w:eastAsia="en-CA"/>
              </w:rPr>
            </w:pPr>
            <w:r w:rsidRPr="0063385B">
              <w:rPr>
                <w:b/>
                <w:bCs/>
                <w:color w:val="000000"/>
                <w:sz w:val="18"/>
                <w:szCs w:val="18"/>
                <w:lang w:eastAsia="en-CA"/>
              </w:rPr>
              <w:t>Fondos aprobados</w:t>
            </w:r>
          </w:p>
          <w:p w14:paraId="0C186A14" w14:textId="3880BE7B" w:rsidR="00530B53" w:rsidRPr="0063385B" w:rsidRDefault="00530B53" w:rsidP="00530B53">
            <w:pPr>
              <w:jc w:val="center"/>
              <w:rPr>
                <w:b/>
                <w:bCs/>
                <w:color w:val="000000"/>
                <w:sz w:val="18"/>
                <w:szCs w:val="18"/>
                <w:lang w:eastAsia="en-CA"/>
              </w:rPr>
            </w:pPr>
            <w:r w:rsidRPr="0063385B">
              <w:rPr>
                <w:b/>
                <w:bCs/>
                <w:color w:val="000000"/>
                <w:sz w:val="18"/>
                <w:szCs w:val="18"/>
                <w:lang w:eastAsia="en-CA"/>
              </w:rPr>
              <w:t>(USD)</w:t>
            </w:r>
          </w:p>
        </w:tc>
      </w:tr>
      <w:tr w:rsidR="00530B53" w:rsidRPr="005055EB" w14:paraId="53DB16DC" w14:textId="77777777" w:rsidTr="00C70B95">
        <w:trPr>
          <w:trHeight w:val="44"/>
        </w:trPr>
        <w:tc>
          <w:tcPr>
            <w:tcW w:w="5000" w:type="pct"/>
            <w:gridSpan w:val="9"/>
            <w:shd w:val="clear" w:color="auto" w:fill="auto"/>
            <w:hideMark/>
          </w:tcPr>
          <w:p w14:paraId="5DC7C4F0" w14:textId="2F5CAD7A" w:rsidR="00530B53" w:rsidRPr="005055EB" w:rsidRDefault="00530B53" w:rsidP="00530B53">
            <w:pPr>
              <w:jc w:val="left"/>
              <w:rPr>
                <w:b/>
                <w:bCs/>
                <w:color w:val="000000"/>
                <w:sz w:val="18"/>
                <w:szCs w:val="18"/>
                <w:lang w:eastAsia="en-CA"/>
              </w:rPr>
            </w:pPr>
            <w:r w:rsidRPr="005055EB">
              <w:rPr>
                <w:b/>
                <w:bCs/>
                <w:color w:val="000000"/>
                <w:sz w:val="18"/>
                <w:szCs w:val="18"/>
                <w:lang w:eastAsia="en-CA"/>
              </w:rPr>
              <w:t>Región</w:t>
            </w:r>
          </w:p>
        </w:tc>
      </w:tr>
      <w:tr w:rsidR="00530B53" w:rsidRPr="005055EB" w14:paraId="72AF92F3" w14:textId="77777777" w:rsidTr="005E6582">
        <w:trPr>
          <w:trHeight w:val="65"/>
        </w:trPr>
        <w:tc>
          <w:tcPr>
            <w:tcW w:w="623" w:type="pct"/>
            <w:shd w:val="clear" w:color="auto" w:fill="auto"/>
            <w:noWrap/>
            <w:hideMark/>
          </w:tcPr>
          <w:p w14:paraId="1708D070" w14:textId="77777777" w:rsidR="00530B53" w:rsidRPr="005055EB" w:rsidRDefault="00530B53" w:rsidP="00530B53">
            <w:pPr>
              <w:jc w:val="left"/>
              <w:rPr>
                <w:color w:val="000000"/>
                <w:sz w:val="18"/>
                <w:szCs w:val="18"/>
                <w:lang w:eastAsia="en-CA"/>
              </w:rPr>
            </w:pPr>
            <w:r w:rsidRPr="005055EB">
              <w:rPr>
                <w:color w:val="000000"/>
                <w:sz w:val="18"/>
                <w:szCs w:val="18"/>
                <w:lang w:eastAsia="en-CA"/>
              </w:rPr>
              <w:t>África</w:t>
            </w:r>
          </w:p>
        </w:tc>
        <w:tc>
          <w:tcPr>
            <w:tcW w:w="458" w:type="pct"/>
            <w:shd w:val="clear" w:color="auto" w:fill="auto"/>
            <w:noWrap/>
            <w:hideMark/>
          </w:tcPr>
          <w:p w14:paraId="48311C59"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84" w:type="pct"/>
            <w:shd w:val="clear" w:color="auto" w:fill="auto"/>
            <w:noWrap/>
            <w:hideMark/>
          </w:tcPr>
          <w:p w14:paraId="1F195CFF" w14:textId="77777777" w:rsidR="00530B53" w:rsidRPr="005055EB" w:rsidRDefault="00530B53" w:rsidP="00530B53">
            <w:pPr>
              <w:jc w:val="right"/>
              <w:rPr>
                <w:color w:val="000000"/>
                <w:sz w:val="16"/>
                <w:szCs w:val="16"/>
                <w:lang w:eastAsia="en-CA"/>
              </w:rPr>
            </w:pPr>
            <w:r w:rsidRPr="005055EB">
              <w:rPr>
                <w:i/>
                <w:iCs/>
                <w:sz w:val="16"/>
                <w:szCs w:val="16"/>
              </w:rPr>
              <w:t>Pendiente</w:t>
            </w:r>
          </w:p>
        </w:tc>
        <w:tc>
          <w:tcPr>
            <w:tcW w:w="587" w:type="pct"/>
            <w:shd w:val="clear" w:color="auto" w:fill="auto"/>
            <w:noWrap/>
            <w:hideMark/>
          </w:tcPr>
          <w:p w14:paraId="2B11743C" w14:textId="77777777" w:rsidR="00530B53" w:rsidRPr="005055EB" w:rsidRDefault="00530B53" w:rsidP="00530B53">
            <w:pPr>
              <w:jc w:val="right"/>
              <w:rPr>
                <w:color w:val="000000"/>
                <w:sz w:val="16"/>
                <w:szCs w:val="16"/>
                <w:lang w:eastAsia="en-CA"/>
              </w:rPr>
            </w:pPr>
            <w:r w:rsidRPr="005055EB">
              <w:rPr>
                <w:i/>
                <w:iCs/>
                <w:sz w:val="16"/>
                <w:szCs w:val="16"/>
              </w:rPr>
              <w:t>Pendiente</w:t>
            </w:r>
          </w:p>
        </w:tc>
        <w:tc>
          <w:tcPr>
            <w:tcW w:w="657" w:type="pct"/>
            <w:shd w:val="clear" w:color="auto" w:fill="auto"/>
            <w:noWrap/>
            <w:hideMark/>
          </w:tcPr>
          <w:p w14:paraId="57A4F438" w14:textId="77777777" w:rsidR="00530B53" w:rsidRPr="005055EB" w:rsidRDefault="00530B53" w:rsidP="00530B53">
            <w:pPr>
              <w:jc w:val="right"/>
              <w:rPr>
                <w:color w:val="000000"/>
                <w:sz w:val="16"/>
                <w:szCs w:val="16"/>
                <w:lang w:eastAsia="en-CA"/>
              </w:rPr>
            </w:pPr>
            <w:r w:rsidRPr="005055EB">
              <w:rPr>
                <w:i/>
                <w:iCs/>
                <w:sz w:val="16"/>
                <w:szCs w:val="16"/>
              </w:rPr>
              <w:t>Pendiente</w:t>
            </w:r>
          </w:p>
        </w:tc>
        <w:tc>
          <w:tcPr>
            <w:tcW w:w="515" w:type="pct"/>
            <w:shd w:val="clear" w:color="auto" w:fill="auto"/>
            <w:noWrap/>
            <w:hideMark/>
          </w:tcPr>
          <w:p w14:paraId="6E39DAB0" w14:textId="77777777" w:rsidR="00530B53" w:rsidRPr="005055EB" w:rsidRDefault="00530B53" w:rsidP="00530B53">
            <w:pPr>
              <w:jc w:val="right"/>
              <w:rPr>
                <w:color w:val="000000"/>
                <w:sz w:val="16"/>
                <w:szCs w:val="16"/>
                <w:lang w:eastAsia="en-CA"/>
              </w:rPr>
            </w:pPr>
            <w:r w:rsidRPr="005055EB">
              <w:rPr>
                <w:i/>
                <w:iCs/>
                <w:sz w:val="16"/>
                <w:szCs w:val="16"/>
              </w:rPr>
              <w:t>Pendiente</w:t>
            </w:r>
          </w:p>
        </w:tc>
        <w:tc>
          <w:tcPr>
            <w:tcW w:w="495" w:type="pct"/>
            <w:shd w:val="clear" w:color="auto" w:fill="auto"/>
            <w:noWrap/>
            <w:hideMark/>
          </w:tcPr>
          <w:p w14:paraId="3C8783AE" w14:textId="77777777" w:rsidR="00530B53" w:rsidRPr="005055EB" w:rsidRDefault="00530B53" w:rsidP="00530B53">
            <w:pPr>
              <w:jc w:val="right"/>
              <w:rPr>
                <w:color w:val="000000"/>
                <w:sz w:val="16"/>
                <w:szCs w:val="16"/>
                <w:lang w:eastAsia="en-CA"/>
              </w:rPr>
            </w:pPr>
            <w:r w:rsidRPr="005055EB">
              <w:rPr>
                <w:i/>
                <w:iCs/>
                <w:sz w:val="16"/>
                <w:szCs w:val="16"/>
              </w:rPr>
              <w:t>Pendiente</w:t>
            </w:r>
          </w:p>
        </w:tc>
        <w:tc>
          <w:tcPr>
            <w:tcW w:w="541" w:type="pct"/>
            <w:shd w:val="clear" w:color="auto" w:fill="auto"/>
            <w:noWrap/>
            <w:hideMark/>
          </w:tcPr>
          <w:p w14:paraId="35D379DC" w14:textId="77777777" w:rsidR="00530B53" w:rsidRPr="005055EB" w:rsidRDefault="00530B53" w:rsidP="00530B53">
            <w:pPr>
              <w:jc w:val="right"/>
              <w:rPr>
                <w:color w:val="000000"/>
                <w:sz w:val="16"/>
                <w:szCs w:val="16"/>
                <w:lang w:eastAsia="en-CA"/>
              </w:rPr>
            </w:pPr>
            <w:r w:rsidRPr="005055EB">
              <w:rPr>
                <w:i/>
                <w:iCs/>
                <w:sz w:val="16"/>
                <w:szCs w:val="16"/>
              </w:rPr>
              <w:t>Pendiente</w:t>
            </w:r>
          </w:p>
        </w:tc>
        <w:tc>
          <w:tcPr>
            <w:tcW w:w="540" w:type="pct"/>
            <w:shd w:val="clear" w:color="auto" w:fill="auto"/>
            <w:noWrap/>
            <w:hideMark/>
          </w:tcPr>
          <w:p w14:paraId="0CF6C9FC" w14:textId="77777777" w:rsidR="00530B53" w:rsidRPr="005055EB" w:rsidRDefault="00530B53" w:rsidP="00530B53">
            <w:pPr>
              <w:jc w:val="right"/>
              <w:rPr>
                <w:color w:val="000000"/>
                <w:sz w:val="16"/>
                <w:szCs w:val="16"/>
                <w:lang w:eastAsia="en-CA"/>
              </w:rPr>
            </w:pPr>
            <w:r w:rsidRPr="005055EB">
              <w:rPr>
                <w:i/>
                <w:iCs/>
                <w:sz w:val="16"/>
                <w:szCs w:val="16"/>
              </w:rPr>
              <w:t>Pendiente</w:t>
            </w:r>
          </w:p>
        </w:tc>
      </w:tr>
      <w:tr w:rsidR="00530B53" w:rsidRPr="005055EB" w14:paraId="42473F2D" w14:textId="77777777" w:rsidTr="005E6582">
        <w:trPr>
          <w:trHeight w:val="124"/>
        </w:trPr>
        <w:tc>
          <w:tcPr>
            <w:tcW w:w="623" w:type="pct"/>
            <w:shd w:val="clear" w:color="auto" w:fill="auto"/>
            <w:noWrap/>
            <w:hideMark/>
          </w:tcPr>
          <w:p w14:paraId="54A55C47" w14:textId="77777777" w:rsidR="00530B53" w:rsidRPr="005055EB" w:rsidRDefault="00530B53" w:rsidP="00530B53">
            <w:pPr>
              <w:ind w:right="-110"/>
              <w:jc w:val="left"/>
              <w:rPr>
                <w:color w:val="000000"/>
                <w:sz w:val="18"/>
                <w:szCs w:val="18"/>
                <w:lang w:eastAsia="en-CA"/>
              </w:rPr>
            </w:pPr>
            <w:r w:rsidRPr="005055EB">
              <w:rPr>
                <w:color w:val="000000"/>
                <w:sz w:val="18"/>
                <w:szCs w:val="18"/>
                <w:lang w:eastAsia="en-CA"/>
              </w:rPr>
              <w:t>Asia-Pacífico</w:t>
            </w:r>
          </w:p>
        </w:tc>
        <w:tc>
          <w:tcPr>
            <w:tcW w:w="458" w:type="pct"/>
            <w:shd w:val="clear" w:color="auto" w:fill="auto"/>
            <w:noWrap/>
            <w:hideMark/>
          </w:tcPr>
          <w:p w14:paraId="66D1EE20" w14:textId="77777777" w:rsidR="00530B53" w:rsidRPr="005055EB" w:rsidRDefault="00530B53" w:rsidP="00530B53">
            <w:pPr>
              <w:jc w:val="right"/>
              <w:rPr>
                <w:color w:val="000000"/>
                <w:sz w:val="16"/>
                <w:szCs w:val="16"/>
                <w:lang w:eastAsia="en-CA"/>
              </w:rPr>
            </w:pPr>
            <w:r w:rsidRPr="005055EB">
              <w:rPr>
                <w:i/>
                <w:iCs/>
                <w:sz w:val="16"/>
                <w:szCs w:val="16"/>
              </w:rPr>
              <w:t>Pendiente</w:t>
            </w:r>
          </w:p>
        </w:tc>
        <w:tc>
          <w:tcPr>
            <w:tcW w:w="584" w:type="pct"/>
            <w:shd w:val="clear" w:color="auto" w:fill="auto"/>
            <w:noWrap/>
            <w:hideMark/>
          </w:tcPr>
          <w:p w14:paraId="1EA935C4" w14:textId="77777777" w:rsidR="00530B53" w:rsidRPr="005055EB" w:rsidRDefault="00530B53" w:rsidP="00530B53">
            <w:pPr>
              <w:jc w:val="right"/>
              <w:rPr>
                <w:color w:val="000000"/>
                <w:sz w:val="16"/>
                <w:szCs w:val="16"/>
                <w:lang w:eastAsia="en-CA"/>
              </w:rPr>
            </w:pPr>
            <w:r w:rsidRPr="005055EB">
              <w:rPr>
                <w:i/>
                <w:iCs/>
                <w:sz w:val="16"/>
                <w:szCs w:val="16"/>
              </w:rPr>
              <w:t>Pendiente</w:t>
            </w:r>
          </w:p>
        </w:tc>
        <w:tc>
          <w:tcPr>
            <w:tcW w:w="587" w:type="pct"/>
            <w:shd w:val="clear" w:color="auto" w:fill="auto"/>
            <w:noWrap/>
            <w:hideMark/>
          </w:tcPr>
          <w:p w14:paraId="5C806882" w14:textId="77777777" w:rsidR="00530B53" w:rsidRPr="005055EB" w:rsidRDefault="00530B53" w:rsidP="00530B53">
            <w:pPr>
              <w:jc w:val="right"/>
              <w:rPr>
                <w:color w:val="000000"/>
                <w:sz w:val="16"/>
                <w:szCs w:val="16"/>
                <w:lang w:eastAsia="en-CA"/>
              </w:rPr>
            </w:pPr>
            <w:r w:rsidRPr="005055EB">
              <w:rPr>
                <w:i/>
                <w:iCs/>
                <w:sz w:val="16"/>
                <w:szCs w:val="16"/>
              </w:rPr>
              <w:t>Pendiente</w:t>
            </w:r>
          </w:p>
        </w:tc>
        <w:tc>
          <w:tcPr>
            <w:tcW w:w="657" w:type="pct"/>
            <w:shd w:val="clear" w:color="auto" w:fill="auto"/>
            <w:noWrap/>
            <w:hideMark/>
          </w:tcPr>
          <w:p w14:paraId="453627EE" w14:textId="77777777" w:rsidR="00530B53" w:rsidRPr="005055EB" w:rsidRDefault="00530B53" w:rsidP="00530B53">
            <w:pPr>
              <w:jc w:val="right"/>
              <w:rPr>
                <w:color w:val="000000"/>
                <w:sz w:val="16"/>
                <w:szCs w:val="16"/>
                <w:lang w:eastAsia="en-CA"/>
              </w:rPr>
            </w:pPr>
            <w:r w:rsidRPr="005055EB">
              <w:rPr>
                <w:i/>
                <w:iCs/>
                <w:sz w:val="16"/>
                <w:szCs w:val="16"/>
              </w:rPr>
              <w:t>Pendiente</w:t>
            </w:r>
          </w:p>
        </w:tc>
        <w:tc>
          <w:tcPr>
            <w:tcW w:w="515" w:type="pct"/>
            <w:shd w:val="clear" w:color="auto" w:fill="auto"/>
            <w:noWrap/>
            <w:hideMark/>
          </w:tcPr>
          <w:p w14:paraId="49A6B418" w14:textId="77777777" w:rsidR="00530B53" w:rsidRPr="005055EB" w:rsidRDefault="00530B53" w:rsidP="00530B53">
            <w:pPr>
              <w:jc w:val="right"/>
              <w:rPr>
                <w:color w:val="000000"/>
                <w:sz w:val="16"/>
                <w:szCs w:val="16"/>
                <w:lang w:eastAsia="en-CA"/>
              </w:rPr>
            </w:pPr>
            <w:r w:rsidRPr="005055EB">
              <w:rPr>
                <w:i/>
                <w:iCs/>
                <w:sz w:val="16"/>
                <w:szCs w:val="16"/>
              </w:rPr>
              <w:t>Pendiente</w:t>
            </w:r>
          </w:p>
        </w:tc>
        <w:tc>
          <w:tcPr>
            <w:tcW w:w="495" w:type="pct"/>
            <w:shd w:val="clear" w:color="auto" w:fill="auto"/>
            <w:noWrap/>
            <w:hideMark/>
          </w:tcPr>
          <w:p w14:paraId="1B57E65F" w14:textId="77777777" w:rsidR="00530B53" w:rsidRPr="005055EB" w:rsidRDefault="00530B53" w:rsidP="00530B53">
            <w:pPr>
              <w:jc w:val="right"/>
              <w:rPr>
                <w:color w:val="000000"/>
                <w:sz w:val="16"/>
                <w:szCs w:val="16"/>
                <w:lang w:eastAsia="en-CA"/>
              </w:rPr>
            </w:pPr>
            <w:r w:rsidRPr="005055EB">
              <w:rPr>
                <w:i/>
                <w:iCs/>
                <w:sz w:val="16"/>
                <w:szCs w:val="16"/>
              </w:rPr>
              <w:t>Pendiente</w:t>
            </w:r>
          </w:p>
        </w:tc>
        <w:tc>
          <w:tcPr>
            <w:tcW w:w="541" w:type="pct"/>
            <w:shd w:val="clear" w:color="auto" w:fill="auto"/>
            <w:noWrap/>
            <w:hideMark/>
          </w:tcPr>
          <w:p w14:paraId="162D8256" w14:textId="77777777" w:rsidR="00530B53" w:rsidRPr="005055EB" w:rsidRDefault="00530B53" w:rsidP="00530B53">
            <w:pPr>
              <w:jc w:val="right"/>
              <w:rPr>
                <w:color w:val="000000"/>
                <w:sz w:val="16"/>
                <w:szCs w:val="16"/>
                <w:lang w:eastAsia="en-CA"/>
              </w:rPr>
            </w:pPr>
            <w:r w:rsidRPr="005055EB">
              <w:rPr>
                <w:i/>
                <w:iCs/>
                <w:sz w:val="16"/>
                <w:szCs w:val="16"/>
              </w:rPr>
              <w:t>Pendiente</w:t>
            </w:r>
          </w:p>
        </w:tc>
        <w:tc>
          <w:tcPr>
            <w:tcW w:w="540" w:type="pct"/>
            <w:shd w:val="clear" w:color="auto" w:fill="auto"/>
            <w:noWrap/>
            <w:hideMark/>
          </w:tcPr>
          <w:p w14:paraId="6AEDDD14" w14:textId="77777777" w:rsidR="00530B53" w:rsidRPr="005055EB" w:rsidRDefault="00530B53" w:rsidP="00530B53">
            <w:pPr>
              <w:jc w:val="right"/>
              <w:rPr>
                <w:color w:val="000000"/>
                <w:sz w:val="16"/>
                <w:szCs w:val="16"/>
                <w:lang w:eastAsia="en-CA"/>
              </w:rPr>
            </w:pPr>
            <w:r w:rsidRPr="005055EB">
              <w:rPr>
                <w:i/>
                <w:iCs/>
                <w:sz w:val="16"/>
                <w:szCs w:val="16"/>
              </w:rPr>
              <w:t>Pendiente</w:t>
            </w:r>
          </w:p>
        </w:tc>
      </w:tr>
      <w:tr w:rsidR="00530B53" w:rsidRPr="005055EB" w14:paraId="08240C1A" w14:textId="77777777" w:rsidTr="005E6582">
        <w:trPr>
          <w:trHeight w:val="56"/>
        </w:trPr>
        <w:tc>
          <w:tcPr>
            <w:tcW w:w="623" w:type="pct"/>
            <w:shd w:val="clear" w:color="auto" w:fill="auto"/>
            <w:noWrap/>
            <w:hideMark/>
          </w:tcPr>
          <w:p w14:paraId="424F8561" w14:textId="77777777" w:rsidR="00530B53" w:rsidRPr="005055EB" w:rsidRDefault="00530B53" w:rsidP="00530B53">
            <w:pPr>
              <w:jc w:val="left"/>
              <w:rPr>
                <w:color w:val="000000"/>
                <w:sz w:val="18"/>
                <w:szCs w:val="18"/>
                <w:lang w:eastAsia="en-CA"/>
              </w:rPr>
            </w:pPr>
            <w:r w:rsidRPr="005055EB">
              <w:rPr>
                <w:color w:val="000000"/>
                <w:sz w:val="18"/>
                <w:szCs w:val="18"/>
                <w:lang w:eastAsia="en-CA"/>
              </w:rPr>
              <w:t>Europa</w:t>
            </w:r>
          </w:p>
        </w:tc>
        <w:tc>
          <w:tcPr>
            <w:tcW w:w="458" w:type="pct"/>
            <w:shd w:val="clear" w:color="auto" w:fill="auto"/>
            <w:noWrap/>
            <w:hideMark/>
          </w:tcPr>
          <w:p w14:paraId="7FBCA084" w14:textId="77777777" w:rsidR="00530B53" w:rsidRPr="005055EB" w:rsidRDefault="00530B53" w:rsidP="00530B53">
            <w:pPr>
              <w:jc w:val="right"/>
              <w:rPr>
                <w:color w:val="000000"/>
                <w:sz w:val="16"/>
                <w:szCs w:val="16"/>
                <w:lang w:eastAsia="en-CA"/>
              </w:rPr>
            </w:pPr>
            <w:r w:rsidRPr="005055EB">
              <w:rPr>
                <w:i/>
                <w:iCs/>
                <w:sz w:val="16"/>
                <w:szCs w:val="16"/>
              </w:rPr>
              <w:t>Pendiente</w:t>
            </w:r>
          </w:p>
        </w:tc>
        <w:tc>
          <w:tcPr>
            <w:tcW w:w="584" w:type="pct"/>
            <w:shd w:val="clear" w:color="auto" w:fill="auto"/>
            <w:noWrap/>
            <w:hideMark/>
          </w:tcPr>
          <w:p w14:paraId="0266F6B2" w14:textId="77777777" w:rsidR="00530B53" w:rsidRPr="005055EB" w:rsidRDefault="00530B53" w:rsidP="00530B53">
            <w:pPr>
              <w:jc w:val="right"/>
              <w:rPr>
                <w:color w:val="000000"/>
                <w:sz w:val="16"/>
                <w:szCs w:val="16"/>
                <w:lang w:eastAsia="en-CA"/>
              </w:rPr>
            </w:pPr>
            <w:r w:rsidRPr="005055EB">
              <w:rPr>
                <w:i/>
                <w:iCs/>
                <w:sz w:val="16"/>
                <w:szCs w:val="16"/>
              </w:rPr>
              <w:t>Pendiente</w:t>
            </w:r>
          </w:p>
        </w:tc>
        <w:tc>
          <w:tcPr>
            <w:tcW w:w="587" w:type="pct"/>
            <w:shd w:val="clear" w:color="auto" w:fill="auto"/>
            <w:noWrap/>
            <w:hideMark/>
          </w:tcPr>
          <w:p w14:paraId="4312BF30" w14:textId="77777777" w:rsidR="00530B53" w:rsidRPr="005055EB" w:rsidRDefault="00530B53" w:rsidP="00530B53">
            <w:pPr>
              <w:jc w:val="right"/>
              <w:rPr>
                <w:color w:val="000000"/>
                <w:sz w:val="16"/>
                <w:szCs w:val="16"/>
                <w:lang w:eastAsia="en-CA"/>
              </w:rPr>
            </w:pPr>
            <w:r w:rsidRPr="005055EB">
              <w:rPr>
                <w:i/>
                <w:iCs/>
                <w:sz w:val="16"/>
                <w:szCs w:val="16"/>
              </w:rPr>
              <w:t>Pendiente</w:t>
            </w:r>
          </w:p>
        </w:tc>
        <w:tc>
          <w:tcPr>
            <w:tcW w:w="657" w:type="pct"/>
            <w:shd w:val="clear" w:color="auto" w:fill="auto"/>
            <w:noWrap/>
            <w:hideMark/>
          </w:tcPr>
          <w:p w14:paraId="413D7AF1" w14:textId="77777777" w:rsidR="00530B53" w:rsidRPr="005055EB" w:rsidRDefault="00530B53" w:rsidP="00530B53">
            <w:pPr>
              <w:jc w:val="right"/>
              <w:rPr>
                <w:color w:val="000000"/>
                <w:sz w:val="16"/>
                <w:szCs w:val="16"/>
                <w:lang w:eastAsia="en-CA"/>
              </w:rPr>
            </w:pPr>
            <w:r w:rsidRPr="005055EB">
              <w:rPr>
                <w:i/>
                <w:iCs/>
                <w:sz w:val="16"/>
                <w:szCs w:val="16"/>
              </w:rPr>
              <w:t>Pendiente</w:t>
            </w:r>
          </w:p>
        </w:tc>
        <w:tc>
          <w:tcPr>
            <w:tcW w:w="515" w:type="pct"/>
            <w:shd w:val="clear" w:color="auto" w:fill="auto"/>
            <w:noWrap/>
            <w:hideMark/>
          </w:tcPr>
          <w:p w14:paraId="6EA24C9C" w14:textId="77777777" w:rsidR="00530B53" w:rsidRPr="005055EB" w:rsidRDefault="00530B53" w:rsidP="00530B53">
            <w:pPr>
              <w:jc w:val="right"/>
              <w:rPr>
                <w:color w:val="000000"/>
                <w:sz w:val="16"/>
                <w:szCs w:val="16"/>
                <w:lang w:eastAsia="en-CA"/>
              </w:rPr>
            </w:pPr>
            <w:r w:rsidRPr="005055EB">
              <w:rPr>
                <w:i/>
                <w:iCs/>
                <w:sz w:val="16"/>
                <w:szCs w:val="16"/>
              </w:rPr>
              <w:t>Pendiente</w:t>
            </w:r>
          </w:p>
        </w:tc>
        <w:tc>
          <w:tcPr>
            <w:tcW w:w="495" w:type="pct"/>
            <w:shd w:val="clear" w:color="auto" w:fill="auto"/>
            <w:noWrap/>
            <w:hideMark/>
          </w:tcPr>
          <w:p w14:paraId="6361ED70" w14:textId="77777777" w:rsidR="00530B53" w:rsidRPr="005055EB" w:rsidRDefault="00530B53" w:rsidP="00530B53">
            <w:pPr>
              <w:jc w:val="right"/>
              <w:rPr>
                <w:color w:val="000000"/>
                <w:sz w:val="16"/>
                <w:szCs w:val="16"/>
                <w:lang w:eastAsia="en-CA"/>
              </w:rPr>
            </w:pPr>
            <w:r w:rsidRPr="005055EB">
              <w:rPr>
                <w:i/>
                <w:iCs/>
                <w:sz w:val="16"/>
                <w:szCs w:val="16"/>
              </w:rPr>
              <w:t>Pendiente</w:t>
            </w:r>
          </w:p>
        </w:tc>
        <w:tc>
          <w:tcPr>
            <w:tcW w:w="541" w:type="pct"/>
            <w:shd w:val="clear" w:color="auto" w:fill="auto"/>
            <w:noWrap/>
            <w:hideMark/>
          </w:tcPr>
          <w:p w14:paraId="3EDEC9C3" w14:textId="77777777" w:rsidR="00530B53" w:rsidRPr="005055EB" w:rsidRDefault="00530B53" w:rsidP="00530B53">
            <w:pPr>
              <w:jc w:val="right"/>
              <w:rPr>
                <w:color w:val="000000"/>
                <w:sz w:val="16"/>
                <w:szCs w:val="16"/>
                <w:lang w:eastAsia="en-CA"/>
              </w:rPr>
            </w:pPr>
            <w:r w:rsidRPr="005055EB">
              <w:rPr>
                <w:i/>
                <w:iCs/>
                <w:sz w:val="16"/>
                <w:szCs w:val="16"/>
              </w:rPr>
              <w:t>Pendiente</w:t>
            </w:r>
          </w:p>
        </w:tc>
        <w:tc>
          <w:tcPr>
            <w:tcW w:w="540" w:type="pct"/>
            <w:shd w:val="clear" w:color="auto" w:fill="auto"/>
            <w:noWrap/>
            <w:hideMark/>
          </w:tcPr>
          <w:p w14:paraId="03EF2326" w14:textId="77777777" w:rsidR="00530B53" w:rsidRPr="005055EB" w:rsidRDefault="00530B53" w:rsidP="00530B53">
            <w:pPr>
              <w:jc w:val="right"/>
              <w:rPr>
                <w:color w:val="000000"/>
                <w:sz w:val="16"/>
                <w:szCs w:val="16"/>
                <w:lang w:eastAsia="en-CA"/>
              </w:rPr>
            </w:pPr>
            <w:r w:rsidRPr="005055EB">
              <w:rPr>
                <w:i/>
                <w:iCs/>
                <w:sz w:val="16"/>
                <w:szCs w:val="16"/>
              </w:rPr>
              <w:t>Pendiente</w:t>
            </w:r>
          </w:p>
        </w:tc>
      </w:tr>
      <w:tr w:rsidR="00530B53" w:rsidRPr="005055EB" w14:paraId="29B8316B" w14:textId="77777777" w:rsidTr="005E6582">
        <w:trPr>
          <w:trHeight w:val="273"/>
        </w:trPr>
        <w:tc>
          <w:tcPr>
            <w:tcW w:w="623" w:type="pct"/>
            <w:shd w:val="clear" w:color="auto" w:fill="auto"/>
            <w:noWrap/>
            <w:hideMark/>
          </w:tcPr>
          <w:p w14:paraId="69F0E3C3" w14:textId="77777777" w:rsidR="00530B53" w:rsidRPr="005055EB" w:rsidRDefault="00530B53" w:rsidP="00530B53">
            <w:pPr>
              <w:jc w:val="left"/>
              <w:rPr>
                <w:color w:val="000000"/>
                <w:sz w:val="18"/>
                <w:szCs w:val="18"/>
                <w:lang w:val="fr-FR" w:eastAsia="en-CA"/>
              </w:rPr>
            </w:pPr>
            <w:r w:rsidRPr="005055EB">
              <w:rPr>
                <w:color w:val="000000"/>
                <w:sz w:val="18"/>
                <w:szCs w:val="18"/>
                <w:lang w:val="fr-FR" w:eastAsia="en-CA"/>
              </w:rPr>
              <w:t>América Latina y el Caribe</w:t>
            </w:r>
          </w:p>
        </w:tc>
        <w:tc>
          <w:tcPr>
            <w:tcW w:w="458" w:type="pct"/>
            <w:shd w:val="clear" w:color="auto" w:fill="auto"/>
            <w:noWrap/>
            <w:hideMark/>
          </w:tcPr>
          <w:p w14:paraId="595E9105" w14:textId="77777777" w:rsidR="00530B53" w:rsidRPr="005055EB" w:rsidRDefault="00530B53" w:rsidP="00530B53">
            <w:pPr>
              <w:jc w:val="right"/>
              <w:rPr>
                <w:color w:val="000000"/>
                <w:sz w:val="16"/>
                <w:szCs w:val="16"/>
                <w:lang w:eastAsia="en-CA"/>
              </w:rPr>
            </w:pPr>
            <w:r w:rsidRPr="005055EB">
              <w:rPr>
                <w:i/>
                <w:iCs/>
                <w:sz w:val="16"/>
                <w:szCs w:val="16"/>
              </w:rPr>
              <w:t>Pendiente</w:t>
            </w:r>
          </w:p>
        </w:tc>
        <w:tc>
          <w:tcPr>
            <w:tcW w:w="584" w:type="pct"/>
            <w:shd w:val="clear" w:color="auto" w:fill="auto"/>
            <w:noWrap/>
            <w:hideMark/>
          </w:tcPr>
          <w:p w14:paraId="1BEE5D36" w14:textId="77777777" w:rsidR="00530B53" w:rsidRPr="005055EB" w:rsidRDefault="00530B53" w:rsidP="00530B53">
            <w:pPr>
              <w:jc w:val="right"/>
              <w:rPr>
                <w:color w:val="000000"/>
                <w:sz w:val="16"/>
                <w:szCs w:val="16"/>
                <w:lang w:eastAsia="en-CA"/>
              </w:rPr>
            </w:pPr>
            <w:r w:rsidRPr="005055EB">
              <w:rPr>
                <w:i/>
                <w:iCs/>
                <w:sz w:val="16"/>
                <w:szCs w:val="16"/>
              </w:rPr>
              <w:t>Pendiente</w:t>
            </w:r>
          </w:p>
        </w:tc>
        <w:tc>
          <w:tcPr>
            <w:tcW w:w="587" w:type="pct"/>
            <w:shd w:val="clear" w:color="auto" w:fill="auto"/>
            <w:noWrap/>
            <w:hideMark/>
          </w:tcPr>
          <w:p w14:paraId="227AA5C7" w14:textId="77777777" w:rsidR="00530B53" w:rsidRPr="005055EB" w:rsidRDefault="00530B53" w:rsidP="00530B53">
            <w:pPr>
              <w:jc w:val="right"/>
              <w:rPr>
                <w:color w:val="000000"/>
                <w:sz w:val="16"/>
                <w:szCs w:val="16"/>
                <w:lang w:eastAsia="en-CA"/>
              </w:rPr>
            </w:pPr>
            <w:r w:rsidRPr="005055EB">
              <w:rPr>
                <w:i/>
                <w:iCs/>
                <w:sz w:val="16"/>
                <w:szCs w:val="16"/>
              </w:rPr>
              <w:t>Pendiente</w:t>
            </w:r>
          </w:p>
        </w:tc>
        <w:tc>
          <w:tcPr>
            <w:tcW w:w="657" w:type="pct"/>
            <w:shd w:val="clear" w:color="auto" w:fill="auto"/>
            <w:noWrap/>
            <w:hideMark/>
          </w:tcPr>
          <w:p w14:paraId="56368FDE" w14:textId="77777777" w:rsidR="00530B53" w:rsidRPr="005055EB" w:rsidRDefault="00530B53" w:rsidP="00530B53">
            <w:pPr>
              <w:jc w:val="right"/>
              <w:rPr>
                <w:color w:val="000000"/>
                <w:sz w:val="16"/>
                <w:szCs w:val="16"/>
                <w:lang w:eastAsia="en-CA"/>
              </w:rPr>
            </w:pPr>
            <w:r w:rsidRPr="005055EB">
              <w:rPr>
                <w:i/>
                <w:iCs/>
                <w:sz w:val="16"/>
                <w:szCs w:val="16"/>
              </w:rPr>
              <w:t>Pendiente</w:t>
            </w:r>
          </w:p>
        </w:tc>
        <w:tc>
          <w:tcPr>
            <w:tcW w:w="515" w:type="pct"/>
            <w:shd w:val="clear" w:color="auto" w:fill="auto"/>
            <w:noWrap/>
            <w:hideMark/>
          </w:tcPr>
          <w:p w14:paraId="063A29EB" w14:textId="77777777" w:rsidR="00530B53" w:rsidRPr="005055EB" w:rsidRDefault="00530B53" w:rsidP="00530B53">
            <w:pPr>
              <w:jc w:val="right"/>
              <w:rPr>
                <w:color w:val="000000"/>
                <w:sz w:val="16"/>
                <w:szCs w:val="16"/>
                <w:lang w:eastAsia="en-CA"/>
              </w:rPr>
            </w:pPr>
            <w:r w:rsidRPr="005055EB">
              <w:rPr>
                <w:i/>
                <w:iCs/>
                <w:sz w:val="16"/>
                <w:szCs w:val="16"/>
              </w:rPr>
              <w:t>Pendiente</w:t>
            </w:r>
          </w:p>
        </w:tc>
        <w:tc>
          <w:tcPr>
            <w:tcW w:w="495" w:type="pct"/>
            <w:shd w:val="clear" w:color="auto" w:fill="auto"/>
            <w:noWrap/>
            <w:hideMark/>
          </w:tcPr>
          <w:p w14:paraId="0066CFED" w14:textId="77777777" w:rsidR="00530B53" w:rsidRPr="005055EB" w:rsidRDefault="00530B53" w:rsidP="00530B53">
            <w:pPr>
              <w:jc w:val="right"/>
              <w:rPr>
                <w:color w:val="000000"/>
                <w:sz w:val="16"/>
                <w:szCs w:val="16"/>
                <w:lang w:eastAsia="en-CA"/>
              </w:rPr>
            </w:pPr>
            <w:r w:rsidRPr="005055EB">
              <w:rPr>
                <w:i/>
                <w:iCs/>
                <w:sz w:val="16"/>
                <w:szCs w:val="16"/>
              </w:rPr>
              <w:t>Pendiente</w:t>
            </w:r>
          </w:p>
        </w:tc>
        <w:tc>
          <w:tcPr>
            <w:tcW w:w="541" w:type="pct"/>
            <w:shd w:val="clear" w:color="auto" w:fill="auto"/>
            <w:noWrap/>
            <w:hideMark/>
          </w:tcPr>
          <w:p w14:paraId="03436961" w14:textId="77777777" w:rsidR="00530B53" w:rsidRPr="005055EB" w:rsidRDefault="00530B53" w:rsidP="00530B53">
            <w:pPr>
              <w:jc w:val="right"/>
              <w:rPr>
                <w:color w:val="000000"/>
                <w:sz w:val="16"/>
                <w:szCs w:val="16"/>
                <w:lang w:eastAsia="en-CA"/>
              </w:rPr>
            </w:pPr>
            <w:r w:rsidRPr="005055EB">
              <w:rPr>
                <w:i/>
                <w:iCs/>
                <w:sz w:val="16"/>
                <w:szCs w:val="16"/>
              </w:rPr>
              <w:t>Pendiente</w:t>
            </w:r>
          </w:p>
        </w:tc>
        <w:tc>
          <w:tcPr>
            <w:tcW w:w="540" w:type="pct"/>
            <w:shd w:val="clear" w:color="auto" w:fill="auto"/>
            <w:noWrap/>
            <w:hideMark/>
          </w:tcPr>
          <w:p w14:paraId="4C2E5D25" w14:textId="77777777" w:rsidR="00530B53" w:rsidRPr="005055EB" w:rsidRDefault="00530B53" w:rsidP="00530B53">
            <w:pPr>
              <w:jc w:val="right"/>
              <w:rPr>
                <w:color w:val="000000"/>
                <w:sz w:val="16"/>
                <w:szCs w:val="16"/>
                <w:lang w:eastAsia="en-CA"/>
              </w:rPr>
            </w:pPr>
            <w:r w:rsidRPr="005055EB">
              <w:rPr>
                <w:i/>
                <w:iCs/>
                <w:sz w:val="16"/>
                <w:szCs w:val="16"/>
              </w:rPr>
              <w:t>Pendiente</w:t>
            </w:r>
          </w:p>
        </w:tc>
      </w:tr>
      <w:tr w:rsidR="00530B53" w:rsidRPr="005055EB" w14:paraId="2B5A2ADF" w14:textId="77777777" w:rsidTr="005E6582">
        <w:trPr>
          <w:trHeight w:val="122"/>
        </w:trPr>
        <w:tc>
          <w:tcPr>
            <w:tcW w:w="623" w:type="pct"/>
            <w:shd w:val="clear" w:color="auto" w:fill="auto"/>
            <w:noWrap/>
            <w:hideMark/>
          </w:tcPr>
          <w:p w14:paraId="1A4C9962" w14:textId="77777777" w:rsidR="00530B53" w:rsidRPr="005055EB" w:rsidRDefault="00530B53" w:rsidP="00530B53">
            <w:pPr>
              <w:jc w:val="left"/>
              <w:rPr>
                <w:color w:val="000000"/>
                <w:sz w:val="18"/>
                <w:szCs w:val="18"/>
                <w:lang w:eastAsia="en-CA"/>
              </w:rPr>
            </w:pPr>
            <w:r w:rsidRPr="005055EB">
              <w:rPr>
                <w:color w:val="000000"/>
                <w:sz w:val="18"/>
                <w:szCs w:val="18"/>
                <w:lang w:eastAsia="en-CA"/>
              </w:rPr>
              <w:t>Global</w:t>
            </w:r>
          </w:p>
        </w:tc>
        <w:tc>
          <w:tcPr>
            <w:tcW w:w="458" w:type="pct"/>
            <w:shd w:val="clear" w:color="auto" w:fill="auto"/>
            <w:noWrap/>
            <w:hideMark/>
          </w:tcPr>
          <w:p w14:paraId="07A51155" w14:textId="77777777" w:rsidR="00530B53" w:rsidRPr="005055EB" w:rsidRDefault="00530B53" w:rsidP="00530B53">
            <w:pPr>
              <w:jc w:val="right"/>
              <w:rPr>
                <w:color w:val="000000"/>
                <w:sz w:val="16"/>
                <w:szCs w:val="16"/>
                <w:lang w:eastAsia="en-CA"/>
              </w:rPr>
            </w:pPr>
            <w:r w:rsidRPr="005055EB">
              <w:rPr>
                <w:i/>
                <w:iCs/>
                <w:sz w:val="16"/>
                <w:szCs w:val="16"/>
              </w:rPr>
              <w:t>Pendiente</w:t>
            </w:r>
          </w:p>
        </w:tc>
        <w:tc>
          <w:tcPr>
            <w:tcW w:w="584" w:type="pct"/>
            <w:shd w:val="clear" w:color="auto" w:fill="auto"/>
            <w:noWrap/>
            <w:hideMark/>
          </w:tcPr>
          <w:p w14:paraId="62969D5A" w14:textId="77777777" w:rsidR="00530B53" w:rsidRPr="005055EB" w:rsidRDefault="00530B53" w:rsidP="00530B53">
            <w:pPr>
              <w:jc w:val="right"/>
              <w:rPr>
                <w:color w:val="000000"/>
                <w:sz w:val="16"/>
                <w:szCs w:val="16"/>
                <w:lang w:eastAsia="en-CA"/>
              </w:rPr>
            </w:pPr>
            <w:r w:rsidRPr="005055EB">
              <w:rPr>
                <w:i/>
                <w:iCs/>
                <w:sz w:val="16"/>
                <w:szCs w:val="16"/>
              </w:rPr>
              <w:t>Pendiente</w:t>
            </w:r>
          </w:p>
        </w:tc>
        <w:tc>
          <w:tcPr>
            <w:tcW w:w="587" w:type="pct"/>
            <w:shd w:val="clear" w:color="auto" w:fill="auto"/>
            <w:noWrap/>
            <w:hideMark/>
          </w:tcPr>
          <w:p w14:paraId="471F7DBB" w14:textId="77777777" w:rsidR="00530B53" w:rsidRPr="005055EB" w:rsidRDefault="00530B53" w:rsidP="00530B53">
            <w:pPr>
              <w:jc w:val="right"/>
              <w:rPr>
                <w:color w:val="000000"/>
                <w:sz w:val="16"/>
                <w:szCs w:val="16"/>
                <w:lang w:eastAsia="en-CA"/>
              </w:rPr>
            </w:pPr>
            <w:r w:rsidRPr="005055EB">
              <w:rPr>
                <w:i/>
                <w:iCs/>
                <w:sz w:val="16"/>
                <w:szCs w:val="16"/>
              </w:rPr>
              <w:t>Pendiente</w:t>
            </w:r>
          </w:p>
        </w:tc>
        <w:tc>
          <w:tcPr>
            <w:tcW w:w="657" w:type="pct"/>
            <w:shd w:val="clear" w:color="auto" w:fill="auto"/>
            <w:noWrap/>
            <w:hideMark/>
          </w:tcPr>
          <w:p w14:paraId="1E274853" w14:textId="77777777" w:rsidR="00530B53" w:rsidRPr="005055EB" w:rsidRDefault="00530B53" w:rsidP="00530B53">
            <w:pPr>
              <w:jc w:val="right"/>
              <w:rPr>
                <w:color w:val="000000"/>
                <w:sz w:val="16"/>
                <w:szCs w:val="16"/>
                <w:lang w:eastAsia="en-CA"/>
              </w:rPr>
            </w:pPr>
            <w:r w:rsidRPr="005055EB">
              <w:rPr>
                <w:i/>
                <w:iCs/>
                <w:sz w:val="16"/>
                <w:szCs w:val="16"/>
              </w:rPr>
              <w:t>Pendiente</w:t>
            </w:r>
          </w:p>
        </w:tc>
        <w:tc>
          <w:tcPr>
            <w:tcW w:w="515" w:type="pct"/>
            <w:shd w:val="clear" w:color="auto" w:fill="auto"/>
            <w:noWrap/>
            <w:hideMark/>
          </w:tcPr>
          <w:p w14:paraId="640E6660" w14:textId="77777777" w:rsidR="00530B53" w:rsidRPr="005055EB" w:rsidRDefault="00530B53" w:rsidP="00530B53">
            <w:pPr>
              <w:jc w:val="right"/>
              <w:rPr>
                <w:color w:val="000000"/>
                <w:sz w:val="16"/>
                <w:szCs w:val="16"/>
                <w:lang w:eastAsia="en-CA"/>
              </w:rPr>
            </w:pPr>
            <w:r w:rsidRPr="005055EB">
              <w:rPr>
                <w:i/>
                <w:iCs/>
                <w:sz w:val="16"/>
                <w:szCs w:val="16"/>
              </w:rPr>
              <w:t>Pendiente</w:t>
            </w:r>
          </w:p>
        </w:tc>
        <w:tc>
          <w:tcPr>
            <w:tcW w:w="495" w:type="pct"/>
            <w:shd w:val="clear" w:color="auto" w:fill="auto"/>
            <w:noWrap/>
            <w:hideMark/>
          </w:tcPr>
          <w:p w14:paraId="177A62FE" w14:textId="77777777" w:rsidR="00530B53" w:rsidRPr="005055EB" w:rsidRDefault="00530B53" w:rsidP="00530B53">
            <w:pPr>
              <w:jc w:val="right"/>
              <w:rPr>
                <w:color w:val="000000"/>
                <w:sz w:val="16"/>
                <w:szCs w:val="16"/>
                <w:lang w:eastAsia="en-CA"/>
              </w:rPr>
            </w:pPr>
            <w:r w:rsidRPr="005055EB">
              <w:rPr>
                <w:i/>
                <w:iCs/>
                <w:sz w:val="16"/>
                <w:szCs w:val="16"/>
              </w:rPr>
              <w:t>Pendiente</w:t>
            </w:r>
          </w:p>
        </w:tc>
        <w:tc>
          <w:tcPr>
            <w:tcW w:w="541" w:type="pct"/>
            <w:shd w:val="clear" w:color="auto" w:fill="auto"/>
            <w:noWrap/>
            <w:hideMark/>
          </w:tcPr>
          <w:p w14:paraId="4D347640" w14:textId="77777777" w:rsidR="00530B53" w:rsidRPr="005055EB" w:rsidRDefault="00530B53" w:rsidP="00530B53">
            <w:pPr>
              <w:jc w:val="right"/>
              <w:rPr>
                <w:color w:val="000000"/>
                <w:sz w:val="16"/>
                <w:szCs w:val="16"/>
                <w:lang w:eastAsia="en-CA"/>
              </w:rPr>
            </w:pPr>
            <w:r w:rsidRPr="005055EB">
              <w:rPr>
                <w:i/>
                <w:iCs/>
                <w:sz w:val="16"/>
                <w:szCs w:val="16"/>
              </w:rPr>
              <w:t>Pendiente</w:t>
            </w:r>
          </w:p>
        </w:tc>
        <w:tc>
          <w:tcPr>
            <w:tcW w:w="540" w:type="pct"/>
            <w:shd w:val="clear" w:color="auto" w:fill="auto"/>
            <w:noWrap/>
            <w:hideMark/>
          </w:tcPr>
          <w:p w14:paraId="70A95621" w14:textId="77777777" w:rsidR="00530B53" w:rsidRPr="005055EB" w:rsidRDefault="00530B53" w:rsidP="00530B53">
            <w:pPr>
              <w:jc w:val="right"/>
              <w:rPr>
                <w:color w:val="000000"/>
                <w:sz w:val="16"/>
                <w:szCs w:val="16"/>
                <w:lang w:eastAsia="en-CA"/>
              </w:rPr>
            </w:pPr>
            <w:r w:rsidRPr="005055EB">
              <w:rPr>
                <w:i/>
                <w:iCs/>
                <w:sz w:val="16"/>
                <w:szCs w:val="16"/>
              </w:rPr>
              <w:t>Pendiente</w:t>
            </w:r>
          </w:p>
        </w:tc>
      </w:tr>
      <w:tr w:rsidR="00530B53" w:rsidRPr="005055EB" w14:paraId="4940321C" w14:textId="77777777" w:rsidTr="00D900CE">
        <w:trPr>
          <w:trHeight w:val="179"/>
        </w:trPr>
        <w:tc>
          <w:tcPr>
            <w:tcW w:w="5000" w:type="pct"/>
            <w:gridSpan w:val="9"/>
            <w:shd w:val="clear" w:color="auto" w:fill="auto"/>
            <w:noWrap/>
            <w:hideMark/>
          </w:tcPr>
          <w:p w14:paraId="3D2B82A8" w14:textId="7DC22C0C" w:rsidR="00530B53" w:rsidRPr="005055EB" w:rsidRDefault="00530B53" w:rsidP="00530B53">
            <w:pPr>
              <w:jc w:val="left"/>
              <w:rPr>
                <w:color w:val="000000"/>
                <w:sz w:val="16"/>
                <w:szCs w:val="16"/>
                <w:lang w:eastAsia="en-CA"/>
              </w:rPr>
            </w:pPr>
          </w:p>
        </w:tc>
      </w:tr>
      <w:tr w:rsidR="00530B53" w:rsidRPr="005055EB" w14:paraId="28761518" w14:textId="77777777" w:rsidTr="005E6582">
        <w:trPr>
          <w:trHeight w:val="44"/>
        </w:trPr>
        <w:tc>
          <w:tcPr>
            <w:tcW w:w="623" w:type="pct"/>
            <w:shd w:val="clear" w:color="auto" w:fill="auto"/>
            <w:noWrap/>
            <w:hideMark/>
          </w:tcPr>
          <w:p w14:paraId="3ECF3629" w14:textId="77777777" w:rsidR="00530B53" w:rsidRPr="005055EB" w:rsidRDefault="00530B53" w:rsidP="00530B53">
            <w:pPr>
              <w:jc w:val="left"/>
              <w:rPr>
                <w:color w:val="000000"/>
                <w:sz w:val="18"/>
                <w:szCs w:val="18"/>
                <w:lang w:eastAsia="en-CA"/>
              </w:rPr>
            </w:pPr>
            <w:r w:rsidRPr="005055EB">
              <w:rPr>
                <w:color w:val="000000"/>
                <w:sz w:val="18"/>
                <w:szCs w:val="18"/>
                <w:lang w:eastAsia="en-CA"/>
              </w:rPr>
              <w:t>Aerosoles</w:t>
            </w:r>
          </w:p>
        </w:tc>
        <w:tc>
          <w:tcPr>
            <w:tcW w:w="458" w:type="pct"/>
            <w:shd w:val="clear" w:color="auto" w:fill="auto"/>
            <w:noWrap/>
          </w:tcPr>
          <w:p w14:paraId="2E5DA281"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84" w:type="pct"/>
            <w:shd w:val="clear" w:color="auto" w:fill="auto"/>
            <w:noWrap/>
          </w:tcPr>
          <w:p w14:paraId="59300002"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87" w:type="pct"/>
            <w:shd w:val="clear" w:color="auto" w:fill="auto"/>
            <w:noWrap/>
          </w:tcPr>
          <w:p w14:paraId="217D4211"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657" w:type="pct"/>
            <w:shd w:val="clear" w:color="auto" w:fill="auto"/>
            <w:noWrap/>
          </w:tcPr>
          <w:p w14:paraId="5D5C4AE2"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15" w:type="pct"/>
            <w:shd w:val="clear" w:color="auto" w:fill="auto"/>
            <w:noWrap/>
          </w:tcPr>
          <w:p w14:paraId="38B1AF98"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495" w:type="pct"/>
            <w:shd w:val="clear" w:color="auto" w:fill="auto"/>
            <w:noWrap/>
          </w:tcPr>
          <w:p w14:paraId="13AA3EDA"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41" w:type="pct"/>
            <w:shd w:val="clear" w:color="auto" w:fill="auto"/>
            <w:noWrap/>
          </w:tcPr>
          <w:p w14:paraId="0539E281"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40" w:type="pct"/>
            <w:shd w:val="clear" w:color="auto" w:fill="auto"/>
            <w:noWrap/>
          </w:tcPr>
          <w:p w14:paraId="18B30FE9"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r>
      <w:tr w:rsidR="00530B53" w:rsidRPr="005055EB" w14:paraId="736EEB07" w14:textId="77777777" w:rsidTr="005E6582">
        <w:trPr>
          <w:trHeight w:val="44"/>
        </w:trPr>
        <w:tc>
          <w:tcPr>
            <w:tcW w:w="623" w:type="pct"/>
            <w:shd w:val="clear" w:color="auto" w:fill="auto"/>
            <w:noWrap/>
            <w:hideMark/>
          </w:tcPr>
          <w:p w14:paraId="5513FD14" w14:textId="77777777" w:rsidR="00530B53" w:rsidRPr="005055EB" w:rsidRDefault="00530B53" w:rsidP="00530B53">
            <w:pPr>
              <w:jc w:val="left"/>
              <w:rPr>
                <w:color w:val="000000"/>
                <w:sz w:val="18"/>
                <w:szCs w:val="18"/>
                <w:lang w:eastAsia="en-CA"/>
              </w:rPr>
            </w:pPr>
            <w:r w:rsidRPr="005055EB">
              <w:rPr>
                <w:color w:val="000000"/>
                <w:sz w:val="18"/>
                <w:szCs w:val="18"/>
                <w:lang w:eastAsia="en-CA"/>
              </w:rPr>
              <w:t>Destrucción</w:t>
            </w:r>
          </w:p>
        </w:tc>
        <w:tc>
          <w:tcPr>
            <w:tcW w:w="458" w:type="pct"/>
            <w:shd w:val="clear" w:color="auto" w:fill="auto"/>
            <w:noWrap/>
          </w:tcPr>
          <w:p w14:paraId="7AE0CD6A"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84" w:type="pct"/>
            <w:shd w:val="clear" w:color="auto" w:fill="auto"/>
            <w:noWrap/>
          </w:tcPr>
          <w:p w14:paraId="1D3563F4"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87" w:type="pct"/>
            <w:shd w:val="clear" w:color="auto" w:fill="auto"/>
            <w:noWrap/>
          </w:tcPr>
          <w:p w14:paraId="244858A4"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657" w:type="pct"/>
            <w:shd w:val="clear" w:color="auto" w:fill="auto"/>
            <w:noWrap/>
          </w:tcPr>
          <w:p w14:paraId="067D4C9F"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15" w:type="pct"/>
            <w:shd w:val="clear" w:color="auto" w:fill="auto"/>
            <w:noWrap/>
          </w:tcPr>
          <w:p w14:paraId="0FF1165A"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495" w:type="pct"/>
            <w:shd w:val="clear" w:color="auto" w:fill="auto"/>
            <w:noWrap/>
          </w:tcPr>
          <w:p w14:paraId="2EF34314"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41" w:type="pct"/>
            <w:shd w:val="clear" w:color="auto" w:fill="auto"/>
            <w:noWrap/>
          </w:tcPr>
          <w:p w14:paraId="45611B93"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40" w:type="pct"/>
            <w:shd w:val="clear" w:color="auto" w:fill="auto"/>
            <w:noWrap/>
          </w:tcPr>
          <w:p w14:paraId="396BB0EB"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r>
      <w:tr w:rsidR="00530B53" w:rsidRPr="005055EB" w14:paraId="40692F49" w14:textId="77777777" w:rsidTr="005E6582">
        <w:trPr>
          <w:trHeight w:val="107"/>
        </w:trPr>
        <w:tc>
          <w:tcPr>
            <w:tcW w:w="623" w:type="pct"/>
            <w:shd w:val="clear" w:color="auto" w:fill="auto"/>
            <w:noWrap/>
            <w:hideMark/>
          </w:tcPr>
          <w:p w14:paraId="013B6C93" w14:textId="77777777" w:rsidR="00530B53" w:rsidRPr="005055EB" w:rsidRDefault="00530B53" w:rsidP="00530B53">
            <w:pPr>
              <w:jc w:val="left"/>
              <w:rPr>
                <w:color w:val="000000"/>
                <w:sz w:val="18"/>
                <w:szCs w:val="18"/>
                <w:lang w:eastAsia="en-CA"/>
              </w:rPr>
            </w:pPr>
            <w:r w:rsidRPr="005055EB">
              <w:rPr>
                <w:color w:val="000000"/>
                <w:sz w:val="18"/>
                <w:szCs w:val="18"/>
                <w:lang w:eastAsia="en-CA"/>
              </w:rPr>
              <w:t>Espumas</w:t>
            </w:r>
          </w:p>
        </w:tc>
        <w:tc>
          <w:tcPr>
            <w:tcW w:w="458" w:type="pct"/>
            <w:shd w:val="clear" w:color="auto" w:fill="auto"/>
            <w:noWrap/>
          </w:tcPr>
          <w:p w14:paraId="5FC0EEC9"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84" w:type="pct"/>
            <w:shd w:val="clear" w:color="auto" w:fill="auto"/>
            <w:noWrap/>
          </w:tcPr>
          <w:p w14:paraId="07957562"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87" w:type="pct"/>
            <w:shd w:val="clear" w:color="auto" w:fill="auto"/>
            <w:noWrap/>
          </w:tcPr>
          <w:p w14:paraId="0BC4DFCF"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657" w:type="pct"/>
            <w:shd w:val="clear" w:color="auto" w:fill="auto"/>
            <w:noWrap/>
          </w:tcPr>
          <w:p w14:paraId="1ACACC50"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15" w:type="pct"/>
            <w:shd w:val="clear" w:color="auto" w:fill="auto"/>
            <w:noWrap/>
          </w:tcPr>
          <w:p w14:paraId="710CD0CE"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495" w:type="pct"/>
            <w:shd w:val="clear" w:color="auto" w:fill="auto"/>
            <w:noWrap/>
          </w:tcPr>
          <w:p w14:paraId="13B37470"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41" w:type="pct"/>
            <w:shd w:val="clear" w:color="auto" w:fill="auto"/>
            <w:noWrap/>
          </w:tcPr>
          <w:p w14:paraId="66869B11"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40" w:type="pct"/>
            <w:shd w:val="clear" w:color="auto" w:fill="auto"/>
            <w:noWrap/>
          </w:tcPr>
          <w:p w14:paraId="54F7C5B9"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r>
      <w:tr w:rsidR="00530B53" w:rsidRPr="005055EB" w14:paraId="509CA167" w14:textId="77777777" w:rsidTr="005E6582">
        <w:trPr>
          <w:trHeight w:val="44"/>
        </w:trPr>
        <w:tc>
          <w:tcPr>
            <w:tcW w:w="623" w:type="pct"/>
            <w:shd w:val="clear" w:color="auto" w:fill="auto"/>
            <w:noWrap/>
            <w:hideMark/>
          </w:tcPr>
          <w:p w14:paraId="1E47DEA2" w14:textId="77777777" w:rsidR="00530B53" w:rsidRPr="005055EB" w:rsidRDefault="00530B53" w:rsidP="00530B53">
            <w:pPr>
              <w:jc w:val="left"/>
              <w:rPr>
                <w:color w:val="000000"/>
                <w:sz w:val="18"/>
                <w:szCs w:val="18"/>
                <w:lang w:eastAsia="en-CA"/>
              </w:rPr>
            </w:pPr>
            <w:r w:rsidRPr="005055EB">
              <w:rPr>
                <w:color w:val="000000"/>
                <w:sz w:val="18"/>
                <w:szCs w:val="18"/>
                <w:lang w:eastAsia="en-CA"/>
              </w:rPr>
              <w:t>Fumigantes</w:t>
            </w:r>
          </w:p>
        </w:tc>
        <w:tc>
          <w:tcPr>
            <w:tcW w:w="458" w:type="pct"/>
            <w:shd w:val="clear" w:color="auto" w:fill="auto"/>
            <w:noWrap/>
          </w:tcPr>
          <w:p w14:paraId="4634C1E5"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84" w:type="pct"/>
            <w:shd w:val="clear" w:color="auto" w:fill="auto"/>
            <w:noWrap/>
          </w:tcPr>
          <w:p w14:paraId="70FF4E3F"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87" w:type="pct"/>
            <w:shd w:val="clear" w:color="auto" w:fill="auto"/>
            <w:noWrap/>
          </w:tcPr>
          <w:p w14:paraId="0D69C1D9"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657" w:type="pct"/>
            <w:shd w:val="clear" w:color="auto" w:fill="auto"/>
            <w:noWrap/>
          </w:tcPr>
          <w:p w14:paraId="2D3E5828"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15" w:type="pct"/>
            <w:shd w:val="clear" w:color="auto" w:fill="auto"/>
            <w:noWrap/>
          </w:tcPr>
          <w:p w14:paraId="4BC8C475"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495" w:type="pct"/>
            <w:shd w:val="clear" w:color="auto" w:fill="auto"/>
            <w:noWrap/>
          </w:tcPr>
          <w:p w14:paraId="702592BE"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41" w:type="pct"/>
            <w:shd w:val="clear" w:color="auto" w:fill="auto"/>
            <w:noWrap/>
          </w:tcPr>
          <w:p w14:paraId="6C7B85D9"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40" w:type="pct"/>
            <w:shd w:val="clear" w:color="auto" w:fill="auto"/>
            <w:noWrap/>
          </w:tcPr>
          <w:p w14:paraId="59CAB55D"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r>
      <w:tr w:rsidR="00530B53" w:rsidRPr="005055EB" w14:paraId="4DA96711" w14:textId="77777777" w:rsidTr="005E6582">
        <w:trPr>
          <w:trHeight w:val="44"/>
        </w:trPr>
        <w:tc>
          <w:tcPr>
            <w:tcW w:w="623" w:type="pct"/>
            <w:shd w:val="clear" w:color="auto" w:fill="auto"/>
            <w:noWrap/>
            <w:hideMark/>
          </w:tcPr>
          <w:p w14:paraId="23E8C67C" w14:textId="77777777" w:rsidR="00530B53" w:rsidRPr="005055EB" w:rsidRDefault="00530B53" w:rsidP="00530B53">
            <w:pPr>
              <w:jc w:val="left"/>
              <w:rPr>
                <w:color w:val="000000"/>
                <w:sz w:val="18"/>
                <w:szCs w:val="18"/>
                <w:lang w:eastAsia="en-CA"/>
              </w:rPr>
            </w:pPr>
            <w:r w:rsidRPr="005055EB">
              <w:rPr>
                <w:color w:val="000000"/>
                <w:sz w:val="18"/>
                <w:szCs w:val="18"/>
                <w:lang w:eastAsia="en-CA"/>
              </w:rPr>
              <w:t>Halones</w:t>
            </w:r>
          </w:p>
        </w:tc>
        <w:tc>
          <w:tcPr>
            <w:tcW w:w="458" w:type="pct"/>
            <w:shd w:val="clear" w:color="auto" w:fill="auto"/>
            <w:noWrap/>
          </w:tcPr>
          <w:p w14:paraId="34134343"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84" w:type="pct"/>
            <w:shd w:val="clear" w:color="auto" w:fill="auto"/>
            <w:noWrap/>
          </w:tcPr>
          <w:p w14:paraId="62082E5D"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87" w:type="pct"/>
            <w:shd w:val="clear" w:color="auto" w:fill="auto"/>
            <w:noWrap/>
          </w:tcPr>
          <w:p w14:paraId="6EE79B7F"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657" w:type="pct"/>
            <w:shd w:val="clear" w:color="auto" w:fill="auto"/>
            <w:noWrap/>
          </w:tcPr>
          <w:p w14:paraId="46453EB0"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15" w:type="pct"/>
            <w:shd w:val="clear" w:color="auto" w:fill="auto"/>
            <w:noWrap/>
          </w:tcPr>
          <w:p w14:paraId="6982C0F9"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495" w:type="pct"/>
            <w:shd w:val="clear" w:color="auto" w:fill="auto"/>
            <w:noWrap/>
          </w:tcPr>
          <w:p w14:paraId="583204E5"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41" w:type="pct"/>
            <w:shd w:val="clear" w:color="auto" w:fill="auto"/>
            <w:noWrap/>
          </w:tcPr>
          <w:p w14:paraId="11F2A960"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40" w:type="pct"/>
            <w:shd w:val="clear" w:color="auto" w:fill="auto"/>
            <w:noWrap/>
          </w:tcPr>
          <w:p w14:paraId="255875BC"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r>
      <w:tr w:rsidR="00530B53" w:rsidRPr="005055EB" w14:paraId="2570CF7D" w14:textId="77777777" w:rsidTr="005E6582">
        <w:trPr>
          <w:trHeight w:val="44"/>
        </w:trPr>
        <w:tc>
          <w:tcPr>
            <w:tcW w:w="623" w:type="pct"/>
            <w:shd w:val="clear" w:color="auto" w:fill="auto"/>
            <w:noWrap/>
            <w:hideMark/>
          </w:tcPr>
          <w:p w14:paraId="76E3D2BC" w14:textId="77777777" w:rsidR="00530B53" w:rsidRPr="005055EB" w:rsidRDefault="00530B53" w:rsidP="00530B53">
            <w:pPr>
              <w:jc w:val="left"/>
              <w:rPr>
                <w:color w:val="000000"/>
                <w:sz w:val="18"/>
                <w:szCs w:val="18"/>
                <w:lang w:val="fr-FR" w:eastAsia="en-CA"/>
              </w:rPr>
            </w:pPr>
            <w:r w:rsidRPr="005055EB">
              <w:rPr>
                <w:color w:val="000000"/>
                <w:sz w:val="18"/>
                <w:szCs w:val="18"/>
                <w:lang w:val="fr-FR" w:eastAsia="en-CA"/>
              </w:rPr>
              <w:lastRenderedPageBreak/>
              <w:t>Plan de aplicación Enmienda de Kigali</w:t>
            </w:r>
          </w:p>
        </w:tc>
        <w:tc>
          <w:tcPr>
            <w:tcW w:w="458" w:type="pct"/>
            <w:shd w:val="clear" w:color="auto" w:fill="auto"/>
            <w:noWrap/>
          </w:tcPr>
          <w:p w14:paraId="1D187527"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84" w:type="pct"/>
            <w:shd w:val="clear" w:color="auto" w:fill="auto"/>
            <w:noWrap/>
          </w:tcPr>
          <w:p w14:paraId="4E532093"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87" w:type="pct"/>
            <w:shd w:val="clear" w:color="auto" w:fill="auto"/>
            <w:noWrap/>
          </w:tcPr>
          <w:p w14:paraId="66158536"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657" w:type="pct"/>
            <w:shd w:val="clear" w:color="auto" w:fill="auto"/>
            <w:noWrap/>
          </w:tcPr>
          <w:p w14:paraId="62A45257"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15" w:type="pct"/>
            <w:shd w:val="clear" w:color="auto" w:fill="auto"/>
            <w:noWrap/>
          </w:tcPr>
          <w:p w14:paraId="54F7B8C2"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495" w:type="pct"/>
            <w:shd w:val="clear" w:color="auto" w:fill="auto"/>
            <w:noWrap/>
          </w:tcPr>
          <w:p w14:paraId="3E77CC8F"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41" w:type="pct"/>
            <w:shd w:val="clear" w:color="auto" w:fill="auto"/>
            <w:noWrap/>
          </w:tcPr>
          <w:p w14:paraId="14EF5AE0"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40" w:type="pct"/>
            <w:shd w:val="clear" w:color="auto" w:fill="auto"/>
            <w:noWrap/>
          </w:tcPr>
          <w:p w14:paraId="3D7DFD72"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r>
      <w:tr w:rsidR="00530B53" w:rsidRPr="005055EB" w14:paraId="3B3728EE" w14:textId="77777777" w:rsidTr="005E6582">
        <w:trPr>
          <w:trHeight w:val="44"/>
        </w:trPr>
        <w:tc>
          <w:tcPr>
            <w:tcW w:w="623" w:type="pct"/>
            <w:shd w:val="clear" w:color="auto" w:fill="auto"/>
            <w:noWrap/>
            <w:hideMark/>
          </w:tcPr>
          <w:p w14:paraId="73D4B66A" w14:textId="77777777" w:rsidR="00530B53" w:rsidRPr="005055EB" w:rsidRDefault="00530B53" w:rsidP="00530B53">
            <w:pPr>
              <w:jc w:val="left"/>
              <w:rPr>
                <w:color w:val="000000"/>
                <w:sz w:val="18"/>
                <w:szCs w:val="18"/>
                <w:lang w:eastAsia="en-CA"/>
              </w:rPr>
            </w:pPr>
            <w:r w:rsidRPr="005055EB">
              <w:rPr>
                <w:color w:val="000000"/>
                <w:sz w:val="18"/>
                <w:szCs w:val="18"/>
                <w:lang w:eastAsia="en-CA"/>
              </w:rPr>
              <w:t>Multisectorial</w:t>
            </w:r>
          </w:p>
        </w:tc>
        <w:tc>
          <w:tcPr>
            <w:tcW w:w="458" w:type="pct"/>
            <w:shd w:val="clear" w:color="auto" w:fill="auto"/>
            <w:noWrap/>
          </w:tcPr>
          <w:p w14:paraId="4266EFB4"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84" w:type="pct"/>
            <w:shd w:val="clear" w:color="auto" w:fill="auto"/>
            <w:noWrap/>
          </w:tcPr>
          <w:p w14:paraId="02069526"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87" w:type="pct"/>
            <w:shd w:val="clear" w:color="auto" w:fill="auto"/>
            <w:noWrap/>
          </w:tcPr>
          <w:p w14:paraId="51949497"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657" w:type="pct"/>
            <w:shd w:val="clear" w:color="auto" w:fill="auto"/>
            <w:noWrap/>
          </w:tcPr>
          <w:p w14:paraId="4C155121"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15" w:type="pct"/>
            <w:shd w:val="clear" w:color="auto" w:fill="auto"/>
            <w:noWrap/>
          </w:tcPr>
          <w:p w14:paraId="68D63B86"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495" w:type="pct"/>
            <w:shd w:val="clear" w:color="auto" w:fill="auto"/>
            <w:noWrap/>
          </w:tcPr>
          <w:p w14:paraId="7DB66A07"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41" w:type="pct"/>
            <w:shd w:val="clear" w:color="auto" w:fill="auto"/>
            <w:noWrap/>
          </w:tcPr>
          <w:p w14:paraId="5A0E9364"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40" w:type="pct"/>
            <w:shd w:val="clear" w:color="auto" w:fill="auto"/>
            <w:noWrap/>
          </w:tcPr>
          <w:p w14:paraId="7C393F1D"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r>
      <w:tr w:rsidR="00530B53" w:rsidRPr="005055EB" w14:paraId="2AC13419" w14:textId="77777777" w:rsidTr="005E6582">
        <w:trPr>
          <w:trHeight w:val="44"/>
        </w:trPr>
        <w:tc>
          <w:tcPr>
            <w:tcW w:w="623" w:type="pct"/>
            <w:shd w:val="clear" w:color="auto" w:fill="auto"/>
            <w:noWrap/>
            <w:hideMark/>
          </w:tcPr>
          <w:p w14:paraId="4E2A13CB" w14:textId="77777777" w:rsidR="00530B53" w:rsidRPr="005055EB" w:rsidRDefault="00530B53" w:rsidP="00530B53">
            <w:pPr>
              <w:jc w:val="left"/>
              <w:rPr>
                <w:color w:val="000000"/>
                <w:sz w:val="18"/>
                <w:szCs w:val="18"/>
                <w:lang w:eastAsia="en-CA"/>
              </w:rPr>
            </w:pPr>
            <w:r w:rsidRPr="005055EB">
              <w:rPr>
                <w:color w:val="000000"/>
                <w:sz w:val="18"/>
                <w:szCs w:val="18"/>
                <w:lang w:eastAsia="en-CA"/>
              </w:rPr>
              <w:t>Otros</w:t>
            </w:r>
          </w:p>
        </w:tc>
        <w:tc>
          <w:tcPr>
            <w:tcW w:w="458" w:type="pct"/>
            <w:shd w:val="clear" w:color="auto" w:fill="auto"/>
            <w:noWrap/>
          </w:tcPr>
          <w:p w14:paraId="3F462AB6"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84" w:type="pct"/>
            <w:shd w:val="clear" w:color="auto" w:fill="auto"/>
            <w:noWrap/>
          </w:tcPr>
          <w:p w14:paraId="01E16B67"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87" w:type="pct"/>
            <w:shd w:val="clear" w:color="auto" w:fill="auto"/>
            <w:noWrap/>
          </w:tcPr>
          <w:p w14:paraId="3FE1F562"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657" w:type="pct"/>
            <w:shd w:val="clear" w:color="auto" w:fill="auto"/>
            <w:noWrap/>
          </w:tcPr>
          <w:p w14:paraId="5A8F7576"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15" w:type="pct"/>
            <w:shd w:val="clear" w:color="auto" w:fill="auto"/>
            <w:noWrap/>
          </w:tcPr>
          <w:p w14:paraId="4C9A1DF0"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495" w:type="pct"/>
            <w:shd w:val="clear" w:color="auto" w:fill="auto"/>
            <w:noWrap/>
          </w:tcPr>
          <w:p w14:paraId="4F7B5382"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41" w:type="pct"/>
            <w:shd w:val="clear" w:color="auto" w:fill="auto"/>
            <w:noWrap/>
          </w:tcPr>
          <w:p w14:paraId="493F7B77"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40" w:type="pct"/>
            <w:shd w:val="clear" w:color="auto" w:fill="auto"/>
            <w:noWrap/>
          </w:tcPr>
          <w:p w14:paraId="23706AE2"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r>
      <w:tr w:rsidR="00530B53" w:rsidRPr="005055EB" w14:paraId="68E386FC" w14:textId="77777777" w:rsidTr="005E6582">
        <w:trPr>
          <w:trHeight w:val="44"/>
        </w:trPr>
        <w:tc>
          <w:tcPr>
            <w:tcW w:w="623" w:type="pct"/>
            <w:shd w:val="clear" w:color="auto" w:fill="auto"/>
            <w:noWrap/>
            <w:hideMark/>
          </w:tcPr>
          <w:p w14:paraId="50F86E4F" w14:textId="77777777" w:rsidR="00530B53" w:rsidRPr="005055EB" w:rsidRDefault="00530B53" w:rsidP="00530B53">
            <w:pPr>
              <w:jc w:val="left"/>
              <w:rPr>
                <w:color w:val="000000"/>
                <w:sz w:val="18"/>
                <w:szCs w:val="18"/>
                <w:lang w:eastAsia="en-CA"/>
              </w:rPr>
            </w:pPr>
            <w:r w:rsidRPr="005055EB">
              <w:rPr>
                <w:color w:val="000000"/>
                <w:sz w:val="18"/>
                <w:szCs w:val="18"/>
                <w:lang w:eastAsia="en-CA"/>
              </w:rPr>
              <w:t>Agentes de procesos</w:t>
            </w:r>
          </w:p>
        </w:tc>
        <w:tc>
          <w:tcPr>
            <w:tcW w:w="458" w:type="pct"/>
            <w:shd w:val="clear" w:color="auto" w:fill="auto"/>
            <w:noWrap/>
          </w:tcPr>
          <w:p w14:paraId="65ACB49F"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84" w:type="pct"/>
            <w:shd w:val="clear" w:color="auto" w:fill="auto"/>
            <w:noWrap/>
          </w:tcPr>
          <w:p w14:paraId="2D9A357E"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87" w:type="pct"/>
            <w:shd w:val="clear" w:color="auto" w:fill="auto"/>
            <w:noWrap/>
          </w:tcPr>
          <w:p w14:paraId="1002F4AC"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657" w:type="pct"/>
            <w:shd w:val="clear" w:color="auto" w:fill="auto"/>
            <w:noWrap/>
          </w:tcPr>
          <w:p w14:paraId="5C71326A"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15" w:type="pct"/>
            <w:shd w:val="clear" w:color="auto" w:fill="auto"/>
            <w:noWrap/>
          </w:tcPr>
          <w:p w14:paraId="7DA7F4BB"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495" w:type="pct"/>
            <w:shd w:val="clear" w:color="auto" w:fill="auto"/>
            <w:noWrap/>
          </w:tcPr>
          <w:p w14:paraId="2F649D2D"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41" w:type="pct"/>
            <w:shd w:val="clear" w:color="auto" w:fill="auto"/>
            <w:noWrap/>
          </w:tcPr>
          <w:p w14:paraId="41EE88E9"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40" w:type="pct"/>
            <w:shd w:val="clear" w:color="auto" w:fill="auto"/>
            <w:noWrap/>
          </w:tcPr>
          <w:p w14:paraId="77072A02"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r>
      <w:tr w:rsidR="00530B53" w:rsidRPr="005055EB" w14:paraId="4A8DC647" w14:textId="77777777" w:rsidTr="005E6582">
        <w:trPr>
          <w:trHeight w:val="44"/>
        </w:trPr>
        <w:tc>
          <w:tcPr>
            <w:tcW w:w="623" w:type="pct"/>
            <w:shd w:val="clear" w:color="auto" w:fill="auto"/>
            <w:noWrap/>
            <w:hideMark/>
          </w:tcPr>
          <w:p w14:paraId="7BBE5FEA" w14:textId="77777777" w:rsidR="00530B53" w:rsidRPr="005055EB" w:rsidRDefault="00530B53" w:rsidP="00530B53">
            <w:pPr>
              <w:jc w:val="left"/>
              <w:rPr>
                <w:color w:val="000000"/>
                <w:sz w:val="18"/>
                <w:szCs w:val="18"/>
                <w:lang w:eastAsia="en-CA"/>
              </w:rPr>
            </w:pPr>
            <w:r w:rsidRPr="005055EB">
              <w:rPr>
                <w:color w:val="000000"/>
                <w:sz w:val="18"/>
                <w:szCs w:val="18"/>
                <w:lang w:eastAsia="en-CA"/>
              </w:rPr>
              <w:t>Plan de eliminación</w:t>
            </w:r>
          </w:p>
        </w:tc>
        <w:tc>
          <w:tcPr>
            <w:tcW w:w="458" w:type="pct"/>
            <w:shd w:val="clear" w:color="auto" w:fill="auto"/>
            <w:noWrap/>
          </w:tcPr>
          <w:p w14:paraId="51728333"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84" w:type="pct"/>
            <w:shd w:val="clear" w:color="auto" w:fill="auto"/>
            <w:noWrap/>
          </w:tcPr>
          <w:p w14:paraId="31202AA6"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87" w:type="pct"/>
            <w:shd w:val="clear" w:color="auto" w:fill="auto"/>
            <w:noWrap/>
          </w:tcPr>
          <w:p w14:paraId="3A10E418"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657" w:type="pct"/>
            <w:shd w:val="clear" w:color="auto" w:fill="auto"/>
            <w:noWrap/>
          </w:tcPr>
          <w:p w14:paraId="350B32A1"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15" w:type="pct"/>
            <w:shd w:val="clear" w:color="auto" w:fill="auto"/>
            <w:noWrap/>
          </w:tcPr>
          <w:p w14:paraId="09A21006"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495" w:type="pct"/>
            <w:shd w:val="clear" w:color="auto" w:fill="auto"/>
            <w:noWrap/>
          </w:tcPr>
          <w:p w14:paraId="294D7F3D"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41" w:type="pct"/>
            <w:shd w:val="clear" w:color="auto" w:fill="auto"/>
            <w:noWrap/>
          </w:tcPr>
          <w:p w14:paraId="1D16FE76"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40" w:type="pct"/>
            <w:shd w:val="clear" w:color="auto" w:fill="auto"/>
            <w:noWrap/>
          </w:tcPr>
          <w:p w14:paraId="162CAA4B"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r>
      <w:tr w:rsidR="00530B53" w:rsidRPr="005055EB" w14:paraId="4598F252" w14:textId="77777777" w:rsidTr="005E6582">
        <w:trPr>
          <w:trHeight w:val="44"/>
        </w:trPr>
        <w:tc>
          <w:tcPr>
            <w:tcW w:w="623" w:type="pct"/>
            <w:shd w:val="clear" w:color="auto" w:fill="auto"/>
            <w:noWrap/>
            <w:hideMark/>
          </w:tcPr>
          <w:p w14:paraId="3BFC7320" w14:textId="77777777" w:rsidR="00530B53" w:rsidRPr="005055EB" w:rsidRDefault="00530B53" w:rsidP="00530B53">
            <w:pPr>
              <w:jc w:val="left"/>
              <w:rPr>
                <w:color w:val="000000"/>
                <w:sz w:val="18"/>
                <w:szCs w:val="18"/>
                <w:lang w:eastAsia="en-CA"/>
              </w:rPr>
            </w:pPr>
            <w:r w:rsidRPr="005055EB">
              <w:rPr>
                <w:color w:val="000000"/>
                <w:sz w:val="18"/>
                <w:szCs w:val="18"/>
                <w:lang w:eastAsia="en-CA"/>
              </w:rPr>
              <w:t>Producción</w:t>
            </w:r>
          </w:p>
        </w:tc>
        <w:tc>
          <w:tcPr>
            <w:tcW w:w="458" w:type="pct"/>
            <w:shd w:val="clear" w:color="auto" w:fill="auto"/>
            <w:noWrap/>
          </w:tcPr>
          <w:p w14:paraId="5ED96A97"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84" w:type="pct"/>
            <w:shd w:val="clear" w:color="auto" w:fill="auto"/>
            <w:noWrap/>
          </w:tcPr>
          <w:p w14:paraId="55DB0622"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87" w:type="pct"/>
            <w:shd w:val="clear" w:color="auto" w:fill="auto"/>
            <w:noWrap/>
          </w:tcPr>
          <w:p w14:paraId="4E873A0A"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657" w:type="pct"/>
            <w:shd w:val="clear" w:color="auto" w:fill="auto"/>
            <w:noWrap/>
          </w:tcPr>
          <w:p w14:paraId="34CA7CDB"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15" w:type="pct"/>
            <w:shd w:val="clear" w:color="auto" w:fill="auto"/>
            <w:noWrap/>
          </w:tcPr>
          <w:p w14:paraId="5724B4A0"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495" w:type="pct"/>
            <w:shd w:val="clear" w:color="auto" w:fill="auto"/>
            <w:noWrap/>
          </w:tcPr>
          <w:p w14:paraId="36323A83"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41" w:type="pct"/>
            <w:shd w:val="clear" w:color="auto" w:fill="auto"/>
            <w:noWrap/>
          </w:tcPr>
          <w:p w14:paraId="3FFB8C01"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40" w:type="pct"/>
            <w:shd w:val="clear" w:color="auto" w:fill="auto"/>
            <w:noWrap/>
          </w:tcPr>
          <w:p w14:paraId="3036E917"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r>
      <w:tr w:rsidR="00530B53" w:rsidRPr="005055EB" w14:paraId="5502E56F" w14:textId="77777777" w:rsidTr="005E6582">
        <w:trPr>
          <w:trHeight w:val="44"/>
        </w:trPr>
        <w:tc>
          <w:tcPr>
            <w:tcW w:w="623" w:type="pct"/>
            <w:shd w:val="clear" w:color="auto" w:fill="auto"/>
            <w:noWrap/>
            <w:hideMark/>
          </w:tcPr>
          <w:p w14:paraId="1794FAE6" w14:textId="77777777" w:rsidR="00530B53" w:rsidRPr="005055EB" w:rsidRDefault="00530B53" w:rsidP="00530B53">
            <w:pPr>
              <w:jc w:val="left"/>
              <w:rPr>
                <w:color w:val="000000"/>
                <w:sz w:val="18"/>
                <w:szCs w:val="18"/>
                <w:lang w:eastAsia="en-CA"/>
              </w:rPr>
            </w:pPr>
            <w:r w:rsidRPr="005055EB">
              <w:rPr>
                <w:color w:val="000000"/>
                <w:sz w:val="18"/>
                <w:szCs w:val="18"/>
                <w:lang w:eastAsia="en-CA"/>
              </w:rPr>
              <w:t>Refrigeración</w:t>
            </w:r>
          </w:p>
        </w:tc>
        <w:tc>
          <w:tcPr>
            <w:tcW w:w="458" w:type="pct"/>
            <w:shd w:val="clear" w:color="auto" w:fill="auto"/>
            <w:noWrap/>
          </w:tcPr>
          <w:p w14:paraId="496A0B7E"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84" w:type="pct"/>
            <w:shd w:val="clear" w:color="auto" w:fill="auto"/>
            <w:noWrap/>
          </w:tcPr>
          <w:p w14:paraId="0447B49F"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87" w:type="pct"/>
            <w:shd w:val="clear" w:color="auto" w:fill="auto"/>
            <w:noWrap/>
          </w:tcPr>
          <w:p w14:paraId="4DE8F50D"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657" w:type="pct"/>
            <w:shd w:val="clear" w:color="auto" w:fill="auto"/>
            <w:noWrap/>
          </w:tcPr>
          <w:p w14:paraId="7D0DE3E3"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15" w:type="pct"/>
            <w:shd w:val="clear" w:color="auto" w:fill="auto"/>
            <w:noWrap/>
          </w:tcPr>
          <w:p w14:paraId="18EC7873"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495" w:type="pct"/>
            <w:shd w:val="clear" w:color="auto" w:fill="auto"/>
            <w:noWrap/>
          </w:tcPr>
          <w:p w14:paraId="42D5865B"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41" w:type="pct"/>
            <w:shd w:val="clear" w:color="auto" w:fill="auto"/>
            <w:noWrap/>
          </w:tcPr>
          <w:p w14:paraId="14901BD7"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40" w:type="pct"/>
            <w:shd w:val="clear" w:color="auto" w:fill="auto"/>
            <w:noWrap/>
          </w:tcPr>
          <w:p w14:paraId="7788C538"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r>
      <w:tr w:rsidR="00530B53" w:rsidRPr="005055EB" w14:paraId="23DA0499" w14:textId="77777777" w:rsidTr="005E6582">
        <w:trPr>
          <w:trHeight w:val="95"/>
        </w:trPr>
        <w:tc>
          <w:tcPr>
            <w:tcW w:w="623" w:type="pct"/>
            <w:shd w:val="clear" w:color="auto" w:fill="auto"/>
            <w:noWrap/>
            <w:hideMark/>
          </w:tcPr>
          <w:p w14:paraId="6B28C955" w14:textId="77777777" w:rsidR="00530B53" w:rsidRPr="005055EB" w:rsidRDefault="00530B53" w:rsidP="00530B53">
            <w:pPr>
              <w:jc w:val="left"/>
              <w:rPr>
                <w:color w:val="000000"/>
                <w:sz w:val="18"/>
                <w:szCs w:val="18"/>
                <w:lang w:eastAsia="en-CA"/>
              </w:rPr>
            </w:pPr>
            <w:r w:rsidRPr="005055EB">
              <w:rPr>
                <w:color w:val="000000"/>
                <w:sz w:val="18"/>
                <w:szCs w:val="18"/>
                <w:lang w:eastAsia="en-CA"/>
              </w:rPr>
              <w:t>Varios</w:t>
            </w:r>
          </w:p>
        </w:tc>
        <w:tc>
          <w:tcPr>
            <w:tcW w:w="458" w:type="pct"/>
            <w:shd w:val="clear" w:color="auto" w:fill="auto"/>
            <w:noWrap/>
          </w:tcPr>
          <w:p w14:paraId="16C0C54E"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84" w:type="pct"/>
            <w:shd w:val="clear" w:color="auto" w:fill="auto"/>
            <w:noWrap/>
          </w:tcPr>
          <w:p w14:paraId="7C5E0BE3"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87" w:type="pct"/>
            <w:shd w:val="clear" w:color="auto" w:fill="auto"/>
            <w:noWrap/>
          </w:tcPr>
          <w:p w14:paraId="3EFAF967"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657" w:type="pct"/>
            <w:shd w:val="clear" w:color="auto" w:fill="auto"/>
            <w:noWrap/>
          </w:tcPr>
          <w:p w14:paraId="3D3EBAA9"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15" w:type="pct"/>
            <w:shd w:val="clear" w:color="auto" w:fill="auto"/>
            <w:noWrap/>
          </w:tcPr>
          <w:p w14:paraId="2A8BC1DC"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495" w:type="pct"/>
            <w:shd w:val="clear" w:color="auto" w:fill="auto"/>
            <w:noWrap/>
          </w:tcPr>
          <w:p w14:paraId="4E98CDF1"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41" w:type="pct"/>
            <w:shd w:val="clear" w:color="auto" w:fill="auto"/>
            <w:noWrap/>
          </w:tcPr>
          <w:p w14:paraId="57217928"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40" w:type="pct"/>
            <w:shd w:val="clear" w:color="auto" w:fill="auto"/>
            <w:noWrap/>
          </w:tcPr>
          <w:p w14:paraId="3A31CEDF"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r>
      <w:tr w:rsidR="00530B53" w:rsidRPr="005055EB" w14:paraId="763F7F50" w14:textId="77777777" w:rsidTr="005E6582">
        <w:trPr>
          <w:trHeight w:val="44"/>
        </w:trPr>
        <w:tc>
          <w:tcPr>
            <w:tcW w:w="623" w:type="pct"/>
            <w:shd w:val="clear" w:color="auto" w:fill="auto"/>
            <w:noWrap/>
            <w:hideMark/>
          </w:tcPr>
          <w:p w14:paraId="7DEF3546" w14:textId="77777777" w:rsidR="00530B53" w:rsidRPr="005055EB" w:rsidRDefault="00530B53" w:rsidP="00530B53">
            <w:pPr>
              <w:jc w:val="left"/>
              <w:rPr>
                <w:color w:val="000000"/>
                <w:sz w:val="18"/>
                <w:szCs w:val="18"/>
                <w:lang w:eastAsia="en-CA"/>
              </w:rPr>
            </w:pPr>
            <w:r w:rsidRPr="005055EB">
              <w:rPr>
                <w:color w:val="000000"/>
                <w:sz w:val="18"/>
                <w:szCs w:val="18"/>
                <w:lang w:eastAsia="en-CA"/>
              </w:rPr>
              <w:t>Solventes</w:t>
            </w:r>
          </w:p>
        </w:tc>
        <w:tc>
          <w:tcPr>
            <w:tcW w:w="458" w:type="pct"/>
            <w:shd w:val="clear" w:color="auto" w:fill="auto"/>
            <w:noWrap/>
          </w:tcPr>
          <w:p w14:paraId="5CDBBA82"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84" w:type="pct"/>
            <w:shd w:val="clear" w:color="auto" w:fill="auto"/>
            <w:noWrap/>
          </w:tcPr>
          <w:p w14:paraId="748F05A2"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87" w:type="pct"/>
            <w:shd w:val="clear" w:color="auto" w:fill="auto"/>
            <w:noWrap/>
          </w:tcPr>
          <w:p w14:paraId="2DD81416"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657" w:type="pct"/>
            <w:shd w:val="clear" w:color="auto" w:fill="auto"/>
            <w:noWrap/>
          </w:tcPr>
          <w:p w14:paraId="558749C3"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15" w:type="pct"/>
            <w:shd w:val="clear" w:color="auto" w:fill="auto"/>
            <w:noWrap/>
          </w:tcPr>
          <w:p w14:paraId="42259967"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495" w:type="pct"/>
            <w:shd w:val="clear" w:color="auto" w:fill="auto"/>
            <w:noWrap/>
          </w:tcPr>
          <w:p w14:paraId="377ADCE9"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41" w:type="pct"/>
            <w:shd w:val="clear" w:color="auto" w:fill="auto"/>
            <w:noWrap/>
          </w:tcPr>
          <w:p w14:paraId="7F799DF9"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40" w:type="pct"/>
            <w:shd w:val="clear" w:color="auto" w:fill="auto"/>
            <w:noWrap/>
          </w:tcPr>
          <w:p w14:paraId="77AE56A9"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r>
      <w:tr w:rsidR="00530B53" w:rsidRPr="005055EB" w14:paraId="1E60312E" w14:textId="77777777" w:rsidTr="005E6582">
        <w:trPr>
          <w:trHeight w:val="44"/>
        </w:trPr>
        <w:tc>
          <w:tcPr>
            <w:tcW w:w="623" w:type="pct"/>
            <w:shd w:val="clear" w:color="auto" w:fill="auto"/>
            <w:noWrap/>
            <w:hideMark/>
          </w:tcPr>
          <w:p w14:paraId="7D040BE2" w14:textId="77777777" w:rsidR="00530B53" w:rsidRPr="005055EB" w:rsidRDefault="00530B53" w:rsidP="00530B53">
            <w:pPr>
              <w:jc w:val="left"/>
              <w:rPr>
                <w:color w:val="000000"/>
                <w:sz w:val="18"/>
                <w:szCs w:val="18"/>
                <w:lang w:eastAsia="en-CA"/>
              </w:rPr>
            </w:pPr>
            <w:r w:rsidRPr="005055EB">
              <w:rPr>
                <w:color w:val="000000"/>
                <w:sz w:val="18"/>
                <w:szCs w:val="18"/>
                <w:lang w:eastAsia="en-CA"/>
              </w:rPr>
              <w:t>Esterilizantes</w:t>
            </w:r>
          </w:p>
        </w:tc>
        <w:tc>
          <w:tcPr>
            <w:tcW w:w="458" w:type="pct"/>
            <w:shd w:val="clear" w:color="auto" w:fill="auto"/>
            <w:noWrap/>
          </w:tcPr>
          <w:p w14:paraId="1F48C5A1"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84" w:type="pct"/>
            <w:shd w:val="clear" w:color="auto" w:fill="auto"/>
            <w:noWrap/>
          </w:tcPr>
          <w:p w14:paraId="45D273F3"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87" w:type="pct"/>
            <w:shd w:val="clear" w:color="auto" w:fill="auto"/>
            <w:noWrap/>
          </w:tcPr>
          <w:p w14:paraId="35B70F8A"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657" w:type="pct"/>
            <w:shd w:val="clear" w:color="auto" w:fill="auto"/>
            <w:noWrap/>
          </w:tcPr>
          <w:p w14:paraId="4ADBE7F1"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15" w:type="pct"/>
            <w:shd w:val="clear" w:color="auto" w:fill="auto"/>
            <w:noWrap/>
          </w:tcPr>
          <w:p w14:paraId="715DD4FA"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495" w:type="pct"/>
            <w:shd w:val="clear" w:color="auto" w:fill="auto"/>
            <w:noWrap/>
          </w:tcPr>
          <w:p w14:paraId="37C05F26"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41" w:type="pct"/>
            <w:shd w:val="clear" w:color="auto" w:fill="auto"/>
            <w:noWrap/>
          </w:tcPr>
          <w:p w14:paraId="6A0F1709"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c>
          <w:tcPr>
            <w:tcW w:w="540" w:type="pct"/>
            <w:shd w:val="clear" w:color="auto" w:fill="auto"/>
            <w:noWrap/>
          </w:tcPr>
          <w:p w14:paraId="5FF39321" w14:textId="77777777" w:rsidR="00530B53" w:rsidRPr="005055EB" w:rsidRDefault="00530B53" w:rsidP="00530B53">
            <w:pPr>
              <w:jc w:val="right"/>
              <w:rPr>
                <w:i/>
                <w:iCs/>
                <w:color w:val="000000"/>
                <w:sz w:val="16"/>
                <w:szCs w:val="16"/>
                <w:lang w:eastAsia="en-CA"/>
              </w:rPr>
            </w:pPr>
            <w:r w:rsidRPr="005055EB">
              <w:rPr>
                <w:i/>
                <w:iCs/>
                <w:sz w:val="16"/>
                <w:szCs w:val="16"/>
              </w:rPr>
              <w:t>Pendiente</w:t>
            </w:r>
          </w:p>
        </w:tc>
      </w:tr>
      <w:tr w:rsidR="00530B53" w:rsidRPr="005055EB" w14:paraId="48E32652" w14:textId="77777777" w:rsidTr="005E6582">
        <w:trPr>
          <w:trHeight w:val="44"/>
        </w:trPr>
        <w:tc>
          <w:tcPr>
            <w:tcW w:w="623" w:type="pct"/>
            <w:shd w:val="clear" w:color="auto" w:fill="auto"/>
            <w:noWrap/>
            <w:hideMark/>
          </w:tcPr>
          <w:p w14:paraId="6B4B8388" w14:textId="77777777" w:rsidR="00530B53" w:rsidRPr="005055EB" w:rsidRDefault="00530B53" w:rsidP="00530B53">
            <w:pPr>
              <w:jc w:val="left"/>
              <w:rPr>
                <w:b/>
                <w:bCs/>
                <w:color w:val="000000"/>
                <w:sz w:val="18"/>
                <w:szCs w:val="18"/>
                <w:lang w:eastAsia="en-CA"/>
              </w:rPr>
            </w:pPr>
            <w:r w:rsidRPr="005055EB">
              <w:rPr>
                <w:b/>
                <w:bCs/>
                <w:color w:val="000000"/>
                <w:sz w:val="18"/>
                <w:szCs w:val="18"/>
                <w:lang w:eastAsia="en-CA"/>
              </w:rPr>
              <w:t>Total</w:t>
            </w:r>
          </w:p>
        </w:tc>
        <w:tc>
          <w:tcPr>
            <w:tcW w:w="458" w:type="pct"/>
            <w:shd w:val="clear" w:color="auto" w:fill="auto"/>
            <w:noWrap/>
          </w:tcPr>
          <w:p w14:paraId="4B01DFBB" w14:textId="77777777" w:rsidR="00530B53" w:rsidRPr="005055EB" w:rsidRDefault="00530B53" w:rsidP="00530B53">
            <w:pPr>
              <w:jc w:val="right"/>
              <w:rPr>
                <w:b/>
                <w:bCs/>
                <w:i/>
                <w:iCs/>
                <w:color w:val="000000"/>
                <w:sz w:val="16"/>
                <w:szCs w:val="16"/>
                <w:lang w:eastAsia="en-CA"/>
              </w:rPr>
            </w:pPr>
            <w:r w:rsidRPr="005055EB">
              <w:rPr>
                <w:i/>
                <w:iCs/>
                <w:sz w:val="16"/>
                <w:szCs w:val="16"/>
              </w:rPr>
              <w:t>Pendiente</w:t>
            </w:r>
          </w:p>
        </w:tc>
        <w:tc>
          <w:tcPr>
            <w:tcW w:w="584" w:type="pct"/>
            <w:shd w:val="clear" w:color="auto" w:fill="auto"/>
            <w:noWrap/>
          </w:tcPr>
          <w:p w14:paraId="21F0F55B" w14:textId="77777777" w:rsidR="00530B53" w:rsidRPr="005055EB" w:rsidRDefault="00530B53" w:rsidP="00530B53">
            <w:pPr>
              <w:jc w:val="right"/>
              <w:rPr>
                <w:b/>
                <w:bCs/>
                <w:i/>
                <w:iCs/>
                <w:color w:val="000000"/>
                <w:sz w:val="16"/>
                <w:szCs w:val="16"/>
                <w:lang w:eastAsia="en-CA"/>
              </w:rPr>
            </w:pPr>
            <w:r w:rsidRPr="005055EB">
              <w:rPr>
                <w:i/>
                <w:iCs/>
                <w:sz w:val="16"/>
                <w:szCs w:val="16"/>
              </w:rPr>
              <w:t>Pendiente</w:t>
            </w:r>
          </w:p>
        </w:tc>
        <w:tc>
          <w:tcPr>
            <w:tcW w:w="587" w:type="pct"/>
            <w:shd w:val="clear" w:color="auto" w:fill="auto"/>
            <w:noWrap/>
          </w:tcPr>
          <w:p w14:paraId="34017788" w14:textId="77777777" w:rsidR="00530B53" w:rsidRPr="005055EB" w:rsidRDefault="00530B53" w:rsidP="00530B53">
            <w:pPr>
              <w:jc w:val="right"/>
              <w:rPr>
                <w:b/>
                <w:bCs/>
                <w:i/>
                <w:iCs/>
                <w:color w:val="000000"/>
                <w:sz w:val="16"/>
                <w:szCs w:val="16"/>
                <w:lang w:eastAsia="en-CA"/>
              </w:rPr>
            </w:pPr>
            <w:r w:rsidRPr="005055EB">
              <w:rPr>
                <w:i/>
                <w:iCs/>
                <w:sz w:val="16"/>
                <w:szCs w:val="16"/>
              </w:rPr>
              <w:t>Pendiente</w:t>
            </w:r>
          </w:p>
        </w:tc>
        <w:tc>
          <w:tcPr>
            <w:tcW w:w="657" w:type="pct"/>
            <w:shd w:val="clear" w:color="auto" w:fill="auto"/>
            <w:noWrap/>
          </w:tcPr>
          <w:p w14:paraId="37535D38" w14:textId="77777777" w:rsidR="00530B53" w:rsidRPr="005055EB" w:rsidRDefault="00530B53" w:rsidP="00530B53">
            <w:pPr>
              <w:jc w:val="right"/>
              <w:rPr>
                <w:b/>
                <w:bCs/>
                <w:i/>
                <w:iCs/>
                <w:color w:val="000000"/>
                <w:sz w:val="16"/>
                <w:szCs w:val="16"/>
                <w:lang w:eastAsia="en-CA"/>
              </w:rPr>
            </w:pPr>
            <w:r w:rsidRPr="005055EB">
              <w:rPr>
                <w:i/>
                <w:iCs/>
                <w:sz w:val="16"/>
                <w:szCs w:val="16"/>
              </w:rPr>
              <w:t>Pendiente</w:t>
            </w:r>
          </w:p>
        </w:tc>
        <w:tc>
          <w:tcPr>
            <w:tcW w:w="515" w:type="pct"/>
            <w:shd w:val="clear" w:color="auto" w:fill="auto"/>
            <w:noWrap/>
          </w:tcPr>
          <w:p w14:paraId="142C0BC2" w14:textId="77777777" w:rsidR="00530B53" w:rsidRPr="005055EB" w:rsidRDefault="00530B53" w:rsidP="00530B53">
            <w:pPr>
              <w:jc w:val="right"/>
              <w:rPr>
                <w:b/>
                <w:bCs/>
                <w:i/>
                <w:iCs/>
                <w:color w:val="000000"/>
                <w:sz w:val="16"/>
                <w:szCs w:val="16"/>
                <w:lang w:eastAsia="en-CA"/>
              </w:rPr>
            </w:pPr>
            <w:r w:rsidRPr="005055EB">
              <w:rPr>
                <w:i/>
                <w:iCs/>
                <w:sz w:val="16"/>
                <w:szCs w:val="16"/>
              </w:rPr>
              <w:t>Pendiente</w:t>
            </w:r>
          </w:p>
        </w:tc>
        <w:tc>
          <w:tcPr>
            <w:tcW w:w="495" w:type="pct"/>
            <w:shd w:val="clear" w:color="auto" w:fill="auto"/>
            <w:noWrap/>
          </w:tcPr>
          <w:p w14:paraId="78CBBFDB" w14:textId="77777777" w:rsidR="00530B53" w:rsidRPr="005055EB" w:rsidRDefault="00530B53" w:rsidP="00530B53">
            <w:pPr>
              <w:jc w:val="right"/>
              <w:rPr>
                <w:b/>
                <w:bCs/>
                <w:i/>
                <w:iCs/>
                <w:color w:val="000000"/>
                <w:sz w:val="16"/>
                <w:szCs w:val="16"/>
                <w:lang w:eastAsia="en-CA"/>
              </w:rPr>
            </w:pPr>
            <w:r w:rsidRPr="005055EB">
              <w:rPr>
                <w:i/>
                <w:iCs/>
                <w:sz w:val="16"/>
                <w:szCs w:val="16"/>
              </w:rPr>
              <w:t>Pendiente</w:t>
            </w:r>
          </w:p>
        </w:tc>
        <w:tc>
          <w:tcPr>
            <w:tcW w:w="541" w:type="pct"/>
            <w:shd w:val="clear" w:color="auto" w:fill="auto"/>
            <w:noWrap/>
          </w:tcPr>
          <w:p w14:paraId="3B8C1F1B" w14:textId="77777777" w:rsidR="00530B53" w:rsidRPr="005055EB" w:rsidRDefault="00530B53" w:rsidP="00530B53">
            <w:pPr>
              <w:jc w:val="right"/>
              <w:rPr>
                <w:b/>
                <w:bCs/>
                <w:i/>
                <w:iCs/>
                <w:color w:val="000000"/>
                <w:sz w:val="16"/>
                <w:szCs w:val="16"/>
                <w:lang w:eastAsia="en-CA"/>
              </w:rPr>
            </w:pPr>
            <w:r w:rsidRPr="005055EB">
              <w:rPr>
                <w:i/>
                <w:iCs/>
                <w:sz w:val="16"/>
                <w:szCs w:val="16"/>
              </w:rPr>
              <w:t>Pendiente</w:t>
            </w:r>
          </w:p>
        </w:tc>
        <w:tc>
          <w:tcPr>
            <w:tcW w:w="540" w:type="pct"/>
            <w:shd w:val="clear" w:color="auto" w:fill="auto"/>
            <w:noWrap/>
          </w:tcPr>
          <w:p w14:paraId="0992340A" w14:textId="77777777" w:rsidR="00530B53" w:rsidRPr="005055EB" w:rsidRDefault="00530B53" w:rsidP="00530B53">
            <w:pPr>
              <w:jc w:val="right"/>
              <w:rPr>
                <w:b/>
                <w:bCs/>
                <w:i/>
                <w:iCs/>
                <w:color w:val="000000"/>
                <w:sz w:val="16"/>
                <w:szCs w:val="16"/>
                <w:lang w:eastAsia="en-CA"/>
              </w:rPr>
            </w:pPr>
            <w:r w:rsidRPr="005055EB">
              <w:rPr>
                <w:i/>
                <w:iCs/>
                <w:sz w:val="16"/>
                <w:szCs w:val="16"/>
              </w:rPr>
              <w:t>Pendiente</w:t>
            </w:r>
          </w:p>
        </w:tc>
      </w:tr>
    </w:tbl>
    <w:p w14:paraId="2642284F" w14:textId="3200A3E0" w:rsidR="00530B53" w:rsidRPr="005055EB" w:rsidRDefault="00530B53" w:rsidP="00530B53">
      <w:pPr>
        <w:spacing w:after="240"/>
        <w:rPr>
          <w:sz w:val="20"/>
          <w:szCs w:val="20"/>
          <w:lang w:val="fr-FR"/>
        </w:rPr>
      </w:pPr>
      <w:r w:rsidRPr="005055EB">
        <w:rPr>
          <w:sz w:val="16"/>
          <w:szCs w:val="16"/>
          <w:lang w:val="fr-FR"/>
        </w:rPr>
        <w:t>* Excluidos los proyectos cancelados y transferidos e incluyendo los costes de apoyo a la agencia, en su caso.</w:t>
      </w:r>
      <w:r w:rsidRPr="005055EB">
        <w:rPr>
          <w:sz w:val="16"/>
          <w:szCs w:val="16"/>
          <w:lang w:val="fr-FR"/>
        </w:rPr>
        <w:br/>
        <w:t xml:space="preserve">** </w:t>
      </w:r>
      <w:r w:rsidRPr="005055EB">
        <w:rPr>
          <w:sz w:val="16"/>
          <w:szCs w:val="16"/>
          <w:highlight w:val="yellow"/>
          <w:lang w:val="fr-FR"/>
        </w:rPr>
        <w:t>???</w:t>
      </w:r>
      <w:r w:rsidRPr="005055EB">
        <w:rPr>
          <w:sz w:val="16"/>
          <w:szCs w:val="16"/>
          <w:lang w:val="fr-FR"/>
        </w:rPr>
        <w:t xml:space="preserve"> Se ha aprobado la reducción gradual y </w:t>
      </w:r>
      <w:r w:rsidRPr="005055EB">
        <w:rPr>
          <w:sz w:val="16"/>
          <w:szCs w:val="16"/>
          <w:highlight w:val="yellow"/>
          <w:lang w:val="fr-FR"/>
        </w:rPr>
        <w:t>???</w:t>
      </w:r>
      <w:r w:rsidRPr="005055EB">
        <w:rPr>
          <w:sz w:val="16"/>
          <w:szCs w:val="16"/>
          <w:lang w:val="fr-FR"/>
        </w:rPr>
        <w:t xml:space="preserve"> de toneladas equivalentes de dióxido de carbono de consumo Se han reducido gradualmente las toneladas equivalentes de dióxido de carbono del consumo.</w:t>
      </w:r>
    </w:p>
    <w:p w14:paraId="5311388A" w14:textId="2D246364" w:rsidR="00530B53" w:rsidRPr="005055EB" w:rsidRDefault="00530B53" w:rsidP="00530B53">
      <w:pPr>
        <w:pStyle w:val="Heading1"/>
        <w:numPr>
          <w:ilvl w:val="0"/>
          <w:numId w:val="28"/>
        </w:numPr>
        <w:tabs>
          <w:tab w:val="clear" w:pos="0"/>
          <w:tab w:val="num" w:pos="1440"/>
        </w:tabs>
        <w:rPr>
          <w:lang w:val="fr-FR"/>
        </w:rPr>
      </w:pPr>
      <w:r w:rsidRPr="005055EB">
        <w:rPr>
          <w:lang w:val="fr-FR"/>
        </w:rPr>
        <w:t xml:space="preserve">El financiamiento total aprobado por el Comité Ejecutivo desde 1991 para lograr la eliminación de SAO y la reducción de los HFC asciende a USD </w:t>
      </w:r>
      <w:r w:rsidRPr="005055EB">
        <w:rPr>
          <w:highlight w:val="yellow"/>
          <w:lang w:val="fr-FR"/>
        </w:rPr>
        <w:t>??</w:t>
      </w:r>
      <w:r w:rsidRPr="005055EB">
        <w:rPr>
          <w:color w:val="000000"/>
          <w:highlight w:val="yellow"/>
          <w:lang w:val="fr-FR" w:eastAsia="en-CA"/>
        </w:rPr>
        <w:t>?</w:t>
      </w:r>
      <w:r w:rsidRPr="005055EB">
        <w:rPr>
          <w:lang w:val="fr-FR"/>
        </w:rPr>
        <w:t xml:space="preserve"> incluyendo USD </w:t>
      </w:r>
      <w:r w:rsidRPr="005055EB">
        <w:rPr>
          <w:highlight w:val="yellow"/>
          <w:lang w:val="fr-FR"/>
        </w:rPr>
        <w:t>??</w:t>
      </w:r>
      <w:r w:rsidRPr="005055EB">
        <w:rPr>
          <w:color w:val="000000"/>
          <w:highlight w:val="yellow"/>
          <w:lang w:val="fr-FR" w:eastAsia="en-CA"/>
        </w:rPr>
        <w:t>?</w:t>
      </w:r>
      <w:r w:rsidRPr="005055EB">
        <w:rPr>
          <w:lang w:val="fr-FR"/>
        </w:rPr>
        <w:t xml:space="preserve"> en gastos de apoyo (excluyendo proyectos cancelados y transferidos). Del total de fondos aprobados para proyectos, el Cuadro</w:t>
      </w:r>
      <w:r w:rsidR="009F7E7F" w:rsidRPr="005055EB">
        <w:rPr>
          <w:lang w:val="fr-FR"/>
        </w:rPr>
        <w:t> </w:t>
      </w:r>
      <w:r w:rsidRPr="005055EB">
        <w:rPr>
          <w:lang w:val="fr-FR"/>
        </w:rPr>
        <w:t>6 siguiente indica los montos asignados a los organismos bilaterales y a cada uno de los organismos de ejecución, y los montos desembolsados por los organismos mencionados.</w:t>
      </w:r>
    </w:p>
    <w:p w14:paraId="260DD33A" w14:textId="7EFB9B63" w:rsidR="00530B53" w:rsidRPr="005055EB" w:rsidRDefault="00530B53" w:rsidP="00C70B95">
      <w:r w:rsidRPr="005055EB">
        <w:t>Cuadro 6</w:t>
      </w:r>
    </w:p>
    <w:p w14:paraId="7B6D264B" w14:textId="77777777" w:rsidR="00530B53" w:rsidRPr="005055EB" w:rsidRDefault="00530B53" w:rsidP="00C70B95">
      <w:pPr>
        <w:rPr>
          <w:b/>
          <w:bCs/>
          <w:lang w:val="fr-FR"/>
        </w:rPr>
      </w:pPr>
      <w:r w:rsidRPr="005055EB">
        <w:rPr>
          <w:b/>
          <w:bCs/>
          <w:lang w:val="fr-FR"/>
        </w:rPr>
        <w:t>Fondos aprobados y desembolsados, por organismo, desde el comienzo del Fondo Multilateral</w:t>
      </w:r>
    </w:p>
    <w:tbl>
      <w:tblPr>
        <w:tblW w:w="5000" w:type="pct"/>
        <w:tblLook w:val="04A0" w:firstRow="1" w:lastRow="0" w:firstColumn="1" w:lastColumn="0" w:noHBand="0" w:noVBand="1"/>
      </w:tblPr>
      <w:tblGrid>
        <w:gridCol w:w="1710"/>
        <w:gridCol w:w="2473"/>
        <w:gridCol w:w="2228"/>
        <w:gridCol w:w="2939"/>
      </w:tblGrid>
      <w:tr w:rsidR="00530B53" w:rsidRPr="005055EB" w14:paraId="14DA136B" w14:textId="77777777" w:rsidTr="00C70B95">
        <w:trPr>
          <w:trHeight w:val="292"/>
        </w:trPr>
        <w:tc>
          <w:tcPr>
            <w:tcW w:w="1035" w:type="pct"/>
            <w:tcBorders>
              <w:top w:val="single" w:sz="4" w:space="0" w:color="auto"/>
              <w:left w:val="single" w:sz="4" w:space="0" w:color="auto"/>
              <w:bottom w:val="single" w:sz="4" w:space="0" w:color="auto"/>
              <w:right w:val="single" w:sz="4" w:space="0" w:color="auto"/>
            </w:tcBorders>
            <w:shd w:val="clear" w:color="auto" w:fill="auto"/>
            <w:noWrap/>
            <w:hideMark/>
          </w:tcPr>
          <w:p w14:paraId="2562FD5D" w14:textId="77777777" w:rsidR="00530B53" w:rsidRPr="005055EB" w:rsidRDefault="00530B53" w:rsidP="00530B53">
            <w:pPr>
              <w:jc w:val="left"/>
              <w:rPr>
                <w:b/>
                <w:bCs/>
                <w:color w:val="000000"/>
                <w:sz w:val="20"/>
                <w:szCs w:val="20"/>
                <w:lang w:eastAsia="zh-CN"/>
              </w:rPr>
            </w:pPr>
            <w:r w:rsidRPr="005055EB">
              <w:rPr>
                <w:b/>
                <w:bCs/>
                <w:color w:val="000000"/>
                <w:sz w:val="20"/>
                <w:szCs w:val="20"/>
                <w:lang w:eastAsia="zh-CN"/>
              </w:rPr>
              <w:t>Organismo</w:t>
            </w:r>
          </w:p>
        </w:tc>
        <w:tc>
          <w:tcPr>
            <w:tcW w:w="1230" w:type="pct"/>
            <w:tcBorders>
              <w:top w:val="single" w:sz="4" w:space="0" w:color="auto"/>
              <w:left w:val="nil"/>
              <w:bottom w:val="single" w:sz="4" w:space="0" w:color="auto"/>
              <w:right w:val="single" w:sz="4" w:space="0" w:color="auto"/>
            </w:tcBorders>
            <w:shd w:val="clear" w:color="auto" w:fill="auto"/>
            <w:noWrap/>
            <w:hideMark/>
          </w:tcPr>
          <w:p w14:paraId="619EA4D6" w14:textId="3A94F419" w:rsidR="00530B53" w:rsidRPr="005055EB" w:rsidRDefault="00530B53" w:rsidP="00530B53">
            <w:pPr>
              <w:jc w:val="center"/>
              <w:rPr>
                <w:b/>
                <w:bCs/>
                <w:color w:val="000000"/>
                <w:sz w:val="20"/>
                <w:szCs w:val="20"/>
                <w:lang w:eastAsia="zh-CN"/>
              </w:rPr>
            </w:pPr>
            <w:r w:rsidRPr="005055EB">
              <w:rPr>
                <w:b/>
                <w:bCs/>
                <w:color w:val="000000"/>
                <w:sz w:val="20"/>
                <w:szCs w:val="20"/>
                <w:lang w:eastAsia="zh-CN"/>
              </w:rPr>
              <w:t>Fondos aprobados* (USD)</w:t>
            </w:r>
          </w:p>
        </w:tc>
        <w:tc>
          <w:tcPr>
            <w:tcW w:w="1312" w:type="pct"/>
            <w:tcBorders>
              <w:top w:val="single" w:sz="4" w:space="0" w:color="auto"/>
              <w:left w:val="nil"/>
              <w:bottom w:val="single" w:sz="4" w:space="0" w:color="auto"/>
              <w:right w:val="single" w:sz="4" w:space="0" w:color="auto"/>
            </w:tcBorders>
            <w:shd w:val="clear" w:color="auto" w:fill="auto"/>
            <w:hideMark/>
          </w:tcPr>
          <w:p w14:paraId="1E268D98" w14:textId="6A605596" w:rsidR="00530B53" w:rsidRPr="005055EB" w:rsidRDefault="00530B53" w:rsidP="00530B53">
            <w:pPr>
              <w:jc w:val="center"/>
              <w:rPr>
                <w:b/>
                <w:bCs/>
                <w:color w:val="000000"/>
                <w:sz w:val="20"/>
                <w:szCs w:val="20"/>
                <w:lang w:eastAsia="zh-CN"/>
              </w:rPr>
            </w:pPr>
            <w:r w:rsidRPr="005055EB">
              <w:rPr>
                <w:b/>
                <w:bCs/>
                <w:color w:val="000000"/>
                <w:sz w:val="20"/>
                <w:szCs w:val="20"/>
                <w:lang w:eastAsia="zh-CN"/>
              </w:rPr>
              <w:t>Gastos de apoyo* (USD)</w:t>
            </w:r>
          </w:p>
        </w:tc>
        <w:tc>
          <w:tcPr>
            <w:tcW w:w="1423" w:type="pct"/>
            <w:tcBorders>
              <w:top w:val="single" w:sz="4" w:space="0" w:color="auto"/>
              <w:left w:val="nil"/>
              <w:bottom w:val="single" w:sz="4" w:space="0" w:color="auto"/>
              <w:right w:val="single" w:sz="4" w:space="0" w:color="auto"/>
            </w:tcBorders>
            <w:shd w:val="clear" w:color="auto" w:fill="auto"/>
            <w:noWrap/>
            <w:hideMark/>
          </w:tcPr>
          <w:p w14:paraId="4812D09E" w14:textId="45B0C534" w:rsidR="00530B53" w:rsidRPr="005055EB" w:rsidRDefault="00530B53" w:rsidP="00530B53">
            <w:pPr>
              <w:jc w:val="center"/>
              <w:rPr>
                <w:b/>
                <w:bCs/>
                <w:color w:val="000000"/>
                <w:sz w:val="20"/>
                <w:szCs w:val="20"/>
                <w:lang w:eastAsia="zh-CN"/>
              </w:rPr>
            </w:pPr>
            <w:r w:rsidRPr="005055EB">
              <w:rPr>
                <w:b/>
                <w:bCs/>
                <w:color w:val="000000"/>
                <w:sz w:val="20"/>
                <w:szCs w:val="20"/>
                <w:lang w:eastAsia="zh-CN"/>
              </w:rPr>
              <w:t>Fondos desembolsados** (USD)</w:t>
            </w:r>
          </w:p>
        </w:tc>
      </w:tr>
      <w:tr w:rsidR="00530B53" w:rsidRPr="005055EB" w14:paraId="306AF040" w14:textId="77777777" w:rsidTr="00C70B95">
        <w:trPr>
          <w:trHeight w:val="80"/>
        </w:trPr>
        <w:tc>
          <w:tcPr>
            <w:tcW w:w="1035" w:type="pct"/>
            <w:tcBorders>
              <w:top w:val="nil"/>
              <w:left w:val="single" w:sz="4" w:space="0" w:color="auto"/>
              <w:bottom w:val="single" w:sz="4" w:space="0" w:color="auto"/>
              <w:right w:val="single" w:sz="4" w:space="0" w:color="auto"/>
            </w:tcBorders>
            <w:shd w:val="clear" w:color="auto" w:fill="auto"/>
            <w:noWrap/>
            <w:hideMark/>
          </w:tcPr>
          <w:p w14:paraId="0D27B76E" w14:textId="77777777" w:rsidR="00530B53" w:rsidRPr="005055EB" w:rsidRDefault="00530B53" w:rsidP="00530B53">
            <w:pPr>
              <w:jc w:val="left"/>
              <w:rPr>
                <w:color w:val="000000"/>
                <w:sz w:val="20"/>
                <w:szCs w:val="20"/>
                <w:lang w:eastAsia="zh-CN"/>
              </w:rPr>
            </w:pPr>
            <w:r w:rsidRPr="005055EB">
              <w:rPr>
                <w:color w:val="000000"/>
                <w:sz w:val="20"/>
                <w:szCs w:val="20"/>
                <w:lang w:eastAsia="zh-CN"/>
              </w:rPr>
              <w:t>Bilaterales</w:t>
            </w:r>
          </w:p>
        </w:tc>
        <w:tc>
          <w:tcPr>
            <w:tcW w:w="1230" w:type="pct"/>
            <w:tcBorders>
              <w:top w:val="nil"/>
              <w:left w:val="nil"/>
              <w:bottom w:val="single" w:sz="4" w:space="0" w:color="auto"/>
              <w:right w:val="single" w:sz="4" w:space="0" w:color="auto"/>
            </w:tcBorders>
            <w:shd w:val="clear" w:color="auto" w:fill="auto"/>
            <w:noWrap/>
          </w:tcPr>
          <w:p w14:paraId="47B4BC58" w14:textId="77777777" w:rsidR="00530B53" w:rsidRPr="005055EB" w:rsidRDefault="00530B53" w:rsidP="00530B53">
            <w:pPr>
              <w:jc w:val="right"/>
              <w:rPr>
                <w:i/>
                <w:iCs/>
                <w:color w:val="000000"/>
                <w:sz w:val="20"/>
                <w:szCs w:val="20"/>
                <w:lang w:eastAsia="zh-CN"/>
              </w:rPr>
            </w:pPr>
            <w:r w:rsidRPr="005055EB">
              <w:rPr>
                <w:i/>
                <w:iCs/>
                <w:sz w:val="20"/>
                <w:szCs w:val="20"/>
              </w:rPr>
              <w:t>Pendiente</w:t>
            </w:r>
          </w:p>
        </w:tc>
        <w:tc>
          <w:tcPr>
            <w:tcW w:w="1312" w:type="pct"/>
            <w:tcBorders>
              <w:top w:val="nil"/>
              <w:left w:val="nil"/>
              <w:bottom w:val="single" w:sz="4" w:space="0" w:color="auto"/>
              <w:right w:val="single" w:sz="4" w:space="0" w:color="auto"/>
            </w:tcBorders>
            <w:shd w:val="clear" w:color="auto" w:fill="auto"/>
            <w:noWrap/>
          </w:tcPr>
          <w:p w14:paraId="7BAA5D72" w14:textId="77777777" w:rsidR="00530B53" w:rsidRPr="005055EB" w:rsidRDefault="00530B53" w:rsidP="00530B53">
            <w:pPr>
              <w:jc w:val="right"/>
              <w:rPr>
                <w:i/>
                <w:iCs/>
                <w:color w:val="000000"/>
                <w:sz w:val="20"/>
                <w:szCs w:val="20"/>
                <w:lang w:eastAsia="zh-CN"/>
              </w:rPr>
            </w:pPr>
            <w:r w:rsidRPr="005055EB">
              <w:rPr>
                <w:i/>
                <w:iCs/>
                <w:sz w:val="20"/>
                <w:szCs w:val="20"/>
              </w:rPr>
              <w:t>Pendiente</w:t>
            </w:r>
          </w:p>
        </w:tc>
        <w:tc>
          <w:tcPr>
            <w:tcW w:w="1423" w:type="pct"/>
            <w:tcBorders>
              <w:top w:val="nil"/>
              <w:left w:val="nil"/>
              <w:bottom w:val="single" w:sz="4" w:space="0" w:color="auto"/>
              <w:right w:val="single" w:sz="4" w:space="0" w:color="auto"/>
            </w:tcBorders>
            <w:shd w:val="clear" w:color="auto" w:fill="auto"/>
            <w:noWrap/>
          </w:tcPr>
          <w:p w14:paraId="51CFEAAE" w14:textId="77777777" w:rsidR="00530B53" w:rsidRPr="005055EB" w:rsidRDefault="00530B53" w:rsidP="00530B53">
            <w:pPr>
              <w:jc w:val="right"/>
              <w:rPr>
                <w:i/>
                <w:iCs/>
                <w:color w:val="000000"/>
                <w:sz w:val="20"/>
                <w:szCs w:val="20"/>
                <w:lang w:eastAsia="zh-CN"/>
              </w:rPr>
            </w:pPr>
            <w:r w:rsidRPr="005055EB">
              <w:rPr>
                <w:i/>
                <w:iCs/>
                <w:sz w:val="20"/>
                <w:szCs w:val="20"/>
              </w:rPr>
              <w:t>Pendiente</w:t>
            </w:r>
          </w:p>
        </w:tc>
      </w:tr>
      <w:tr w:rsidR="00530B53" w:rsidRPr="005055EB" w14:paraId="0622FE8C" w14:textId="77777777" w:rsidTr="00C70B95">
        <w:trPr>
          <w:trHeight w:val="107"/>
        </w:trPr>
        <w:tc>
          <w:tcPr>
            <w:tcW w:w="1035" w:type="pct"/>
            <w:tcBorders>
              <w:top w:val="nil"/>
              <w:left w:val="single" w:sz="4" w:space="0" w:color="auto"/>
              <w:bottom w:val="single" w:sz="4" w:space="0" w:color="auto"/>
              <w:right w:val="single" w:sz="4" w:space="0" w:color="auto"/>
            </w:tcBorders>
            <w:shd w:val="clear" w:color="auto" w:fill="auto"/>
            <w:noWrap/>
            <w:hideMark/>
          </w:tcPr>
          <w:p w14:paraId="118F9554" w14:textId="77777777" w:rsidR="00530B53" w:rsidRPr="005055EB" w:rsidRDefault="00530B53" w:rsidP="00530B53">
            <w:pPr>
              <w:jc w:val="left"/>
              <w:rPr>
                <w:color w:val="000000"/>
                <w:sz w:val="20"/>
                <w:szCs w:val="20"/>
                <w:lang w:eastAsia="zh-CN"/>
              </w:rPr>
            </w:pPr>
            <w:r w:rsidRPr="005055EB">
              <w:rPr>
                <w:color w:val="000000"/>
                <w:sz w:val="20"/>
                <w:szCs w:val="20"/>
                <w:lang w:eastAsia="zh-CN"/>
              </w:rPr>
              <w:t>PNUD</w:t>
            </w:r>
          </w:p>
        </w:tc>
        <w:tc>
          <w:tcPr>
            <w:tcW w:w="1230" w:type="pct"/>
            <w:tcBorders>
              <w:top w:val="nil"/>
              <w:left w:val="nil"/>
              <w:bottom w:val="single" w:sz="4" w:space="0" w:color="auto"/>
              <w:right w:val="single" w:sz="4" w:space="0" w:color="auto"/>
            </w:tcBorders>
            <w:shd w:val="clear" w:color="auto" w:fill="auto"/>
            <w:noWrap/>
          </w:tcPr>
          <w:p w14:paraId="4C607555" w14:textId="77777777" w:rsidR="00530B53" w:rsidRPr="005055EB" w:rsidRDefault="00530B53" w:rsidP="00530B53">
            <w:pPr>
              <w:jc w:val="right"/>
              <w:rPr>
                <w:i/>
                <w:iCs/>
                <w:color w:val="000000"/>
                <w:sz w:val="20"/>
                <w:szCs w:val="20"/>
                <w:lang w:eastAsia="zh-CN"/>
              </w:rPr>
            </w:pPr>
            <w:r w:rsidRPr="005055EB">
              <w:rPr>
                <w:i/>
                <w:iCs/>
                <w:sz w:val="20"/>
                <w:szCs w:val="20"/>
              </w:rPr>
              <w:t>Pendiente</w:t>
            </w:r>
          </w:p>
        </w:tc>
        <w:tc>
          <w:tcPr>
            <w:tcW w:w="1312" w:type="pct"/>
            <w:tcBorders>
              <w:top w:val="nil"/>
              <w:left w:val="nil"/>
              <w:bottom w:val="single" w:sz="4" w:space="0" w:color="auto"/>
              <w:right w:val="single" w:sz="4" w:space="0" w:color="auto"/>
            </w:tcBorders>
            <w:shd w:val="clear" w:color="auto" w:fill="auto"/>
            <w:noWrap/>
          </w:tcPr>
          <w:p w14:paraId="2B82121A" w14:textId="77777777" w:rsidR="00530B53" w:rsidRPr="005055EB" w:rsidRDefault="00530B53" w:rsidP="00530B53">
            <w:pPr>
              <w:jc w:val="right"/>
              <w:rPr>
                <w:i/>
                <w:iCs/>
                <w:color w:val="000000"/>
                <w:sz w:val="20"/>
                <w:szCs w:val="20"/>
                <w:lang w:eastAsia="zh-CN"/>
              </w:rPr>
            </w:pPr>
            <w:r w:rsidRPr="005055EB">
              <w:rPr>
                <w:i/>
                <w:iCs/>
                <w:sz w:val="20"/>
                <w:szCs w:val="20"/>
              </w:rPr>
              <w:t>Pendiente</w:t>
            </w:r>
          </w:p>
        </w:tc>
        <w:tc>
          <w:tcPr>
            <w:tcW w:w="1423" w:type="pct"/>
            <w:tcBorders>
              <w:top w:val="nil"/>
              <w:left w:val="nil"/>
              <w:bottom w:val="single" w:sz="4" w:space="0" w:color="auto"/>
              <w:right w:val="single" w:sz="4" w:space="0" w:color="auto"/>
            </w:tcBorders>
            <w:shd w:val="clear" w:color="auto" w:fill="auto"/>
            <w:noWrap/>
          </w:tcPr>
          <w:p w14:paraId="37FD2937" w14:textId="77777777" w:rsidR="00530B53" w:rsidRPr="005055EB" w:rsidRDefault="00530B53" w:rsidP="00530B53">
            <w:pPr>
              <w:jc w:val="right"/>
              <w:rPr>
                <w:i/>
                <w:iCs/>
                <w:color w:val="000000"/>
                <w:sz w:val="20"/>
                <w:szCs w:val="20"/>
                <w:lang w:eastAsia="zh-CN"/>
              </w:rPr>
            </w:pPr>
            <w:r w:rsidRPr="005055EB">
              <w:rPr>
                <w:i/>
                <w:iCs/>
                <w:sz w:val="20"/>
                <w:szCs w:val="20"/>
              </w:rPr>
              <w:t>Pendiente</w:t>
            </w:r>
          </w:p>
        </w:tc>
      </w:tr>
      <w:tr w:rsidR="00530B53" w:rsidRPr="005055EB" w14:paraId="67563E44" w14:textId="77777777" w:rsidTr="00C70B95">
        <w:trPr>
          <w:trHeight w:val="143"/>
        </w:trPr>
        <w:tc>
          <w:tcPr>
            <w:tcW w:w="1035" w:type="pct"/>
            <w:tcBorders>
              <w:top w:val="nil"/>
              <w:left w:val="single" w:sz="4" w:space="0" w:color="auto"/>
              <w:bottom w:val="single" w:sz="4" w:space="0" w:color="auto"/>
              <w:right w:val="single" w:sz="4" w:space="0" w:color="auto"/>
            </w:tcBorders>
            <w:shd w:val="clear" w:color="auto" w:fill="auto"/>
            <w:noWrap/>
            <w:hideMark/>
          </w:tcPr>
          <w:p w14:paraId="078BF2FD" w14:textId="77777777" w:rsidR="00530B53" w:rsidRPr="005055EB" w:rsidRDefault="00530B53" w:rsidP="00530B53">
            <w:pPr>
              <w:jc w:val="left"/>
              <w:rPr>
                <w:color w:val="000000"/>
                <w:sz w:val="20"/>
                <w:szCs w:val="20"/>
                <w:lang w:eastAsia="zh-CN"/>
              </w:rPr>
            </w:pPr>
            <w:r w:rsidRPr="005055EB">
              <w:rPr>
                <w:color w:val="000000"/>
                <w:sz w:val="20"/>
                <w:szCs w:val="20"/>
                <w:lang w:eastAsia="zh-CN"/>
              </w:rPr>
              <w:t>PNUMA</w:t>
            </w:r>
          </w:p>
        </w:tc>
        <w:tc>
          <w:tcPr>
            <w:tcW w:w="1230" w:type="pct"/>
            <w:tcBorders>
              <w:top w:val="nil"/>
              <w:left w:val="nil"/>
              <w:bottom w:val="single" w:sz="4" w:space="0" w:color="auto"/>
              <w:right w:val="single" w:sz="4" w:space="0" w:color="auto"/>
            </w:tcBorders>
            <w:shd w:val="clear" w:color="auto" w:fill="auto"/>
            <w:noWrap/>
          </w:tcPr>
          <w:p w14:paraId="1EF59B3F" w14:textId="77777777" w:rsidR="00530B53" w:rsidRPr="005055EB" w:rsidRDefault="00530B53" w:rsidP="00530B53">
            <w:pPr>
              <w:jc w:val="right"/>
              <w:rPr>
                <w:i/>
                <w:iCs/>
                <w:color w:val="000000"/>
                <w:sz w:val="20"/>
                <w:szCs w:val="20"/>
                <w:lang w:eastAsia="zh-CN"/>
              </w:rPr>
            </w:pPr>
            <w:r w:rsidRPr="005055EB">
              <w:rPr>
                <w:i/>
                <w:iCs/>
                <w:sz w:val="20"/>
                <w:szCs w:val="20"/>
              </w:rPr>
              <w:t>Pendiente</w:t>
            </w:r>
          </w:p>
        </w:tc>
        <w:tc>
          <w:tcPr>
            <w:tcW w:w="1312" w:type="pct"/>
            <w:tcBorders>
              <w:top w:val="nil"/>
              <w:left w:val="nil"/>
              <w:bottom w:val="single" w:sz="4" w:space="0" w:color="auto"/>
              <w:right w:val="single" w:sz="4" w:space="0" w:color="auto"/>
            </w:tcBorders>
            <w:shd w:val="clear" w:color="auto" w:fill="auto"/>
            <w:noWrap/>
          </w:tcPr>
          <w:p w14:paraId="4F51705D" w14:textId="77777777" w:rsidR="00530B53" w:rsidRPr="005055EB" w:rsidRDefault="00530B53" w:rsidP="00530B53">
            <w:pPr>
              <w:jc w:val="right"/>
              <w:rPr>
                <w:i/>
                <w:iCs/>
                <w:color w:val="000000"/>
                <w:sz w:val="20"/>
                <w:szCs w:val="20"/>
                <w:lang w:eastAsia="zh-CN"/>
              </w:rPr>
            </w:pPr>
            <w:r w:rsidRPr="005055EB">
              <w:rPr>
                <w:i/>
                <w:iCs/>
                <w:sz w:val="20"/>
                <w:szCs w:val="20"/>
              </w:rPr>
              <w:t>Pendiente</w:t>
            </w:r>
          </w:p>
        </w:tc>
        <w:tc>
          <w:tcPr>
            <w:tcW w:w="1423" w:type="pct"/>
            <w:tcBorders>
              <w:top w:val="nil"/>
              <w:left w:val="nil"/>
              <w:bottom w:val="single" w:sz="4" w:space="0" w:color="auto"/>
              <w:right w:val="single" w:sz="4" w:space="0" w:color="auto"/>
            </w:tcBorders>
            <w:shd w:val="clear" w:color="auto" w:fill="auto"/>
            <w:noWrap/>
          </w:tcPr>
          <w:p w14:paraId="02508DA2" w14:textId="77777777" w:rsidR="00530B53" w:rsidRPr="005055EB" w:rsidRDefault="00530B53" w:rsidP="00530B53">
            <w:pPr>
              <w:jc w:val="right"/>
              <w:rPr>
                <w:i/>
                <w:iCs/>
                <w:color w:val="000000"/>
                <w:sz w:val="20"/>
                <w:szCs w:val="20"/>
                <w:lang w:eastAsia="zh-CN"/>
              </w:rPr>
            </w:pPr>
            <w:r w:rsidRPr="005055EB">
              <w:rPr>
                <w:i/>
                <w:iCs/>
                <w:sz w:val="20"/>
                <w:szCs w:val="20"/>
              </w:rPr>
              <w:t>Pendiente</w:t>
            </w:r>
          </w:p>
        </w:tc>
      </w:tr>
      <w:tr w:rsidR="00530B53" w:rsidRPr="005055EB" w14:paraId="28593403" w14:textId="77777777" w:rsidTr="00C70B95">
        <w:trPr>
          <w:trHeight w:val="170"/>
        </w:trPr>
        <w:tc>
          <w:tcPr>
            <w:tcW w:w="1035" w:type="pct"/>
            <w:tcBorders>
              <w:top w:val="nil"/>
              <w:left w:val="single" w:sz="4" w:space="0" w:color="auto"/>
              <w:bottom w:val="single" w:sz="4" w:space="0" w:color="auto"/>
              <w:right w:val="single" w:sz="4" w:space="0" w:color="auto"/>
            </w:tcBorders>
            <w:shd w:val="clear" w:color="auto" w:fill="auto"/>
            <w:noWrap/>
            <w:hideMark/>
          </w:tcPr>
          <w:p w14:paraId="729F9C4E" w14:textId="77777777" w:rsidR="00530B53" w:rsidRPr="005055EB" w:rsidRDefault="00530B53" w:rsidP="00530B53">
            <w:pPr>
              <w:jc w:val="left"/>
              <w:rPr>
                <w:color w:val="000000"/>
                <w:sz w:val="20"/>
                <w:szCs w:val="20"/>
                <w:lang w:eastAsia="zh-CN"/>
              </w:rPr>
            </w:pPr>
            <w:r w:rsidRPr="005055EB">
              <w:rPr>
                <w:color w:val="000000"/>
                <w:sz w:val="20"/>
                <w:szCs w:val="20"/>
                <w:lang w:eastAsia="zh-CN"/>
              </w:rPr>
              <w:t>ONUDI</w:t>
            </w:r>
          </w:p>
        </w:tc>
        <w:tc>
          <w:tcPr>
            <w:tcW w:w="1230" w:type="pct"/>
            <w:tcBorders>
              <w:top w:val="nil"/>
              <w:left w:val="nil"/>
              <w:bottom w:val="single" w:sz="4" w:space="0" w:color="auto"/>
              <w:right w:val="single" w:sz="4" w:space="0" w:color="auto"/>
            </w:tcBorders>
            <w:shd w:val="clear" w:color="auto" w:fill="auto"/>
            <w:noWrap/>
          </w:tcPr>
          <w:p w14:paraId="703C58DD" w14:textId="77777777" w:rsidR="00530B53" w:rsidRPr="005055EB" w:rsidRDefault="00530B53" w:rsidP="00530B53">
            <w:pPr>
              <w:jc w:val="right"/>
              <w:rPr>
                <w:i/>
                <w:iCs/>
                <w:color w:val="000000"/>
                <w:sz w:val="20"/>
                <w:szCs w:val="20"/>
                <w:lang w:eastAsia="zh-CN"/>
              </w:rPr>
            </w:pPr>
            <w:r w:rsidRPr="005055EB">
              <w:rPr>
                <w:i/>
                <w:iCs/>
                <w:sz w:val="20"/>
                <w:szCs w:val="20"/>
              </w:rPr>
              <w:t>Pendiente</w:t>
            </w:r>
          </w:p>
        </w:tc>
        <w:tc>
          <w:tcPr>
            <w:tcW w:w="1312" w:type="pct"/>
            <w:tcBorders>
              <w:top w:val="nil"/>
              <w:left w:val="nil"/>
              <w:bottom w:val="single" w:sz="4" w:space="0" w:color="auto"/>
              <w:right w:val="single" w:sz="4" w:space="0" w:color="auto"/>
            </w:tcBorders>
            <w:shd w:val="clear" w:color="auto" w:fill="auto"/>
            <w:noWrap/>
          </w:tcPr>
          <w:p w14:paraId="562A124A" w14:textId="77777777" w:rsidR="00530B53" w:rsidRPr="005055EB" w:rsidRDefault="00530B53" w:rsidP="00530B53">
            <w:pPr>
              <w:jc w:val="right"/>
              <w:rPr>
                <w:i/>
                <w:iCs/>
                <w:color w:val="000000"/>
                <w:sz w:val="20"/>
                <w:szCs w:val="20"/>
                <w:lang w:eastAsia="zh-CN"/>
              </w:rPr>
            </w:pPr>
            <w:r w:rsidRPr="005055EB">
              <w:rPr>
                <w:i/>
                <w:iCs/>
                <w:sz w:val="20"/>
                <w:szCs w:val="20"/>
              </w:rPr>
              <w:t>Pendiente</w:t>
            </w:r>
          </w:p>
        </w:tc>
        <w:tc>
          <w:tcPr>
            <w:tcW w:w="1423" w:type="pct"/>
            <w:tcBorders>
              <w:top w:val="nil"/>
              <w:left w:val="nil"/>
              <w:bottom w:val="single" w:sz="4" w:space="0" w:color="auto"/>
              <w:right w:val="single" w:sz="4" w:space="0" w:color="auto"/>
            </w:tcBorders>
            <w:shd w:val="clear" w:color="auto" w:fill="auto"/>
            <w:noWrap/>
          </w:tcPr>
          <w:p w14:paraId="270C9267" w14:textId="77777777" w:rsidR="00530B53" w:rsidRPr="005055EB" w:rsidRDefault="00530B53" w:rsidP="00530B53">
            <w:pPr>
              <w:jc w:val="right"/>
              <w:rPr>
                <w:i/>
                <w:iCs/>
                <w:color w:val="000000"/>
                <w:sz w:val="20"/>
                <w:szCs w:val="20"/>
                <w:lang w:eastAsia="zh-CN"/>
              </w:rPr>
            </w:pPr>
            <w:r w:rsidRPr="005055EB">
              <w:rPr>
                <w:i/>
                <w:iCs/>
                <w:sz w:val="20"/>
                <w:szCs w:val="20"/>
              </w:rPr>
              <w:t>Pendiente</w:t>
            </w:r>
          </w:p>
        </w:tc>
      </w:tr>
      <w:tr w:rsidR="00530B53" w:rsidRPr="005055EB" w14:paraId="3D335156" w14:textId="77777777" w:rsidTr="00C70B95">
        <w:trPr>
          <w:trHeight w:val="116"/>
        </w:trPr>
        <w:tc>
          <w:tcPr>
            <w:tcW w:w="1035" w:type="pct"/>
            <w:tcBorders>
              <w:top w:val="nil"/>
              <w:left w:val="single" w:sz="4" w:space="0" w:color="auto"/>
              <w:bottom w:val="single" w:sz="4" w:space="0" w:color="auto"/>
              <w:right w:val="single" w:sz="4" w:space="0" w:color="auto"/>
            </w:tcBorders>
            <w:shd w:val="clear" w:color="auto" w:fill="auto"/>
            <w:noWrap/>
            <w:hideMark/>
          </w:tcPr>
          <w:p w14:paraId="012D3295" w14:textId="77777777" w:rsidR="00530B53" w:rsidRPr="005055EB" w:rsidRDefault="00530B53" w:rsidP="00530B53">
            <w:pPr>
              <w:jc w:val="left"/>
              <w:rPr>
                <w:color w:val="000000"/>
                <w:sz w:val="20"/>
                <w:szCs w:val="20"/>
                <w:lang w:eastAsia="zh-CN"/>
              </w:rPr>
            </w:pPr>
            <w:r w:rsidRPr="005055EB">
              <w:rPr>
                <w:color w:val="000000"/>
                <w:sz w:val="20"/>
                <w:szCs w:val="20"/>
                <w:lang w:eastAsia="zh-CN"/>
              </w:rPr>
              <w:t>Banco Mundial</w:t>
            </w:r>
          </w:p>
        </w:tc>
        <w:tc>
          <w:tcPr>
            <w:tcW w:w="1230" w:type="pct"/>
            <w:tcBorders>
              <w:top w:val="nil"/>
              <w:left w:val="nil"/>
              <w:bottom w:val="single" w:sz="4" w:space="0" w:color="auto"/>
              <w:right w:val="single" w:sz="4" w:space="0" w:color="auto"/>
            </w:tcBorders>
            <w:shd w:val="clear" w:color="auto" w:fill="auto"/>
            <w:noWrap/>
          </w:tcPr>
          <w:p w14:paraId="3DFA294A" w14:textId="77777777" w:rsidR="00530B53" w:rsidRPr="005055EB" w:rsidRDefault="00530B53" w:rsidP="00530B53">
            <w:pPr>
              <w:jc w:val="right"/>
              <w:rPr>
                <w:i/>
                <w:iCs/>
                <w:color w:val="000000"/>
                <w:sz w:val="20"/>
                <w:szCs w:val="20"/>
                <w:lang w:eastAsia="zh-CN"/>
              </w:rPr>
            </w:pPr>
            <w:r w:rsidRPr="005055EB">
              <w:rPr>
                <w:i/>
                <w:iCs/>
                <w:sz w:val="20"/>
                <w:szCs w:val="20"/>
              </w:rPr>
              <w:t>Pendiente</w:t>
            </w:r>
          </w:p>
        </w:tc>
        <w:tc>
          <w:tcPr>
            <w:tcW w:w="1312" w:type="pct"/>
            <w:tcBorders>
              <w:top w:val="nil"/>
              <w:left w:val="nil"/>
              <w:bottom w:val="single" w:sz="4" w:space="0" w:color="auto"/>
              <w:right w:val="single" w:sz="4" w:space="0" w:color="auto"/>
            </w:tcBorders>
            <w:shd w:val="clear" w:color="auto" w:fill="auto"/>
            <w:noWrap/>
          </w:tcPr>
          <w:p w14:paraId="410EC756" w14:textId="77777777" w:rsidR="00530B53" w:rsidRPr="005055EB" w:rsidRDefault="00530B53" w:rsidP="00530B53">
            <w:pPr>
              <w:jc w:val="right"/>
              <w:rPr>
                <w:i/>
                <w:iCs/>
                <w:color w:val="000000"/>
                <w:sz w:val="20"/>
                <w:szCs w:val="20"/>
                <w:lang w:eastAsia="zh-CN"/>
              </w:rPr>
            </w:pPr>
            <w:r w:rsidRPr="005055EB">
              <w:rPr>
                <w:i/>
                <w:iCs/>
                <w:sz w:val="20"/>
                <w:szCs w:val="20"/>
              </w:rPr>
              <w:t>Pendiente</w:t>
            </w:r>
          </w:p>
        </w:tc>
        <w:tc>
          <w:tcPr>
            <w:tcW w:w="1423" w:type="pct"/>
            <w:tcBorders>
              <w:top w:val="nil"/>
              <w:left w:val="nil"/>
              <w:bottom w:val="single" w:sz="4" w:space="0" w:color="auto"/>
              <w:right w:val="single" w:sz="4" w:space="0" w:color="auto"/>
            </w:tcBorders>
            <w:shd w:val="clear" w:color="auto" w:fill="auto"/>
            <w:noWrap/>
          </w:tcPr>
          <w:p w14:paraId="6F02102C" w14:textId="77777777" w:rsidR="00530B53" w:rsidRPr="005055EB" w:rsidRDefault="00530B53" w:rsidP="00530B53">
            <w:pPr>
              <w:jc w:val="right"/>
              <w:rPr>
                <w:i/>
                <w:iCs/>
                <w:color w:val="000000"/>
                <w:sz w:val="20"/>
                <w:szCs w:val="20"/>
                <w:lang w:eastAsia="zh-CN"/>
              </w:rPr>
            </w:pPr>
            <w:r w:rsidRPr="005055EB">
              <w:rPr>
                <w:i/>
                <w:iCs/>
                <w:sz w:val="20"/>
                <w:szCs w:val="20"/>
              </w:rPr>
              <w:t>Pendiente</w:t>
            </w:r>
          </w:p>
        </w:tc>
      </w:tr>
      <w:tr w:rsidR="00530B53" w:rsidRPr="005055EB" w14:paraId="6F0F757F" w14:textId="77777777" w:rsidTr="00C70B95">
        <w:trPr>
          <w:trHeight w:val="143"/>
        </w:trPr>
        <w:tc>
          <w:tcPr>
            <w:tcW w:w="1035" w:type="pct"/>
            <w:tcBorders>
              <w:top w:val="nil"/>
              <w:left w:val="single" w:sz="4" w:space="0" w:color="auto"/>
              <w:bottom w:val="single" w:sz="4" w:space="0" w:color="auto"/>
              <w:right w:val="single" w:sz="4" w:space="0" w:color="auto"/>
            </w:tcBorders>
            <w:shd w:val="clear" w:color="auto" w:fill="auto"/>
            <w:noWrap/>
            <w:hideMark/>
          </w:tcPr>
          <w:p w14:paraId="74C412B3" w14:textId="77777777" w:rsidR="00530B53" w:rsidRPr="005055EB" w:rsidRDefault="00530B53" w:rsidP="00530B53">
            <w:pPr>
              <w:jc w:val="left"/>
              <w:rPr>
                <w:b/>
                <w:bCs/>
                <w:color w:val="000000"/>
                <w:sz w:val="20"/>
                <w:szCs w:val="20"/>
                <w:lang w:eastAsia="zh-CN"/>
              </w:rPr>
            </w:pPr>
            <w:r w:rsidRPr="005055EB">
              <w:rPr>
                <w:b/>
                <w:bCs/>
                <w:color w:val="000000"/>
                <w:sz w:val="20"/>
                <w:szCs w:val="20"/>
                <w:lang w:eastAsia="zh-CN"/>
              </w:rPr>
              <w:t>Total</w:t>
            </w:r>
          </w:p>
        </w:tc>
        <w:tc>
          <w:tcPr>
            <w:tcW w:w="1230" w:type="pct"/>
            <w:tcBorders>
              <w:top w:val="nil"/>
              <w:left w:val="nil"/>
              <w:bottom w:val="single" w:sz="4" w:space="0" w:color="auto"/>
              <w:right w:val="single" w:sz="4" w:space="0" w:color="auto"/>
            </w:tcBorders>
            <w:shd w:val="clear" w:color="auto" w:fill="auto"/>
            <w:noWrap/>
          </w:tcPr>
          <w:p w14:paraId="210E61A7" w14:textId="77777777" w:rsidR="00530B53" w:rsidRPr="005055EB" w:rsidRDefault="00530B53" w:rsidP="00530B53">
            <w:pPr>
              <w:jc w:val="right"/>
              <w:rPr>
                <w:b/>
                <w:bCs/>
                <w:i/>
                <w:iCs/>
                <w:color w:val="000000"/>
                <w:sz w:val="20"/>
                <w:szCs w:val="20"/>
                <w:lang w:eastAsia="zh-CN"/>
              </w:rPr>
            </w:pPr>
            <w:r w:rsidRPr="005055EB">
              <w:rPr>
                <w:i/>
                <w:iCs/>
                <w:sz w:val="20"/>
                <w:szCs w:val="20"/>
              </w:rPr>
              <w:t>Pendiente</w:t>
            </w:r>
          </w:p>
        </w:tc>
        <w:tc>
          <w:tcPr>
            <w:tcW w:w="1312" w:type="pct"/>
            <w:tcBorders>
              <w:top w:val="nil"/>
              <w:left w:val="nil"/>
              <w:bottom w:val="single" w:sz="4" w:space="0" w:color="auto"/>
              <w:right w:val="single" w:sz="4" w:space="0" w:color="auto"/>
            </w:tcBorders>
            <w:shd w:val="clear" w:color="auto" w:fill="auto"/>
            <w:noWrap/>
          </w:tcPr>
          <w:p w14:paraId="3FC50AA0" w14:textId="77777777" w:rsidR="00530B53" w:rsidRPr="005055EB" w:rsidRDefault="00530B53" w:rsidP="00530B53">
            <w:pPr>
              <w:jc w:val="right"/>
              <w:rPr>
                <w:b/>
                <w:bCs/>
                <w:i/>
                <w:iCs/>
                <w:color w:val="000000"/>
                <w:sz w:val="20"/>
                <w:szCs w:val="20"/>
                <w:lang w:eastAsia="zh-CN"/>
              </w:rPr>
            </w:pPr>
            <w:r w:rsidRPr="005055EB">
              <w:rPr>
                <w:i/>
                <w:iCs/>
                <w:sz w:val="20"/>
                <w:szCs w:val="20"/>
              </w:rPr>
              <w:t>Pendiente</w:t>
            </w:r>
          </w:p>
        </w:tc>
        <w:tc>
          <w:tcPr>
            <w:tcW w:w="1423" w:type="pct"/>
            <w:tcBorders>
              <w:top w:val="nil"/>
              <w:left w:val="nil"/>
              <w:bottom w:val="single" w:sz="4" w:space="0" w:color="auto"/>
              <w:right w:val="single" w:sz="4" w:space="0" w:color="auto"/>
            </w:tcBorders>
            <w:shd w:val="clear" w:color="auto" w:fill="auto"/>
            <w:noWrap/>
          </w:tcPr>
          <w:p w14:paraId="0535767E" w14:textId="77777777" w:rsidR="00530B53" w:rsidRPr="005055EB" w:rsidRDefault="00530B53" w:rsidP="00530B53">
            <w:pPr>
              <w:jc w:val="right"/>
              <w:rPr>
                <w:b/>
                <w:bCs/>
                <w:i/>
                <w:iCs/>
                <w:color w:val="000000"/>
                <w:sz w:val="20"/>
                <w:szCs w:val="20"/>
                <w:lang w:eastAsia="zh-CN"/>
              </w:rPr>
            </w:pPr>
            <w:r w:rsidRPr="005055EB">
              <w:rPr>
                <w:i/>
                <w:iCs/>
                <w:sz w:val="20"/>
                <w:szCs w:val="20"/>
              </w:rPr>
              <w:t>Pendiente</w:t>
            </w:r>
          </w:p>
        </w:tc>
      </w:tr>
    </w:tbl>
    <w:p w14:paraId="3F1B6C0B" w14:textId="111738F6" w:rsidR="00530B53" w:rsidRPr="005055EB" w:rsidRDefault="00530B53" w:rsidP="00C70B95">
      <w:pPr>
        <w:pStyle w:val="CM28"/>
        <w:spacing w:after="0"/>
        <w:rPr>
          <w:sz w:val="18"/>
          <w:szCs w:val="18"/>
          <w:lang w:val="es-AR"/>
        </w:rPr>
      </w:pPr>
      <w:r w:rsidRPr="005055EB">
        <w:rPr>
          <w:sz w:val="18"/>
          <w:szCs w:val="18"/>
          <w:lang w:val="es-AR"/>
        </w:rPr>
        <w:t>* A</w:t>
      </w:r>
      <w:r w:rsidR="009F7E7F" w:rsidRPr="005055EB">
        <w:rPr>
          <w:sz w:val="18"/>
          <w:szCs w:val="18"/>
          <w:lang w:val="es-AR"/>
        </w:rPr>
        <w:t xml:space="preserve"> partir de </w:t>
      </w:r>
      <w:r w:rsidRPr="005055EB">
        <w:rPr>
          <w:color w:val="000000"/>
          <w:sz w:val="18"/>
          <w:szCs w:val="18"/>
          <w:highlight w:val="yellow"/>
          <w:lang w:val="es-AR" w:eastAsia="en-CA"/>
        </w:rPr>
        <w:t xml:space="preserve">??? </w:t>
      </w:r>
      <w:r w:rsidRPr="005055EB">
        <w:rPr>
          <w:sz w:val="18"/>
          <w:szCs w:val="18"/>
          <w:lang w:val="es-AR"/>
        </w:rPr>
        <w:t>(exceptuando proyectos cancelados y transferidos).</w:t>
      </w:r>
    </w:p>
    <w:p w14:paraId="1A0CB2D9" w14:textId="772D801D" w:rsidR="00530B53" w:rsidRPr="005055EB" w:rsidRDefault="00530B53" w:rsidP="00530B53">
      <w:pPr>
        <w:pStyle w:val="CM28"/>
        <w:spacing w:after="240"/>
        <w:rPr>
          <w:sz w:val="18"/>
          <w:szCs w:val="18"/>
          <w:lang w:val="es-AR"/>
        </w:rPr>
      </w:pPr>
      <w:r w:rsidRPr="005055EB">
        <w:rPr>
          <w:sz w:val="18"/>
          <w:szCs w:val="18"/>
          <w:lang w:val="es-AR"/>
        </w:rPr>
        <w:t>** A</w:t>
      </w:r>
      <w:r w:rsidR="009F7E7F" w:rsidRPr="005055EB">
        <w:rPr>
          <w:sz w:val="18"/>
          <w:szCs w:val="18"/>
          <w:lang w:val="es-AR"/>
        </w:rPr>
        <w:t xml:space="preserve"> partir de</w:t>
      </w:r>
      <w:r w:rsidRPr="005055EB">
        <w:rPr>
          <w:sz w:val="18"/>
          <w:szCs w:val="18"/>
          <w:lang w:val="es-AR"/>
        </w:rPr>
        <w:t xml:space="preserve">l </w:t>
      </w:r>
      <w:r w:rsidRPr="005055EB">
        <w:rPr>
          <w:color w:val="000000"/>
          <w:sz w:val="18"/>
          <w:szCs w:val="18"/>
          <w:highlight w:val="yellow"/>
          <w:lang w:val="es-AR" w:eastAsia="en-CA"/>
        </w:rPr>
        <w:t xml:space="preserve">??? </w:t>
      </w:r>
      <w:r w:rsidRPr="005055EB">
        <w:rPr>
          <w:sz w:val="18"/>
          <w:szCs w:val="18"/>
          <w:lang w:val="es-AR"/>
        </w:rPr>
        <w:t>(exceptuando proyectos cancelados y transferidos).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74A7B" w:rsidRPr="005055EB" w14:paraId="24B1D457" w14:textId="77777777" w:rsidTr="00C9254D">
        <w:tc>
          <w:tcPr>
            <w:tcW w:w="1871" w:type="dxa"/>
          </w:tcPr>
          <w:p w14:paraId="0D19F385" w14:textId="77777777" w:rsidR="00F74A7B" w:rsidRPr="005055EB" w:rsidRDefault="00F74A7B" w:rsidP="00BC5C2A">
            <w:pPr>
              <w:rPr>
                <w:lang w:val="en-GB"/>
              </w:rPr>
            </w:pPr>
          </w:p>
        </w:tc>
        <w:tc>
          <w:tcPr>
            <w:tcW w:w="1872" w:type="dxa"/>
          </w:tcPr>
          <w:p w14:paraId="379FE3B3" w14:textId="77777777" w:rsidR="00F74A7B" w:rsidRPr="005055EB" w:rsidRDefault="00F74A7B" w:rsidP="00BC5C2A">
            <w:pPr>
              <w:rPr>
                <w:lang w:val="en-GB"/>
              </w:rPr>
            </w:pPr>
          </w:p>
        </w:tc>
        <w:tc>
          <w:tcPr>
            <w:tcW w:w="1872" w:type="dxa"/>
            <w:tcBorders>
              <w:bottom w:val="single" w:sz="4" w:space="0" w:color="auto"/>
            </w:tcBorders>
          </w:tcPr>
          <w:p w14:paraId="0BEF0E37" w14:textId="77777777" w:rsidR="00F74A7B" w:rsidRPr="005055EB" w:rsidRDefault="00F74A7B" w:rsidP="00BC5C2A">
            <w:pPr>
              <w:rPr>
                <w:lang w:val="en-GB"/>
              </w:rPr>
            </w:pPr>
          </w:p>
        </w:tc>
        <w:tc>
          <w:tcPr>
            <w:tcW w:w="1872" w:type="dxa"/>
          </w:tcPr>
          <w:p w14:paraId="6D0112B1" w14:textId="77777777" w:rsidR="00F74A7B" w:rsidRPr="005055EB" w:rsidRDefault="00F74A7B" w:rsidP="00BC5C2A">
            <w:pPr>
              <w:rPr>
                <w:lang w:val="en-GB"/>
              </w:rPr>
            </w:pPr>
          </w:p>
        </w:tc>
        <w:tc>
          <w:tcPr>
            <w:tcW w:w="1873" w:type="dxa"/>
          </w:tcPr>
          <w:p w14:paraId="5D3711C7" w14:textId="77777777" w:rsidR="00F74A7B" w:rsidRPr="005055EB" w:rsidRDefault="00F74A7B" w:rsidP="00BC5C2A">
            <w:pPr>
              <w:rPr>
                <w:lang w:val="en-GB"/>
              </w:rPr>
            </w:pPr>
          </w:p>
        </w:tc>
      </w:tr>
    </w:tbl>
    <w:p w14:paraId="2535353F" w14:textId="6B3EE2C9" w:rsidR="00E85409" w:rsidRPr="005055EB" w:rsidRDefault="00E85409" w:rsidP="00BC5C2A">
      <w:pPr>
        <w:pStyle w:val="StyleHeader4Para4Left0Firstline0"/>
        <w:numPr>
          <w:ilvl w:val="0"/>
          <w:numId w:val="0"/>
        </w:numPr>
        <w:tabs>
          <w:tab w:val="clear" w:pos="2880"/>
          <w:tab w:val="clear" w:pos="5760"/>
        </w:tabs>
        <w:rPr>
          <w:b/>
          <w:sz w:val="22"/>
          <w:lang w:val="en-GB"/>
        </w:rPr>
      </w:pPr>
    </w:p>
    <w:sectPr w:rsidR="00E85409" w:rsidRPr="005055EB" w:rsidSect="002B524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74C97" w14:textId="77777777" w:rsidR="000A6E0C" w:rsidRDefault="000A6E0C" w:rsidP="004A504B">
      <w:r>
        <w:separator/>
      </w:r>
    </w:p>
  </w:endnote>
  <w:endnote w:type="continuationSeparator" w:id="0">
    <w:p w14:paraId="40072FAA" w14:textId="77777777" w:rsidR="000A6E0C" w:rsidRDefault="000A6E0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Roboto">
    <w:panose1 w:val="02000000000000000000"/>
    <w:charset w:val="00"/>
    <w:family w:val="auto"/>
    <w:pitch w:val="variable"/>
    <w:sig w:usb0="E0000AFF" w:usb1="5000217F" w:usb2="0000002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7749726"/>
      <w:docPartObj>
        <w:docPartGallery w:val="Page Numbers (Bottom of Page)"/>
        <w:docPartUnique/>
      </w:docPartObj>
    </w:sdtPr>
    <w:sdtEndPr>
      <w:rPr>
        <w:noProof/>
      </w:rPr>
    </w:sdtEndPr>
    <w:sdtContent>
      <w:p w14:paraId="1958329E" w14:textId="6C70A9A9" w:rsidR="002453F0" w:rsidRDefault="002453F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04D566" w14:textId="77777777" w:rsidR="002453F0" w:rsidRDefault="002453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2396527"/>
      <w:docPartObj>
        <w:docPartGallery w:val="Page Numbers (Bottom of Page)"/>
        <w:docPartUnique/>
      </w:docPartObj>
    </w:sdtPr>
    <w:sdtEndPr>
      <w:rPr>
        <w:noProof/>
      </w:rPr>
    </w:sdtEndPr>
    <w:sdtContent>
      <w:p w14:paraId="5686FDED" w14:textId="262AB477" w:rsidR="002453F0" w:rsidRDefault="002453F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9A46BD" w14:textId="77777777" w:rsidR="002453F0" w:rsidRDefault="002453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E6BC1" w14:textId="738BB460" w:rsidR="00D8111D" w:rsidRDefault="006A24A7" w:rsidP="009F7E7F">
    <w:pPr>
      <w:pBdr>
        <w:top w:val="single" w:sz="4" w:space="0" w:color="auto"/>
        <w:left w:val="single" w:sz="4" w:space="4" w:color="auto"/>
        <w:bottom w:val="single" w:sz="4" w:space="1" w:color="auto"/>
        <w:right w:val="single" w:sz="4" w:space="4" w:color="auto"/>
      </w:pBdr>
      <w:ind w:right="-180"/>
      <w:jc w:val="center"/>
      <w:rPr>
        <w:sz w:val="18"/>
        <w:szCs w:val="18"/>
        <w:lang w:val="es-ES"/>
      </w:rPr>
    </w:pPr>
    <w:r w:rsidRPr="009F7E7F">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40D77D27" w14:textId="77777777" w:rsidR="009F7E7F" w:rsidRPr="009F7E7F" w:rsidRDefault="009F7E7F" w:rsidP="009F7E7F">
    <w:pPr>
      <w:pBdr>
        <w:top w:val="single" w:sz="4" w:space="0" w:color="auto"/>
        <w:left w:val="single" w:sz="4" w:space="4" w:color="auto"/>
        <w:bottom w:val="single" w:sz="4" w:space="1" w:color="auto"/>
        <w:right w:val="single" w:sz="4" w:space="4" w:color="auto"/>
      </w:pBdr>
      <w:ind w:right="-180"/>
      <w:jc w:val="center"/>
      <w:rPr>
        <w:sz w:val="18"/>
        <w:szCs w:val="18"/>
        <w:lang w:val="es-ES"/>
      </w:rPr>
    </w:pPr>
  </w:p>
  <w:p w14:paraId="53A895E4" w14:textId="77777777" w:rsidR="004E7F9C" w:rsidRPr="00F74A7B" w:rsidRDefault="004E7F9C" w:rsidP="006A24A7">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46F7A" w14:textId="77777777" w:rsidR="000A6E0C" w:rsidRDefault="000A6E0C" w:rsidP="004A504B">
      <w:r>
        <w:separator/>
      </w:r>
    </w:p>
  </w:footnote>
  <w:footnote w:type="continuationSeparator" w:id="0">
    <w:p w14:paraId="7714A0F3" w14:textId="77777777" w:rsidR="000A6E0C" w:rsidRDefault="000A6E0C" w:rsidP="004A504B">
      <w:r>
        <w:continuationSeparator/>
      </w:r>
    </w:p>
  </w:footnote>
  <w:footnote w:id="1">
    <w:p w14:paraId="07881B9D" w14:textId="77777777" w:rsidR="006A24A7" w:rsidRPr="003D46A9" w:rsidRDefault="006A24A7" w:rsidP="006A24A7">
      <w:pPr>
        <w:pStyle w:val="FootnoteText"/>
        <w:spacing w:after="120"/>
        <w:rPr>
          <w:lang w:val="es-ES_tradnl"/>
        </w:rPr>
      </w:pPr>
      <w:r w:rsidRPr="003D46A9">
        <w:rPr>
          <w:rStyle w:val="FootnoteReference"/>
          <w:lang w:val="es-ES_tradnl"/>
        </w:rPr>
        <w:footnoteRef/>
      </w:r>
      <w:r w:rsidRPr="003D46A9">
        <w:rPr>
          <w:lang w:val="es-ES_tradnl"/>
        </w:rPr>
        <w:t xml:space="preserve"> UNEP/OzL.Pro/ExCom/9</w:t>
      </w:r>
      <w:r w:rsidR="00BF6D9E" w:rsidRPr="003D46A9">
        <w:rPr>
          <w:lang w:val="es-ES_tradnl"/>
        </w:rPr>
        <w:t>6</w:t>
      </w:r>
      <w:r w:rsidRPr="003D46A9">
        <w:rPr>
          <w:lang w:val="es-ES_tradnl"/>
        </w:rPr>
        <w:t>/1</w:t>
      </w:r>
    </w:p>
  </w:footnote>
  <w:footnote w:id="2">
    <w:p w14:paraId="5EA24168" w14:textId="154DAFA9" w:rsidR="003953CA" w:rsidRPr="003D46A9" w:rsidRDefault="003953CA" w:rsidP="003953CA">
      <w:pPr>
        <w:pStyle w:val="FootnoteText"/>
        <w:rPr>
          <w:sz w:val="18"/>
          <w:szCs w:val="18"/>
          <w:lang w:val="es-ES_tradnl"/>
        </w:rPr>
      </w:pPr>
      <w:r w:rsidRPr="003D46A9">
        <w:rPr>
          <w:rStyle w:val="FootnoteReference"/>
          <w:sz w:val="18"/>
          <w:szCs w:val="18"/>
          <w:lang w:val="es-ES_tradnl"/>
        </w:rPr>
        <w:footnoteRef/>
      </w:r>
      <w:r w:rsidRPr="003D46A9">
        <w:rPr>
          <w:sz w:val="18"/>
          <w:szCs w:val="18"/>
          <w:lang w:val="es-ES_tradnl"/>
        </w:rPr>
        <w:t> UNEP/OzL.Pro/ExCom/95/94 [</w:t>
      </w:r>
      <w:r w:rsidR="000E6B69" w:rsidRPr="003D46A9">
        <w:rPr>
          <w:sz w:val="18"/>
          <w:szCs w:val="18"/>
          <w:highlight w:val="yellow"/>
          <w:lang w:val="es-ES_tradnl"/>
        </w:rPr>
        <w:t>y</w:t>
      </w:r>
      <w:r w:rsidRPr="003D46A9">
        <w:rPr>
          <w:sz w:val="18"/>
          <w:szCs w:val="18"/>
          <w:highlight w:val="yellow"/>
          <w:lang w:val="es-ES_tradnl"/>
        </w:rPr>
        <w:t xml:space="preserve"> UNEP/OzL.Pro/ExCom/96/??]</w:t>
      </w:r>
      <w:r w:rsidRPr="003D46A9">
        <w:rPr>
          <w:sz w:val="18"/>
          <w:szCs w:val="18"/>
          <w:lang w:val="es-ES_tradnl"/>
        </w:rPr>
        <w:t>.</w:t>
      </w:r>
    </w:p>
  </w:footnote>
  <w:footnote w:id="3">
    <w:p w14:paraId="3F4208BE" w14:textId="1CFE2B67" w:rsidR="00B245A6" w:rsidRPr="003D46A9" w:rsidRDefault="00B245A6" w:rsidP="00B245A6">
      <w:pPr>
        <w:pStyle w:val="FootnoteText"/>
        <w:rPr>
          <w:sz w:val="18"/>
          <w:szCs w:val="18"/>
          <w:lang w:val="es-ES_tradnl"/>
        </w:rPr>
      </w:pPr>
      <w:r w:rsidRPr="003D46A9">
        <w:rPr>
          <w:rStyle w:val="FootnoteReference"/>
          <w:sz w:val="18"/>
          <w:szCs w:val="18"/>
          <w:lang w:val="es-ES_tradnl"/>
        </w:rPr>
        <w:footnoteRef/>
      </w:r>
      <w:r w:rsidRPr="003D46A9">
        <w:rPr>
          <w:sz w:val="18"/>
          <w:szCs w:val="18"/>
          <w:lang w:val="es-ES_tradnl"/>
        </w:rPr>
        <w:t xml:space="preserve"> UNEP/OzL.Pro/ExCom/95/86 </w:t>
      </w:r>
      <w:r w:rsidR="000E6B69" w:rsidRPr="003D46A9">
        <w:rPr>
          <w:sz w:val="18"/>
          <w:szCs w:val="18"/>
          <w:lang w:val="es-ES_tradnl"/>
        </w:rPr>
        <w:t xml:space="preserve">y documento base </w:t>
      </w:r>
      <w:r w:rsidRPr="003D46A9">
        <w:rPr>
          <w:sz w:val="18"/>
          <w:szCs w:val="18"/>
          <w:lang w:val="es-ES_tradnl"/>
        </w:rPr>
        <w:t>UNEP/OzL.Pro/ExCom/93/97.</w:t>
      </w:r>
    </w:p>
  </w:footnote>
  <w:footnote w:id="4">
    <w:p w14:paraId="62C04999" w14:textId="49A73D36" w:rsidR="00B245A6" w:rsidRPr="003D46A9" w:rsidRDefault="00B245A6" w:rsidP="00B245A6">
      <w:pPr>
        <w:pStyle w:val="FootnoteText"/>
        <w:rPr>
          <w:sz w:val="18"/>
          <w:szCs w:val="18"/>
          <w:lang w:val="es-ES_tradnl"/>
        </w:rPr>
      </w:pPr>
      <w:r w:rsidRPr="003D46A9">
        <w:rPr>
          <w:rStyle w:val="FootnoteReference"/>
          <w:lang w:val="es-ES_tradnl"/>
        </w:rPr>
        <w:footnoteRef/>
      </w:r>
      <w:r w:rsidRPr="003D46A9">
        <w:rPr>
          <w:lang w:val="es-ES_tradnl"/>
        </w:rPr>
        <w:t xml:space="preserve"> </w:t>
      </w:r>
      <w:r w:rsidR="00EF4A65" w:rsidRPr="003D46A9">
        <w:rPr>
          <w:sz w:val="18"/>
          <w:szCs w:val="18"/>
          <w:lang w:val="es-ES_tradnl"/>
        </w:rPr>
        <w:t>Solicitar al Comité Ejecutivo que elabor</w:t>
      </w:r>
      <w:r w:rsidR="00844FF3" w:rsidRPr="003D46A9">
        <w:rPr>
          <w:sz w:val="18"/>
          <w:szCs w:val="18"/>
          <w:lang w:val="es-ES_tradnl"/>
        </w:rPr>
        <w:t>e</w:t>
      </w:r>
      <w:r w:rsidR="00EF4A65" w:rsidRPr="003D46A9">
        <w:rPr>
          <w:sz w:val="18"/>
          <w:szCs w:val="18"/>
          <w:lang w:val="es-ES_tradnl"/>
        </w:rPr>
        <w:t xml:space="preserve">, en el plazo de dos años contados a partir de la aprobación de la Enmienda, las directrices para la financiación de la reducción gradual del consumo y la producción de HFC, </w:t>
      </w:r>
      <w:r w:rsidR="00154E9F" w:rsidRPr="003D46A9">
        <w:rPr>
          <w:sz w:val="18"/>
          <w:szCs w:val="18"/>
          <w:lang w:val="es-ES_tradnl"/>
        </w:rPr>
        <w:t xml:space="preserve">incluidos los </w:t>
      </w:r>
      <w:r w:rsidR="001778DC" w:rsidRPr="003D46A9">
        <w:rPr>
          <w:sz w:val="18"/>
          <w:szCs w:val="18"/>
          <w:lang w:val="es-ES_tradnl"/>
        </w:rPr>
        <w:t>umbrales de eficacia en función de los costos</w:t>
      </w:r>
      <w:r w:rsidR="00154E9F" w:rsidRPr="003D46A9">
        <w:rPr>
          <w:sz w:val="18"/>
          <w:szCs w:val="18"/>
          <w:lang w:val="es-ES_tradnl"/>
        </w:rPr>
        <w:t xml:space="preserve">, </w:t>
      </w:r>
      <w:r w:rsidR="00EF4A65" w:rsidRPr="003D46A9">
        <w:rPr>
          <w:sz w:val="18"/>
          <w:szCs w:val="18"/>
          <w:lang w:val="es-ES_tradnl"/>
        </w:rPr>
        <w:t>y que present</w:t>
      </w:r>
      <w:r w:rsidR="00844FF3" w:rsidRPr="003D46A9">
        <w:rPr>
          <w:sz w:val="18"/>
          <w:szCs w:val="18"/>
          <w:lang w:val="es-ES_tradnl"/>
        </w:rPr>
        <w:t xml:space="preserve">e </w:t>
      </w:r>
      <w:r w:rsidR="00EF4A65" w:rsidRPr="003D46A9">
        <w:rPr>
          <w:sz w:val="18"/>
          <w:szCs w:val="18"/>
          <w:lang w:val="es-ES_tradnl"/>
        </w:rPr>
        <w:t>esas directrices para que las Partes pudiesen exponer sus puntos de vista y hacer aportaciones antes de su finalización por parte del Comité Ejecutivo.</w:t>
      </w:r>
    </w:p>
  </w:footnote>
  <w:footnote w:id="5">
    <w:p w14:paraId="4DE4F253" w14:textId="77777777" w:rsidR="008645A6" w:rsidRPr="003D46A9" w:rsidRDefault="008645A6" w:rsidP="008645A6">
      <w:pPr>
        <w:pStyle w:val="FootnoteText"/>
        <w:rPr>
          <w:lang w:val="es-ES_tradnl"/>
        </w:rPr>
      </w:pPr>
      <w:r w:rsidRPr="003D46A9">
        <w:rPr>
          <w:rStyle w:val="FootnoteReference"/>
          <w:lang w:val="es-ES_tradnl"/>
        </w:rPr>
        <w:footnoteRef/>
      </w:r>
      <w:r w:rsidRPr="003D46A9">
        <w:rPr>
          <w:lang w:val="es-ES_tradnl"/>
        </w:rPr>
        <w:t> </w:t>
      </w:r>
      <w:r w:rsidRPr="003D46A9">
        <w:rPr>
          <w:sz w:val="18"/>
          <w:szCs w:val="18"/>
          <w:lang w:val="es-ES_tradnl"/>
        </w:rPr>
        <w:t>UNEP/OzL.Pro/ExCom/95/94, anexos LIV y LV.</w:t>
      </w:r>
    </w:p>
  </w:footnote>
  <w:footnote w:id="6">
    <w:p w14:paraId="7AE46BEC" w14:textId="3CF82504" w:rsidR="00F74A7B" w:rsidRPr="003D46A9" w:rsidRDefault="00F74A7B" w:rsidP="00F74A7B">
      <w:pPr>
        <w:pStyle w:val="FootnoteText"/>
        <w:tabs>
          <w:tab w:val="left" w:pos="5670"/>
        </w:tabs>
        <w:rPr>
          <w:sz w:val="18"/>
          <w:szCs w:val="18"/>
          <w:lang w:val="es-ES_tradnl"/>
        </w:rPr>
      </w:pPr>
      <w:r w:rsidRPr="003D46A9">
        <w:rPr>
          <w:sz w:val="18"/>
          <w:szCs w:val="18"/>
          <w:vertAlign w:val="superscript"/>
          <w:lang w:val="es-ES_tradnl"/>
        </w:rPr>
        <w:footnoteRef/>
      </w:r>
      <w:r w:rsidRPr="003D46A9">
        <w:rPr>
          <w:sz w:val="18"/>
          <w:szCs w:val="18"/>
          <w:lang w:val="es-ES_tradnl"/>
        </w:rPr>
        <w:t xml:space="preserve"> UNEP/OzL.Pro/ExCom/82/65 </w:t>
      </w:r>
      <w:r w:rsidR="00723502" w:rsidRPr="003D46A9">
        <w:rPr>
          <w:sz w:val="18"/>
          <w:szCs w:val="18"/>
          <w:lang w:val="es-ES_tradnl"/>
        </w:rPr>
        <w:t>y</w:t>
      </w:r>
      <w:r w:rsidRPr="003D46A9">
        <w:rPr>
          <w:sz w:val="18"/>
          <w:szCs w:val="18"/>
          <w:lang w:val="es-ES_tradnl"/>
        </w:rPr>
        <w:t xml:space="preserve"> Add.1.</w:t>
      </w:r>
    </w:p>
  </w:footnote>
  <w:footnote w:id="7">
    <w:p w14:paraId="30E0AFF6" w14:textId="77777777" w:rsidR="00455AE8" w:rsidRPr="003D46A9" w:rsidRDefault="00455AE8" w:rsidP="00455AE8">
      <w:pPr>
        <w:pStyle w:val="FootnoteText"/>
        <w:rPr>
          <w:lang w:val="es-ES_tradnl"/>
        </w:rPr>
      </w:pPr>
      <w:r w:rsidRPr="003D46A9">
        <w:rPr>
          <w:rStyle w:val="FootnoteReference"/>
          <w:lang w:val="es-ES_tradnl"/>
        </w:rPr>
        <w:footnoteRef/>
      </w:r>
      <w:r w:rsidRPr="003D46A9">
        <w:rPr>
          <w:lang w:val="es-ES_tradnl"/>
        </w:rPr>
        <w:t> </w:t>
      </w:r>
      <w:r w:rsidRPr="003D46A9">
        <w:rPr>
          <w:sz w:val="18"/>
          <w:szCs w:val="18"/>
          <w:lang w:val="es-ES_tradnl"/>
        </w:rPr>
        <w:t>UNEP/OzL.Pro/ExCom/95/87.</w:t>
      </w:r>
    </w:p>
  </w:footnote>
  <w:footnote w:id="8">
    <w:p w14:paraId="52CEB101" w14:textId="1C6A1EBB" w:rsidR="00723502" w:rsidRPr="003D46A9" w:rsidRDefault="00723502" w:rsidP="00723502">
      <w:pPr>
        <w:pStyle w:val="FootnoteText"/>
        <w:rPr>
          <w:sz w:val="18"/>
          <w:szCs w:val="18"/>
          <w:lang w:val="es-ES_tradnl"/>
        </w:rPr>
      </w:pPr>
      <w:r w:rsidRPr="003D46A9">
        <w:rPr>
          <w:sz w:val="18"/>
          <w:szCs w:val="18"/>
          <w:vertAlign w:val="superscript"/>
          <w:lang w:val="es-ES_tradnl"/>
        </w:rPr>
        <w:footnoteRef/>
      </w:r>
      <w:r w:rsidRPr="003D46A9">
        <w:rPr>
          <w:sz w:val="18"/>
          <w:szCs w:val="18"/>
          <w:lang w:val="es-ES_tradnl"/>
        </w:rPr>
        <w:t xml:space="preserve"> En estos casos, se espera que el proceso de preparación del </w:t>
      </w:r>
      <w:r w:rsidR="002D2C48" w:rsidRPr="003D46A9">
        <w:rPr>
          <w:sz w:val="18"/>
          <w:szCs w:val="18"/>
          <w:lang w:val="es-ES_tradnl"/>
        </w:rPr>
        <w:t>PAK</w:t>
      </w:r>
      <w:r w:rsidRPr="003D46A9">
        <w:rPr>
          <w:sz w:val="18"/>
          <w:szCs w:val="18"/>
          <w:lang w:val="es-ES_tradnl"/>
        </w:rPr>
        <w:t xml:space="preserve"> esté en marcha. Las actividades preparatorias pueden planificarse de manera que incluyan actividades relacionadas con la preparación de proyectos en el marco del componente de eficiencia energética.</w:t>
      </w:r>
    </w:p>
  </w:footnote>
  <w:footnote w:id="9">
    <w:p w14:paraId="0F57F707" w14:textId="77777777" w:rsidR="00AA3C1A" w:rsidRPr="003D46A9" w:rsidRDefault="00AA3C1A" w:rsidP="00AA3C1A">
      <w:pPr>
        <w:pStyle w:val="FootnoteText"/>
        <w:rPr>
          <w:sz w:val="18"/>
          <w:szCs w:val="18"/>
          <w:lang w:val="es-ES_tradnl"/>
        </w:rPr>
      </w:pPr>
      <w:r w:rsidRPr="003D46A9">
        <w:rPr>
          <w:rStyle w:val="FootnoteReference"/>
          <w:sz w:val="18"/>
          <w:szCs w:val="18"/>
          <w:lang w:val="es-ES_tradnl"/>
        </w:rPr>
        <w:footnoteRef/>
      </w:r>
      <w:r w:rsidRPr="003D46A9">
        <w:rPr>
          <w:sz w:val="18"/>
          <w:szCs w:val="18"/>
          <w:lang w:val="es-ES_tradnl"/>
        </w:rPr>
        <w:t> UNEP/OzL.Pro/ExCom/95/88.</w:t>
      </w:r>
    </w:p>
  </w:footnote>
  <w:footnote w:id="10">
    <w:p w14:paraId="346286CE" w14:textId="77777777" w:rsidR="00386D82" w:rsidRPr="003D46A9" w:rsidRDefault="00386D82" w:rsidP="00386D82">
      <w:pPr>
        <w:pStyle w:val="FootnoteText"/>
        <w:rPr>
          <w:sz w:val="18"/>
          <w:szCs w:val="18"/>
          <w:lang w:val="es-ES_tradnl"/>
        </w:rPr>
      </w:pPr>
      <w:r w:rsidRPr="003D46A9">
        <w:rPr>
          <w:rStyle w:val="FootnoteReference"/>
          <w:sz w:val="18"/>
          <w:szCs w:val="18"/>
          <w:lang w:val="es-ES_tradnl"/>
        </w:rPr>
        <w:footnoteRef/>
      </w:r>
      <w:r w:rsidRPr="003D46A9">
        <w:rPr>
          <w:sz w:val="18"/>
          <w:szCs w:val="18"/>
          <w:lang w:val="es-ES_tradnl"/>
        </w:rPr>
        <w:t> UNEP/OzL.Pro/ExCom/95/89.</w:t>
      </w:r>
    </w:p>
  </w:footnote>
  <w:footnote w:id="11">
    <w:p w14:paraId="191D1230" w14:textId="77777777" w:rsidR="00386D82" w:rsidRPr="003D46A9" w:rsidRDefault="00386D82" w:rsidP="00386D82">
      <w:pPr>
        <w:pStyle w:val="FootnoteText"/>
        <w:rPr>
          <w:sz w:val="18"/>
          <w:szCs w:val="18"/>
          <w:lang w:val="es-ES_tradnl"/>
        </w:rPr>
      </w:pPr>
      <w:r w:rsidRPr="003D46A9">
        <w:rPr>
          <w:sz w:val="18"/>
          <w:szCs w:val="18"/>
          <w:vertAlign w:val="superscript"/>
          <w:lang w:val="es-ES_tradnl"/>
        </w:rPr>
        <w:footnoteRef/>
      </w:r>
      <w:r w:rsidRPr="003D46A9">
        <w:rPr>
          <w:sz w:val="18"/>
          <w:szCs w:val="18"/>
          <w:lang w:val="es-ES_tradnl"/>
        </w:rPr>
        <w:t> UNEP/OzL.Pro/ExCom/95/90.</w:t>
      </w:r>
    </w:p>
  </w:footnote>
  <w:footnote w:id="12">
    <w:p w14:paraId="66B8F311" w14:textId="2E49A02D" w:rsidR="00386D82" w:rsidRPr="003D46A9" w:rsidRDefault="00386D82" w:rsidP="00386D82">
      <w:pPr>
        <w:pStyle w:val="FootnoteText"/>
        <w:rPr>
          <w:sz w:val="18"/>
          <w:szCs w:val="18"/>
          <w:lang w:val="es-ES_tradnl"/>
        </w:rPr>
      </w:pPr>
      <w:r w:rsidRPr="003D46A9">
        <w:rPr>
          <w:rStyle w:val="FootnoteReference"/>
          <w:sz w:val="18"/>
          <w:szCs w:val="18"/>
          <w:lang w:val="es-ES_tradnl"/>
        </w:rPr>
        <w:footnoteRef/>
      </w:r>
      <w:r w:rsidRPr="003D46A9">
        <w:rPr>
          <w:sz w:val="18"/>
          <w:szCs w:val="18"/>
          <w:lang w:val="es-ES_tradnl"/>
        </w:rPr>
        <w:t> UNEP/OzL.Pro/ExCom/95/94, a</w:t>
      </w:r>
      <w:r w:rsidR="00FC3261" w:rsidRPr="003D46A9">
        <w:rPr>
          <w:sz w:val="18"/>
          <w:szCs w:val="18"/>
          <w:lang w:val="es-ES_tradnl"/>
        </w:rPr>
        <w:t>nexo</w:t>
      </w:r>
      <w:r w:rsidRPr="003D46A9">
        <w:rPr>
          <w:sz w:val="18"/>
          <w:szCs w:val="18"/>
          <w:lang w:val="es-ES_tradnl"/>
        </w:rPr>
        <w:t xml:space="preserve"> LVII.</w:t>
      </w:r>
    </w:p>
  </w:footnote>
  <w:footnote w:id="13">
    <w:p w14:paraId="21F9C903" w14:textId="77777777" w:rsidR="00F11B25" w:rsidRPr="003D46A9" w:rsidRDefault="00F11B25" w:rsidP="00F11B25">
      <w:pPr>
        <w:pStyle w:val="FootnoteText"/>
        <w:rPr>
          <w:sz w:val="18"/>
          <w:szCs w:val="18"/>
          <w:lang w:val="es-ES_tradnl"/>
        </w:rPr>
      </w:pPr>
      <w:r w:rsidRPr="003D46A9">
        <w:rPr>
          <w:sz w:val="18"/>
          <w:szCs w:val="18"/>
          <w:vertAlign w:val="superscript"/>
          <w:lang w:val="es-ES_tradnl"/>
        </w:rPr>
        <w:footnoteRef/>
      </w:r>
      <w:r w:rsidRPr="003D46A9">
        <w:rPr>
          <w:sz w:val="18"/>
          <w:szCs w:val="18"/>
          <w:lang w:val="es-ES_tradnl"/>
        </w:rPr>
        <w:t> UNEP/OzL.Pro/ExCom/95/85.</w:t>
      </w:r>
    </w:p>
  </w:footnote>
  <w:footnote w:id="14">
    <w:p w14:paraId="4E482957" w14:textId="77777777" w:rsidR="00A036FA" w:rsidRPr="003D46A9" w:rsidRDefault="00A036FA" w:rsidP="00A036FA">
      <w:pPr>
        <w:pStyle w:val="FootnoteText"/>
        <w:rPr>
          <w:sz w:val="18"/>
          <w:szCs w:val="18"/>
          <w:lang w:val="es-ES_tradnl"/>
        </w:rPr>
      </w:pPr>
      <w:r w:rsidRPr="003D46A9">
        <w:rPr>
          <w:rStyle w:val="FootnoteReference"/>
          <w:sz w:val="18"/>
          <w:szCs w:val="18"/>
          <w:lang w:val="es-ES_tradnl"/>
        </w:rPr>
        <w:footnoteRef/>
      </w:r>
      <w:r w:rsidRPr="003D46A9">
        <w:rPr>
          <w:sz w:val="18"/>
          <w:szCs w:val="18"/>
          <w:lang w:val="es-ES_tradnl"/>
        </w:rPr>
        <w:t> UNEP/OzL.Pro/ExCom/95/91.</w:t>
      </w:r>
    </w:p>
  </w:footnote>
  <w:footnote w:id="15">
    <w:p w14:paraId="7392D40A" w14:textId="77777777" w:rsidR="00D75E36" w:rsidRPr="003D46A9" w:rsidRDefault="00D75E36" w:rsidP="00D75E36">
      <w:pPr>
        <w:pStyle w:val="FootnoteText"/>
        <w:rPr>
          <w:lang w:val="es-ES_tradnl"/>
        </w:rPr>
      </w:pPr>
      <w:r w:rsidRPr="003D46A9">
        <w:rPr>
          <w:rStyle w:val="FootnoteReference"/>
          <w:sz w:val="18"/>
          <w:szCs w:val="18"/>
          <w:lang w:val="es-ES_tradnl"/>
        </w:rPr>
        <w:footnoteRef/>
      </w:r>
      <w:r w:rsidRPr="003D46A9">
        <w:rPr>
          <w:lang w:val="es-ES_tradnl"/>
        </w:rPr>
        <w:t> </w:t>
      </w:r>
      <w:r w:rsidRPr="003D46A9">
        <w:rPr>
          <w:sz w:val="18"/>
          <w:szCs w:val="18"/>
          <w:lang w:val="es-ES_tradnl"/>
        </w:rPr>
        <w:t>UNEP/OzL.Pro/ExCom/95/92.</w:t>
      </w:r>
    </w:p>
  </w:footnote>
  <w:footnote w:id="16">
    <w:p w14:paraId="45D505A8" w14:textId="0582E9BF" w:rsidR="00D75E36" w:rsidRPr="003D46A9" w:rsidRDefault="00D75E36" w:rsidP="00D75E36">
      <w:pPr>
        <w:pStyle w:val="FootnoteText"/>
        <w:rPr>
          <w:lang w:val="es-ES_tradnl"/>
        </w:rPr>
      </w:pPr>
      <w:r w:rsidRPr="003D46A9">
        <w:rPr>
          <w:sz w:val="18"/>
          <w:szCs w:val="18"/>
          <w:vertAlign w:val="superscript"/>
          <w:lang w:val="es-ES_tradnl"/>
        </w:rPr>
        <w:footnoteRef/>
      </w:r>
      <w:r w:rsidRPr="003D46A9">
        <w:rPr>
          <w:sz w:val="18"/>
          <w:szCs w:val="18"/>
          <w:lang w:val="es-ES_tradnl"/>
        </w:rPr>
        <w:t> UNEP/OzL.Pro/ExCom/95/93 [</w:t>
      </w:r>
      <w:r w:rsidR="00FC3261" w:rsidRPr="003D46A9">
        <w:rPr>
          <w:sz w:val="18"/>
          <w:szCs w:val="18"/>
          <w:highlight w:val="yellow"/>
          <w:lang w:val="es-ES_tradnl"/>
        </w:rPr>
        <w:t xml:space="preserve">y </w:t>
      </w:r>
      <w:r w:rsidRPr="003D46A9">
        <w:rPr>
          <w:sz w:val="18"/>
          <w:szCs w:val="18"/>
          <w:highlight w:val="yellow"/>
          <w:lang w:val="es-ES_tradnl"/>
        </w:rPr>
        <w:t>UNEP/OzL.Pro/ExCom/96/??].</w:t>
      </w:r>
    </w:p>
  </w:footnote>
  <w:footnote w:id="17">
    <w:p w14:paraId="653064AC" w14:textId="4942DA16" w:rsidR="00D75E36" w:rsidRPr="003D46A9" w:rsidRDefault="00D75E36" w:rsidP="00D75E36">
      <w:pPr>
        <w:pStyle w:val="FootnoteText"/>
        <w:rPr>
          <w:sz w:val="18"/>
          <w:szCs w:val="18"/>
          <w:lang w:val="es-ES_tradnl"/>
        </w:rPr>
      </w:pPr>
      <w:r w:rsidRPr="003D46A9">
        <w:rPr>
          <w:rStyle w:val="FootnoteReference"/>
          <w:sz w:val="18"/>
          <w:szCs w:val="18"/>
          <w:lang w:val="es-ES_tradnl"/>
        </w:rPr>
        <w:footnoteRef/>
      </w:r>
      <w:r w:rsidRPr="003D46A9">
        <w:rPr>
          <w:sz w:val="18"/>
          <w:szCs w:val="18"/>
          <w:lang w:val="es-ES_tradnl"/>
        </w:rPr>
        <w:t> UNEP/OzL.Pro/ExCom/95/33 [</w:t>
      </w:r>
      <w:r w:rsidR="00FC3261" w:rsidRPr="003D46A9">
        <w:rPr>
          <w:sz w:val="18"/>
          <w:szCs w:val="18"/>
          <w:highlight w:val="yellow"/>
          <w:lang w:val="es-ES_tradnl"/>
        </w:rPr>
        <w:t>y</w:t>
      </w:r>
      <w:r w:rsidRPr="003D46A9">
        <w:rPr>
          <w:sz w:val="18"/>
          <w:szCs w:val="18"/>
          <w:highlight w:val="yellow"/>
          <w:lang w:val="es-ES_tradnl"/>
        </w:rPr>
        <w:t xml:space="preserve"> UNEP/OzL.Pro/ExCom/96/??].</w:t>
      </w:r>
    </w:p>
  </w:footnote>
  <w:footnote w:id="18">
    <w:p w14:paraId="6132680B" w14:textId="464E337F" w:rsidR="00D75E36" w:rsidRPr="003D46A9" w:rsidRDefault="00D75E36" w:rsidP="00D75E36">
      <w:pPr>
        <w:pStyle w:val="FootnoteText"/>
        <w:rPr>
          <w:sz w:val="18"/>
          <w:szCs w:val="18"/>
          <w:lang w:val="es-ES_tradnl"/>
        </w:rPr>
      </w:pPr>
      <w:r w:rsidRPr="003D46A9">
        <w:rPr>
          <w:rStyle w:val="FootnoteReference"/>
          <w:sz w:val="18"/>
          <w:szCs w:val="18"/>
          <w:lang w:val="es-ES_tradnl"/>
        </w:rPr>
        <w:footnoteRef/>
      </w:r>
      <w:r w:rsidRPr="003D46A9">
        <w:rPr>
          <w:sz w:val="18"/>
          <w:szCs w:val="18"/>
          <w:lang w:val="es-ES_tradnl"/>
        </w:rPr>
        <w:t> UNEP/OzL.Pro/ExCom/95/34 [</w:t>
      </w:r>
      <w:r w:rsidR="00FC3261" w:rsidRPr="003D46A9">
        <w:rPr>
          <w:sz w:val="18"/>
          <w:szCs w:val="18"/>
          <w:highlight w:val="yellow"/>
          <w:lang w:val="es-ES_tradnl"/>
        </w:rPr>
        <w:t>y</w:t>
      </w:r>
      <w:r w:rsidR="003D46A9">
        <w:rPr>
          <w:sz w:val="18"/>
          <w:szCs w:val="18"/>
          <w:highlight w:val="yellow"/>
          <w:lang w:val="es-ES_tradnl"/>
        </w:rPr>
        <w:t xml:space="preserve"> </w:t>
      </w:r>
      <w:r w:rsidRPr="003D46A9">
        <w:rPr>
          <w:sz w:val="18"/>
          <w:szCs w:val="18"/>
          <w:highlight w:val="yellow"/>
          <w:lang w:val="es-ES_tradnl"/>
        </w:rPr>
        <w:t>UNEP/OzL.Pro/ExCom/96/??</w:t>
      </w:r>
      <w:r w:rsidRPr="003D46A9">
        <w:rPr>
          <w:sz w:val="18"/>
          <w:szCs w:val="18"/>
          <w:lang w:val="es-ES_tradnl"/>
        </w:rPr>
        <w:t>].</w:t>
      </w:r>
    </w:p>
  </w:footnote>
  <w:footnote w:id="19">
    <w:p w14:paraId="51991B26" w14:textId="77777777" w:rsidR="001F4CDD" w:rsidRPr="003D46A9" w:rsidRDefault="001F4CDD" w:rsidP="001F4CDD">
      <w:pPr>
        <w:pStyle w:val="FootnoteText"/>
        <w:rPr>
          <w:sz w:val="18"/>
          <w:szCs w:val="18"/>
          <w:lang w:val="es-ES_tradnl"/>
        </w:rPr>
      </w:pPr>
      <w:r w:rsidRPr="003D46A9">
        <w:rPr>
          <w:rStyle w:val="FootnoteReference"/>
          <w:sz w:val="18"/>
          <w:szCs w:val="18"/>
          <w:lang w:val="es-ES_tradnl"/>
        </w:rPr>
        <w:footnoteRef/>
      </w:r>
      <w:r w:rsidRPr="003D46A9">
        <w:rPr>
          <w:sz w:val="18"/>
          <w:szCs w:val="18"/>
          <w:lang w:val="es-ES_tradnl"/>
        </w:rPr>
        <w:t xml:space="preserve"> UNEP/OzL.Pro/ExCom/95/32. </w:t>
      </w:r>
    </w:p>
  </w:footnote>
  <w:footnote w:id="20">
    <w:p w14:paraId="79B36EB9" w14:textId="77777777" w:rsidR="001F4CDD" w:rsidRPr="003D46A9" w:rsidRDefault="001F4CDD" w:rsidP="001F4CDD">
      <w:pPr>
        <w:pStyle w:val="FootnoteText"/>
        <w:widowControl w:val="0"/>
        <w:rPr>
          <w:sz w:val="18"/>
          <w:szCs w:val="18"/>
          <w:lang w:val="es-ES_tradnl"/>
        </w:rPr>
      </w:pPr>
      <w:r w:rsidRPr="003D46A9">
        <w:rPr>
          <w:rStyle w:val="FootnoteReference"/>
          <w:sz w:val="18"/>
          <w:szCs w:val="18"/>
          <w:lang w:val="es-ES_tradnl"/>
        </w:rPr>
        <w:footnoteRef/>
      </w:r>
      <w:r w:rsidRPr="003D46A9">
        <w:rPr>
          <w:sz w:val="18"/>
          <w:szCs w:val="18"/>
          <w:lang w:val="es-ES_tradnl"/>
        </w:rPr>
        <w:t> UNEP/OzL.Pro/ExCom/95/35.</w:t>
      </w:r>
    </w:p>
  </w:footnote>
  <w:footnote w:id="21">
    <w:p w14:paraId="73AB9AF3" w14:textId="77777777" w:rsidR="001F4CDD" w:rsidRPr="003D46A9" w:rsidRDefault="001F4CDD" w:rsidP="001F4CDD">
      <w:pPr>
        <w:pStyle w:val="FootnoteText"/>
        <w:widowControl w:val="0"/>
        <w:rPr>
          <w:sz w:val="18"/>
          <w:szCs w:val="18"/>
          <w:lang w:val="es-ES_tradnl"/>
        </w:rPr>
      </w:pPr>
      <w:r w:rsidRPr="003D46A9">
        <w:rPr>
          <w:rStyle w:val="FootnoteReference"/>
          <w:sz w:val="18"/>
          <w:szCs w:val="18"/>
          <w:lang w:val="es-ES_tradnl"/>
        </w:rPr>
        <w:footnoteRef/>
      </w:r>
      <w:r w:rsidRPr="003D46A9">
        <w:rPr>
          <w:sz w:val="18"/>
          <w:szCs w:val="18"/>
          <w:lang w:val="es-ES_tradnl"/>
        </w:rPr>
        <w:t> UNEP/OzL.Pro/ExCom/95/36.</w:t>
      </w:r>
    </w:p>
  </w:footnote>
  <w:footnote w:id="22">
    <w:p w14:paraId="19646446" w14:textId="77777777" w:rsidR="001F4CDD" w:rsidRPr="003D46A9" w:rsidRDefault="001F4CDD" w:rsidP="001F4CDD">
      <w:pPr>
        <w:pStyle w:val="FootnoteText"/>
        <w:widowControl w:val="0"/>
        <w:rPr>
          <w:sz w:val="18"/>
          <w:szCs w:val="18"/>
          <w:lang w:val="es-ES_tradnl"/>
        </w:rPr>
      </w:pPr>
      <w:r w:rsidRPr="003D46A9">
        <w:rPr>
          <w:rStyle w:val="FootnoteReference"/>
          <w:sz w:val="18"/>
          <w:szCs w:val="18"/>
          <w:lang w:val="es-ES_tradnl"/>
        </w:rPr>
        <w:footnoteRef/>
      </w:r>
      <w:r w:rsidRPr="003D46A9">
        <w:rPr>
          <w:sz w:val="18"/>
          <w:szCs w:val="18"/>
          <w:lang w:val="es-ES_tradnl"/>
        </w:rPr>
        <w:t> UNEP/OzL.Pro/ExCom/95/37.</w:t>
      </w:r>
    </w:p>
  </w:footnote>
  <w:footnote w:id="23">
    <w:p w14:paraId="3B679EFB" w14:textId="77777777" w:rsidR="001F4CDD" w:rsidRPr="003D46A9" w:rsidRDefault="001F4CDD" w:rsidP="001F4CDD">
      <w:pPr>
        <w:pStyle w:val="FootnoteText"/>
        <w:rPr>
          <w:sz w:val="18"/>
          <w:szCs w:val="18"/>
          <w:lang w:val="es-ES_tradnl"/>
        </w:rPr>
      </w:pPr>
      <w:r w:rsidRPr="003D46A9">
        <w:rPr>
          <w:rStyle w:val="FootnoteReference"/>
          <w:sz w:val="18"/>
          <w:szCs w:val="18"/>
          <w:lang w:val="es-ES_tradnl"/>
        </w:rPr>
        <w:footnoteRef/>
      </w:r>
      <w:r w:rsidRPr="003D46A9">
        <w:rPr>
          <w:sz w:val="18"/>
          <w:szCs w:val="18"/>
          <w:lang w:val="es-ES_tradnl"/>
        </w:rPr>
        <w:t> UNEP/OzL.Pro/ExCom/95/38.</w:t>
      </w:r>
    </w:p>
  </w:footnote>
  <w:footnote w:id="24">
    <w:p w14:paraId="77F81D29" w14:textId="77777777" w:rsidR="001F4CDD" w:rsidRPr="003D46A9" w:rsidRDefault="001F4CDD" w:rsidP="001F4CDD">
      <w:pPr>
        <w:pStyle w:val="FootnoteText"/>
        <w:rPr>
          <w:lang w:val="es-ES_tradnl"/>
        </w:rPr>
      </w:pPr>
      <w:r w:rsidRPr="003D46A9">
        <w:rPr>
          <w:rStyle w:val="FootnoteReference"/>
          <w:sz w:val="18"/>
          <w:szCs w:val="18"/>
          <w:lang w:val="es-ES_tradnl"/>
        </w:rPr>
        <w:footnoteRef/>
      </w:r>
      <w:r w:rsidRPr="003D46A9">
        <w:rPr>
          <w:lang w:val="es-ES_tradnl"/>
        </w:rPr>
        <w:t> </w:t>
      </w:r>
      <w:r w:rsidRPr="003D46A9">
        <w:rPr>
          <w:sz w:val="18"/>
          <w:szCs w:val="18"/>
          <w:lang w:val="es-ES_tradnl"/>
        </w:rPr>
        <w:t>UNEP/OzL.Pro/ExCom/95/83.</w:t>
      </w:r>
    </w:p>
  </w:footnote>
  <w:footnote w:id="25">
    <w:p w14:paraId="048393BA" w14:textId="558A1CC2" w:rsidR="001F4CDD" w:rsidRPr="003D46A9" w:rsidRDefault="001F4CDD" w:rsidP="001F4CDD">
      <w:pPr>
        <w:pStyle w:val="FootnoteText"/>
        <w:rPr>
          <w:lang w:val="es-ES_tradnl"/>
        </w:rPr>
      </w:pPr>
      <w:r w:rsidRPr="003D46A9">
        <w:rPr>
          <w:rStyle w:val="FootnoteReference"/>
          <w:sz w:val="18"/>
          <w:szCs w:val="18"/>
          <w:lang w:val="es-ES_tradnl"/>
        </w:rPr>
        <w:footnoteRef/>
      </w:r>
      <w:r w:rsidRPr="003D46A9">
        <w:rPr>
          <w:sz w:val="18"/>
          <w:szCs w:val="18"/>
          <w:lang w:val="es-ES_tradnl"/>
        </w:rPr>
        <w:t> UNEP/OzL.Pro/ExCom/95/94, anex</w:t>
      </w:r>
      <w:r w:rsidR="00FC3261" w:rsidRPr="003D46A9">
        <w:rPr>
          <w:sz w:val="18"/>
          <w:szCs w:val="18"/>
          <w:lang w:val="es-ES_tradnl"/>
        </w:rPr>
        <w:t>o</w:t>
      </w:r>
      <w:r w:rsidRPr="003D46A9">
        <w:rPr>
          <w:sz w:val="18"/>
          <w:szCs w:val="18"/>
          <w:lang w:val="es-ES_tradnl"/>
        </w:rPr>
        <w:t xml:space="preserve"> LIII.</w:t>
      </w:r>
    </w:p>
  </w:footnote>
  <w:footnote w:id="26">
    <w:p w14:paraId="5E8B8345" w14:textId="77777777" w:rsidR="00A47C58" w:rsidRPr="003D46A9" w:rsidRDefault="00A47C58" w:rsidP="00A47C58">
      <w:pPr>
        <w:pStyle w:val="FootnoteText"/>
        <w:rPr>
          <w:sz w:val="18"/>
          <w:szCs w:val="18"/>
          <w:lang w:val="es-ES_tradnl"/>
        </w:rPr>
      </w:pPr>
      <w:r w:rsidRPr="003D46A9">
        <w:rPr>
          <w:rStyle w:val="FootnoteReference"/>
          <w:sz w:val="18"/>
          <w:szCs w:val="18"/>
          <w:lang w:val="es-ES_tradnl"/>
        </w:rPr>
        <w:footnoteRef/>
      </w:r>
      <w:r w:rsidRPr="003D46A9">
        <w:rPr>
          <w:sz w:val="18"/>
          <w:szCs w:val="18"/>
          <w:lang w:val="es-ES_tradnl"/>
        </w:rPr>
        <w:t> UNEP/OzL.Pro/ExCom/95/84.</w:t>
      </w:r>
    </w:p>
  </w:footnote>
  <w:footnote w:id="27">
    <w:p w14:paraId="2EF7C897" w14:textId="77777777" w:rsidR="00D034B6" w:rsidRPr="003D46A9" w:rsidRDefault="00D034B6" w:rsidP="00D034B6">
      <w:pPr>
        <w:pStyle w:val="FootnoteText"/>
        <w:rPr>
          <w:lang w:val="es-ES_tradnl"/>
        </w:rPr>
      </w:pPr>
      <w:r w:rsidRPr="003D46A9">
        <w:rPr>
          <w:rStyle w:val="FootnoteReference"/>
          <w:highlight w:val="yellow"/>
          <w:lang w:val="es-ES_tradnl"/>
        </w:rPr>
        <w:footnoteRef/>
      </w:r>
      <w:r w:rsidRPr="003D46A9">
        <w:rPr>
          <w:highlight w:val="yellow"/>
          <w:lang w:val="es-ES_tradnl"/>
        </w:rPr>
        <w:t> </w:t>
      </w:r>
      <w:r w:rsidRPr="003D46A9">
        <w:rPr>
          <w:sz w:val="18"/>
          <w:szCs w:val="18"/>
          <w:highlight w:val="yellow"/>
          <w:lang w:val="es-ES_tradnl"/>
        </w:rPr>
        <w:t>[UNEP/OzL.Pro/ExCom/96/??</w:t>
      </w:r>
      <w:r w:rsidRPr="003D46A9">
        <w:rPr>
          <w:sz w:val="18"/>
          <w:szCs w:val="18"/>
          <w:lang w:val="es-ES_tradnl"/>
        </w:rPr>
        <w:t>].</w:t>
      </w:r>
    </w:p>
  </w:footnote>
  <w:footnote w:id="28">
    <w:p w14:paraId="2BBE4628" w14:textId="77777777" w:rsidR="00D034B6" w:rsidRPr="003D46A9" w:rsidRDefault="00D034B6" w:rsidP="00D034B6">
      <w:pPr>
        <w:pStyle w:val="FootnoteText"/>
        <w:rPr>
          <w:lang w:val="es-ES_tradnl"/>
        </w:rPr>
      </w:pPr>
      <w:r w:rsidRPr="003D46A9">
        <w:rPr>
          <w:rStyle w:val="FootnoteReference"/>
          <w:highlight w:val="yellow"/>
          <w:lang w:val="es-ES_tradnl"/>
        </w:rPr>
        <w:footnoteRef/>
      </w:r>
      <w:r w:rsidRPr="003D46A9">
        <w:rPr>
          <w:highlight w:val="yellow"/>
          <w:lang w:val="es-ES_tradnl"/>
        </w:rPr>
        <w:t> </w:t>
      </w:r>
      <w:r w:rsidRPr="003D46A9">
        <w:rPr>
          <w:sz w:val="18"/>
          <w:szCs w:val="18"/>
          <w:highlight w:val="yellow"/>
          <w:lang w:val="es-ES_tradnl"/>
        </w:rPr>
        <w:t>[UNEP/OzL.Pro/ExCom/96/??</w:t>
      </w:r>
      <w:r w:rsidRPr="003D46A9">
        <w:rPr>
          <w:sz w:val="18"/>
          <w:szCs w:val="18"/>
          <w:lang w:val="es-ES_tradnl"/>
        </w:rPr>
        <w:t>].</w:t>
      </w:r>
    </w:p>
  </w:footnote>
  <w:footnote w:id="29">
    <w:p w14:paraId="533687B1" w14:textId="77777777" w:rsidR="00D034B6" w:rsidRPr="003D46A9" w:rsidRDefault="00D034B6" w:rsidP="00D034B6">
      <w:pPr>
        <w:pStyle w:val="FootnoteText"/>
        <w:rPr>
          <w:sz w:val="18"/>
          <w:szCs w:val="18"/>
          <w:lang w:val="es-ES_tradnl"/>
        </w:rPr>
      </w:pPr>
      <w:r w:rsidRPr="003D46A9">
        <w:rPr>
          <w:sz w:val="18"/>
          <w:szCs w:val="18"/>
          <w:vertAlign w:val="superscript"/>
          <w:lang w:val="es-ES_tradnl"/>
        </w:rPr>
        <w:footnoteRef/>
      </w:r>
      <w:r w:rsidRPr="003D46A9">
        <w:rPr>
          <w:sz w:val="18"/>
          <w:szCs w:val="18"/>
          <w:lang w:val="es-ES_tradnl"/>
        </w:rPr>
        <w:t> UNEP/OzL.Pro/ExCom/95/24.</w:t>
      </w:r>
    </w:p>
  </w:footnote>
  <w:footnote w:id="30">
    <w:p w14:paraId="19B64A44" w14:textId="77777777" w:rsidR="00D034B6" w:rsidRPr="003D46A9" w:rsidRDefault="00D034B6" w:rsidP="00D034B6">
      <w:pPr>
        <w:pStyle w:val="FootnoteText"/>
        <w:rPr>
          <w:lang w:val="es-ES_tradnl"/>
        </w:rPr>
      </w:pPr>
      <w:r w:rsidRPr="003D46A9">
        <w:rPr>
          <w:rStyle w:val="FootnoteReference"/>
          <w:lang w:val="es-ES_tradnl"/>
        </w:rPr>
        <w:footnoteRef/>
      </w:r>
      <w:r w:rsidRPr="003D46A9">
        <w:rPr>
          <w:lang w:val="es-ES_tradnl"/>
        </w:rPr>
        <w:t> </w:t>
      </w:r>
      <w:r w:rsidRPr="003D46A9">
        <w:rPr>
          <w:sz w:val="18"/>
          <w:szCs w:val="18"/>
          <w:highlight w:val="yellow"/>
          <w:lang w:val="es-ES_tradnl"/>
        </w:rPr>
        <w:t>[UNEP/OzL.Pro/ExCom/96/??</w:t>
      </w:r>
      <w:r w:rsidRPr="003D46A9">
        <w:rPr>
          <w:sz w:val="18"/>
          <w:szCs w:val="18"/>
          <w:lang w:val="es-ES_tradnl"/>
        </w:rPr>
        <w:t>]</w:t>
      </w:r>
    </w:p>
  </w:footnote>
  <w:footnote w:id="31">
    <w:p w14:paraId="47158212" w14:textId="42D4482E" w:rsidR="00D034B6" w:rsidRPr="003D46A9" w:rsidRDefault="00D034B6" w:rsidP="00D034B6">
      <w:pPr>
        <w:pStyle w:val="FootnoteText"/>
        <w:rPr>
          <w:sz w:val="18"/>
          <w:szCs w:val="18"/>
          <w:lang w:val="es-ES_tradnl"/>
        </w:rPr>
      </w:pPr>
      <w:r w:rsidRPr="003D46A9">
        <w:rPr>
          <w:rStyle w:val="FootnoteReference"/>
          <w:sz w:val="18"/>
          <w:szCs w:val="18"/>
          <w:lang w:val="es-ES_tradnl"/>
        </w:rPr>
        <w:footnoteRef/>
      </w:r>
      <w:r w:rsidRPr="003D46A9">
        <w:rPr>
          <w:sz w:val="18"/>
          <w:szCs w:val="18"/>
          <w:lang w:val="es-ES_tradnl"/>
        </w:rPr>
        <w:t> UNEP/OzL.Pro/ExCom/95/94, anex</w:t>
      </w:r>
      <w:r w:rsidR="00FC3261" w:rsidRPr="003D46A9">
        <w:rPr>
          <w:sz w:val="18"/>
          <w:szCs w:val="18"/>
          <w:lang w:val="es-ES_tradnl"/>
        </w:rPr>
        <w:t>o</w:t>
      </w:r>
      <w:r w:rsidRPr="003D46A9">
        <w:rPr>
          <w:sz w:val="18"/>
          <w:szCs w:val="18"/>
          <w:lang w:val="es-ES_tradnl"/>
        </w:rPr>
        <w:t xml:space="preserve"> XII, [</w:t>
      </w:r>
      <w:r w:rsidR="00FC3261" w:rsidRPr="003D46A9">
        <w:rPr>
          <w:sz w:val="18"/>
          <w:szCs w:val="18"/>
          <w:highlight w:val="yellow"/>
          <w:lang w:val="es-ES_tradnl"/>
        </w:rPr>
        <w:t>y</w:t>
      </w:r>
      <w:r w:rsidRPr="003D46A9">
        <w:rPr>
          <w:sz w:val="18"/>
          <w:szCs w:val="18"/>
          <w:highlight w:val="yellow"/>
          <w:lang w:val="es-ES_tradnl"/>
        </w:rPr>
        <w:t xml:space="preserve"> UNEP/OzL.Pro/ExCom/96/???, anex</w:t>
      </w:r>
      <w:r w:rsidR="00FC3261" w:rsidRPr="003D46A9">
        <w:rPr>
          <w:sz w:val="18"/>
          <w:szCs w:val="18"/>
          <w:highlight w:val="yellow"/>
          <w:lang w:val="es-ES_tradnl"/>
        </w:rPr>
        <w:t>o</w:t>
      </w:r>
      <w:r w:rsidRPr="003D46A9">
        <w:rPr>
          <w:sz w:val="18"/>
          <w:szCs w:val="18"/>
          <w:highlight w:val="yellow"/>
          <w:lang w:val="es-ES_tradnl"/>
        </w:rPr>
        <w:t xml:space="preserve"> ???</w:t>
      </w:r>
      <w:r w:rsidRPr="003D46A9">
        <w:rPr>
          <w:sz w:val="18"/>
          <w:szCs w:val="18"/>
          <w:lang w:val="es-ES_tradnl"/>
        </w:rPr>
        <w:t>].</w:t>
      </w:r>
    </w:p>
  </w:footnote>
  <w:footnote w:id="32">
    <w:p w14:paraId="1305977C" w14:textId="77777777" w:rsidR="00CD7D76" w:rsidRPr="003D46A9" w:rsidRDefault="00CD7D76" w:rsidP="00CD7D76">
      <w:pPr>
        <w:pStyle w:val="FootnoteText"/>
        <w:rPr>
          <w:sz w:val="18"/>
          <w:szCs w:val="18"/>
          <w:lang w:val="es-ES_tradnl"/>
        </w:rPr>
      </w:pPr>
      <w:r w:rsidRPr="003D46A9">
        <w:rPr>
          <w:rStyle w:val="FootnoteReference"/>
          <w:sz w:val="18"/>
          <w:szCs w:val="18"/>
          <w:lang w:val="es-ES_tradnl"/>
        </w:rPr>
        <w:footnoteRef/>
      </w:r>
      <w:r w:rsidRPr="003D46A9">
        <w:rPr>
          <w:sz w:val="18"/>
          <w:szCs w:val="18"/>
          <w:lang w:val="es-ES_tradnl"/>
        </w:rPr>
        <w:t> UNEP/OzL.Pro/ExCom/95/14.</w:t>
      </w:r>
    </w:p>
  </w:footnote>
  <w:footnote w:id="33">
    <w:p w14:paraId="3F3BC4FB" w14:textId="77777777" w:rsidR="00CD7D76" w:rsidRPr="003D46A9" w:rsidRDefault="00CD7D76" w:rsidP="00CD7D76">
      <w:pPr>
        <w:pStyle w:val="FootnoteText"/>
        <w:rPr>
          <w:lang w:val="es-ES_tradnl"/>
        </w:rPr>
      </w:pPr>
      <w:r w:rsidRPr="003D46A9">
        <w:rPr>
          <w:rStyle w:val="FootnoteReference"/>
          <w:sz w:val="18"/>
          <w:szCs w:val="18"/>
          <w:lang w:val="es-ES_tradnl"/>
        </w:rPr>
        <w:footnoteRef/>
      </w:r>
      <w:r w:rsidRPr="003D46A9">
        <w:rPr>
          <w:sz w:val="18"/>
          <w:szCs w:val="18"/>
          <w:lang w:val="es-ES_tradnl"/>
        </w:rPr>
        <w:t> UNEP/OzL.Pro/ExCom/95/15.</w:t>
      </w:r>
    </w:p>
  </w:footnote>
  <w:footnote w:id="34">
    <w:p w14:paraId="29D3F618" w14:textId="77777777" w:rsidR="00CD7D76" w:rsidRPr="003D46A9" w:rsidRDefault="00CD7D76" w:rsidP="00CD7D76">
      <w:pPr>
        <w:pStyle w:val="FootnoteText"/>
        <w:rPr>
          <w:sz w:val="18"/>
          <w:szCs w:val="18"/>
          <w:lang w:val="es-ES_tradnl"/>
        </w:rPr>
      </w:pPr>
      <w:r w:rsidRPr="003D46A9">
        <w:rPr>
          <w:rStyle w:val="FootnoteReference"/>
          <w:sz w:val="18"/>
          <w:szCs w:val="18"/>
          <w:lang w:val="es-ES_tradnl"/>
        </w:rPr>
        <w:footnoteRef/>
      </w:r>
      <w:r w:rsidRPr="003D46A9">
        <w:rPr>
          <w:sz w:val="18"/>
          <w:szCs w:val="18"/>
          <w:lang w:val="es-ES_tradnl"/>
        </w:rPr>
        <w:t> UNEP/OzL.Pro/ExCom/95/16.</w:t>
      </w:r>
    </w:p>
  </w:footnote>
  <w:footnote w:id="35">
    <w:p w14:paraId="3C78BD90" w14:textId="77777777" w:rsidR="00CD7D76" w:rsidRPr="003D46A9" w:rsidRDefault="00CD7D76" w:rsidP="00CD7D76">
      <w:pPr>
        <w:pStyle w:val="FootnoteText"/>
        <w:rPr>
          <w:sz w:val="18"/>
          <w:szCs w:val="18"/>
          <w:lang w:val="es-ES_tradnl"/>
        </w:rPr>
      </w:pPr>
      <w:r w:rsidRPr="003D46A9">
        <w:rPr>
          <w:rStyle w:val="FootnoteReference"/>
          <w:sz w:val="18"/>
          <w:szCs w:val="18"/>
          <w:lang w:val="es-ES_tradnl"/>
        </w:rPr>
        <w:footnoteRef/>
      </w:r>
      <w:r w:rsidRPr="003D46A9">
        <w:rPr>
          <w:sz w:val="18"/>
          <w:szCs w:val="18"/>
          <w:lang w:val="es-ES_tradnl"/>
        </w:rPr>
        <w:t> UNEP/OzL.Pro/ExCom/95/17.</w:t>
      </w:r>
    </w:p>
  </w:footnote>
  <w:footnote w:id="36">
    <w:p w14:paraId="7823164C" w14:textId="77777777" w:rsidR="00CD7D76" w:rsidRPr="003D46A9" w:rsidRDefault="00CD7D76" w:rsidP="00CD7D76">
      <w:pPr>
        <w:pStyle w:val="FootnoteText"/>
        <w:rPr>
          <w:sz w:val="18"/>
          <w:szCs w:val="18"/>
          <w:lang w:val="es-ES_tradnl"/>
        </w:rPr>
      </w:pPr>
      <w:r w:rsidRPr="003D46A9">
        <w:rPr>
          <w:rStyle w:val="FootnoteReference"/>
          <w:sz w:val="18"/>
          <w:szCs w:val="18"/>
          <w:lang w:val="es-ES_tradnl"/>
        </w:rPr>
        <w:footnoteRef/>
      </w:r>
      <w:r w:rsidRPr="003D46A9">
        <w:rPr>
          <w:sz w:val="18"/>
          <w:szCs w:val="18"/>
          <w:lang w:val="es-ES_tradnl"/>
        </w:rPr>
        <w:t> UNEP/OzL.Pro/ExCom/95/18.</w:t>
      </w:r>
    </w:p>
  </w:footnote>
  <w:footnote w:id="37">
    <w:p w14:paraId="3A705FA6" w14:textId="77777777" w:rsidR="00CD7D76" w:rsidRPr="003D46A9" w:rsidRDefault="00CD7D76" w:rsidP="00CD7D76">
      <w:pPr>
        <w:pStyle w:val="FootnoteText"/>
        <w:rPr>
          <w:sz w:val="18"/>
          <w:szCs w:val="18"/>
          <w:lang w:val="es-ES_tradnl"/>
        </w:rPr>
      </w:pPr>
      <w:r w:rsidRPr="003D46A9">
        <w:rPr>
          <w:rStyle w:val="FootnoteReference"/>
          <w:sz w:val="18"/>
          <w:szCs w:val="18"/>
          <w:lang w:val="es-ES_tradnl"/>
        </w:rPr>
        <w:footnoteRef/>
      </w:r>
      <w:r w:rsidRPr="003D46A9">
        <w:rPr>
          <w:sz w:val="18"/>
          <w:szCs w:val="18"/>
          <w:lang w:val="es-ES_tradnl"/>
        </w:rPr>
        <w:t> UNEP/OzL.Pro/ExCom/95/19.</w:t>
      </w:r>
    </w:p>
  </w:footnote>
  <w:footnote w:id="38">
    <w:p w14:paraId="510DBE4C" w14:textId="5751E434" w:rsidR="00CD7D76" w:rsidRPr="003D46A9" w:rsidRDefault="00CD7D76" w:rsidP="00CD7D76">
      <w:pPr>
        <w:pStyle w:val="FootnoteText"/>
        <w:rPr>
          <w:sz w:val="18"/>
          <w:szCs w:val="18"/>
          <w:lang w:val="es-ES_tradnl"/>
        </w:rPr>
      </w:pPr>
      <w:r w:rsidRPr="003D46A9">
        <w:rPr>
          <w:rStyle w:val="FootnoteReference"/>
          <w:sz w:val="18"/>
          <w:szCs w:val="18"/>
          <w:lang w:val="es-ES_tradnl"/>
        </w:rPr>
        <w:footnoteRef/>
      </w:r>
      <w:r w:rsidRPr="003D46A9">
        <w:rPr>
          <w:sz w:val="18"/>
          <w:szCs w:val="18"/>
          <w:lang w:val="es-ES_tradnl"/>
        </w:rPr>
        <w:t> UNEP/OzL.Pro/ExCom/95/94, an</w:t>
      </w:r>
      <w:r w:rsidR="00FC3261" w:rsidRPr="003D46A9">
        <w:rPr>
          <w:sz w:val="18"/>
          <w:szCs w:val="18"/>
          <w:lang w:val="es-ES_tradnl"/>
        </w:rPr>
        <w:t>exos</w:t>
      </w:r>
      <w:r w:rsidRPr="003D46A9">
        <w:rPr>
          <w:sz w:val="18"/>
          <w:szCs w:val="18"/>
          <w:lang w:val="es-ES_tradnl"/>
        </w:rPr>
        <w:t xml:space="preserve"> V </w:t>
      </w:r>
      <w:r w:rsidR="00FC3261" w:rsidRPr="003D46A9">
        <w:rPr>
          <w:sz w:val="18"/>
          <w:szCs w:val="18"/>
          <w:lang w:val="es-ES_tradnl"/>
        </w:rPr>
        <w:t xml:space="preserve">a </w:t>
      </w:r>
      <w:r w:rsidRPr="003D46A9">
        <w:rPr>
          <w:sz w:val="18"/>
          <w:szCs w:val="18"/>
          <w:lang w:val="es-ES_tradnl"/>
        </w:rPr>
        <w:t>IX.</w:t>
      </w:r>
    </w:p>
  </w:footnote>
  <w:footnote w:id="39">
    <w:p w14:paraId="31E8C0B5" w14:textId="0AE73B2A" w:rsidR="00834AB3" w:rsidRPr="003D46A9" w:rsidRDefault="00834AB3" w:rsidP="00834AB3">
      <w:pPr>
        <w:pStyle w:val="FootnoteText"/>
        <w:rPr>
          <w:sz w:val="18"/>
          <w:szCs w:val="18"/>
          <w:lang w:val="es-ES_tradnl"/>
        </w:rPr>
      </w:pPr>
      <w:r w:rsidRPr="003D46A9">
        <w:rPr>
          <w:rStyle w:val="FootnoteReference"/>
          <w:sz w:val="18"/>
          <w:szCs w:val="18"/>
          <w:lang w:val="es-ES_tradnl"/>
        </w:rPr>
        <w:footnoteRef/>
      </w:r>
      <w:r w:rsidRPr="003D46A9">
        <w:rPr>
          <w:sz w:val="18"/>
          <w:szCs w:val="18"/>
          <w:lang w:val="es-ES_tradnl"/>
        </w:rPr>
        <w:t xml:space="preserve"> UNEP/OzL.Pro/ExCom/95/20 </w:t>
      </w:r>
      <w:r w:rsidR="00FC3261" w:rsidRPr="003D46A9">
        <w:rPr>
          <w:sz w:val="18"/>
          <w:szCs w:val="18"/>
          <w:lang w:val="es-ES_tradnl"/>
        </w:rPr>
        <w:t>y</w:t>
      </w:r>
      <w:r w:rsidRPr="003D46A9">
        <w:rPr>
          <w:sz w:val="18"/>
          <w:szCs w:val="18"/>
          <w:lang w:val="es-ES_tradnl"/>
        </w:rPr>
        <w:t xml:space="preserve"> Add.1, </w:t>
      </w:r>
      <w:r w:rsidR="00FC3261" w:rsidRPr="003D46A9">
        <w:rPr>
          <w:sz w:val="18"/>
          <w:szCs w:val="18"/>
          <w:lang w:val="es-ES_tradnl"/>
        </w:rPr>
        <w:t>y</w:t>
      </w:r>
      <w:r w:rsidRPr="003D46A9">
        <w:rPr>
          <w:sz w:val="18"/>
          <w:szCs w:val="18"/>
          <w:lang w:val="es-ES_tradnl"/>
        </w:rPr>
        <w:t xml:space="preserve"> UNEP/OzL.Pro/ExCom/95/21.</w:t>
      </w:r>
    </w:p>
  </w:footnote>
  <w:footnote w:id="40">
    <w:p w14:paraId="0713A6A0" w14:textId="77777777" w:rsidR="00834AB3" w:rsidRPr="003D46A9" w:rsidRDefault="00834AB3" w:rsidP="00834AB3">
      <w:pPr>
        <w:pStyle w:val="FootnoteText"/>
        <w:rPr>
          <w:lang w:val="es-ES_tradnl"/>
        </w:rPr>
      </w:pPr>
      <w:r w:rsidRPr="003D46A9">
        <w:rPr>
          <w:rStyle w:val="FootnoteReference"/>
          <w:sz w:val="18"/>
          <w:szCs w:val="18"/>
          <w:lang w:val="es-ES_tradnl"/>
        </w:rPr>
        <w:footnoteRef/>
      </w:r>
      <w:r w:rsidRPr="003D46A9">
        <w:rPr>
          <w:lang w:val="es-ES_tradnl"/>
        </w:rPr>
        <w:t> </w:t>
      </w:r>
      <w:r w:rsidRPr="003D46A9">
        <w:rPr>
          <w:sz w:val="18"/>
          <w:szCs w:val="18"/>
          <w:highlight w:val="yellow"/>
          <w:lang w:val="es-ES_tradnl"/>
        </w:rPr>
        <w:t>UNEP/OzL.Pro/ExCom/96/??</w:t>
      </w:r>
    </w:p>
  </w:footnote>
  <w:footnote w:id="41">
    <w:p w14:paraId="7638130B" w14:textId="55F0965B" w:rsidR="00834AB3" w:rsidRPr="003D46A9" w:rsidRDefault="00834AB3" w:rsidP="00834AB3">
      <w:pPr>
        <w:pStyle w:val="FootnoteText"/>
        <w:rPr>
          <w:sz w:val="18"/>
          <w:szCs w:val="18"/>
          <w:lang w:val="es-ES_tradnl"/>
        </w:rPr>
      </w:pPr>
      <w:r w:rsidRPr="003D46A9">
        <w:rPr>
          <w:sz w:val="18"/>
          <w:szCs w:val="18"/>
          <w:vertAlign w:val="superscript"/>
          <w:lang w:val="es-ES_tradnl"/>
        </w:rPr>
        <w:footnoteRef/>
      </w:r>
      <w:r w:rsidRPr="003D46A9">
        <w:rPr>
          <w:sz w:val="18"/>
          <w:szCs w:val="18"/>
          <w:lang w:val="es-ES_tradnl"/>
        </w:rPr>
        <w:t> UNEP/OzL.Pro/ExCom/95/47, an</w:t>
      </w:r>
      <w:r w:rsidR="00FC3261" w:rsidRPr="003D46A9">
        <w:rPr>
          <w:sz w:val="18"/>
          <w:szCs w:val="18"/>
          <w:lang w:val="es-ES_tradnl"/>
        </w:rPr>
        <w:t>exo</w:t>
      </w:r>
      <w:r w:rsidRPr="003D46A9">
        <w:rPr>
          <w:sz w:val="18"/>
          <w:szCs w:val="18"/>
          <w:lang w:val="es-ES_tradnl"/>
        </w:rPr>
        <w:t xml:space="preserve"> III.</w:t>
      </w:r>
    </w:p>
  </w:footnote>
  <w:footnote w:id="42">
    <w:p w14:paraId="33FD4CE6" w14:textId="77777777" w:rsidR="009F5B27" w:rsidRPr="003D46A9" w:rsidRDefault="009F5B27" w:rsidP="009F5B27">
      <w:pPr>
        <w:pStyle w:val="FootnoteText"/>
        <w:rPr>
          <w:sz w:val="18"/>
          <w:szCs w:val="18"/>
          <w:lang w:val="es-ES_tradnl"/>
        </w:rPr>
      </w:pPr>
      <w:r w:rsidRPr="003D46A9">
        <w:rPr>
          <w:rStyle w:val="FootnoteReference"/>
          <w:sz w:val="18"/>
          <w:szCs w:val="18"/>
          <w:lang w:val="es-ES_tradnl"/>
        </w:rPr>
        <w:footnoteRef/>
      </w:r>
      <w:r w:rsidRPr="003D46A9">
        <w:rPr>
          <w:sz w:val="18"/>
          <w:szCs w:val="18"/>
          <w:lang w:val="es-ES_tradnl"/>
        </w:rPr>
        <w:t> UNEP/OzL.Pro/ExCom/95/22.</w:t>
      </w:r>
    </w:p>
  </w:footnote>
  <w:footnote w:id="43">
    <w:p w14:paraId="5665D812" w14:textId="77777777" w:rsidR="009F5B27" w:rsidRPr="003D46A9" w:rsidRDefault="009F5B27" w:rsidP="009F5B27">
      <w:pPr>
        <w:pStyle w:val="FootnoteText"/>
        <w:rPr>
          <w:sz w:val="18"/>
          <w:szCs w:val="18"/>
          <w:lang w:val="es-ES_tradnl"/>
        </w:rPr>
      </w:pPr>
      <w:r w:rsidRPr="003D46A9">
        <w:rPr>
          <w:rStyle w:val="FootnoteReference"/>
          <w:sz w:val="18"/>
          <w:szCs w:val="18"/>
          <w:lang w:val="es-ES_tradnl"/>
        </w:rPr>
        <w:footnoteRef/>
      </w:r>
      <w:r w:rsidRPr="003D46A9">
        <w:rPr>
          <w:sz w:val="18"/>
          <w:szCs w:val="18"/>
          <w:lang w:val="es-ES_tradnl"/>
        </w:rPr>
        <w:t> UNEP/OzL.Pro/ExCom/95/9.</w:t>
      </w:r>
    </w:p>
  </w:footnote>
  <w:footnote w:id="44">
    <w:p w14:paraId="6710B0E3" w14:textId="77777777" w:rsidR="009F5B27" w:rsidRPr="003D46A9" w:rsidRDefault="009F5B27" w:rsidP="009F5B27">
      <w:pPr>
        <w:pStyle w:val="FootnoteText"/>
        <w:rPr>
          <w:lang w:val="es-ES_tradnl"/>
        </w:rPr>
      </w:pPr>
      <w:r w:rsidRPr="003D46A9">
        <w:rPr>
          <w:rStyle w:val="FootnoteReference"/>
          <w:lang w:val="es-ES_tradnl"/>
        </w:rPr>
        <w:footnoteRef/>
      </w:r>
      <w:r w:rsidRPr="003D46A9">
        <w:rPr>
          <w:lang w:val="es-ES_tradnl"/>
        </w:rPr>
        <w:t> </w:t>
      </w:r>
      <w:r w:rsidRPr="003D46A9">
        <w:rPr>
          <w:sz w:val="18"/>
          <w:szCs w:val="18"/>
          <w:lang w:val="es-ES_tradnl"/>
        </w:rPr>
        <w:t>UNEP/OzL.Pro/ExCom/95/13/Rev.1.</w:t>
      </w:r>
    </w:p>
  </w:footnote>
  <w:footnote w:id="45">
    <w:p w14:paraId="3ABECEC3" w14:textId="647E1F5D" w:rsidR="009F5B27" w:rsidRPr="003D46A9" w:rsidRDefault="009F5B27" w:rsidP="009F5B27">
      <w:pPr>
        <w:pStyle w:val="FootnoteText"/>
        <w:rPr>
          <w:lang w:val="es-ES_tradnl"/>
        </w:rPr>
      </w:pPr>
      <w:r w:rsidRPr="003D46A9">
        <w:rPr>
          <w:rStyle w:val="FootnoteReference"/>
          <w:lang w:val="es-ES_tradnl"/>
        </w:rPr>
        <w:footnoteRef/>
      </w:r>
      <w:r w:rsidRPr="003D46A9">
        <w:rPr>
          <w:lang w:val="es-ES_tradnl"/>
        </w:rPr>
        <w:t> </w:t>
      </w:r>
      <w:r w:rsidRPr="003D46A9">
        <w:rPr>
          <w:sz w:val="18"/>
          <w:szCs w:val="18"/>
          <w:lang w:val="es-ES_tradnl"/>
        </w:rPr>
        <w:t>UNEP/OzL.Pro/ExCom/95/94, anex</w:t>
      </w:r>
      <w:r w:rsidR="00FC3261" w:rsidRPr="003D46A9">
        <w:rPr>
          <w:sz w:val="18"/>
          <w:szCs w:val="18"/>
          <w:lang w:val="es-ES_tradnl"/>
        </w:rPr>
        <w:t>o</w:t>
      </w:r>
      <w:r w:rsidRPr="003D46A9">
        <w:rPr>
          <w:sz w:val="18"/>
          <w:szCs w:val="18"/>
          <w:lang w:val="es-ES_tradnl"/>
        </w:rPr>
        <w:t xml:space="preserve"> IV.</w:t>
      </w:r>
    </w:p>
  </w:footnote>
  <w:footnote w:id="46">
    <w:p w14:paraId="4676B8B7" w14:textId="77777777" w:rsidR="009F5B27" w:rsidRPr="003D46A9" w:rsidRDefault="009F5B27" w:rsidP="009F5B27">
      <w:pPr>
        <w:pStyle w:val="FootnoteText"/>
        <w:rPr>
          <w:lang w:val="es-ES_tradnl"/>
        </w:rPr>
      </w:pPr>
      <w:r w:rsidRPr="003D46A9">
        <w:rPr>
          <w:rStyle w:val="FootnoteReference"/>
          <w:lang w:val="es-ES_tradnl"/>
        </w:rPr>
        <w:footnoteRef/>
      </w:r>
      <w:r w:rsidRPr="003D46A9">
        <w:rPr>
          <w:lang w:val="es-ES_tradnl"/>
        </w:rPr>
        <w:t> </w:t>
      </w:r>
      <w:r w:rsidRPr="003D46A9">
        <w:rPr>
          <w:sz w:val="18"/>
          <w:szCs w:val="18"/>
          <w:lang w:val="es-ES_tradnl"/>
        </w:rPr>
        <w:t>UNEP/OzL.Pro/ExCom/95/10.</w:t>
      </w:r>
    </w:p>
  </w:footnote>
  <w:footnote w:id="47">
    <w:p w14:paraId="2386AAE4" w14:textId="77777777" w:rsidR="005F6B64" w:rsidRPr="003D46A9" w:rsidRDefault="005F6B64" w:rsidP="005F6B64">
      <w:pPr>
        <w:pStyle w:val="FootnoteText"/>
        <w:rPr>
          <w:lang w:val="es-ES_tradnl"/>
        </w:rPr>
      </w:pPr>
      <w:r w:rsidRPr="003D46A9">
        <w:rPr>
          <w:rStyle w:val="FootnoteReference"/>
          <w:lang w:val="es-ES_tradnl"/>
        </w:rPr>
        <w:footnoteRef/>
      </w:r>
      <w:r w:rsidRPr="003D46A9">
        <w:rPr>
          <w:lang w:val="es-ES_tradnl"/>
        </w:rPr>
        <w:t> </w:t>
      </w:r>
      <w:r w:rsidRPr="003D46A9">
        <w:rPr>
          <w:sz w:val="18"/>
          <w:szCs w:val="18"/>
          <w:lang w:val="es-ES_tradnl"/>
        </w:rPr>
        <w:t>UNEP/OzL.Pro/ExCom/95/94.</w:t>
      </w:r>
    </w:p>
  </w:footnote>
  <w:footnote w:id="48">
    <w:p w14:paraId="7813C5E9" w14:textId="57901ECF" w:rsidR="005F6B64" w:rsidRPr="003D46A9" w:rsidRDefault="005F6B64" w:rsidP="005F6B64">
      <w:pPr>
        <w:pStyle w:val="FootnoteText"/>
        <w:rPr>
          <w:lang w:val="es-ES_tradnl"/>
        </w:rPr>
      </w:pPr>
      <w:r w:rsidRPr="003D46A9">
        <w:rPr>
          <w:rStyle w:val="FootnoteReference"/>
          <w:lang w:val="es-ES_tradnl"/>
        </w:rPr>
        <w:footnoteRef/>
      </w:r>
      <w:r w:rsidRPr="003D46A9">
        <w:rPr>
          <w:lang w:val="es-ES_tradnl"/>
        </w:rPr>
        <w:t> </w:t>
      </w:r>
      <w:r w:rsidRPr="003D46A9">
        <w:rPr>
          <w:sz w:val="18"/>
          <w:szCs w:val="18"/>
          <w:lang w:val="es-ES_tradnl"/>
        </w:rPr>
        <w:t>UNEP/OzL.Pro/ExCom/95/94, an</w:t>
      </w:r>
      <w:r w:rsidR="00FC3261" w:rsidRPr="003D46A9">
        <w:rPr>
          <w:sz w:val="18"/>
          <w:szCs w:val="18"/>
          <w:lang w:val="es-ES_tradnl"/>
        </w:rPr>
        <w:t>exo</w:t>
      </w:r>
      <w:r w:rsidRPr="003D46A9">
        <w:rPr>
          <w:sz w:val="18"/>
          <w:szCs w:val="18"/>
          <w:lang w:val="es-ES_tradnl"/>
        </w:rPr>
        <w:t xml:space="preserve"> III.</w:t>
      </w:r>
    </w:p>
  </w:footnote>
  <w:footnote w:id="49">
    <w:p w14:paraId="55FF148C" w14:textId="77777777" w:rsidR="007879BF" w:rsidRPr="003D46A9" w:rsidRDefault="007879BF" w:rsidP="007879BF">
      <w:pPr>
        <w:pStyle w:val="FootnoteText"/>
        <w:rPr>
          <w:lang w:val="es-ES_tradnl"/>
        </w:rPr>
      </w:pPr>
      <w:r w:rsidRPr="003D46A9">
        <w:rPr>
          <w:rStyle w:val="FootnoteReference"/>
          <w:lang w:val="es-ES_tradnl"/>
        </w:rPr>
        <w:footnoteRef/>
      </w:r>
      <w:r w:rsidRPr="003D46A9">
        <w:rPr>
          <w:lang w:val="es-ES_tradnl"/>
        </w:rPr>
        <w:t> </w:t>
      </w:r>
      <w:r w:rsidRPr="003D46A9">
        <w:rPr>
          <w:sz w:val="18"/>
          <w:szCs w:val="18"/>
          <w:lang w:val="es-ES_tradnl"/>
        </w:rPr>
        <w:t>UNEP/OzL.Pro/ExCom/95/11.</w:t>
      </w:r>
    </w:p>
  </w:footnote>
  <w:footnote w:id="50">
    <w:p w14:paraId="359CA4EF" w14:textId="77777777" w:rsidR="005F6B64" w:rsidRPr="003D46A9" w:rsidRDefault="005F6B64" w:rsidP="005F6B64">
      <w:pPr>
        <w:pStyle w:val="FootnoteText"/>
        <w:rPr>
          <w:lang w:val="es-ES_tradnl"/>
        </w:rPr>
      </w:pPr>
      <w:r w:rsidRPr="003D46A9">
        <w:rPr>
          <w:rStyle w:val="FootnoteReference"/>
          <w:lang w:val="es-ES_tradnl"/>
        </w:rPr>
        <w:footnoteRef/>
      </w:r>
      <w:r w:rsidRPr="003D46A9">
        <w:rPr>
          <w:lang w:val="es-ES_tradnl"/>
        </w:rPr>
        <w:t> </w:t>
      </w:r>
      <w:r w:rsidRPr="003D46A9">
        <w:rPr>
          <w:sz w:val="18"/>
          <w:szCs w:val="18"/>
          <w:lang w:val="es-ES_tradnl"/>
        </w:rPr>
        <w:t>UNEP/OzL.Pro/ExCom/95/94.</w:t>
      </w:r>
    </w:p>
  </w:footnote>
  <w:footnote w:id="51">
    <w:p w14:paraId="2A054CF2" w14:textId="77777777" w:rsidR="00C445D8" w:rsidRPr="003D46A9" w:rsidRDefault="00C445D8" w:rsidP="00C445D8">
      <w:pPr>
        <w:pStyle w:val="FootnoteText"/>
        <w:rPr>
          <w:lang w:val="es-ES_tradnl"/>
        </w:rPr>
      </w:pPr>
      <w:r w:rsidRPr="003D46A9">
        <w:rPr>
          <w:rStyle w:val="FootnoteReference"/>
          <w:lang w:val="es-ES_tradnl"/>
        </w:rPr>
        <w:footnoteRef/>
      </w:r>
      <w:r w:rsidRPr="003D46A9">
        <w:rPr>
          <w:lang w:val="es-ES_tradnl"/>
        </w:rPr>
        <w:t> [</w:t>
      </w:r>
      <w:r w:rsidRPr="003D46A9">
        <w:rPr>
          <w:sz w:val="18"/>
          <w:szCs w:val="18"/>
          <w:highlight w:val="yellow"/>
          <w:lang w:val="es-ES_tradnl"/>
        </w:rPr>
        <w:t>UNEP/OzL.Pro/ExCom/96/??].</w:t>
      </w:r>
    </w:p>
  </w:footnote>
  <w:footnote w:id="52">
    <w:p w14:paraId="064EE393" w14:textId="77777777" w:rsidR="005F6B64" w:rsidRPr="003D46A9" w:rsidRDefault="005F6B64" w:rsidP="005F6B64">
      <w:pPr>
        <w:pStyle w:val="FootnoteText"/>
        <w:rPr>
          <w:lang w:val="es-ES_tradnl"/>
        </w:rPr>
      </w:pPr>
      <w:r w:rsidRPr="003D46A9">
        <w:rPr>
          <w:rStyle w:val="FootnoteReference"/>
          <w:lang w:val="es-ES_tradnl"/>
        </w:rPr>
        <w:footnoteRef/>
      </w:r>
      <w:r w:rsidRPr="003D46A9">
        <w:rPr>
          <w:lang w:val="es-ES_tradnl"/>
        </w:rPr>
        <w:t> </w:t>
      </w:r>
      <w:r w:rsidRPr="003D46A9">
        <w:rPr>
          <w:sz w:val="18"/>
          <w:szCs w:val="18"/>
          <w:lang w:val="es-ES_tradnl"/>
        </w:rPr>
        <w:t>UNEP/OzL.Pro/ExCom/95/12.</w:t>
      </w:r>
    </w:p>
  </w:footnote>
  <w:footnote w:id="53">
    <w:p w14:paraId="073D80D9" w14:textId="77777777" w:rsidR="005F6B64" w:rsidRPr="003D46A9" w:rsidRDefault="005F6B64" w:rsidP="005F6B64">
      <w:pPr>
        <w:pStyle w:val="FootnoteText"/>
        <w:rPr>
          <w:lang w:val="es-ES_tradnl"/>
        </w:rPr>
      </w:pPr>
      <w:r w:rsidRPr="003D46A9">
        <w:rPr>
          <w:rStyle w:val="FootnoteReference"/>
          <w:lang w:val="es-ES_tradnl"/>
        </w:rPr>
        <w:footnoteRef/>
      </w:r>
      <w:r w:rsidRPr="003D46A9">
        <w:rPr>
          <w:lang w:val="es-ES_tradnl"/>
        </w:rPr>
        <w:t> </w:t>
      </w:r>
      <w:r w:rsidRPr="003D46A9">
        <w:rPr>
          <w:sz w:val="18"/>
          <w:szCs w:val="18"/>
          <w:lang w:val="es-ES_tradnl"/>
        </w:rPr>
        <w:t>UNEP/OzL.Pro/ExCom/95/94.</w:t>
      </w:r>
    </w:p>
  </w:footnote>
  <w:footnote w:id="54">
    <w:p w14:paraId="114909B8" w14:textId="77777777" w:rsidR="00E966D9" w:rsidRPr="003D46A9" w:rsidRDefault="00E966D9" w:rsidP="00E966D9">
      <w:pPr>
        <w:pStyle w:val="FootnoteText"/>
        <w:rPr>
          <w:sz w:val="18"/>
          <w:szCs w:val="18"/>
          <w:lang w:val="es-ES_tradnl"/>
        </w:rPr>
      </w:pPr>
      <w:r w:rsidRPr="003D46A9">
        <w:rPr>
          <w:rStyle w:val="FootnoteReference"/>
          <w:sz w:val="18"/>
          <w:szCs w:val="18"/>
          <w:lang w:val="es-ES_tradnl"/>
        </w:rPr>
        <w:footnoteRef/>
      </w:r>
      <w:r w:rsidRPr="003D46A9">
        <w:rPr>
          <w:sz w:val="18"/>
          <w:szCs w:val="18"/>
          <w:lang w:val="es-ES_tradnl"/>
        </w:rPr>
        <w:t> UNEP/OzL.Pro/ExCom/95/23.</w:t>
      </w:r>
    </w:p>
  </w:footnote>
  <w:footnote w:id="55">
    <w:p w14:paraId="4BFE2618" w14:textId="77777777" w:rsidR="00DD65DA" w:rsidRPr="003D46A9" w:rsidRDefault="00DD65DA" w:rsidP="00DD65DA">
      <w:pPr>
        <w:pStyle w:val="FootnoteText"/>
        <w:rPr>
          <w:sz w:val="18"/>
          <w:szCs w:val="18"/>
          <w:lang w:val="es-ES_tradnl"/>
        </w:rPr>
      </w:pPr>
      <w:r w:rsidRPr="003D46A9">
        <w:rPr>
          <w:rStyle w:val="FootnoteReference"/>
          <w:sz w:val="18"/>
          <w:szCs w:val="18"/>
          <w:lang w:val="es-ES_tradnl"/>
        </w:rPr>
        <w:footnoteRef/>
      </w:r>
      <w:r w:rsidRPr="003D46A9">
        <w:rPr>
          <w:sz w:val="18"/>
          <w:szCs w:val="18"/>
          <w:lang w:val="es-ES_tradnl"/>
        </w:rPr>
        <w:t> UNEP/OzL.Pro/ExCom/95/25.</w:t>
      </w:r>
    </w:p>
  </w:footnote>
  <w:footnote w:id="56">
    <w:p w14:paraId="4CDA7249" w14:textId="77777777" w:rsidR="00DD65DA" w:rsidRPr="003D46A9" w:rsidRDefault="00DD65DA" w:rsidP="00DD65DA">
      <w:pPr>
        <w:pStyle w:val="FootnoteText"/>
        <w:rPr>
          <w:sz w:val="18"/>
          <w:szCs w:val="18"/>
          <w:lang w:val="es-ES_tradnl"/>
        </w:rPr>
      </w:pPr>
      <w:r w:rsidRPr="003D46A9">
        <w:rPr>
          <w:rStyle w:val="FootnoteReference"/>
          <w:sz w:val="18"/>
          <w:szCs w:val="18"/>
          <w:lang w:val="es-ES_tradnl"/>
        </w:rPr>
        <w:footnoteRef/>
      </w:r>
      <w:r w:rsidRPr="003D46A9">
        <w:rPr>
          <w:sz w:val="18"/>
          <w:szCs w:val="18"/>
          <w:lang w:val="es-ES_tradnl"/>
        </w:rPr>
        <w:t> UNEP/OzL.Pro/ExCom/95/26.</w:t>
      </w:r>
    </w:p>
  </w:footnote>
  <w:footnote w:id="57">
    <w:p w14:paraId="6C7481FD" w14:textId="77777777" w:rsidR="00DD65DA" w:rsidRPr="003D46A9" w:rsidRDefault="00DD65DA" w:rsidP="00DD65DA">
      <w:pPr>
        <w:pStyle w:val="FootnoteText"/>
        <w:rPr>
          <w:sz w:val="18"/>
          <w:szCs w:val="18"/>
          <w:lang w:val="es-ES_tradnl"/>
        </w:rPr>
      </w:pPr>
      <w:r w:rsidRPr="003D46A9">
        <w:rPr>
          <w:rStyle w:val="FootnoteReference"/>
          <w:sz w:val="18"/>
          <w:szCs w:val="18"/>
          <w:lang w:val="es-ES_tradnl"/>
        </w:rPr>
        <w:footnoteRef/>
      </w:r>
      <w:r w:rsidRPr="003D46A9">
        <w:rPr>
          <w:sz w:val="18"/>
          <w:szCs w:val="18"/>
          <w:lang w:val="es-ES_tradnl"/>
        </w:rPr>
        <w:t> UNEP/OzL.Pro/ExCom/95/27.</w:t>
      </w:r>
    </w:p>
  </w:footnote>
  <w:footnote w:id="58">
    <w:p w14:paraId="6C1A4A98" w14:textId="77777777" w:rsidR="00DD65DA" w:rsidRPr="003D46A9" w:rsidRDefault="00DD65DA" w:rsidP="00DD65DA">
      <w:pPr>
        <w:pStyle w:val="FootnoteText"/>
        <w:rPr>
          <w:sz w:val="18"/>
          <w:szCs w:val="18"/>
          <w:lang w:val="es-ES_tradnl"/>
        </w:rPr>
      </w:pPr>
      <w:r w:rsidRPr="003D46A9">
        <w:rPr>
          <w:rStyle w:val="FootnoteReference"/>
          <w:sz w:val="18"/>
          <w:szCs w:val="18"/>
          <w:lang w:val="es-ES_tradnl"/>
        </w:rPr>
        <w:footnoteRef/>
      </w:r>
      <w:r w:rsidRPr="003D46A9">
        <w:rPr>
          <w:sz w:val="18"/>
          <w:szCs w:val="18"/>
          <w:lang w:val="es-ES_tradnl"/>
        </w:rPr>
        <w:t> UNEP/OzL.Pro/ExCom/95/28.</w:t>
      </w:r>
    </w:p>
  </w:footnote>
  <w:footnote w:id="59">
    <w:p w14:paraId="0CCC606F" w14:textId="77777777" w:rsidR="00DD65DA" w:rsidRPr="003D46A9" w:rsidRDefault="00DD65DA" w:rsidP="00DD65DA">
      <w:pPr>
        <w:pStyle w:val="FootnoteText"/>
        <w:rPr>
          <w:sz w:val="18"/>
          <w:szCs w:val="18"/>
          <w:lang w:val="es-ES_tradnl"/>
        </w:rPr>
      </w:pPr>
      <w:r w:rsidRPr="003D46A9">
        <w:rPr>
          <w:rStyle w:val="FootnoteReference"/>
          <w:sz w:val="18"/>
          <w:szCs w:val="18"/>
          <w:lang w:val="es-ES_tradnl"/>
        </w:rPr>
        <w:footnoteRef/>
      </w:r>
      <w:r w:rsidRPr="003D46A9">
        <w:rPr>
          <w:sz w:val="18"/>
          <w:szCs w:val="18"/>
          <w:lang w:val="es-ES_tradnl"/>
        </w:rPr>
        <w:t> UNEP/OzL.Pro/ExCom/95/29.</w:t>
      </w:r>
    </w:p>
  </w:footnote>
  <w:footnote w:id="60">
    <w:p w14:paraId="5546ACEF" w14:textId="77777777" w:rsidR="00DD65DA" w:rsidRPr="003D46A9" w:rsidRDefault="00DD65DA" w:rsidP="00DD65DA">
      <w:pPr>
        <w:pStyle w:val="FootnoteText"/>
        <w:rPr>
          <w:sz w:val="18"/>
          <w:szCs w:val="18"/>
          <w:lang w:val="es-ES_tradnl"/>
        </w:rPr>
      </w:pPr>
      <w:r w:rsidRPr="003D46A9">
        <w:rPr>
          <w:rStyle w:val="FootnoteReference"/>
          <w:sz w:val="18"/>
          <w:szCs w:val="18"/>
          <w:lang w:val="es-ES_tradnl"/>
        </w:rPr>
        <w:footnoteRef/>
      </w:r>
      <w:r w:rsidRPr="003D46A9">
        <w:rPr>
          <w:sz w:val="18"/>
          <w:szCs w:val="18"/>
          <w:lang w:val="es-ES_tradnl"/>
        </w:rPr>
        <w:t> UNEP/OzL.Pro/ExCom/95/30.</w:t>
      </w:r>
    </w:p>
  </w:footnote>
  <w:footnote w:id="61">
    <w:p w14:paraId="386C07A5" w14:textId="78A8827F" w:rsidR="00DD65DA" w:rsidRPr="003D46A9" w:rsidRDefault="00DD65DA" w:rsidP="00DD65DA">
      <w:pPr>
        <w:pStyle w:val="FootnoteText"/>
        <w:rPr>
          <w:sz w:val="18"/>
          <w:szCs w:val="18"/>
          <w:lang w:val="es-ES_tradnl"/>
        </w:rPr>
      </w:pPr>
      <w:r w:rsidRPr="003D46A9">
        <w:rPr>
          <w:rStyle w:val="FootnoteReference"/>
          <w:sz w:val="18"/>
          <w:szCs w:val="18"/>
          <w:lang w:val="es-ES_tradnl"/>
        </w:rPr>
        <w:footnoteRef/>
      </w:r>
      <w:r w:rsidRPr="003D46A9">
        <w:rPr>
          <w:sz w:val="18"/>
          <w:szCs w:val="18"/>
          <w:lang w:val="es-ES_tradnl"/>
        </w:rPr>
        <w:t> UNEP/OzL.Pro/ExCom/95/94, an</w:t>
      </w:r>
      <w:r w:rsidR="00FC3261" w:rsidRPr="003D46A9">
        <w:rPr>
          <w:sz w:val="18"/>
          <w:szCs w:val="18"/>
          <w:lang w:val="es-ES_tradnl"/>
        </w:rPr>
        <w:t>exos</w:t>
      </w:r>
      <w:r w:rsidRPr="003D46A9">
        <w:rPr>
          <w:sz w:val="18"/>
          <w:szCs w:val="18"/>
          <w:lang w:val="es-ES_tradnl"/>
        </w:rPr>
        <w:t xml:space="preserve"> XIII, XIV, XV </w:t>
      </w:r>
      <w:r w:rsidR="00FC3261" w:rsidRPr="003D46A9">
        <w:rPr>
          <w:sz w:val="18"/>
          <w:szCs w:val="18"/>
          <w:lang w:val="es-ES_tradnl"/>
        </w:rPr>
        <w:t>y</w:t>
      </w:r>
      <w:r w:rsidRPr="003D46A9">
        <w:rPr>
          <w:sz w:val="18"/>
          <w:szCs w:val="18"/>
          <w:lang w:val="es-ES_tradnl"/>
        </w:rPr>
        <w:t xml:space="preserve"> XVI.</w:t>
      </w:r>
    </w:p>
  </w:footnote>
  <w:footnote w:id="62">
    <w:p w14:paraId="245E4443" w14:textId="6CE91EC4" w:rsidR="005F0FFF" w:rsidRPr="003D46A9" w:rsidRDefault="005F0FFF" w:rsidP="005F0FFF">
      <w:pPr>
        <w:pStyle w:val="FootnoteText"/>
        <w:rPr>
          <w:sz w:val="18"/>
          <w:szCs w:val="18"/>
          <w:lang w:val="es-ES_tradnl"/>
        </w:rPr>
      </w:pPr>
      <w:r w:rsidRPr="003D46A9">
        <w:rPr>
          <w:rStyle w:val="FootnoteReference"/>
          <w:sz w:val="18"/>
          <w:szCs w:val="18"/>
          <w:lang w:val="es-ES_tradnl"/>
        </w:rPr>
        <w:footnoteRef/>
      </w:r>
      <w:r w:rsidRPr="003D46A9">
        <w:rPr>
          <w:sz w:val="18"/>
          <w:szCs w:val="18"/>
          <w:lang w:val="es-ES_tradnl"/>
        </w:rPr>
        <w:t> [</w:t>
      </w:r>
      <w:r w:rsidRPr="003D46A9">
        <w:rPr>
          <w:sz w:val="18"/>
          <w:szCs w:val="18"/>
          <w:highlight w:val="yellow"/>
          <w:lang w:val="es-ES_tradnl"/>
        </w:rPr>
        <w:t>UNEP/OzL.Pro/ExCom/96/</w:t>
      </w:r>
      <w:r w:rsidRPr="003D46A9">
        <w:rPr>
          <w:bCs/>
          <w:sz w:val="18"/>
          <w:szCs w:val="18"/>
          <w:highlight w:val="yellow"/>
          <w:lang w:val="es-ES_tradnl"/>
        </w:rPr>
        <w:t>???</w:t>
      </w:r>
      <w:r w:rsidRPr="003D46A9">
        <w:rPr>
          <w:sz w:val="18"/>
          <w:szCs w:val="18"/>
          <w:highlight w:val="yellow"/>
          <w:lang w:val="es-ES_tradnl"/>
        </w:rPr>
        <w:t>, an</w:t>
      </w:r>
      <w:r w:rsidR="00FC3261" w:rsidRPr="003D46A9">
        <w:rPr>
          <w:sz w:val="18"/>
          <w:szCs w:val="18"/>
          <w:highlight w:val="yellow"/>
          <w:lang w:val="es-ES_tradnl"/>
        </w:rPr>
        <w:t>exo</w:t>
      </w:r>
      <w:r w:rsidR="003D46A9" w:rsidRPr="003D46A9">
        <w:rPr>
          <w:sz w:val="18"/>
          <w:szCs w:val="18"/>
          <w:highlight w:val="yellow"/>
          <w:lang w:val="es-ES_tradnl"/>
        </w:rPr>
        <w:t xml:space="preserve"> </w:t>
      </w:r>
      <w:r w:rsidRPr="003D46A9">
        <w:rPr>
          <w:bCs/>
          <w:sz w:val="18"/>
          <w:szCs w:val="18"/>
          <w:highlight w:val="yellow"/>
          <w:lang w:val="es-ES_tradnl"/>
        </w:rPr>
        <w:t>???</w:t>
      </w:r>
      <w:r w:rsidRPr="003D46A9">
        <w:rPr>
          <w:sz w:val="18"/>
          <w:szCs w:val="18"/>
          <w:highlight w:val="yellow"/>
          <w:lang w:val="es-ES_tradnl"/>
        </w:rPr>
        <w:t>.]</w:t>
      </w:r>
    </w:p>
  </w:footnote>
  <w:footnote w:id="63">
    <w:p w14:paraId="79921460" w14:textId="7E10BD0A" w:rsidR="00C41E78" w:rsidRPr="003D46A9" w:rsidRDefault="00C41E78" w:rsidP="00C41E78">
      <w:pPr>
        <w:pStyle w:val="FootnoteText"/>
        <w:rPr>
          <w:sz w:val="18"/>
          <w:szCs w:val="18"/>
          <w:lang w:val="es-ES_tradnl"/>
        </w:rPr>
      </w:pPr>
      <w:r w:rsidRPr="003D46A9">
        <w:rPr>
          <w:rStyle w:val="FootnoteReference"/>
          <w:sz w:val="18"/>
          <w:szCs w:val="18"/>
          <w:lang w:val="es-ES_tradnl"/>
        </w:rPr>
        <w:footnoteRef/>
      </w:r>
      <w:r w:rsidRPr="003D46A9">
        <w:rPr>
          <w:sz w:val="18"/>
          <w:szCs w:val="18"/>
          <w:lang w:val="es-ES_tradnl"/>
        </w:rPr>
        <w:t xml:space="preserve"> UNEP/OzL.Pro/ExCom/95/3 </w:t>
      </w:r>
      <w:r w:rsidR="003D46A9" w:rsidRPr="003D46A9">
        <w:rPr>
          <w:sz w:val="18"/>
          <w:szCs w:val="18"/>
          <w:lang w:val="es-ES_tradnl"/>
        </w:rPr>
        <w:t>y</w:t>
      </w:r>
      <w:r w:rsidRPr="003D46A9">
        <w:rPr>
          <w:sz w:val="18"/>
          <w:szCs w:val="18"/>
          <w:lang w:val="es-ES_tradnl"/>
        </w:rPr>
        <w:t xml:space="preserve"> UNEP/OzL.Pro/ExCom/95/94, an</w:t>
      </w:r>
      <w:r w:rsidR="003D46A9" w:rsidRPr="003D46A9">
        <w:rPr>
          <w:sz w:val="18"/>
          <w:szCs w:val="18"/>
          <w:lang w:val="es-ES_tradnl"/>
        </w:rPr>
        <w:t>exo</w:t>
      </w:r>
      <w:r w:rsidRPr="003D46A9">
        <w:rPr>
          <w:sz w:val="18"/>
          <w:szCs w:val="18"/>
          <w:lang w:val="es-ES_tradnl"/>
        </w:rPr>
        <w:t xml:space="preserve"> I.</w:t>
      </w:r>
    </w:p>
  </w:footnote>
  <w:footnote w:id="64">
    <w:p w14:paraId="024B31F3" w14:textId="77777777" w:rsidR="00C41E78" w:rsidRPr="003D46A9" w:rsidRDefault="00C41E78" w:rsidP="00C41E78">
      <w:pPr>
        <w:pStyle w:val="FootnoteText"/>
        <w:rPr>
          <w:sz w:val="18"/>
          <w:szCs w:val="18"/>
          <w:lang w:val="es-ES_tradnl"/>
        </w:rPr>
      </w:pPr>
      <w:r w:rsidRPr="003D46A9">
        <w:rPr>
          <w:rStyle w:val="FootnoteReference"/>
          <w:sz w:val="18"/>
          <w:szCs w:val="18"/>
          <w:lang w:val="es-ES_tradnl"/>
        </w:rPr>
        <w:footnoteRef/>
      </w:r>
      <w:r w:rsidRPr="003D46A9">
        <w:rPr>
          <w:sz w:val="18"/>
          <w:szCs w:val="18"/>
          <w:lang w:val="es-ES_tradnl"/>
        </w:rPr>
        <w:t> UNEP/OzL.Pro/ExCom/95/4.</w:t>
      </w:r>
    </w:p>
  </w:footnote>
  <w:footnote w:id="65">
    <w:p w14:paraId="4D862683" w14:textId="77777777" w:rsidR="00C41E78" w:rsidRPr="003D46A9" w:rsidRDefault="00C41E78" w:rsidP="00C41E78">
      <w:pPr>
        <w:pStyle w:val="FootnoteText"/>
        <w:rPr>
          <w:sz w:val="18"/>
          <w:szCs w:val="18"/>
          <w:lang w:val="es-ES_tradnl"/>
        </w:rPr>
      </w:pPr>
      <w:r w:rsidRPr="003D46A9">
        <w:rPr>
          <w:rStyle w:val="FootnoteReference"/>
          <w:sz w:val="18"/>
          <w:szCs w:val="18"/>
          <w:lang w:val="es-ES_tradnl"/>
        </w:rPr>
        <w:footnoteRef/>
      </w:r>
      <w:r w:rsidRPr="003D46A9">
        <w:rPr>
          <w:sz w:val="18"/>
          <w:szCs w:val="18"/>
          <w:lang w:val="es-ES_tradnl"/>
        </w:rPr>
        <w:t> UNEP/OzL.Pro/ExCom/95/5.</w:t>
      </w:r>
    </w:p>
  </w:footnote>
  <w:footnote w:id="66">
    <w:p w14:paraId="769F2A2F" w14:textId="77777777" w:rsidR="00C41E78" w:rsidRPr="003D46A9" w:rsidRDefault="00C41E78" w:rsidP="00C41E78">
      <w:pPr>
        <w:pStyle w:val="FootnoteText"/>
        <w:rPr>
          <w:sz w:val="18"/>
          <w:szCs w:val="18"/>
          <w:lang w:val="es-ES_tradnl"/>
        </w:rPr>
      </w:pPr>
      <w:r w:rsidRPr="003D46A9">
        <w:rPr>
          <w:rStyle w:val="FootnoteReference"/>
          <w:sz w:val="18"/>
          <w:szCs w:val="18"/>
          <w:lang w:val="es-ES_tradnl"/>
        </w:rPr>
        <w:footnoteRef/>
      </w:r>
      <w:r w:rsidRPr="003D46A9">
        <w:rPr>
          <w:sz w:val="18"/>
          <w:szCs w:val="18"/>
          <w:lang w:val="es-ES_tradnl"/>
        </w:rPr>
        <w:t> UNEP/OzL.Pro/ExCom/95/6.</w:t>
      </w:r>
    </w:p>
  </w:footnote>
  <w:footnote w:id="67">
    <w:p w14:paraId="0EAE2F88" w14:textId="77777777" w:rsidR="00C41E78" w:rsidRPr="003D46A9" w:rsidRDefault="00C41E78" w:rsidP="00C41E78">
      <w:pPr>
        <w:pStyle w:val="FootnoteText"/>
        <w:rPr>
          <w:sz w:val="18"/>
          <w:szCs w:val="18"/>
          <w:lang w:val="es-ES_tradnl"/>
        </w:rPr>
      </w:pPr>
      <w:r w:rsidRPr="003D46A9">
        <w:rPr>
          <w:rStyle w:val="FootnoteReference"/>
          <w:sz w:val="18"/>
          <w:szCs w:val="18"/>
          <w:lang w:val="es-ES_tradnl"/>
        </w:rPr>
        <w:footnoteRef/>
      </w:r>
      <w:r w:rsidRPr="003D46A9">
        <w:rPr>
          <w:sz w:val="18"/>
          <w:szCs w:val="18"/>
          <w:lang w:val="es-ES_tradnl"/>
        </w:rPr>
        <w:t> UNEP/OzL.Pro/ExCom/95/7.</w:t>
      </w:r>
    </w:p>
  </w:footnote>
  <w:footnote w:id="68">
    <w:p w14:paraId="7913CADD" w14:textId="77777777" w:rsidR="00C41E78" w:rsidRPr="003D46A9" w:rsidRDefault="00C41E78" w:rsidP="00C41E78">
      <w:pPr>
        <w:pStyle w:val="FootnoteText"/>
        <w:rPr>
          <w:sz w:val="18"/>
          <w:szCs w:val="18"/>
          <w:lang w:val="es-ES_tradnl"/>
        </w:rPr>
      </w:pPr>
      <w:r w:rsidRPr="003D46A9">
        <w:rPr>
          <w:rStyle w:val="FootnoteReference"/>
          <w:sz w:val="18"/>
          <w:szCs w:val="18"/>
          <w:lang w:val="es-ES_tradnl"/>
        </w:rPr>
        <w:footnoteRef/>
      </w:r>
      <w:r w:rsidRPr="003D46A9">
        <w:rPr>
          <w:sz w:val="18"/>
          <w:szCs w:val="18"/>
          <w:lang w:val="es-ES_tradnl"/>
        </w:rPr>
        <w:t> UNEP/OzL.Pro/ExCom/95/2.</w:t>
      </w:r>
    </w:p>
  </w:footnote>
  <w:footnote w:id="69">
    <w:p w14:paraId="5E2B5677" w14:textId="77777777" w:rsidR="00C41E78" w:rsidRPr="003D46A9" w:rsidRDefault="00C41E78" w:rsidP="00C41E78">
      <w:pPr>
        <w:pStyle w:val="FootnoteText"/>
        <w:rPr>
          <w:sz w:val="18"/>
          <w:szCs w:val="18"/>
          <w:lang w:val="es-ES_tradnl"/>
        </w:rPr>
      </w:pPr>
      <w:r w:rsidRPr="003D46A9">
        <w:rPr>
          <w:rStyle w:val="FootnoteReference"/>
          <w:sz w:val="18"/>
          <w:szCs w:val="18"/>
          <w:lang w:val="es-ES_tradnl"/>
        </w:rPr>
        <w:footnoteRef/>
      </w:r>
      <w:r w:rsidRPr="003D46A9">
        <w:rPr>
          <w:sz w:val="18"/>
          <w:szCs w:val="18"/>
          <w:lang w:val="es-ES_tradnl"/>
        </w:rPr>
        <w:t> </w:t>
      </w:r>
      <w:r w:rsidRPr="003D46A9">
        <w:rPr>
          <w:sz w:val="16"/>
          <w:szCs w:val="16"/>
          <w:lang w:val="es-ES_tradnl"/>
        </w:rPr>
        <w:t>[</w:t>
      </w:r>
      <w:r w:rsidRPr="003D46A9">
        <w:rPr>
          <w:sz w:val="18"/>
          <w:szCs w:val="18"/>
          <w:highlight w:val="yellow"/>
          <w:lang w:val="es-ES_tradnl"/>
        </w:rPr>
        <w:t>UNEP/OzL.Pro/ExCom/96/??.]</w:t>
      </w:r>
    </w:p>
  </w:footnote>
  <w:footnote w:id="70">
    <w:p w14:paraId="4A49752D" w14:textId="0FA95AD6" w:rsidR="00F74A7B" w:rsidRPr="003D46A9" w:rsidRDefault="00F74A7B" w:rsidP="00F74A7B">
      <w:pPr>
        <w:pStyle w:val="FootnoteText"/>
        <w:rPr>
          <w:sz w:val="18"/>
          <w:szCs w:val="18"/>
          <w:lang w:val="es-ES_tradnl"/>
        </w:rPr>
      </w:pPr>
      <w:r w:rsidRPr="003D46A9">
        <w:rPr>
          <w:rStyle w:val="FootnoteReference"/>
          <w:sz w:val="18"/>
          <w:szCs w:val="18"/>
          <w:lang w:val="es-ES_tradnl"/>
        </w:rPr>
        <w:footnoteRef/>
      </w:r>
      <w:r w:rsidRPr="003D46A9">
        <w:rPr>
          <w:sz w:val="18"/>
          <w:szCs w:val="18"/>
          <w:lang w:val="es-ES_tradnl"/>
        </w:rPr>
        <w:t> </w:t>
      </w:r>
      <w:r w:rsidR="00D13BC3" w:rsidRPr="003D46A9">
        <w:rPr>
          <w:sz w:val="18"/>
          <w:szCs w:val="18"/>
          <w:lang w:val="es-ES_tradnl"/>
        </w:rPr>
        <w:t>Se refiere únicamente a proyectos aprobados y financiados por contribuciones ordinarias.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CD7EF" w14:textId="19C82163" w:rsidR="002B5248" w:rsidRPr="0033525D" w:rsidRDefault="001156A2" w:rsidP="002B5248">
    <w:pPr>
      <w:jc w:val="left"/>
    </w:pPr>
    <w:fldSimple w:instr=" DOCPROPERTY &quot;Document number&quot;  \* MERGEFORMAT ">
      <w:r w:rsidR="00CF73A5">
        <w:t>UNEP/OzL.Pro/ExCom/96/64</w:t>
      </w:r>
    </w:fldSimple>
  </w:p>
  <w:p w14:paraId="0F8515D0"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5E2F4" w14:textId="2C90D992" w:rsidR="00DC6A10" w:rsidRPr="0033525D" w:rsidRDefault="001156A2" w:rsidP="002B5248">
    <w:pPr>
      <w:jc w:val="right"/>
    </w:pPr>
    <w:fldSimple w:instr=" DOCPROPERTY &quot;Document number&quot;  \* MERGEFORMAT ">
      <w:r w:rsidR="00CF73A5">
        <w:t>UNEP/OzL.Pro/ExCom/96/64</w:t>
      </w:r>
    </w:fldSimple>
  </w:p>
  <w:p w14:paraId="36B9322D" w14:textId="77777777" w:rsidR="00DC6A10" w:rsidRDefault="00DC6A10">
    <w:pPr>
      <w:pStyle w:val="Header"/>
    </w:pPr>
  </w:p>
  <w:p w14:paraId="39FDD602" w14:textId="77777777" w:rsidR="009F2C27" w:rsidRPr="0033525D" w:rsidRDefault="009F2C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4AC0E7E"/>
    <w:lvl w:ilvl="0">
      <w:start w:val="1"/>
      <w:numFmt w:val="decimal"/>
      <w:pStyle w:val="Heading1"/>
      <w:lvlText w:val="%1."/>
      <w:lvlJc w:val="left"/>
      <w:pPr>
        <w:tabs>
          <w:tab w:val="num" w:pos="0"/>
        </w:tabs>
        <w:ind w:left="0" w:firstLine="0"/>
      </w:pPr>
      <w:rPr>
        <w:rFonts w:hint="default"/>
        <w:b w:val="0"/>
        <w:bCs w:val="0"/>
        <w:sz w:val="22"/>
        <w:szCs w:val="22"/>
      </w:rPr>
    </w:lvl>
    <w:lvl w:ilvl="1">
      <w:start w:val="1"/>
      <w:numFmt w:val="lowerLetter"/>
      <w:lvlText w:val="%2)"/>
      <w:lvlJc w:val="left"/>
      <w:pPr>
        <w:ind w:left="1080" w:hanging="360"/>
      </w:pPr>
      <w:rPr>
        <w:rFonts w:hint="default"/>
      </w:rPr>
    </w:lvl>
    <w:lvl w:ilvl="2">
      <w:start w:val="1"/>
      <w:numFmt w:val="lowerLetter"/>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2CF6C24"/>
    <w:multiLevelType w:val="hybridMultilevel"/>
    <w:tmpl w:val="AF189A5C"/>
    <w:lvl w:ilvl="0" w:tplc="5406BA9E">
      <w:start w:val="1"/>
      <w:numFmt w:val="upperRoman"/>
      <w:lvlText w:val="%1."/>
      <w:lvlJc w:val="left"/>
      <w:pPr>
        <w:ind w:left="1080" w:hanging="720"/>
      </w:pPr>
      <w:rPr>
        <w:sz w:val="24"/>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2" w15:restartNumberingAfterBreak="0">
    <w:nsid w:val="0A1158F8"/>
    <w:multiLevelType w:val="hybridMultilevel"/>
    <w:tmpl w:val="CD5A758C"/>
    <w:styleLink w:val="ArticleSection11"/>
    <w:lvl w:ilvl="0" w:tplc="1F20924E">
      <w:start w:val="1"/>
      <w:numFmt w:val="lowerLetter"/>
      <w:lvlText w:val="(%1)"/>
      <w:lvlJc w:val="left"/>
      <w:pPr>
        <w:ind w:left="1080" w:hanging="360"/>
      </w:pPr>
      <w:rPr>
        <w:rFonts w:ascii="Times New Roman" w:eastAsia="Times New Roman" w:hAnsi="Times New Roman" w:cs="Times New Roman"/>
        <w:i w:val="0"/>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15:restartNumberingAfterBreak="0">
    <w:nsid w:val="10605A11"/>
    <w:multiLevelType w:val="hybridMultilevel"/>
    <w:tmpl w:val="2FC85178"/>
    <w:lvl w:ilvl="0" w:tplc="F0C68FF4">
      <w:start w:val="1"/>
      <w:numFmt w:val="lowerRoman"/>
      <w:pStyle w:val="Listparagraph2"/>
      <w:lvlText w:val="(%1)"/>
      <w:lvlJc w:val="left"/>
      <w:pPr>
        <w:tabs>
          <w:tab w:val="num" w:pos="1440"/>
        </w:tabs>
        <w:ind w:left="144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136C38E8"/>
    <w:multiLevelType w:val="hybridMultilevel"/>
    <w:tmpl w:val="FFFFFFFF"/>
    <w:lvl w:ilvl="0" w:tplc="D4182744">
      <w:start w:val="1"/>
      <w:numFmt w:val="decimal"/>
      <w:lvlText w:val="%1."/>
      <w:lvlJc w:val="left"/>
      <w:pPr>
        <w:ind w:left="1429" w:hanging="360"/>
      </w:pPr>
      <w:rPr>
        <w:rFonts w:cs="Times New Roman"/>
        <w:b w:val="0"/>
        <w:bCs w:val="0"/>
        <w:sz w:val="22"/>
        <w:szCs w:val="22"/>
      </w:rPr>
    </w:lvl>
    <w:lvl w:ilvl="1" w:tplc="10090019">
      <w:start w:val="1"/>
      <w:numFmt w:val="lowerLetter"/>
      <w:lvlText w:val="%2."/>
      <w:lvlJc w:val="left"/>
      <w:pPr>
        <w:ind w:left="2149" w:hanging="360"/>
      </w:pPr>
      <w:rPr>
        <w:rFonts w:cs="Times New Roman"/>
      </w:rPr>
    </w:lvl>
    <w:lvl w:ilvl="2" w:tplc="1009001B" w:tentative="1">
      <w:start w:val="1"/>
      <w:numFmt w:val="lowerRoman"/>
      <w:lvlText w:val="%3."/>
      <w:lvlJc w:val="right"/>
      <w:pPr>
        <w:ind w:left="2869" w:hanging="180"/>
      </w:pPr>
      <w:rPr>
        <w:rFonts w:cs="Times New Roman"/>
      </w:rPr>
    </w:lvl>
    <w:lvl w:ilvl="3" w:tplc="1009000F" w:tentative="1">
      <w:start w:val="1"/>
      <w:numFmt w:val="decimal"/>
      <w:lvlText w:val="%4."/>
      <w:lvlJc w:val="left"/>
      <w:pPr>
        <w:ind w:left="3589" w:hanging="360"/>
      </w:pPr>
      <w:rPr>
        <w:rFonts w:cs="Times New Roman"/>
      </w:rPr>
    </w:lvl>
    <w:lvl w:ilvl="4" w:tplc="10090019" w:tentative="1">
      <w:start w:val="1"/>
      <w:numFmt w:val="lowerLetter"/>
      <w:lvlText w:val="%5."/>
      <w:lvlJc w:val="left"/>
      <w:pPr>
        <w:ind w:left="4309" w:hanging="360"/>
      </w:pPr>
      <w:rPr>
        <w:rFonts w:cs="Times New Roman"/>
      </w:rPr>
    </w:lvl>
    <w:lvl w:ilvl="5" w:tplc="1009001B" w:tentative="1">
      <w:start w:val="1"/>
      <w:numFmt w:val="lowerRoman"/>
      <w:lvlText w:val="%6."/>
      <w:lvlJc w:val="right"/>
      <w:pPr>
        <w:ind w:left="5029" w:hanging="180"/>
      </w:pPr>
      <w:rPr>
        <w:rFonts w:cs="Times New Roman"/>
      </w:rPr>
    </w:lvl>
    <w:lvl w:ilvl="6" w:tplc="1009000F" w:tentative="1">
      <w:start w:val="1"/>
      <w:numFmt w:val="decimal"/>
      <w:lvlText w:val="%7."/>
      <w:lvlJc w:val="left"/>
      <w:pPr>
        <w:ind w:left="5749" w:hanging="360"/>
      </w:pPr>
      <w:rPr>
        <w:rFonts w:cs="Times New Roman"/>
      </w:rPr>
    </w:lvl>
    <w:lvl w:ilvl="7" w:tplc="10090019" w:tentative="1">
      <w:start w:val="1"/>
      <w:numFmt w:val="lowerLetter"/>
      <w:lvlText w:val="%8."/>
      <w:lvlJc w:val="left"/>
      <w:pPr>
        <w:ind w:left="6469" w:hanging="360"/>
      </w:pPr>
      <w:rPr>
        <w:rFonts w:cs="Times New Roman"/>
      </w:rPr>
    </w:lvl>
    <w:lvl w:ilvl="8" w:tplc="1009001B" w:tentative="1">
      <w:start w:val="1"/>
      <w:numFmt w:val="lowerRoman"/>
      <w:lvlText w:val="%9."/>
      <w:lvlJc w:val="right"/>
      <w:pPr>
        <w:ind w:left="7189" w:hanging="180"/>
      </w:pPr>
      <w:rPr>
        <w:rFonts w:cs="Times New Roman"/>
      </w:rPr>
    </w:lvl>
  </w:abstractNum>
  <w:abstractNum w:abstractNumId="15" w15:restartNumberingAfterBreak="0">
    <w:nsid w:val="181476B2"/>
    <w:multiLevelType w:val="multilevel"/>
    <w:tmpl w:val="CE2E3662"/>
    <w:styleLink w:val="CurrentList1"/>
    <w:lvl w:ilvl="0">
      <w:start w:val="1"/>
      <w:numFmt w:val="decimal"/>
      <w:lvlText w:val="%1."/>
      <w:lvlJc w:val="left"/>
      <w:pPr>
        <w:tabs>
          <w:tab w:val="num" w:pos="567"/>
        </w:tabs>
        <w:ind w:left="0" w:firstLine="0"/>
      </w:pPr>
      <w:rPr>
        <w:lang w:val="en-GB"/>
      </w:rPr>
    </w:lvl>
    <w:lvl w:ilvl="1">
      <w:start w:val="1"/>
      <w:numFmt w:val="upperLetter"/>
      <w:lvlText w:val="%2."/>
      <w:lvlJc w:val="left"/>
      <w:pPr>
        <w:tabs>
          <w:tab w:val="num" w:pos="567"/>
        </w:tabs>
        <w:ind w:left="0" w:firstLine="0"/>
      </w:pPr>
      <w:rPr>
        <w:rFonts w:ascii="Times New Roman" w:eastAsia="Times New Roman" w:hAnsi="Times New Roman" w:cs="Times New Roman"/>
        <w:b/>
        <w:i w:val="0"/>
        <w:lang w:val="en-G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567"/>
        </w:tabs>
        <w:ind w:left="0" w:firstLine="0"/>
      </w:pPr>
      <w:rPr>
        <w:rFonts w:hint="default"/>
        <w:b/>
        <w:i w:val="0"/>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2EC0B28"/>
    <w:multiLevelType w:val="multilevel"/>
    <w:tmpl w:val="DA2A4160"/>
    <w:lvl w:ilvl="0">
      <w:start w:val="1"/>
      <w:numFmt w:val="decimal"/>
      <w:lvlText w:val="%1."/>
      <w:lvlJc w:val="left"/>
      <w:pPr>
        <w:tabs>
          <w:tab w:val="num" w:pos="0"/>
        </w:tabs>
        <w:ind w:left="0" w:firstLine="0"/>
      </w:pPr>
    </w:lvl>
    <w:lvl w:ilvl="1">
      <w:start w:val="1"/>
      <w:numFmt w:val="lowerLetter"/>
      <w:lvlText w:val="%2)"/>
      <w:lvlJc w:val="left"/>
      <w:pPr>
        <w:ind w:left="1080" w:hanging="360"/>
      </w:pPr>
    </w:lvl>
    <w:lvl w:ilvl="2">
      <w:start w:val="1"/>
      <w:numFmt w:val="lowerLetter"/>
      <w:lvlText w:val="%3)"/>
      <w:lvlJc w:val="left"/>
      <w:pPr>
        <w:ind w:left="1800" w:hanging="36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45BE5DB0"/>
    <w:multiLevelType w:val="hybridMultilevel"/>
    <w:tmpl w:val="D884F542"/>
    <w:lvl w:ilvl="0" w:tplc="A7829212">
      <w:start w:val="1"/>
      <w:numFmt w:val="lowerRoman"/>
      <w:lvlText w:val="(%1)"/>
      <w:lvlJc w:val="right"/>
      <w:pPr>
        <w:ind w:left="1797" w:hanging="357"/>
      </w:pPr>
      <w:rPr>
        <w:rFonts w:hint="default"/>
      </w:rPr>
    </w:lvl>
    <w:lvl w:ilvl="1" w:tplc="08090019">
      <w:start w:val="1"/>
      <w:numFmt w:val="lowerLetter"/>
      <w:lvlText w:val="%2."/>
      <w:lvlJc w:val="left"/>
      <w:pPr>
        <w:ind w:left="1440" w:hanging="360"/>
      </w:pPr>
    </w:lvl>
    <w:lvl w:ilvl="2" w:tplc="D6D65802">
      <w:start w:val="1"/>
      <w:numFmt w:val="lowerRoman"/>
      <w:pStyle w:val="Listromannumerals"/>
      <w:lvlText w:val="(%3)"/>
      <w:lvlJc w:val="left"/>
      <w:pPr>
        <w:ind w:left="2160"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A0F7064"/>
    <w:multiLevelType w:val="multilevel"/>
    <w:tmpl w:val="D5E2FDBE"/>
    <w:lvl w:ilvl="0">
      <w:start w:val="1"/>
      <w:numFmt w:val="decimal"/>
      <w:lvlText w:val="%1."/>
      <w:lvlJc w:val="left"/>
      <w:pPr>
        <w:ind w:left="0" w:firstLine="0"/>
      </w:pPr>
      <w:rPr>
        <w:rFonts w:hint="default"/>
        <w:color w:val="auto"/>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pStyle w:val="Listletteredthirdindent"/>
      <w:lvlText w:val="%4."/>
      <w:lvlJc w:val="left"/>
      <w:pPr>
        <w:ind w:left="2430" w:hanging="360"/>
      </w:p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4" w15:restartNumberingAfterBreak="0">
    <w:nsid w:val="58EE6F10"/>
    <w:multiLevelType w:val="hybridMultilevel"/>
    <w:tmpl w:val="77A0BE68"/>
    <w:lvl w:ilvl="0" w:tplc="4268E54A">
      <w:start w:val="1"/>
      <w:numFmt w:val="lowerLetter"/>
      <w:pStyle w:val="Listlettered"/>
      <w:lvlText w:val="(%1)"/>
      <w:lvlJc w:val="left"/>
      <w:pPr>
        <w:ind w:left="144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65F0651A"/>
    <w:multiLevelType w:val="singleLevel"/>
    <w:tmpl w:val="354AA9AE"/>
    <w:lvl w:ilvl="0">
      <w:start w:val="1"/>
      <w:numFmt w:val="lowerRoman"/>
      <w:pStyle w:val="Level3"/>
      <w:lvlText w:val="(%1)"/>
      <w:lvlJc w:val="right"/>
      <w:pPr>
        <w:tabs>
          <w:tab w:val="num" w:pos="1157"/>
        </w:tabs>
        <w:ind w:left="1157" w:hanging="579"/>
      </w:pPr>
      <w:rPr>
        <w:rFonts w:ascii="Times New Roman" w:hAnsi="Times New Roman" w:hint="default"/>
        <w:b w:val="0"/>
        <w:i w:val="0"/>
        <w:sz w:val="22"/>
      </w:rPr>
    </w:lvl>
  </w:abstractNum>
  <w:abstractNum w:abstractNumId="26"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8" w15:restartNumberingAfterBreak="0">
    <w:nsid w:val="7E9C7E42"/>
    <w:multiLevelType w:val="multilevel"/>
    <w:tmpl w:val="2A52F8DC"/>
    <w:lvl w:ilvl="0">
      <w:start w:val="1"/>
      <w:numFmt w:val="decimal"/>
      <w:lvlText w:val="%1."/>
      <w:lvlJc w:val="left"/>
      <w:pPr>
        <w:tabs>
          <w:tab w:val="num" w:pos="386"/>
        </w:tabs>
        <w:ind w:left="386" w:firstLine="0"/>
      </w:pPr>
      <w:rPr>
        <w:b w:val="0"/>
        <w:bCs/>
      </w:rPr>
    </w:lvl>
    <w:lvl w:ilvl="1">
      <w:start w:val="1"/>
      <w:numFmt w:val="lowerLetter"/>
      <w:lvlText w:val="(%2)"/>
      <w:lvlJc w:val="left"/>
      <w:pPr>
        <w:tabs>
          <w:tab w:val="num" w:pos="386"/>
        </w:tabs>
        <w:ind w:left="1826" w:hanging="720"/>
      </w:pPr>
    </w:lvl>
    <w:lvl w:ilvl="2">
      <w:start w:val="1"/>
      <w:numFmt w:val="decimal"/>
      <w:lvlText w:val="%3."/>
      <w:lvlJc w:val="left"/>
      <w:pPr>
        <w:ind w:left="2186" w:hanging="360"/>
      </w:pPr>
      <w:rPr>
        <w:b w:val="0"/>
        <w:bCs w:val="0"/>
        <w:sz w:val="20"/>
        <w:szCs w:val="20"/>
      </w:rPr>
    </w:lvl>
    <w:lvl w:ilvl="3">
      <w:start w:val="1"/>
      <w:numFmt w:val="lowerLetter"/>
      <w:lvlText w:val="%4)"/>
      <w:lvlJc w:val="left"/>
      <w:pPr>
        <w:tabs>
          <w:tab w:val="num" w:pos="296"/>
        </w:tabs>
        <w:ind w:left="3162" w:hanging="706"/>
      </w:pPr>
      <w:rPr>
        <w:b w:val="0"/>
        <w:i w:val="0"/>
      </w:rPr>
    </w:lvl>
    <w:lvl w:ilvl="4">
      <w:start w:val="1"/>
      <w:numFmt w:val="decimal"/>
      <w:lvlText w:val="(%5)"/>
      <w:lvlJc w:val="left"/>
      <w:pPr>
        <w:tabs>
          <w:tab w:val="num" w:pos="386"/>
        </w:tabs>
        <w:ind w:left="3957" w:hanging="705"/>
      </w:pPr>
    </w:lvl>
    <w:lvl w:ilvl="5">
      <w:start w:val="1"/>
      <w:numFmt w:val="lowerLetter"/>
      <w:lvlText w:val="(%6)"/>
      <w:lvlJc w:val="left"/>
      <w:pPr>
        <w:tabs>
          <w:tab w:val="num" w:pos="386"/>
        </w:tabs>
        <w:ind w:left="4677" w:hanging="720"/>
      </w:pPr>
    </w:lvl>
    <w:lvl w:ilvl="6">
      <w:start w:val="1"/>
      <w:numFmt w:val="lowerRoman"/>
      <w:lvlText w:val="(%7)"/>
      <w:lvlJc w:val="left"/>
      <w:pPr>
        <w:tabs>
          <w:tab w:val="num" w:pos="386"/>
        </w:tabs>
        <w:ind w:left="5383" w:hanging="706"/>
      </w:pPr>
    </w:lvl>
    <w:lvl w:ilvl="7">
      <w:start w:val="1"/>
      <w:numFmt w:val="lowerLetter"/>
      <w:lvlText w:val="(%8)"/>
      <w:lvlJc w:val="left"/>
      <w:pPr>
        <w:tabs>
          <w:tab w:val="num" w:pos="386"/>
        </w:tabs>
        <w:ind w:left="6088" w:hanging="705"/>
      </w:pPr>
    </w:lvl>
    <w:lvl w:ilvl="8">
      <w:start w:val="1"/>
      <w:numFmt w:val="lowerRoman"/>
      <w:lvlText w:val="(%9)"/>
      <w:lvlJc w:val="left"/>
      <w:pPr>
        <w:tabs>
          <w:tab w:val="num" w:pos="386"/>
        </w:tabs>
        <w:ind w:left="6794" w:hanging="706"/>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6"/>
  </w:num>
  <w:num w:numId="17" w16cid:durableId="299306927">
    <w:abstractNumId w:val="21"/>
  </w:num>
  <w:num w:numId="18" w16cid:durableId="559828470">
    <w:abstractNumId w:val="22"/>
  </w:num>
  <w:num w:numId="19" w16cid:durableId="1488010068">
    <w:abstractNumId w:val="27"/>
  </w:num>
  <w:num w:numId="20" w16cid:durableId="444007775">
    <w:abstractNumId w:val="17"/>
  </w:num>
  <w:num w:numId="21" w16cid:durableId="19226418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85298131">
    <w:abstractNumId w:val="23"/>
  </w:num>
  <w:num w:numId="23" w16cid:durableId="969438327">
    <w:abstractNumId w:val="15"/>
  </w:num>
  <w:num w:numId="24" w16cid:durableId="292643302">
    <w:abstractNumId w:val="25"/>
  </w:num>
  <w:num w:numId="25" w16cid:durableId="668095613">
    <w:abstractNumId w:val="12"/>
  </w:num>
  <w:num w:numId="26" w16cid:durableId="1223829628">
    <w:abstractNumId w:val="13"/>
  </w:num>
  <w:num w:numId="27" w16cid:durableId="1182629551">
    <w:abstractNumId w:val="26"/>
  </w:num>
  <w:num w:numId="28" w16cid:durableId="760905644">
    <w:abstractNumId w:val="10"/>
    <w:lvlOverride w:ilvl="0">
      <w:lvl w:ilvl="0">
        <w:start w:val="1"/>
        <w:numFmt w:val="decimal"/>
        <w:pStyle w:val="Heading1"/>
        <w:lvlText w:val="%1."/>
        <w:lvlJc w:val="left"/>
        <w:pPr>
          <w:tabs>
            <w:tab w:val="num" w:pos="0"/>
          </w:tabs>
          <w:ind w:left="0" w:firstLine="0"/>
        </w:pPr>
        <w:rPr>
          <w:b w:val="0"/>
          <w:bCs/>
          <w:i w:val="0"/>
          <w:iCs/>
        </w:rPr>
      </w:lvl>
    </w:lvlOverride>
    <w:lvlOverride w:ilvl="1">
      <w:lvl w:ilvl="1">
        <w:start w:val="1"/>
        <w:numFmt w:val="decimal"/>
        <w:lvlText w:val="(%2)"/>
        <w:lvlJc w:val="left"/>
        <w:pPr>
          <w:tabs>
            <w:tab w:val="num" w:pos="0"/>
          </w:tabs>
          <w:ind w:left="1440" w:hanging="720"/>
        </w:pPr>
      </w:lvl>
    </w:lvlOverride>
    <w:lvlOverride w:ilvl="2">
      <w:lvl w:ilvl="2">
        <w:start w:val="1"/>
        <w:numFmt w:val="decimal"/>
        <w:pStyle w:val="Heading3"/>
        <w:lvlText w:val="(%3)"/>
        <w:lvlJc w:val="left"/>
        <w:pPr>
          <w:tabs>
            <w:tab w:val="num" w:pos="0"/>
          </w:tabs>
          <w:ind w:left="2160" w:hanging="720"/>
        </w:pPr>
      </w:lvl>
    </w:lvlOverride>
    <w:lvlOverride w:ilvl="3">
      <w:lvl w:ilvl="3">
        <w:start w:val="1"/>
        <w:numFmt w:val="decimal"/>
        <w:pStyle w:val="Heading4"/>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decimal"/>
        <w:pStyle w:val="Heading6"/>
        <w:lvlText w:val="(%6)"/>
        <w:lvlJc w:val="left"/>
        <w:pPr>
          <w:tabs>
            <w:tab w:val="num" w:pos="0"/>
          </w:tabs>
          <w:ind w:left="4291" w:hanging="720"/>
        </w:pPr>
      </w:lvl>
    </w:lvlOverride>
    <w:lvlOverride w:ilvl="6">
      <w:lvl w:ilvl="6">
        <w:start w:val="1"/>
        <w:numFmt w:val="decimal"/>
        <w:pStyle w:val="Heading7"/>
        <w:lvlText w:val="(%7)"/>
        <w:lvlJc w:val="left"/>
        <w:pPr>
          <w:tabs>
            <w:tab w:val="num" w:pos="0"/>
          </w:tabs>
          <w:ind w:left="4997" w:hanging="706"/>
        </w:pPr>
      </w:lvl>
    </w:lvlOverride>
    <w:lvlOverride w:ilvl="7">
      <w:lvl w:ilvl="7">
        <w:start w:val="1"/>
        <w:numFmt w:val="decimal"/>
        <w:lvlText w:val="(%8)"/>
        <w:lvlJc w:val="left"/>
        <w:pPr>
          <w:tabs>
            <w:tab w:val="num" w:pos="0"/>
          </w:tabs>
          <w:ind w:left="5702" w:hanging="705"/>
        </w:pPr>
      </w:lvl>
    </w:lvlOverride>
    <w:lvlOverride w:ilvl="8">
      <w:lvl w:ilvl="8">
        <w:start w:val="1"/>
        <w:numFmt w:val="decimal"/>
        <w:pStyle w:val="Heading9"/>
        <w:lvlText w:val="(%9)"/>
        <w:lvlJc w:val="left"/>
        <w:pPr>
          <w:tabs>
            <w:tab w:val="num" w:pos="0"/>
          </w:tabs>
          <w:ind w:left="6408" w:hanging="706"/>
        </w:pPr>
      </w:lvl>
    </w:lvlOverride>
  </w:num>
  <w:num w:numId="29" w16cid:durableId="1679964872">
    <w:abstractNumId w:val="24"/>
  </w:num>
  <w:num w:numId="30" w16cid:durableId="531191915">
    <w:abstractNumId w:val="19"/>
  </w:num>
  <w:num w:numId="31" w16cid:durableId="88543989">
    <w:abstractNumId w:val="20"/>
  </w:num>
  <w:num w:numId="32" w16cid:durableId="1782918223">
    <w:abstractNumId w:val="24"/>
    <w:lvlOverride w:ilvl="0">
      <w:startOverride w:val="1"/>
    </w:lvlOverride>
  </w:num>
  <w:num w:numId="33" w16cid:durableId="1913078684">
    <w:abstractNumId w:val="28"/>
  </w:num>
  <w:num w:numId="34" w16cid:durableId="197395756">
    <w:abstractNumId w:val="14"/>
  </w:num>
  <w:num w:numId="35" w16cid:durableId="548418425">
    <w:abstractNumId w:val="18"/>
  </w:num>
  <w:num w:numId="36" w16cid:durableId="1788236862">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02246063">
    <w:abstractNumId w:val="10"/>
    <w:lvlOverride w:ilvl="0">
      <w:startOverride w:val="4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12878050">
    <w:abstractNumId w:val="10"/>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74A7B"/>
    <w:rsid w:val="00000FED"/>
    <w:rsid w:val="0000434E"/>
    <w:rsid w:val="00004505"/>
    <w:rsid w:val="00011FE5"/>
    <w:rsid w:val="000211A9"/>
    <w:rsid w:val="00021238"/>
    <w:rsid w:val="00022071"/>
    <w:rsid w:val="00025C22"/>
    <w:rsid w:val="00026875"/>
    <w:rsid w:val="00027019"/>
    <w:rsid w:val="00031260"/>
    <w:rsid w:val="00032F2D"/>
    <w:rsid w:val="0003681A"/>
    <w:rsid w:val="000372B7"/>
    <w:rsid w:val="00050F6E"/>
    <w:rsid w:val="00061EC2"/>
    <w:rsid w:val="00066CE8"/>
    <w:rsid w:val="0007016C"/>
    <w:rsid w:val="000714BA"/>
    <w:rsid w:val="00080ED0"/>
    <w:rsid w:val="00085B8F"/>
    <w:rsid w:val="00087B43"/>
    <w:rsid w:val="00090481"/>
    <w:rsid w:val="00091651"/>
    <w:rsid w:val="000A12DD"/>
    <w:rsid w:val="000A3826"/>
    <w:rsid w:val="000A6C26"/>
    <w:rsid w:val="000A6E0C"/>
    <w:rsid w:val="000A70E6"/>
    <w:rsid w:val="000B22ED"/>
    <w:rsid w:val="000B36C8"/>
    <w:rsid w:val="000B3CCF"/>
    <w:rsid w:val="000C2994"/>
    <w:rsid w:val="000D3331"/>
    <w:rsid w:val="000D52A4"/>
    <w:rsid w:val="000D7868"/>
    <w:rsid w:val="000E07BC"/>
    <w:rsid w:val="000E11AD"/>
    <w:rsid w:val="000E2E21"/>
    <w:rsid w:val="000E3CA0"/>
    <w:rsid w:val="000E58C9"/>
    <w:rsid w:val="000E6B69"/>
    <w:rsid w:val="000F1CD4"/>
    <w:rsid w:val="000F4103"/>
    <w:rsid w:val="000F70A7"/>
    <w:rsid w:val="00113CCA"/>
    <w:rsid w:val="001156A2"/>
    <w:rsid w:val="00122F25"/>
    <w:rsid w:val="001234F6"/>
    <w:rsid w:val="0012719C"/>
    <w:rsid w:val="00134A00"/>
    <w:rsid w:val="00135980"/>
    <w:rsid w:val="00137398"/>
    <w:rsid w:val="0013786F"/>
    <w:rsid w:val="0014064C"/>
    <w:rsid w:val="001460FA"/>
    <w:rsid w:val="00154E9F"/>
    <w:rsid w:val="0015620D"/>
    <w:rsid w:val="00164719"/>
    <w:rsid w:val="00166FC4"/>
    <w:rsid w:val="001677AC"/>
    <w:rsid w:val="001778DC"/>
    <w:rsid w:val="001804EA"/>
    <w:rsid w:val="001907C6"/>
    <w:rsid w:val="00190A61"/>
    <w:rsid w:val="0019445A"/>
    <w:rsid w:val="00195990"/>
    <w:rsid w:val="00197179"/>
    <w:rsid w:val="001A2215"/>
    <w:rsid w:val="001A3342"/>
    <w:rsid w:val="001A3E3D"/>
    <w:rsid w:val="001A7049"/>
    <w:rsid w:val="001B1E40"/>
    <w:rsid w:val="001C764E"/>
    <w:rsid w:val="001D6355"/>
    <w:rsid w:val="001E0D91"/>
    <w:rsid w:val="001E1052"/>
    <w:rsid w:val="001E21B1"/>
    <w:rsid w:val="001E2F93"/>
    <w:rsid w:val="001E4554"/>
    <w:rsid w:val="001E61E5"/>
    <w:rsid w:val="001F0FE5"/>
    <w:rsid w:val="001F2159"/>
    <w:rsid w:val="001F4CDD"/>
    <w:rsid w:val="001F53FD"/>
    <w:rsid w:val="00205C8D"/>
    <w:rsid w:val="00210B8B"/>
    <w:rsid w:val="00214863"/>
    <w:rsid w:val="002156B4"/>
    <w:rsid w:val="00224FCD"/>
    <w:rsid w:val="00237BAB"/>
    <w:rsid w:val="002453F0"/>
    <w:rsid w:val="00253222"/>
    <w:rsid w:val="00261C13"/>
    <w:rsid w:val="00262847"/>
    <w:rsid w:val="00272F3A"/>
    <w:rsid w:val="00277C8A"/>
    <w:rsid w:val="00281BB2"/>
    <w:rsid w:val="00287A73"/>
    <w:rsid w:val="00294C23"/>
    <w:rsid w:val="002A03C3"/>
    <w:rsid w:val="002A4ADB"/>
    <w:rsid w:val="002B254E"/>
    <w:rsid w:val="002B372B"/>
    <w:rsid w:val="002B4CE8"/>
    <w:rsid w:val="002B5248"/>
    <w:rsid w:val="002B72E9"/>
    <w:rsid w:val="002C73CC"/>
    <w:rsid w:val="002C7998"/>
    <w:rsid w:val="002D2C48"/>
    <w:rsid w:val="002F1E53"/>
    <w:rsid w:val="002F2A05"/>
    <w:rsid w:val="002F2CAA"/>
    <w:rsid w:val="002F3423"/>
    <w:rsid w:val="0030052C"/>
    <w:rsid w:val="003020EC"/>
    <w:rsid w:val="003041AE"/>
    <w:rsid w:val="00305C49"/>
    <w:rsid w:val="00312AC0"/>
    <w:rsid w:val="00316ACA"/>
    <w:rsid w:val="00317537"/>
    <w:rsid w:val="00327E6C"/>
    <w:rsid w:val="003306E1"/>
    <w:rsid w:val="003320E4"/>
    <w:rsid w:val="003326AB"/>
    <w:rsid w:val="0033525D"/>
    <w:rsid w:val="003414F3"/>
    <w:rsid w:val="0034343A"/>
    <w:rsid w:val="003474CD"/>
    <w:rsid w:val="003523A3"/>
    <w:rsid w:val="0035613E"/>
    <w:rsid w:val="00356A21"/>
    <w:rsid w:val="00363EE9"/>
    <w:rsid w:val="0036698C"/>
    <w:rsid w:val="00371E58"/>
    <w:rsid w:val="0037332D"/>
    <w:rsid w:val="00376128"/>
    <w:rsid w:val="00376FA7"/>
    <w:rsid w:val="0037742E"/>
    <w:rsid w:val="00377D56"/>
    <w:rsid w:val="0038245A"/>
    <w:rsid w:val="003840E6"/>
    <w:rsid w:val="00385CFC"/>
    <w:rsid w:val="00386D82"/>
    <w:rsid w:val="0039337A"/>
    <w:rsid w:val="003953CA"/>
    <w:rsid w:val="003978AD"/>
    <w:rsid w:val="003A3189"/>
    <w:rsid w:val="003A3CA7"/>
    <w:rsid w:val="003B33BD"/>
    <w:rsid w:val="003B4EA7"/>
    <w:rsid w:val="003B569D"/>
    <w:rsid w:val="003B6FA8"/>
    <w:rsid w:val="003C3C0E"/>
    <w:rsid w:val="003C5205"/>
    <w:rsid w:val="003C5652"/>
    <w:rsid w:val="003C6A23"/>
    <w:rsid w:val="003D2E2F"/>
    <w:rsid w:val="003D42A6"/>
    <w:rsid w:val="003D46A9"/>
    <w:rsid w:val="003D4F21"/>
    <w:rsid w:val="003D4FAC"/>
    <w:rsid w:val="003E1885"/>
    <w:rsid w:val="003E7906"/>
    <w:rsid w:val="003F000F"/>
    <w:rsid w:val="003F3C50"/>
    <w:rsid w:val="00406202"/>
    <w:rsid w:val="00406A6A"/>
    <w:rsid w:val="00406B22"/>
    <w:rsid w:val="00406CC3"/>
    <w:rsid w:val="00407147"/>
    <w:rsid w:val="004078FA"/>
    <w:rsid w:val="00410D7E"/>
    <w:rsid w:val="00422C9F"/>
    <w:rsid w:val="00431E08"/>
    <w:rsid w:val="004328A7"/>
    <w:rsid w:val="004347B2"/>
    <w:rsid w:val="00434C74"/>
    <w:rsid w:val="00444E5C"/>
    <w:rsid w:val="00455AE8"/>
    <w:rsid w:val="00456EB4"/>
    <w:rsid w:val="00457827"/>
    <w:rsid w:val="004718F3"/>
    <w:rsid w:val="00475040"/>
    <w:rsid w:val="00490C06"/>
    <w:rsid w:val="00493D40"/>
    <w:rsid w:val="00493EE3"/>
    <w:rsid w:val="004967B6"/>
    <w:rsid w:val="004A1C57"/>
    <w:rsid w:val="004A4734"/>
    <w:rsid w:val="004A504B"/>
    <w:rsid w:val="004A6911"/>
    <w:rsid w:val="004B3652"/>
    <w:rsid w:val="004B54E0"/>
    <w:rsid w:val="004B6830"/>
    <w:rsid w:val="004B7384"/>
    <w:rsid w:val="004C4269"/>
    <w:rsid w:val="004C7577"/>
    <w:rsid w:val="004D2E89"/>
    <w:rsid w:val="004D6236"/>
    <w:rsid w:val="004D7F90"/>
    <w:rsid w:val="004E172F"/>
    <w:rsid w:val="004E4DBB"/>
    <w:rsid w:val="004E4E41"/>
    <w:rsid w:val="004E73DB"/>
    <w:rsid w:val="004E79E7"/>
    <w:rsid w:val="004E7F9C"/>
    <w:rsid w:val="004F3493"/>
    <w:rsid w:val="004F5143"/>
    <w:rsid w:val="005055EB"/>
    <w:rsid w:val="00512B09"/>
    <w:rsid w:val="005220ED"/>
    <w:rsid w:val="00530B53"/>
    <w:rsid w:val="00533786"/>
    <w:rsid w:val="00533796"/>
    <w:rsid w:val="00534814"/>
    <w:rsid w:val="005354B4"/>
    <w:rsid w:val="00537343"/>
    <w:rsid w:val="00542F31"/>
    <w:rsid w:val="00543437"/>
    <w:rsid w:val="00546991"/>
    <w:rsid w:val="005516F3"/>
    <w:rsid w:val="00555D75"/>
    <w:rsid w:val="00556C59"/>
    <w:rsid w:val="005574A6"/>
    <w:rsid w:val="00560DF0"/>
    <w:rsid w:val="0056759C"/>
    <w:rsid w:val="00593D42"/>
    <w:rsid w:val="0059513E"/>
    <w:rsid w:val="00595B67"/>
    <w:rsid w:val="00597146"/>
    <w:rsid w:val="005A6AA4"/>
    <w:rsid w:val="005A6D9F"/>
    <w:rsid w:val="005B48FF"/>
    <w:rsid w:val="005B61BC"/>
    <w:rsid w:val="005B67C8"/>
    <w:rsid w:val="005B7285"/>
    <w:rsid w:val="005C1E32"/>
    <w:rsid w:val="005C3638"/>
    <w:rsid w:val="005C670D"/>
    <w:rsid w:val="005D363F"/>
    <w:rsid w:val="005E0EC1"/>
    <w:rsid w:val="005E6582"/>
    <w:rsid w:val="005F0FFF"/>
    <w:rsid w:val="005F2BB7"/>
    <w:rsid w:val="005F3D78"/>
    <w:rsid w:val="005F6B64"/>
    <w:rsid w:val="00604C15"/>
    <w:rsid w:val="006158D5"/>
    <w:rsid w:val="0062074E"/>
    <w:rsid w:val="00622466"/>
    <w:rsid w:val="00625D83"/>
    <w:rsid w:val="0063385B"/>
    <w:rsid w:val="0064193C"/>
    <w:rsid w:val="0064239C"/>
    <w:rsid w:val="00643B2E"/>
    <w:rsid w:val="00651984"/>
    <w:rsid w:val="006563BA"/>
    <w:rsid w:val="006623E7"/>
    <w:rsid w:val="00662B80"/>
    <w:rsid w:val="0066768F"/>
    <w:rsid w:val="00670F6C"/>
    <w:rsid w:val="0067525A"/>
    <w:rsid w:val="00676E58"/>
    <w:rsid w:val="0068095C"/>
    <w:rsid w:val="006813A7"/>
    <w:rsid w:val="006852C7"/>
    <w:rsid w:val="006852CE"/>
    <w:rsid w:val="00692D14"/>
    <w:rsid w:val="00693D6D"/>
    <w:rsid w:val="00693E46"/>
    <w:rsid w:val="006A082B"/>
    <w:rsid w:val="006A24A7"/>
    <w:rsid w:val="006A4D18"/>
    <w:rsid w:val="006A7A3B"/>
    <w:rsid w:val="006B65C7"/>
    <w:rsid w:val="006C1727"/>
    <w:rsid w:val="006C32FD"/>
    <w:rsid w:val="006C39CE"/>
    <w:rsid w:val="006D0FCC"/>
    <w:rsid w:val="006D21F5"/>
    <w:rsid w:val="006D3089"/>
    <w:rsid w:val="006D3E58"/>
    <w:rsid w:val="006E126D"/>
    <w:rsid w:val="006E1FC3"/>
    <w:rsid w:val="007000F6"/>
    <w:rsid w:val="00703335"/>
    <w:rsid w:val="00703470"/>
    <w:rsid w:val="00704CE9"/>
    <w:rsid w:val="0070616B"/>
    <w:rsid w:val="00706295"/>
    <w:rsid w:val="00706FDA"/>
    <w:rsid w:val="00711F9A"/>
    <w:rsid w:val="00712CED"/>
    <w:rsid w:val="00713810"/>
    <w:rsid w:val="00714F57"/>
    <w:rsid w:val="00722F5C"/>
    <w:rsid w:val="00723502"/>
    <w:rsid w:val="00724692"/>
    <w:rsid w:val="00724E7A"/>
    <w:rsid w:val="00727245"/>
    <w:rsid w:val="007303A5"/>
    <w:rsid w:val="00730B3E"/>
    <w:rsid w:val="007336C4"/>
    <w:rsid w:val="0073420B"/>
    <w:rsid w:val="00736367"/>
    <w:rsid w:val="00744CE6"/>
    <w:rsid w:val="0074760E"/>
    <w:rsid w:val="007548C4"/>
    <w:rsid w:val="00754ABA"/>
    <w:rsid w:val="0075679D"/>
    <w:rsid w:val="00760E7F"/>
    <w:rsid w:val="007742B1"/>
    <w:rsid w:val="00782B0D"/>
    <w:rsid w:val="00784506"/>
    <w:rsid w:val="007879BF"/>
    <w:rsid w:val="007947CB"/>
    <w:rsid w:val="00796969"/>
    <w:rsid w:val="0079781A"/>
    <w:rsid w:val="007A1546"/>
    <w:rsid w:val="007A228C"/>
    <w:rsid w:val="007A368E"/>
    <w:rsid w:val="007A5868"/>
    <w:rsid w:val="007A7D25"/>
    <w:rsid w:val="007B04CE"/>
    <w:rsid w:val="007B6871"/>
    <w:rsid w:val="007B7A2F"/>
    <w:rsid w:val="007C288E"/>
    <w:rsid w:val="007C32EE"/>
    <w:rsid w:val="007C3D33"/>
    <w:rsid w:val="007D294A"/>
    <w:rsid w:val="007D47D2"/>
    <w:rsid w:val="007D6EC0"/>
    <w:rsid w:val="007D7E1D"/>
    <w:rsid w:val="007E2462"/>
    <w:rsid w:val="007E2466"/>
    <w:rsid w:val="007E503C"/>
    <w:rsid w:val="008001A5"/>
    <w:rsid w:val="0080345C"/>
    <w:rsid w:val="00806F2A"/>
    <w:rsid w:val="0082047D"/>
    <w:rsid w:val="00823295"/>
    <w:rsid w:val="0082522F"/>
    <w:rsid w:val="00831979"/>
    <w:rsid w:val="00834AB3"/>
    <w:rsid w:val="008376E7"/>
    <w:rsid w:val="00844FF3"/>
    <w:rsid w:val="00851352"/>
    <w:rsid w:val="00857077"/>
    <w:rsid w:val="0086047A"/>
    <w:rsid w:val="00863230"/>
    <w:rsid w:val="008645A6"/>
    <w:rsid w:val="00865BD0"/>
    <w:rsid w:val="00865F3C"/>
    <w:rsid w:val="008717D8"/>
    <w:rsid w:val="0087215C"/>
    <w:rsid w:val="00875D25"/>
    <w:rsid w:val="00880E35"/>
    <w:rsid w:val="008875FE"/>
    <w:rsid w:val="00887F8E"/>
    <w:rsid w:val="00896234"/>
    <w:rsid w:val="00897E43"/>
    <w:rsid w:val="008B75BD"/>
    <w:rsid w:val="008C222B"/>
    <w:rsid w:val="008C5738"/>
    <w:rsid w:val="008C7EAD"/>
    <w:rsid w:val="008D0CFE"/>
    <w:rsid w:val="008D6152"/>
    <w:rsid w:val="008D76AF"/>
    <w:rsid w:val="008E571F"/>
    <w:rsid w:val="008E7BA9"/>
    <w:rsid w:val="008F0F81"/>
    <w:rsid w:val="008F27BF"/>
    <w:rsid w:val="008F2E64"/>
    <w:rsid w:val="008F3C55"/>
    <w:rsid w:val="00905D37"/>
    <w:rsid w:val="00905D9A"/>
    <w:rsid w:val="009142EC"/>
    <w:rsid w:val="009145E4"/>
    <w:rsid w:val="009154C3"/>
    <w:rsid w:val="009204AB"/>
    <w:rsid w:val="00923540"/>
    <w:rsid w:val="00926767"/>
    <w:rsid w:val="009361D5"/>
    <w:rsid w:val="00937B50"/>
    <w:rsid w:val="009428A4"/>
    <w:rsid w:val="00956812"/>
    <w:rsid w:val="00960575"/>
    <w:rsid w:val="00962587"/>
    <w:rsid w:val="009659F4"/>
    <w:rsid w:val="009667E3"/>
    <w:rsid w:val="00970D60"/>
    <w:rsid w:val="00982C89"/>
    <w:rsid w:val="009874D0"/>
    <w:rsid w:val="009900FE"/>
    <w:rsid w:val="0099390E"/>
    <w:rsid w:val="0099491E"/>
    <w:rsid w:val="009956CD"/>
    <w:rsid w:val="009960E5"/>
    <w:rsid w:val="00997397"/>
    <w:rsid w:val="009A428D"/>
    <w:rsid w:val="009A7265"/>
    <w:rsid w:val="009A7ADC"/>
    <w:rsid w:val="009B0D30"/>
    <w:rsid w:val="009B28B4"/>
    <w:rsid w:val="009C19B7"/>
    <w:rsid w:val="009C5ABB"/>
    <w:rsid w:val="009D1EAB"/>
    <w:rsid w:val="009D25AB"/>
    <w:rsid w:val="009D4A91"/>
    <w:rsid w:val="009D7C51"/>
    <w:rsid w:val="009E196C"/>
    <w:rsid w:val="009E6A0A"/>
    <w:rsid w:val="009F2C27"/>
    <w:rsid w:val="009F3095"/>
    <w:rsid w:val="009F36BF"/>
    <w:rsid w:val="009F5B27"/>
    <w:rsid w:val="009F7E7F"/>
    <w:rsid w:val="00A01681"/>
    <w:rsid w:val="00A01EC4"/>
    <w:rsid w:val="00A036FA"/>
    <w:rsid w:val="00A048F8"/>
    <w:rsid w:val="00A10821"/>
    <w:rsid w:val="00A111B6"/>
    <w:rsid w:val="00A22240"/>
    <w:rsid w:val="00A26D27"/>
    <w:rsid w:val="00A34CE1"/>
    <w:rsid w:val="00A36FFF"/>
    <w:rsid w:val="00A376EE"/>
    <w:rsid w:val="00A428F1"/>
    <w:rsid w:val="00A42A99"/>
    <w:rsid w:val="00A42C3E"/>
    <w:rsid w:val="00A4716D"/>
    <w:rsid w:val="00A47C58"/>
    <w:rsid w:val="00A5151A"/>
    <w:rsid w:val="00A57E0A"/>
    <w:rsid w:val="00A71E30"/>
    <w:rsid w:val="00A77919"/>
    <w:rsid w:val="00A816BF"/>
    <w:rsid w:val="00A823F6"/>
    <w:rsid w:val="00A8719E"/>
    <w:rsid w:val="00AA0A89"/>
    <w:rsid w:val="00AA35EE"/>
    <w:rsid w:val="00AA3C1A"/>
    <w:rsid w:val="00AA5368"/>
    <w:rsid w:val="00AA6429"/>
    <w:rsid w:val="00AA6EDA"/>
    <w:rsid w:val="00AB6B86"/>
    <w:rsid w:val="00AB7C6A"/>
    <w:rsid w:val="00AC01AA"/>
    <w:rsid w:val="00AC19AA"/>
    <w:rsid w:val="00AC3EE9"/>
    <w:rsid w:val="00AC4F72"/>
    <w:rsid w:val="00AC5041"/>
    <w:rsid w:val="00AE482E"/>
    <w:rsid w:val="00AF1B39"/>
    <w:rsid w:val="00AF5BC6"/>
    <w:rsid w:val="00AF5D1A"/>
    <w:rsid w:val="00AF741A"/>
    <w:rsid w:val="00B01ADB"/>
    <w:rsid w:val="00B04161"/>
    <w:rsid w:val="00B056F9"/>
    <w:rsid w:val="00B11E3D"/>
    <w:rsid w:val="00B13911"/>
    <w:rsid w:val="00B14D2C"/>
    <w:rsid w:val="00B17E82"/>
    <w:rsid w:val="00B245A6"/>
    <w:rsid w:val="00B308D1"/>
    <w:rsid w:val="00B33C2F"/>
    <w:rsid w:val="00B44941"/>
    <w:rsid w:val="00B4575A"/>
    <w:rsid w:val="00B575BA"/>
    <w:rsid w:val="00B71608"/>
    <w:rsid w:val="00B7431F"/>
    <w:rsid w:val="00B76429"/>
    <w:rsid w:val="00B86471"/>
    <w:rsid w:val="00B91B23"/>
    <w:rsid w:val="00B93AC0"/>
    <w:rsid w:val="00B956D4"/>
    <w:rsid w:val="00B97446"/>
    <w:rsid w:val="00BA7432"/>
    <w:rsid w:val="00BB2764"/>
    <w:rsid w:val="00BB31FD"/>
    <w:rsid w:val="00BB72EE"/>
    <w:rsid w:val="00BC1AA0"/>
    <w:rsid w:val="00BC2495"/>
    <w:rsid w:val="00BC314A"/>
    <w:rsid w:val="00BC3388"/>
    <w:rsid w:val="00BC43D6"/>
    <w:rsid w:val="00BC5C2A"/>
    <w:rsid w:val="00BC7EB9"/>
    <w:rsid w:val="00BD1F4B"/>
    <w:rsid w:val="00BD20BF"/>
    <w:rsid w:val="00BD2643"/>
    <w:rsid w:val="00BD56B1"/>
    <w:rsid w:val="00BD6558"/>
    <w:rsid w:val="00BE54F9"/>
    <w:rsid w:val="00BF0D67"/>
    <w:rsid w:val="00BF2AD7"/>
    <w:rsid w:val="00BF2F76"/>
    <w:rsid w:val="00BF3022"/>
    <w:rsid w:val="00BF3214"/>
    <w:rsid w:val="00BF46EE"/>
    <w:rsid w:val="00BF5573"/>
    <w:rsid w:val="00BF6D9E"/>
    <w:rsid w:val="00C109F2"/>
    <w:rsid w:val="00C11976"/>
    <w:rsid w:val="00C15867"/>
    <w:rsid w:val="00C2014A"/>
    <w:rsid w:val="00C22398"/>
    <w:rsid w:val="00C2296D"/>
    <w:rsid w:val="00C23155"/>
    <w:rsid w:val="00C40C41"/>
    <w:rsid w:val="00C41E78"/>
    <w:rsid w:val="00C445D8"/>
    <w:rsid w:val="00C45885"/>
    <w:rsid w:val="00C46D7C"/>
    <w:rsid w:val="00C50F22"/>
    <w:rsid w:val="00C52ABB"/>
    <w:rsid w:val="00C57971"/>
    <w:rsid w:val="00C65BD7"/>
    <w:rsid w:val="00C6757D"/>
    <w:rsid w:val="00C76BA4"/>
    <w:rsid w:val="00C8188D"/>
    <w:rsid w:val="00C83454"/>
    <w:rsid w:val="00C83A48"/>
    <w:rsid w:val="00C85865"/>
    <w:rsid w:val="00C85E85"/>
    <w:rsid w:val="00C926C8"/>
    <w:rsid w:val="00CA06EC"/>
    <w:rsid w:val="00CA2EAE"/>
    <w:rsid w:val="00CA4AC1"/>
    <w:rsid w:val="00CA59FB"/>
    <w:rsid w:val="00CB0316"/>
    <w:rsid w:val="00CB0B11"/>
    <w:rsid w:val="00CB1DBA"/>
    <w:rsid w:val="00CB33DF"/>
    <w:rsid w:val="00CB426A"/>
    <w:rsid w:val="00CB5354"/>
    <w:rsid w:val="00CC3C9E"/>
    <w:rsid w:val="00CC6A14"/>
    <w:rsid w:val="00CC70A3"/>
    <w:rsid w:val="00CD4442"/>
    <w:rsid w:val="00CD53C3"/>
    <w:rsid w:val="00CD574E"/>
    <w:rsid w:val="00CD7D76"/>
    <w:rsid w:val="00CE02A2"/>
    <w:rsid w:val="00CE4C22"/>
    <w:rsid w:val="00CE76E5"/>
    <w:rsid w:val="00CF32C8"/>
    <w:rsid w:val="00CF41EC"/>
    <w:rsid w:val="00CF4AA0"/>
    <w:rsid w:val="00CF5D04"/>
    <w:rsid w:val="00CF73A5"/>
    <w:rsid w:val="00D03115"/>
    <w:rsid w:val="00D034B6"/>
    <w:rsid w:val="00D04DE4"/>
    <w:rsid w:val="00D063F1"/>
    <w:rsid w:val="00D11735"/>
    <w:rsid w:val="00D12D72"/>
    <w:rsid w:val="00D13BC3"/>
    <w:rsid w:val="00D14F22"/>
    <w:rsid w:val="00D439F3"/>
    <w:rsid w:val="00D4741C"/>
    <w:rsid w:val="00D5783A"/>
    <w:rsid w:val="00D57918"/>
    <w:rsid w:val="00D66534"/>
    <w:rsid w:val="00D7288C"/>
    <w:rsid w:val="00D73DC6"/>
    <w:rsid w:val="00D74C1A"/>
    <w:rsid w:val="00D754C1"/>
    <w:rsid w:val="00D75E36"/>
    <w:rsid w:val="00D77393"/>
    <w:rsid w:val="00D77A35"/>
    <w:rsid w:val="00D8111D"/>
    <w:rsid w:val="00D81B3E"/>
    <w:rsid w:val="00D900CE"/>
    <w:rsid w:val="00D90C70"/>
    <w:rsid w:val="00D90E49"/>
    <w:rsid w:val="00D96ADE"/>
    <w:rsid w:val="00DA0CE2"/>
    <w:rsid w:val="00DA1947"/>
    <w:rsid w:val="00DA2387"/>
    <w:rsid w:val="00DA399F"/>
    <w:rsid w:val="00DA625C"/>
    <w:rsid w:val="00DA6A4C"/>
    <w:rsid w:val="00DB531E"/>
    <w:rsid w:val="00DC4CE2"/>
    <w:rsid w:val="00DC6A10"/>
    <w:rsid w:val="00DD1EB0"/>
    <w:rsid w:val="00DD65DA"/>
    <w:rsid w:val="00DD69CD"/>
    <w:rsid w:val="00DE657E"/>
    <w:rsid w:val="00DF4704"/>
    <w:rsid w:val="00E00016"/>
    <w:rsid w:val="00E024AA"/>
    <w:rsid w:val="00E15C77"/>
    <w:rsid w:val="00E1693E"/>
    <w:rsid w:val="00E250F1"/>
    <w:rsid w:val="00E3550D"/>
    <w:rsid w:val="00E361B1"/>
    <w:rsid w:val="00E36472"/>
    <w:rsid w:val="00E464A5"/>
    <w:rsid w:val="00E52081"/>
    <w:rsid w:val="00E52838"/>
    <w:rsid w:val="00E56466"/>
    <w:rsid w:val="00E57BB9"/>
    <w:rsid w:val="00E614E0"/>
    <w:rsid w:val="00E623AC"/>
    <w:rsid w:val="00E73F7F"/>
    <w:rsid w:val="00E753E8"/>
    <w:rsid w:val="00E85409"/>
    <w:rsid w:val="00E86156"/>
    <w:rsid w:val="00E90BB6"/>
    <w:rsid w:val="00E9339B"/>
    <w:rsid w:val="00E966D9"/>
    <w:rsid w:val="00EA40B9"/>
    <w:rsid w:val="00EA429F"/>
    <w:rsid w:val="00EA4F9E"/>
    <w:rsid w:val="00EA63CA"/>
    <w:rsid w:val="00EA6D3B"/>
    <w:rsid w:val="00EB00AD"/>
    <w:rsid w:val="00EB136C"/>
    <w:rsid w:val="00EB480E"/>
    <w:rsid w:val="00EB4895"/>
    <w:rsid w:val="00EB5EC6"/>
    <w:rsid w:val="00EB7FC9"/>
    <w:rsid w:val="00ED27E8"/>
    <w:rsid w:val="00ED7137"/>
    <w:rsid w:val="00EE0FC9"/>
    <w:rsid w:val="00EE2FA2"/>
    <w:rsid w:val="00EE56B2"/>
    <w:rsid w:val="00EE5AD6"/>
    <w:rsid w:val="00EF06EA"/>
    <w:rsid w:val="00EF4A65"/>
    <w:rsid w:val="00F043BC"/>
    <w:rsid w:val="00F07604"/>
    <w:rsid w:val="00F10DE4"/>
    <w:rsid w:val="00F11B25"/>
    <w:rsid w:val="00F1627E"/>
    <w:rsid w:val="00F2077A"/>
    <w:rsid w:val="00F21088"/>
    <w:rsid w:val="00F254D0"/>
    <w:rsid w:val="00F309F4"/>
    <w:rsid w:val="00F326BF"/>
    <w:rsid w:val="00F327E7"/>
    <w:rsid w:val="00F33021"/>
    <w:rsid w:val="00F35746"/>
    <w:rsid w:val="00F42683"/>
    <w:rsid w:val="00F447C7"/>
    <w:rsid w:val="00F459B4"/>
    <w:rsid w:val="00F46B0F"/>
    <w:rsid w:val="00F503BC"/>
    <w:rsid w:val="00F5211B"/>
    <w:rsid w:val="00F554A9"/>
    <w:rsid w:val="00F616E4"/>
    <w:rsid w:val="00F716FD"/>
    <w:rsid w:val="00F74A7B"/>
    <w:rsid w:val="00F76679"/>
    <w:rsid w:val="00F80355"/>
    <w:rsid w:val="00F80A54"/>
    <w:rsid w:val="00F87C43"/>
    <w:rsid w:val="00FA1E94"/>
    <w:rsid w:val="00FA5722"/>
    <w:rsid w:val="00FB0C81"/>
    <w:rsid w:val="00FB6EED"/>
    <w:rsid w:val="00FC163E"/>
    <w:rsid w:val="00FC1D10"/>
    <w:rsid w:val="00FC1F34"/>
    <w:rsid w:val="00FC2200"/>
    <w:rsid w:val="00FC2540"/>
    <w:rsid w:val="00FC3261"/>
    <w:rsid w:val="00FD4DB2"/>
    <w:rsid w:val="00FD5CEE"/>
    <w:rsid w:val="00FE55DD"/>
    <w:rsid w:val="00FE7254"/>
    <w:rsid w:val="00FF0204"/>
    <w:rsid w:val="00FF2FC8"/>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CA8507"/>
  <w15:docId w15:val="{E7B02E2C-4B34-4FD5-9AD3-3ABE05ABD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248"/>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unhideWhenUsed/>
    <w:rsid w:val="00B04161"/>
    <w:rPr>
      <w:b/>
      <w:bCs/>
    </w:rPr>
  </w:style>
  <w:style w:type="character" w:customStyle="1" w:styleId="CommentSubjectChar">
    <w:name w:val="Comment Subject Char"/>
    <w:basedOn w:val="CommentTextChar"/>
    <w:link w:val="CommentSubject"/>
    <w:uiPriority w:val="99"/>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Boston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number,Footnote reference number,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aliases w:val="EthylHeader Char"/>
    <w:link w:val="Header"/>
    <w:uiPriority w:val="99"/>
    <w:rsid w:val="006A24A7"/>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74A7B"/>
    <w:rPr>
      <w:sz w:val="22"/>
      <w:szCs w:val="22"/>
      <w:lang w:val="en-CA"/>
    </w:rPr>
  </w:style>
  <w:style w:type="character" w:customStyle="1" w:styleId="Heading3Char">
    <w:name w:val="Heading 3 Char"/>
    <w:basedOn w:val="DefaultParagraphFont"/>
    <w:qFormat/>
    <w:rsid w:val="00F74A7B"/>
    <w:rPr>
      <w:rFonts w:asciiTheme="minorHAnsi" w:eastAsiaTheme="majorEastAsia" w:hAnsiTheme="minorHAnsi" w:cstheme="majorBidi"/>
      <w:color w:val="365F91" w:themeColor="accent1" w:themeShade="BF"/>
      <w:sz w:val="28"/>
      <w:szCs w:val="28"/>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F74A7B"/>
    <w:rPr>
      <w:sz w:val="22"/>
      <w:szCs w:val="22"/>
      <w:lang w:val="en-CA"/>
    </w:rPr>
  </w:style>
  <w:style w:type="character" w:customStyle="1" w:styleId="Heading5Char">
    <w:name w:val="Heading 5 Char"/>
    <w:basedOn w:val="DefaultParagraphFont"/>
    <w:link w:val="Heading5"/>
    <w:rsid w:val="00F74A7B"/>
    <w:rPr>
      <w:sz w:val="22"/>
      <w:szCs w:val="22"/>
      <w:lang w:val="en-CA"/>
    </w:rPr>
  </w:style>
  <w:style w:type="character" w:customStyle="1" w:styleId="Heading6Char">
    <w:name w:val="Heading 6 Char"/>
    <w:basedOn w:val="DefaultParagraphFont"/>
    <w:link w:val="Heading6"/>
    <w:rsid w:val="00F74A7B"/>
    <w:rPr>
      <w:rFonts w:ascii="Arial" w:hAnsi="Arial"/>
      <w:i/>
      <w:sz w:val="22"/>
      <w:szCs w:val="22"/>
      <w:lang w:val="en-CA"/>
    </w:rPr>
  </w:style>
  <w:style w:type="character" w:customStyle="1" w:styleId="Heading7Char">
    <w:name w:val="Heading 7 Char"/>
    <w:basedOn w:val="DefaultParagraphFont"/>
    <w:link w:val="Heading7"/>
    <w:rsid w:val="00F74A7B"/>
    <w:rPr>
      <w:rFonts w:ascii="Arial" w:hAnsi="Arial"/>
      <w:sz w:val="22"/>
      <w:szCs w:val="22"/>
      <w:lang w:val="en-CA"/>
    </w:rPr>
  </w:style>
  <w:style w:type="character" w:customStyle="1" w:styleId="Heading8Char">
    <w:name w:val="Heading 8 Char"/>
    <w:basedOn w:val="DefaultParagraphFont"/>
    <w:link w:val="Heading8"/>
    <w:rsid w:val="00F74A7B"/>
    <w:rPr>
      <w:b/>
      <w:sz w:val="22"/>
      <w:szCs w:val="22"/>
      <w:lang w:val="en-CA"/>
    </w:rPr>
  </w:style>
  <w:style w:type="character" w:customStyle="1" w:styleId="Heading9Char">
    <w:name w:val="Heading 9 Char"/>
    <w:basedOn w:val="DefaultParagraphFont"/>
    <w:link w:val="Heading9"/>
    <w:rsid w:val="00F74A7B"/>
    <w:rPr>
      <w:rFonts w:ascii="Arial" w:hAnsi="Arial"/>
      <w:i/>
      <w:sz w:val="18"/>
      <w:szCs w:val="22"/>
      <w:lang w:val="en-CA"/>
    </w:rPr>
  </w:style>
  <w:style w:type="character" w:customStyle="1" w:styleId="FooterChar">
    <w:name w:val="Footer Char"/>
    <w:basedOn w:val="DefaultParagraphFont"/>
    <w:link w:val="Footer"/>
    <w:uiPriority w:val="99"/>
    <w:rsid w:val="00F74A7B"/>
    <w:rPr>
      <w:sz w:val="22"/>
      <w:szCs w:val="22"/>
      <w:lang w:val="en-CA"/>
    </w:rPr>
  </w:style>
  <w:style w:type="character" w:customStyle="1" w:styleId="BodyText3Char">
    <w:name w:val="Body Text 3 Char"/>
    <w:basedOn w:val="DefaultParagraphFont"/>
    <w:link w:val="BodyText3"/>
    <w:semiHidden/>
    <w:rsid w:val="00F74A7B"/>
    <w:rPr>
      <w:sz w:val="16"/>
      <w:szCs w:val="16"/>
      <w:lang w:val="en-CA"/>
    </w:rPr>
  </w:style>
  <w:style w:type="character" w:customStyle="1" w:styleId="BodyTextIndent3Char">
    <w:name w:val="Body Text Indent 3 Char"/>
    <w:basedOn w:val="DefaultParagraphFont"/>
    <w:link w:val="BodyTextIndent3"/>
    <w:semiHidden/>
    <w:rsid w:val="00F74A7B"/>
    <w:rPr>
      <w:sz w:val="16"/>
      <w:szCs w:val="16"/>
      <w:lang w:val="en-CA"/>
    </w:rPr>
  </w:style>
  <w:style w:type="character" w:customStyle="1" w:styleId="PlainTextChar">
    <w:name w:val="Plain Text Char"/>
    <w:basedOn w:val="DefaultParagraphFont"/>
    <w:link w:val="PlainText"/>
    <w:semiHidden/>
    <w:rsid w:val="00F74A7B"/>
    <w:rPr>
      <w:rFonts w:ascii="Courier New" w:hAnsi="Courier New" w:cs="Courier New"/>
      <w:szCs w:val="22"/>
      <w:lang w:val="en-CA"/>
    </w:rPr>
  </w:style>
  <w:style w:type="character" w:customStyle="1" w:styleId="SubtitleChar">
    <w:name w:val="Subtitle Char"/>
    <w:basedOn w:val="DefaultParagraphFont"/>
    <w:link w:val="Subtitle"/>
    <w:rsid w:val="00F74A7B"/>
    <w:rPr>
      <w:rFonts w:ascii="Arial" w:hAnsi="Arial" w:cs="Arial"/>
      <w:sz w:val="22"/>
      <w:szCs w:val="22"/>
      <w:lang w:val="en-CA"/>
    </w:rPr>
  </w:style>
  <w:style w:type="character" w:customStyle="1" w:styleId="TitleChar">
    <w:name w:val="Title Char"/>
    <w:basedOn w:val="DefaultParagraphFont"/>
    <w:link w:val="Title"/>
    <w:rsid w:val="00F74A7B"/>
    <w:rPr>
      <w:rFonts w:ascii="Arial" w:hAnsi="Arial" w:cs="Arial"/>
      <w:b/>
      <w:bCs/>
      <w:kern w:val="28"/>
      <w:sz w:val="22"/>
      <w:szCs w:val="22"/>
      <w:lang w:val="en-CA"/>
    </w:rPr>
  </w:style>
  <w:style w:type="character" w:customStyle="1" w:styleId="DateChar">
    <w:name w:val="Date Char"/>
    <w:basedOn w:val="DefaultParagraphFont"/>
    <w:link w:val="Date"/>
    <w:rsid w:val="00F74A7B"/>
    <w:rPr>
      <w:sz w:val="22"/>
      <w:szCs w:val="22"/>
      <w:lang w:val="en-CA"/>
    </w:rPr>
  </w:style>
  <w:style w:type="paragraph" w:styleId="ListParagraph">
    <w:name w:val="List Paragraph"/>
    <w:aliases w:val="(i) Indent 2,List Paragraph (numbered (a)) Char,List Paragraph Char Char Char,List Paragraph (numbered (a)),Use Case List Paragraph,List Paragraph2,Numbered List Paragraph,Main numbered paragraph,Bullet paras,ANNEX,列出段落YUAN"/>
    <w:basedOn w:val="Normal"/>
    <w:link w:val="ListParagraphChar"/>
    <w:uiPriority w:val="34"/>
    <w:qFormat/>
    <w:rsid w:val="00F74A7B"/>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74A7B"/>
    <w:pPr>
      <w:spacing w:after="160" w:line="240" w:lineRule="exact"/>
    </w:pPr>
    <w:rPr>
      <w:sz w:val="20"/>
      <w:szCs w:val="20"/>
      <w:vertAlign w:val="superscript"/>
      <w:lang w:val="en-US"/>
    </w:rPr>
  </w:style>
  <w:style w:type="paragraph" w:customStyle="1" w:styleId="CM28">
    <w:name w:val="CM28"/>
    <w:basedOn w:val="Normal"/>
    <w:next w:val="Normal"/>
    <w:rsid w:val="00F74A7B"/>
    <w:pPr>
      <w:widowControl w:val="0"/>
      <w:autoSpaceDE w:val="0"/>
      <w:autoSpaceDN w:val="0"/>
      <w:adjustRightInd w:val="0"/>
      <w:spacing w:after="223"/>
      <w:jc w:val="left"/>
    </w:pPr>
    <w:rPr>
      <w:sz w:val="24"/>
      <w:szCs w:val="24"/>
      <w:lang w:val="en-US"/>
    </w:rPr>
  </w:style>
  <w:style w:type="character" w:customStyle="1" w:styleId="normaltextrun">
    <w:name w:val="normaltextrun"/>
    <w:basedOn w:val="DefaultParagraphFont"/>
    <w:rsid w:val="00F74A7B"/>
  </w:style>
  <w:style w:type="numbering" w:customStyle="1" w:styleId="ArticleSection114">
    <w:name w:val="Article / Section114"/>
    <w:rsid w:val="00F74A7B"/>
  </w:style>
  <w:style w:type="character" w:styleId="PageNumber">
    <w:name w:val="page number"/>
    <w:basedOn w:val="DefaultParagraphFont"/>
    <w:rsid w:val="00F74A7B"/>
    <w:rPr>
      <w:rFonts w:ascii="Times New Roman" w:hAnsi="Times New Roman"/>
      <w:b/>
      <w:sz w:val="18"/>
    </w:rPr>
  </w:style>
  <w:style w:type="table" w:customStyle="1" w:styleId="Tabledocright">
    <w:name w:val="Table_doc_right"/>
    <w:basedOn w:val="TableNormal"/>
    <w:rsid w:val="00F74A7B"/>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F74A7B"/>
    <w:pPr>
      <w:tabs>
        <w:tab w:val="left" w:pos="1247"/>
      </w:tabs>
      <w:ind w:left="1000"/>
      <w:jc w:val="left"/>
    </w:pPr>
    <w:rPr>
      <w:sz w:val="18"/>
      <w:szCs w:val="18"/>
      <w:lang w:val="en-GB"/>
    </w:rPr>
  </w:style>
  <w:style w:type="paragraph" w:styleId="TOC7">
    <w:name w:val="toc 7"/>
    <w:basedOn w:val="Normal"/>
    <w:next w:val="Normal"/>
    <w:autoRedefine/>
    <w:semiHidden/>
    <w:rsid w:val="00F74A7B"/>
    <w:pPr>
      <w:tabs>
        <w:tab w:val="left" w:pos="1247"/>
      </w:tabs>
      <w:ind w:left="1200"/>
      <w:jc w:val="left"/>
    </w:pPr>
    <w:rPr>
      <w:sz w:val="18"/>
      <w:szCs w:val="18"/>
      <w:lang w:val="en-GB"/>
    </w:rPr>
  </w:style>
  <w:style w:type="paragraph" w:styleId="TOC8">
    <w:name w:val="toc 8"/>
    <w:basedOn w:val="Normal"/>
    <w:next w:val="Normal"/>
    <w:autoRedefine/>
    <w:semiHidden/>
    <w:rsid w:val="00F74A7B"/>
    <w:pPr>
      <w:tabs>
        <w:tab w:val="left" w:pos="1247"/>
      </w:tabs>
      <w:ind w:left="1400"/>
      <w:jc w:val="left"/>
    </w:pPr>
    <w:rPr>
      <w:sz w:val="18"/>
      <w:szCs w:val="18"/>
      <w:lang w:val="en-GB"/>
    </w:rPr>
  </w:style>
  <w:style w:type="paragraph" w:styleId="TOC9">
    <w:name w:val="toc 9"/>
    <w:basedOn w:val="Normal"/>
    <w:next w:val="Normal"/>
    <w:autoRedefine/>
    <w:semiHidden/>
    <w:rsid w:val="00F74A7B"/>
    <w:pPr>
      <w:tabs>
        <w:tab w:val="left" w:pos="1247"/>
      </w:tabs>
      <w:ind w:left="1600"/>
      <w:jc w:val="left"/>
    </w:pPr>
    <w:rPr>
      <w:sz w:val="18"/>
      <w:szCs w:val="18"/>
      <w:lang w:val="en-GB"/>
    </w:rPr>
  </w:style>
  <w:style w:type="paragraph" w:customStyle="1" w:styleId="Titlefigure">
    <w:name w:val="Title_figure"/>
    <w:basedOn w:val="Titletable"/>
    <w:next w:val="NormalNonumber"/>
    <w:rsid w:val="00F74A7B"/>
    <w:rPr>
      <w:bCs w:val="0"/>
    </w:rPr>
  </w:style>
  <w:style w:type="paragraph" w:styleId="TableofFigures">
    <w:name w:val="table of figures"/>
    <w:basedOn w:val="Normal"/>
    <w:next w:val="Normal"/>
    <w:autoRedefine/>
    <w:semiHidden/>
    <w:rsid w:val="00F74A7B"/>
    <w:pPr>
      <w:tabs>
        <w:tab w:val="left" w:pos="1247"/>
      </w:tabs>
      <w:ind w:left="1814" w:hanging="567"/>
      <w:jc w:val="left"/>
    </w:pPr>
    <w:rPr>
      <w:sz w:val="20"/>
      <w:szCs w:val="20"/>
      <w:lang w:val="en-GB"/>
    </w:rPr>
  </w:style>
  <w:style w:type="paragraph" w:customStyle="1" w:styleId="CH1">
    <w:name w:val="CH1"/>
    <w:basedOn w:val="Normalpool"/>
    <w:next w:val="CH2"/>
    <w:link w:val="CH1Char"/>
    <w:qFormat/>
    <w:rsid w:val="00F74A7B"/>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link w:val="CH2Char"/>
    <w:rsid w:val="00F74A7B"/>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F74A7B"/>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F74A7B"/>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F74A7B"/>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F74A7B"/>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F74A7B"/>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semiHidden/>
    <w:rsid w:val="00F74A7B"/>
    <w:pPr>
      <w:pBdr>
        <w:bottom w:val="single" w:sz="4" w:space="1" w:color="auto"/>
      </w:pBdr>
      <w:tabs>
        <w:tab w:val="left" w:pos="1247"/>
        <w:tab w:val="center" w:pos="4536"/>
        <w:tab w:val="right" w:pos="9072"/>
      </w:tabs>
      <w:spacing w:after="120"/>
      <w:jc w:val="left"/>
    </w:pPr>
    <w:rPr>
      <w:b/>
      <w:sz w:val="18"/>
      <w:szCs w:val="20"/>
      <w:lang w:val="en-GB"/>
    </w:rPr>
  </w:style>
  <w:style w:type="paragraph" w:customStyle="1" w:styleId="Normalpool">
    <w:name w:val="Normal_pool"/>
    <w:link w:val="NormalpoolChar"/>
    <w:rsid w:val="00F74A7B"/>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F74A7B"/>
    <w:pPr>
      <w:tabs>
        <w:tab w:val="left" w:pos="4321"/>
        <w:tab w:val="right" w:pos="8641"/>
      </w:tabs>
      <w:spacing w:before="60" w:after="120"/>
    </w:pPr>
    <w:rPr>
      <w:b/>
      <w:sz w:val="18"/>
    </w:rPr>
  </w:style>
  <w:style w:type="paragraph" w:customStyle="1" w:styleId="Header-pool">
    <w:name w:val="Header-pool"/>
    <w:basedOn w:val="Normal-pool"/>
    <w:next w:val="Normal-pool"/>
    <w:rsid w:val="00F74A7B"/>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qFormat/>
    <w:rsid w:val="00F74A7B"/>
    <w:pPr>
      <w:tabs>
        <w:tab w:val="left" w:pos="1247"/>
        <w:tab w:val="left" w:pos="1814"/>
        <w:tab w:val="left" w:pos="2381"/>
        <w:tab w:val="left" w:pos="2948"/>
        <w:tab w:val="left" w:pos="3515"/>
        <w:tab w:val="left" w:pos="4082"/>
      </w:tabs>
    </w:pPr>
    <w:rPr>
      <w:lang w:val="en-GB"/>
    </w:rPr>
  </w:style>
  <w:style w:type="character" w:customStyle="1" w:styleId="CH2Char">
    <w:name w:val="CH2 Char"/>
    <w:link w:val="CH2"/>
    <w:locked/>
    <w:rsid w:val="00F74A7B"/>
    <w:rPr>
      <w:b/>
      <w:sz w:val="24"/>
      <w:szCs w:val="24"/>
      <w:lang w:val="en-GB"/>
    </w:rPr>
  </w:style>
  <w:style w:type="character" w:customStyle="1" w:styleId="NormalnumberChar">
    <w:name w:val="Normal_number Char"/>
    <w:link w:val="Normalnumber"/>
    <w:locked/>
    <w:rsid w:val="00F74A7B"/>
    <w:rPr>
      <w:lang w:val="en-GB"/>
    </w:rPr>
  </w:style>
  <w:style w:type="paragraph" w:styleId="NormalWeb">
    <w:name w:val="Normal (Web)"/>
    <w:basedOn w:val="Normal"/>
    <w:unhideWhenUsed/>
    <w:rsid w:val="00F74A7B"/>
    <w:pPr>
      <w:spacing w:before="100" w:beforeAutospacing="1" w:after="100" w:afterAutospacing="1"/>
      <w:jc w:val="left"/>
    </w:pPr>
    <w:rPr>
      <w:sz w:val="24"/>
      <w:szCs w:val="24"/>
      <w:lang w:val="en-US" w:eastAsia="zh-CN"/>
    </w:rPr>
  </w:style>
  <w:style w:type="character" w:styleId="Emphasis">
    <w:name w:val="Emphasis"/>
    <w:qFormat/>
    <w:rsid w:val="00F74A7B"/>
    <w:rPr>
      <w:i/>
      <w:iCs/>
    </w:rPr>
  </w:style>
  <w:style w:type="character" w:styleId="FollowedHyperlink">
    <w:name w:val="FollowedHyperlink"/>
    <w:uiPriority w:val="99"/>
    <w:unhideWhenUsed/>
    <w:rsid w:val="00F74A7B"/>
    <w:rPr>
      <w:color w:val="954F72"/>
      <w:u w:val="single"/>
    </w:rPr>
  </w:style>
  <w:style w:type="paragraph" w:customStyle="1" w:styleId="xl63">
    <w:name w:val="xl63"/>
    <w:basedOn w:val="Normal"/>
    <w:rsid w:val="00F74A7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lang w:val="en-GB"/>
    </w:rPr>
  </w:style>
  <w:style w:type="paragraph" w:customStyle="1" w:styleId="xl64">
    <w:name w:val="xl64"/>
    <w:basedOn w:val="Normal"/>
    <w:rsid w:val="00F74A7B"/>
    <w:pPr>
      <w:spacing w:before="100" w:beforeAutospacing="1" w:after="100" w:afterAutospacing="1"/>
      <w:jc w:val="left"/>
    </w:pPr>
    <w:rPr>
      <w:rFonts w:ascii="Roboto" w:hAnsi="Roboto"/>
      <w:sz w:val="16"/>
      <w:szCs w:val="16"/>
      <w:lang w:val="en-GB"/>
    </w:rPr>
  </w:style>
  <w:style w:type="paragraph" w:customStyle="1" w:styleId="xl65">
    <w:name w:val="xl65"/>
    <w:basedOn w:val="Normal"/>
    <w:rsid w:val="00F74A7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lang w:val="en-GB"/>
    </w:rPr>
  </w:style>
  <w:style w:type="paragraph" w:customStyle="1" w:styleId="xl66">
    <w:name w:val="xl66"/>
    <w:basedOn w:val="Normal"/>
    <w:rsid w:val="00F74A7B"/>
    <w:pPr>
      <w:spacing w:before="100" w:beforeAutospacing="1" w:after="100" w:afterAutospacing="1"/>
      <w:jc w:val="left"/>
    </w:pPr>
    <w:rPr>
      <w:rFonts w:ascii="Roboto" w:hAnsi="Roboto"/>
      <w:sz w:val="16"/>
      <w:szCs w:val="16"/>
      <w:lang w:val="en-GB"/>
    </w:rPr>
  </w:style>
  <w:style w:type="paragraph" w:customStyle="1" w:styleId="xl67">
    <w:name w:val="xl67"/>
    <w:basedOn w:val="Normal"/>
    <w:rsid w:val="00F74A7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lang w:val="en-GB"/>
    </w:rPr>
  </w:style>
  <w:style w:type="paragraph" w:customStyle="1" w:styleId="xl68">
    <w:name w:val="xl68"/>
    <w:basedOn w:val="Normal"/>
    <w:rsid w:val="00F74A7B"/>
    <w:pPr>
      <w:spacing w:before="100" w:beforeAutospacing="1" w:after="100" w:afterAutospacing="1"/>
      <w:jc w:val="left"/>
    </w:pPr>
    <w:rPr>
      <w:rFonts w:ascii="Roboto" w:hAnsi="Roboto"/>
      <w:b/>
      <w:bCs/>
      <w:sz w:val="16"/>
      <w:szCs w:val="16"/>
      <w:lang w:val="en-GB"/>
    </w:rPr>
  </w:style>
  <w:style w:type="paragraph" w:customStyle="1" w:styleId="xl69">
    <w:name w:val="xl69"/>
    <w:basedOn w:val="Normal"/>
    <w:rsid w:val="00F74A7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lang w:val="en-GB"/>
    </w:rPr>
  </w:style>
  <w:style w:type="paragraph" w:customStyle="1" w:styleId="xl70">
    <w:name w:val="xl70"/>
    <w:basedOn w:val="Normal"/>
    <w:rsid w:val="00F74A7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lang w:val="en-GB"/>
    </w:rPr>
  </w:style>
  <w:style w:type="paragraph" w:customStyle="1" w:styleId="xl71">
    <w:name w:val="xl71"/>
    <w:basedOn w:val="Normal"/>
    <w:rsid w:val="00F74A7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lang w:val="en-GB"/>
    </w:rPr>
  </w:style>
  <w:style w:type="paragraph" w:customStyle="1" w:styleId="xl72">
    <w:name w:val="xl72"/>
    <w:basedOn w:val="Normal"/>
    <w:rsid w:val="00F74A7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b/>
      <w:bCs/>
      <w:sz w:val="16"/>
      <w:szCs w:val="16"/>
      <w:lang w:val="en-GB"/>
    </w:rPr>
  </w:style>
  <w:style w:type="paragraph" w:customStyle="1" w:styleId="xl73">
    <w:name w:val="xl73"/>
    <w:basedOn w:val="Normal"/>
    <w:rsid w:val="00F74A7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sz w:val="16"/>
      <w:szCs w:val="16"/>
      <w:lang w:val="en-GB"/>
    </w:rPr>
  </w:style>
  <w:style w:type="paragraph" w:customStyle="1" w:styleId="xl74">
    <w:name w:val="xl74"/>
    <w:basedOn w:val="Normal"/>
    <w:rsid w:val="00F74A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Roboto" w:hAnsi="Roboto"/>
      <w:sz w:val="16"/>
      <w:szCs w:val="16"/>
      <w:lang w:val="en-GB"/>
    </w:rPr>
  </w:style>
  <w:style w:type="paragraph" w:customStyle="1" w:styleId="xl75">
    <w:name w:val="xl75"/>
    <w:basedOn w:val="Normal"/>
    <w:rsid w:val="00F74A7B"/>
    <w:pPr>
      <w:spacing w:before="100" w:beforeAutospacing="1" w:after="100" w:afterAutospacing="1"/>
      <w:jc w:val="center"/>
    </w:pPr>
    <w:rPr>
      <w:rFonts w:ascii="Roboto" w:hAnsi="Roboto"/>
      <w:sz w:val="16"/>
      <w:szCs w:val="16"/>
      <w:lang w:val="en-GB"/>
    </w:rPr>
  </w:style>
  <w:style w:type="paragraph" w:styleId="EndnoteText">
    <w:name w:val="endnote text"/>
    <w:basedOn w:val="Normal"/>
    <w:link w:val="EndnoteTextChar"/>
    <w:uiPriority w:val="99"/>
    <w:rsid w:val="00F74A7B"/>
    <w:pPr>
      <w:widowControl w:val="0"/>
      <w:tabs>
        <w:tab w:val="left" w:pos="-720"/>
      </w:tabs>
      <w:suppressAutoHyphens/>
      <w:overflowPunct w:val="0"/>
      <w:autoSpaceDE w:val="0"/>
      <w:autoSpaceDN w:val="0"/>
      <w:adjustRightInd w:val="0"/>
      <w:jc w:val="left"/>
      <w:textAlignment w:val="baseline"/>
    </w:pPr>
    <w:rPr>
      <w:rFonts w:ascii="Courier" w:hAnsi="Courier"/>
      <w:sz w:val="24"/>
      <w:szCs w:val="20"/>
      <w:lang w:val="en-US"/>
    </w:rPr>
  </w:style>
  <w:style w:type="character" w:customStyle="1" w:styleId="EndnoteTextChar">
    <w:name w:val="Endnote Text Char"/>
    <w:basedOn w:val="DefaultParagraphFont"/>
    <w:link w:val="EndnoteText"/>
    <w:uiPriority w:val="99"/>
    <w:rsid w:val="00F74A7B"/>
    <w:rPr>
      <w:rFonts w:ascii="Courier" w:hAnsi="Courier"/>
      <w:sz w:val="24"/>
    </w:rPr>
  </w:style>
  <w:style w:type="character" w:styleId="EndnoteReference">
    <w:name w:val="endnote reference"/>
    <w:uiPriority w:val="99"/>
    <w:rsid w:val="00F74A7B"/>
    <w:rPr>
      <w:vertAlign w:val="superscript"/>
    </w:rPr>
  </w:style>
  <w:style w:type="character" w:customStyle="1" w:styleId="DefaultPara">
    <w:name w:val="Default Para"/>
    <w:rsid w:val="00F74A7B"/>
  </w:style>
  <w:style w:type="character" w:customStyle="1" w:styleId="endnoterefe">
    <w:name w:val="endnote refe"/>
    <w:rsid w:val="00F74A7B"/>
    <w:rPr>
      <w:rFonts w:ascii="Courier" w:hAnsi="Courier"/>
      <w:noProof w:val="0"/>
      <w:sz w:val="24"/>
      <w:vertAlign w:val="superscript"/>
      <w:lang w:val="en-US"/>
    </w:rPr>
  </w:style>
  <w:style w:type="paragraph" w:customStyle="1" w:styleId="footnotetex">
    <w:name w:val="footnote tex"/>
    <w:rsid w:val="00F74A7B"/>
    <w:pPr>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footnoteref">
    <w:name w:val="footnote ref"/>
    <w:rsid w:val="00F74A7B"/>
    <w:rPr>
      <w:rFonts w:ascii="Courier" w:hAnsi="Courier"/>
      <w:noProof w:val="0"/>
      <w:sz w:val="24"/>
      <w:vertAlign w:val="superscript"/>
      <w:lang w:val="en-US"/>
    </w:rPr>
  </w:style>
  <w:style w:type="character" w:customStyle="1" w:styleId="EquationCa">
    <w:name w:val="_Equation Ca"/>
    <w:rsid w:val="00F74A7B"/>
  </w:style>
  <w:style w:type="paragraph" w:customStyle="1" w:styleId="MSNormal">
    <w:name w:val="MSNormal"/>
    <w:rsid w:val="00F74A7B"/>
    <w:pPr>
      <w:widowControl w:val="0"/>
      <w:tabs>
        <w:tab w:val="left" w:pos="0"/>
      </w:tabs>
      <w:suppressAutoHyphens/>
      <w:overflowPunct w:val="0"/>
      <w:autoSpaceDE w:val="0"/>
      <w:autoSpaceDN w:val="0"/>
      <w:adjustRightInd w:val="0"/>
      <w:textAlignment w:val="baseline"/>
    </w:pPr>
    <w:rPr>
      <w:rFonts w:ascii="Arial" w:hAnsi="Arial"/>
      <w:sz w:val="24"/>
    </w:rPr>
  </w:style>
  <w:style w:type="character" w:customStyle="1" w:styleId="a">
    <w:name w:val="•"/>
    <w:rsid w:val="00F74A7B"/>
  </w:style>
  <w:style w:type="character" w:customStyle="1" w:styleId="Document8">
    <w:name w:val="Document 8"/>
    <w:rsid w:val="00F74A7B"/>
  </w:style>
  <w:style w:type="character" w:customStyle="1" w:styleId="Document4">
    <w:name w:val="Document 4"/>
    <w:rsid w:val="00F74A7B"/>
    <w:rPr>
      <w:b/>
      <w:i/>
      <w:sz w:val="24"/>
    </w:rPr>
  </w:style>
  <w:style w:type="character" w:customStyle="1" w:styleId="Document6">
    <w:name w:val="Document 6"/>
    <w:rsid w:val="00F74A7B"/>
  </w:style>
  <w:style w:type="character" w:customStyle="1" w:styleId="Document5">
    <w:name w:val="Document 5"/>
    <w:rsid w:val="00F74A7B"/>
  </w:style>
  <w:style w:type="character" w:customStyle="1" w:styleId="Document2">
    <w:name w:val="Document 2"/>
    <w:rsid w:val="00F74A7B"/>
    <w:rPr>
      <w:rFonts w:ascii="Courier" w:hAnsi="Courier"/>
      <w:noProof w:val="0"/>
      <w:sz w:val="24"/>
      <w:lang w:val="en-US"/>
    </w:rPr>
  </w:style>
  <w:style w:type="character" w:customStyle="1" w:styleId="Document7">
    <w:name w:val="Document 7"/>
    <w:rsid w:val="00F74A7B"/>
  </w:style>
  <w:style w:type="character" w:customStyle="1" w:styleId="Bibliogrphy">
    <w:name w:val="Bibliogrphy"/>
    <w:rsid w:val="00F74A7B"/>
  </w:style>
  <w:style w:type="character" w:customStyle="1" w:styleId="RightPar1">
    <w:name w:val="Right Par 1"/>
    <w:rsid w:val="00F74A7B"/>
  </w:style>
  <w:style w:type="character" w:customStyle="1" w:styleId="RightPar2">
    <w:name w:val="Right Par 2"/>
    <w:rsid w:val="00F74A7B"/>
  </w:style>
  <w:style w:type="character" w:customStyle="1" w:styleId="Document3">
    <w:name w:val="Document 3"/>
    <w:rsid w:val="00F74A7B"/>
    <w:rPr>
      <w:rFonts w:ascii="Courier" w:hAnsi="Courier"/>
      <w:noProof w:val="0"/>
      <w:sz w:val="24"/>
      <w:lang w:val="en-US"/>
    </w:rPr>
  </w:style>
  <w:style w:type="character" w:customStyle="1" w:styleId="RightPar3">
    <w:name w:val="Right Par 3"/>
    <w:rsid w:val="00F74A7B"/>
  </w:style>
  <w:style w:type="character" w:customStyle="1" w:styleId="RightPar4">
    <w:name w:val="Right Par 4"/>
    <w:rsid w:val="00F74A7B"/>
  </w:style>
  <w:style w:type="character" w:customStyle="1" w:styleId="RightPar5">
    <w:name w:val="Right Par 5"/>
    <w:rsid w:val="00F74A7B"/>
  </w:style>
  <w:style w:type="character" w:customStyle="1" w:styleId="RightPar6">
    <w:name w:val="Right Par 6"/>
    <w:rsid w:val="00F74A7B"/>
  </w:style>
  <w:style w:type="character" w:customStyle="1" w:styleId="RightPar7">
    <w:name w:val="Right Par 7"/>
    <w:rsid w:val="00F74A7B"/>
  </w:style>
  <w:style w:type="character" w:customStyle="1" w:styleId="RightPar8">
    <w:name w:val="Right Par 8"/>
    <w:rsid w:val="00F74A7B"/>
  </w:style>
  <w:style w:type="paragraph" w:customStyle="1" w:styleId="Document1">
    <w:name w:val="Document 1"/>
    <w:rsid w:val="00F74A7B"/>
    <w:pPr>
      <w:keepNext/>
      <w:keepLines/>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DocInit">
    <w:name w:val="Doc Init"/>
    <w:rsid w:val="00F74A7B"/>
  </w:style>
  <w:style w:type="character" w:customStyle="1" w:styleId="TechInit">
    <w:name w:val="Tech Init"/>
    <w:rsid w:val="00F74A7B"/>
    <w:rPr>
      <w:rFonts w:ascii="Courier" w:hAnsi="Courier"/>
      <w:noProof w:val="0"/>
      <w:sz w:val="24"/>
      <w:lang w:val="en-US"/>
    </w:rPr>
  </w:style>
  <w:style w:type="character" w:customStyle="1" w:styleId="Technical5">
    <w:name w:val="Technical 5"/>
    <w:rsid w:val="00F74A7B"/>
  </w:style>
  <w:style w:type="character" w:customStyle="1" w:styleId="Technical6">
    <w:name w:val="Technical 6"/>
    <w:rsid w:val="00F74A7B"/>
  </w:style>
  <w:style w:type="character" w:customStyle="1" w:styleId="Technical2">
    <w:name w:val="Technical 2"/>
    <w:rsid w:val="00F74A7B"/>
    <w:rPr>
      <w:rFonts w:ascii="Courier" w:hAnsi="Courier"/>
      <w:noProof w:val="0"/>
      <w:sz w:val="24"/>
      <w:lang w:val="en-US"/>
    </w:rPr>
  </w:style>
  <w:style w:type="character" w:customStyle="1" w:styleId="Technical3">
    <w:name w:val="Technical 3"/>
    <w:rsid w:val="00F74A7B"/>
    <w:rPr>
      <w:rFonts w:ascii="Courier" w:hAnsi="Courier"/>
      <w:noProof w:val="0"/>
      <w:sz w:val="24"/>
      <w:lang w:val="en-US"/>
    </w:rPr>
  </w:style>
  <w:style w:type="character" w:customStyle="1" w:styleId="Technical4">
    <w:name w:val="Technical 4"/>
    <w:rsid w:val="00F74A7B"/>
  </w:style>
  <w:style w:type="character" w:customStyle="1" w:styleId="Technical1">
    <w:name w:val="Technical 1"/>
    <w:rsid w:val="00F74A7B"/>
    <w:rPr>
      <w:rFonts w:ascii="Courier" w:hAnsi="Courier"/>
      <w:noProof w:val="0"/>
      <w:sz w:val="24"/>
      <w:lang w:val="en-US"/>
    </w:rPr>
  </w:style>
  <w:style w:type="character" w:customStyle="1" w:styleId="Technical7">
    <w:name w:val="Technical 7"/>
    <w:rsid w:val="00F74A7B"/>
  </w:style>
  <w:style w:type="character" w:customStyle="1" w:styleId="Technical8">
    <w:name w:val="Technical 8"/>
    <w:rsid w:val="00F74A7B"/>
  </w:style>
  <w:style w:type="paragraph" w:styleId="Index1">
    <w:name w:val="index 1"/>
    <w:basedOn w:val="Normal"/>
    <w:next w:val="Normal"/>
    <w:rsid w:val="00F74A7B"/>
    <w:pPr>
      <w:widowControl w:val="0"/>
      <w:tabs>
        <w:tab w:val="right" w:leader="dot" w:pos="9360"/>
      </w:tabs>
      <w:suppressAutoHyphens/>
      <w:overflowPunct w:val="0"/>
      <w:autoSpaceDE w:val="0"/>
      <w:autoSpaceDN w:val="0"/>
      <w:adjustRightInd w:val="0"/>
      <w:ind w:left="1440" w:right="720" w:hanging="1440"/>
      <w:jc w:val="left"/>
      <w:textAlignment w:val="baseline"/>
    </w:pPr>
    <w:rPr>
      <w:rFonts w:ascii="Courier" w:hAnsi="Courier"/>
      <w:sz w:val="24"/>
      <w:szCs w:val="20"/>
      <w:lang w:val="en-US"/>
    </w:rPr>
  </w:style>
  <w:style w:type="paragraph" w:styleId="Index2">
    <w:name w:val="index 2"/>
    <w:basedOn w:val="Normal"/>
    <w:next w:val="Normal"/>
    <w:rsid w:val="00F74A7B"/>
    <w:pPr>
      <w:widowControl w:val="0"/>
      <w:tabs>
        <w:tab w:val="right" w:leader="dot" w:pos="9360"/>
      </w:tabs>
      <w:suppressAutoHyphens/>
      <w:overflowPunct w:val="0"/>
      <w:autoSpaceDE w:val="0"/>
      <w:autoSpaceDN w:val="0"/>
      <w:adjustRightInd w:val="0"/>
      <w:ind w:left="1440" w:right="720" w:hanging="720"/>
      <w:jc w:val="left"/>
      <w:textAlignment w:val="baseline"/>
    </w:pPr>
    <w:rPr>
      <w:rFonts w:ascii="Courier" w:hAnsi="Courier"/>
      <w:sz w:val="24"/>
      <w:szCs w:val="20"/>
      <w:lang w:val="en-US"/>
    </w:rPr>
  </w:style>
  <w:style w:type="paragraph" w:styleId="TOAHeading">
    <w:name w:val="toa heading"/>
    <w:basedOn w:val="Normal"/>
    <w:next w:val="Normal"/>
    <w:rsid w:val="00F74A7B"/>
    <w:pPr>
      <w:widowControl w:val="0"/>
      <w:tabs>
        <w:tab w:val="right" w:pos="9360"/>
      </w:tabs>
      <w:suppressAutoHyphens/>
      <w:overflowPunct w:val="0"/>
      <w:autoSpaceDE w:val="0"/>
      <w:autoSpaceDN w:val="0"/>
      <w:adjustRightInd w:val="0"/>
      <w:jc w:val="left"/>
      <w:textAlignment w:val="baseline"/>
    </w:pPr>
    <w:rPr>
      <w:rFonts w:ascii="Courier" w:hAnsi="Courier"/>
      <w:sz w:val="24"/>
      <w:szCs w:val="20"/>
      <w:lang w:val="en-US"/>
    </w:rPr>
  </w:style>
  <w:style w:type="paragraph" w:styleId="Caption">
    <w:name w:val="caption"/>
    <w:basedOn w:val="Normal"/>
    <w:next w:val="Normal"/>
    <w:qFormat/>
    <w:rsid w:val="00F74A7B"/>
    <w:pPr>
      <w:widowControl w:val="0"/>
      <w:overflowPunct w:val="0"/>
      <w:autoSpaceDE w:val="0"/>
      <w:autoSpaceDN w:val="0"/>
      <w:adjustRightInd w:val="0"/>
      <w:jc w:val="left"/>
      <w:textAlignment w:val="baseline"/>
    </w:pPr>
    <w:rPr>
      <w:rFonts w:ascii="Courier" w:hAnsi="Courier"/>
      <w:sz w:val="24"/>
      <w:szCs w:val="20"/>
      <w:lang w:val="en-GB"/>
    </w:rPr>
  </w:style>
  <w:style w:type="character" w:customStyle="1" w:styleId="EquationCaption">
    <w:name w:val="_Equation Caption"/>
    <w:rsid w:val="00F74A7B"/>
  </w:style>
  <w:style w:type="paragraph" w:styleId="Revision">
    <w:name w:val="Revision"/>
    <w:hidden/>
    <w:uiPriority w:val="99"/>
    <w:semiHidden/>
    <w:rsid w:val="00F74A7B"/>
    <w:rPr>
      <w:rFonts w:ascii="Courier" w:hAnsi="Courier"/>
      <w:sz w:val="24"/>
      <w:lang w:val="en-GB"/>
    </w:rPr>
  </w:style>
  <w:style w:type="paragraph" w:customStyle="1" w:styleId="font0">
    <w:name w:val="font0"/>
    <w:basedOn w:val="Normal"/>
    <w:rsid w:val="00F74A7B"/>
    <w:pPr>
      <w:spacing w:before="100" w:beforeAutospacing="1" w:after="100" w:afterAutospacing="1"/>
      <w:jc w:val="left"/>
    </w:pPr>
    <w:rPr>
      <w:rFonts w:ascii="Arial" w:hAnsi="Arial" w:cs="Arial"/>
      <w:sz w:val="18"/>
      <w:szCs w:val="18"/>
      <w:lang w:val="en-US" w:eastAsia="zh-CN"/>
    </w:rPr>
  </w:style>
  <w:style w:type="paragraph" w:customStyle="1" w:styleId="font5">
    <w:name w:val="font5"/>
    <w:basedOn w:val="Normal"/>
    <w:rsid w:val="00F74A7B"/>
    <w:pPr>
      <w:spacing w:before="100" w:beforeAutospacing="1" w:after="100" w:afterAutospacing="1"/>
      <w:jc w:val="left"/>
    </w:pPr>
    <w:rPr>
      <w:rFonts w:ascii="Arial" w:hAnsi="Arial" w:cs="Arial"/>
      <w:b/>
      <w:bCs/>
      <w:sz w:val="18"/>
      <w:szCs w:val="18"/>
      <w:lang w:val="en-US" w:eastAsia="zh-CN"/>
    </w:rPr>
  </w:style>
  <w:style w:type="paragraph" w:customStyle="1" w:styleId="font6">
    <w:name w:val="font6"/>
    <w:basedOn w:val="Normal"/>
    <w:rsid w:val="00F74A7B"/>
    <w:pPr>
      <w:spacing w:before="100" w:beforeAutospacing="1" w:after="100" w:afterAutospacing="1"/>
      <w:jc w:val="left"/>
    </w:pPr>
    <w:rPr>
      <w:rFonts w:ascii="Arial" w:hAnsi="Arial" w:cs="Arial"/>
      <w:sz w:val="18"/>
      <w:szCs w:val="18"/>
      <w:lang w:val="en-US" w:eastAsia="zh-CN"/>
    </w:rPr>
  </w:style>
  <w:style w:type="paragraph" w:customStyle="1" w:styleId="font7">
    <w:name w:val="font7"/>
    <w:basedOn w:val="Normal"/>
    <w:rsid w:val="00F74A7B"/>
    <w:pPr>
      <w:spacing w:before="100" w:beforeAutospacing="1" w:after="100" w:afterAutospacing="1"/>
      <w:jc w:val="left"/>
    </w:pPr>
    <w:rPr>
      <w:rFonts w:ascii="Arial" w:hAnsi="Arial" w:cs="Arial"/>
      <w:sz w:val="18"/>
      <w:szCs w:val="18"/>
      <w:u w:val="single"/>
      <w:lang w:val="en-US" w:eastAsia="zh-CN"/>
    </w:rPr>
  </w:style>
  <w:style w:type="paragraph" w:customStyle="1" w:styleId="font8">
    <w:name w:val="font8"/>
    <w:basedOn w:val="Normal"/>
    <w:rsid w:val="00F74A7B"/>
    <w:pPr>
      <w:spacing w:before="100" w:beforeAutospacing="1" w:after="100" w:afterAutospacing="1"/>
      <w:jc w:val="left"/>
    </w:pPr>
    <w:rPr>
      <w:rFonts w:ascii="Arial" w:hAnsi="Arial" w:cs="Arial"/>
      <w:b/>
      <w:bCs/>
      <w:sz w:val="18"/>
      <w:szCs w:val="18"/>
      <w:u w:val="single"/>
      <w:lang w:val="en-US" w:eastAsia="zh-CN"/>
    </w:rPr>
  </w:style>
  <w:style w:type="paragraph" w:customStyle="1" w:styleId="font9">
    <w:name w:val="font9"/>
    <w:basedOn w:val="Normal"/>
    <w:rsid w:val="00F74A7B"/>
    <w:pPr>
      <w:spacing w:before="100" w:beforeAutospacing="1" w:after="100" w:afterAutospacing="1"/>
      <w:jc w:val="left"/>
    </w:pPr>
    <w:rPr>
      <w:rFonts w:ascii="Arial" w:hAnsi="Arial" w:cs="Arial"/>
      <w:b/>
      <w:bCs/>
      <w:color w:val="FF0000"/>
      <w:sz w:val="18"/>
      <w:szCs w:val="18"/>
      <w:lang w:val="en-US" w:eastAsia="zh-CN"/>
    </w:rPr>
  </w:style>
  <w:style w:type="paragraph" w:customStyle="1" w:styleId="font10">
    <w:name w:val="font10"/>
    <w:basedOn w:val="Normal"/>
    <w:rsid w:val="00F74A7B"/>
    <w:pPr>
      <w:spacing w:before="100" w:beforeAutospacing="1" w:after="100" w:afterAutospacing="1"/>
      <w:jc w:val="left"/>
    </w:pPr>
    <w:rPr>
      <w:rFonts w:ascii="Arial" w:hAnsi="Arial" w:cs="Arial"/>
      <w:b/>
      <w:bCs/>
      <w:color w:val="FF0000"/>
      <w:sz w:val="18"/>
      <w:szCs w:val="18"/>
      <w:u w:val="single"/>
      <w:lang w:val="en-US" w:eastAsia="zh-CN"/>
    </w:rPr>
  </w:style>
  <w:style w:type="paragraph" w:customStyle="1" w:styleId="font11">
    <w:name w:val="font11"/>
    <w:basedOn w:val="Normal"/>
    <w:rsid w:val="00F74A7B"/>
    <w:pPr>
      <w:spacing w:before="100" w:beforeAutospacing="1" w:after="100" w:afterAutospacing="1"/>
      <w:jc w:val="left"/>
    </w:pPr>
    <w:rPr>
      <w:rFonts w:ascii="Arial" w:hAnsi="Arial" w:cs="Arial"/>
      <w:color w:val="FF0000"/>
      <w:sz w:val="20"/>
      <w:szCs w:val="20"/>
      <w:lang w:val="en-US" w:eastAsia="zh-CN"/>
    </w:rPr>
  </w:style>
  <w:style w:type="paragraph" w:customStyle="1" w:styleId="font12">
    <w:name w:val="font12"/>
    <w:basedOn w:val="Normal"/>
    <w:rsid w:val="00F74A7B"/>
    <w:pPr>
      <w:spacing w:before="100" w:beforeAutospacing="1" w:after="100" w:afterAutospacing="1"/>
      <w:jc w:val="left"/>
    </w:pPr>
    <w:rPr>
      <w:rFonts w:ascii="Arial" w:hAnsi="Arial" w:cs="Arial"/>
      <w:color w:val="FF0000"/>
      <w:sz w:val="20"/>
      <w:szCs w:val="20"/>
      <w:lang w:val="en-US" w:eastAsia="zh-CN"/>
    </w:rPr>
  </w:style>
  <w:style w:type="paragraph" w:customStyle="1" w:styleId="xl76">
    <w:name w:val="xl76"/>
    <w:basedOn w:val="Normal"/>
    <w:rsid w:val="00F74A7B"/>
    <w:pPr>
      <w:pBdr>
        <w:bottom w:val="single" w:sz="8" w:space="0" w:color="auto"/>
        <w:right w:val="single" w:sz="4" w:space="0" w:color="auto"/>
      </w:pBdr>
      <w:spacing w:before="100" w:beforeAutospacing="1" w:after="100" w:afterAutospacing="1"/>
      <w:jc w:val="left"/>
    </w:pPr>
    <w:rPr>
      <w:sz w:val="24"/>
      <w:szCs w:val="24"/>
      <w:lang w:val="en-US" w:eastAsia="zh-CN"/>
    </w:rPr>
  </w:style>
  <w:style w:type="paragraph" w:customStyle="1" w:styleId="xl77">
    <w:name w:val="xl77"/>
    <w:basedOn w:val="Normal"/>
    <w:rsid w:val="00F74A7B"/>
    <w:pPr>
      <w:pBdr>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78">
    <w:name w:val="xl78"/>
    <w:basedOn w:val="Normal"/>
    <w:rsid w:val="00F74A7B"/>
    <w:pPr>
      <w:pBdr>
        <w:left w:val="single" w:sz="4" w:space="0" w:color="auto"/>
      </w:pBdr>
      <w:spacing w:before="100" w:beforeAutospacing="1" w:after="100" w:afterAutospacing="1"/>
      <w:jc w:val="left"/>
    </w:pPr>
    <w:rPr>
      <w:sz w:val="24"/>
      <w:szCs w:val="24"/>
      <w:lang w:val="en-US" w:eastAsia="zh-CN"/>
    </w:rPr>
  </w:style>
  <w:style w:type="table" w:customStyle="1" w:styleId="AATable">
    <w:name w:val="AA_Table"/>
    <w:basedOn w:val="TableNormal"/>
    <w:rsid w:val="00F74A7B"/>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F74A7B"/>
    <w:pPr>
      <w:keepNext/>
      <w:keepLines/>
      <w:suppressAutoHyphens/>
      <w:ind w:right="5103"/>
    </w:pPr>
    <w:rPr>
      <w:b/>
      <w:lang w:val="en-GB"/>
    </w:rPr>
  </w:style>
  <w:style w:type="paragraph" w:customStyle="1" w:styleId="AATitle2">
    <w:name w:val="AA_Title2"/>
    <w:basedOn w:val="AATitle"/>
    <w:rsid w:val="00F74A7B"/>
    <w:pPr>
      <w:tabs>
        <w:tab w:val="clear" w:pos="4082"/>
      </w:tabs>
      <w:spacing w:before="120" w:after="120"/>
      <w:ind w:right="4536"/>
    </w:pPr>
  </w:style>
  <w:style w:type="paragraph" w:customStyle="1" w:styleId="BBTitle">
    <w:name w:val="BB_Title"/>
    <w:basedOn w:val="Normalpool"/>
    <w:link w:val="BBTitleChar"/>
    <w:qFormat/>
    <w:rsid w:val="00F74A7B"/>
    <w:pPr>
      <w:keepNext/>
      <w:keepLines/>
      <w:suppressAutoHyphens/>
      <w:spacing w:before="320" w:after="240"/>
      <w:ind w:left="1247" w:right="567"/>
    </w:pPr>
    <w:rPr>
      <w:b/>
      <w:sz w:val="28"/>
      <w:szCs w:val="28"/>
      <w:lang w:val="en-GB"/>
    </w:rPr>
  </w:style>
  <w:style w:type="character" w:customStyle="1" w:styleId="FooterChar1">
    <w:name w:val="Footer Char1"/>
    <w:basedOn w:val="DefaultParagraphFont"/>
    <w:uiPriority w:val="99"/>
    <w:semiHidden/>
    <w:rsid w:val="00F74A7B"/>
    <w:rPr>
      <w:lang w:val="en-GB"/>
    </w:rPr>
  </w:style>
  <w:style w:type="character" w:customStyle="1" w:styleId="HeaderChar1">
    <w:name w:val="Header Char1"/>
    <w:basedOn w:val="DefaultParagraphFont"/>
    <w:uiPriority w:val="99"/>
    <w:semiHidden/>
    <w:rsid w:val="00F74A7B"/>
    <w:rPr>
      <w:lang w:val="en-GB"/>
    </w:rPr>
  </w:style>
  <w:style w:type="character" w:styleId="Hyperlink">
    <w:name w:val="Hyperlink"/>
    <w:basedOn w:val="DefaultParagraphFont"/>
    <w:uiPriority w:val="99"/>
    <w:rsid w:val="00F74A7B"/>
    <w:rPr>
      <w:rFonts w:ascii="Times New Roman" w:hAnsi="Times New Roman"/>
      <w:color w:val="auto"/>
      <w:sz w:val="20"/>
      <w:szCs w:val="20"/>
      <w:u w:val="none"/>
      <w:lang w:val="fr-FR"/>
    </w:rPr>
  </w:style>
  <w:style w:type="numbering" w:customStyle="1" w:styleId="Normallist">
    <w:name w:val="Normal_list"/>
    <w:basedOn w:val="NoList"/>
    <w:rsid w:val="00F74A7B"/>
    <w:pPr>
      <w:numPr>
        <w:numId w:val="22"/>
      </w:numPr>
    </w:pPr>
  </w:style>
  <w:style w:type="paragraph" w:customStyle="1" w:styleId="NormalNonumber">
    <w:name w:val="Normal_No_number"/>
    <w:basedOn w:val="Normalpool"/>
    <w:rsid w:val="00F74A7B"/>
    <w:pPr>
      <w:spacing w:after="120"/>
      <w:ind w:left="1247"/>
    </w:pPr>
    <w:rPr>
      <w:lang w:val="en-GB"/>
    </w:rPr>
  </w:style>
  <w:style w:type="paragraph" w:customStyle="1" w:styleId="Normalnumber">
    <w:name w:val="Normal_number"/>
    <w:basedOn w:val="Normalpool"/>
    <w:link w:val="NormalnumberChar"/>
    <w:qFormat/>
    <w:rsid w:val="00F74A7B"/>
    <w:pPr>
      <w:spacing w:after="120"/>
    </w:pPr>
    <w:rPr>
      <w:lang w:val="en-GB"/>
    </w:rPr>
  </w:style>
  <w:style w:type="paragraph" w:customStyle="1" w:styleId="Titletable">
    <w:name w:val="Title_table"/>
    <w:basedOn w:val="Normalpool"/>
    <w:rsid w:val="00F74A7B"/>
    <w:pPr>
      <w:keepNext/>
      <w:keepLines/>
      <w:suppressAutoHyphens/>
      <w:spacing w:after="60"/>
      <w:ind w:left="1247"/>
    </w:pPr>
    <w:rPr>
      <w:b/>
      <w:bCs/>
      <w:lang w:val="en-GB"/>
    </w:rPr>
  </w:style>
  <w:style w:type="paragraph" w:styleId="TOC1">
    <w:name w:val="toc 1"/>
    <w:basedOn w:val="Normalpool"/>
    <w:next w:val="Normalpool"/>
    <w:rsid w:val="00F74A7B"/>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F74A7B"/>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F74A7B"/>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F74A7B"/>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F74A7B"/>
    <w:pPr>
      <w:tabs>
        <w:tab w:val="left" w:pos="1247"/>
      </w:tabs>
      <w:ind w:left="800"/>
      <w:jc w:val="left"/>
    </w:pPr>
    <w:rPr>
      <w:sz w:val="18"/>
      <w:szCs w:val="18"/>
      <w:lang w:val="en-GB"/>
    </w:rPr>
  </w:style>
  <w:style w:type="paragraph" w:customStyle="1" w:styleId="ZZAnxheader">
    <w:name w:val="ZZ_Anx_header"/>
    <w:basedOn w:val="Normalpool"/>
    <w:rsid w:val="00F74A7B"/>
    <w:rPr>
      <w:b/>
      <w:bCs/>
      <w:sz w:val="28"/>
      <w:szCs w:val="22"/>
      <w:lang w:val="en-GB"/>
    </w:rPr>
  </w:style>
  <w:style w:type="paragraph" w:customStyle="1" w:styleId="ZZAnxtitle">
    <w:name w:val="ZZ_Anx_title"/>
    <w:basedOn w:val="Normalpool"/>
    <w:rsid w:val="00F74A7B"/>
    <w:pPr>
      <w:spacing w:before="360" w:after="120"/>
      <w:ind w:left="1247"/>
    </w:pPr>
    <w:rPr>
      <w:b/>
      <w:bCs/>
      <w:sz w:val="28"/>
      <w:szCs w:val="26"/>
      <w:lang w:val="en-GB"/>
    </w:rPr>
  </w:style>
  <w:style w:type="paragraph" w:customStyle="1" w:styleId="xl79">
    <w:name w:val="xl79"/>
    <w:basedOn w:val="Normal"/>
    <w:rsid w:val="00F74A7B"/>
    <w:pPr>
      <w:pBdr>
        <w:top w:val="double" w:sz="6" w:space="0" w:color="auto"/>
        <w:left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80">
    <w:name w:val="xl80"/>
    <w:basedOn w:val="Normal"/>
    <w:rsid w:val="00F74A7B"/>
    <w:pPr>
      <w:pBdr>
        <w:top w:val="double" w:sz="6" w:space="0" w:color="auto"/>
      </w:pBdr>
      <w:spacing w:before="100" w:beforeAutospacing="1" w:after="100" w:afterAutospacing="1"/>
      <w:jc w:val="left"/>
    </w:pPr>
    <w:rPr>
      <w:sz w:val="24"/>
      <w:szCs w:val="24"/>
      <w:lang w:val="en-US" w:eastAsia="zh-CN"/>
    </w:rPr>
  </w:style>
  <w:style w:type="paragraph" w:customStyle="1" w:styleId="xl81">
    <w:name w:val="xl81"/>
    <w:basedOn w:val="Normal"/>
    <w:rsid w:val="00F74A7B"/>
    <w:pPr>
      <w:pBdr>
        <w:top w:val="double" w:sz="6" w:space="0" w:color="auto"/>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82">
    <w:name w:val="xl82"/>
    <w:basedOn w:val="Normal"/>
    <w:rsid w:val="00F74A7B"/>
    <w:pPr>
      <w:pBdr>
        <w:top w:val="double" w:sz="6" w:space="0" w:color="auto"/>
        <w:left w:val="single" w:sz="4" w:space="0" w:color="auto"/>
      </w:pBdr>
      <w:spacing w:before="100" w:beforeAutospacing="1" w:after="100" w:afterAutospacing="1"/>
      <w:jc w:val="left"/>
    </w:pPr>
    <w:rPr>
      <w:sz w:val="24"/>
      <w:szCs w:val="24"/>
      <w:lang w:val="en-US" w:eastAsia="zh-CN"/>
    </w:rPr>
  </w:style>
  <w:style w:type="paragraph" w:customStyle="1" w:styleId="xl83">
    <w:name w:val="xl83"/>
    <w:basedOn w:val="Normal"/>
    <w:rsid w:val="00F74A7B"/>
    <w:pPr>
      <w:pBdr>
        <w:left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84">
    <w:name w:val="xl84"/>
    <w:basedOn w:val="Normal"/>
    <w:rsid w:val="00F74A7B"/>
    <w:pPr>
      <w:pBdr>
        <w:left w:val="single" w:sz="4" w:space="0" w:color="auto"/>
        <w:bottom w:val="double" w:sz="6" w:space="0" w:color="auto"/>
      </w:pBdr>
      <w:spacing w:before="100" w:beforeAutospacing="1" w:after="100" w:afterAutospacing="1"/>
      <w:jc w:val="left"/>
    </w:pPr>
    <w:rPr>
      <w:sz w:val="24"/>
      <w:szCs w:val="24"/>
      <w:lang w:val="en-US" w:eastAsia="zh-CN"/>
    </w:rPr>
  </w:style>
  <w:style w:type="paragraph" w:customStyle="1" w:styleId="xl85">
    <w:name w:val="xl85"/>
    <w:basedOn w:val="Normal"/>
    <w:rsid w:val="00F74A7B"/>
    <w:pPr>
      <w:spacing w:before="100" w:beforeAutospacing="1" w:after="100" w:afterAutospacing="1"/>
      <w:jc w:val="left"/>
    </w:pPr>
    <w:rPr>
      <w:b/>
      <w:bCs/>
      <w:sz w:val="24"/>
      <w:szCs w:val="24"/>
      <w:lang w:val="en-US" w:eastAsia="zh-CN"/>
    </w:rPr>
  </w:style>
  <w:style w:type="paragraph" w:customStyle="1" w:styleId="xl86">
    <w:name w:val="xl86"/>
    <w:basedOn w:val="Normal"/>
    <w:rsid w:val="00F74A7B"/>
    <w:pPr>
      <w:pBdr>
        <w:left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87">
    <w:name w:val="xl87"/>
    <w:basedOn w:val="Normal"/>
    <w:rsid w:val="00F74A7B"/>
    <w:pPr>
      <w:pBdr>
        <w:left w:val="double" w:sz="6" w:space="0" w:color="auto"/>
      </w:pBdr>
      <w:spacing w:before="100" w:beforeAutospacing="1" w:after="100" w:afterAutospacing="1"/>
      <w:jc w:val="left"/>
    </w:pPr>
    <w:rPr>
      <w:sz w:val="24"/>
      <w:szCs w:val="24"/>
      <w:lang w:val="en-US" w:eastAsia="zh-CN"/>
    </w:rPr>
  </w:style>
  <w:style w:type="paragraph" w:customStyle="1" w:styleId="xl88">
    <w:name w:val="xl88"/>
    <w:basedOn w:val="Normal"/>
    <w:rsid w:val="00F74A7B"/>
    <w:pPr>
      <w:spacing w:before="100" w:beforeAutospacing="1" w:after="100" w:afterAutospacing="1"/>
      <w:jc w:val="center"/>
    </w:pPr>
    <w:rPr>
      <w:sz w:val="24"/>
      <w:szCs w:val="24"/>
      <w:lang w:val="en-US" w:eastAsia="zh-CN"/>
    </w:rPr>
  </w:style>
  <w:style w:type="paragraph" w:customStyle="1" w:styleId="xl89">
    <w:name w:val="xl89"/>
    <w:basedOn w:val="Normal"/>
    <w:rsid w:val="00F74A7B"/>
    <w:pPr>
      <w:spacing w:before="100" w:beforeAutospacing="1" w:after="100" w:afterAutospacing="1"/>
      <w:jc w:val="center"/>
    </w:pPr>
    <w:rPr>
      <w:sz w:val="24"/>
      <w:szCs w:val="24"/>
      <w:u w:val="single"/>
      <w:lang w:val="en-US" w:eastAsia="zh-CN"/>
    </w:rPr>
  </w:style>
  <w:style w:type="paragraph" w:customStyle="1" w:styleId="xl90">
    <w:name w:val="xl90"/>
    <w:basedOn w:val="Normal"/>
    <w:rsid w:val="00F74A7B"/>
    <w:pPr>
      <w:pBdr>
        <w:right w:val="double" w:sz="6" w:space="0" w:color="auto"/>
      </w:pBdr>
      <w:spacing w:before="100" w:beforeAutospacing="1" w:after="100" w:afterAutospacing="1"/>
      <w:jc w:val="left"/>
    </w:pPr>
    <w:rPr>
      <w:sz w:val="24"/>
      <w:szCs w:val="24"/>
      <w:lang w:val="en-US" w:eastAsia="zh-CN"/>
    </w:rPr>
  </w:style>
  <w:style w:type="paragraph" w:customStyle="1" w:styleId="xl91">
    <w:name w:val="xl91"/>
    <w:basedOn w:val="Normal"/>
    <w:rsid w:val="00F74A7B"/>
    <w:pPr>
      <w:pBdr>
        <w:bottom w:val="double" w:sz="6" w:space="0" w:color="auto"/>
      </w:pBdr>
      <w:spacing w:before="100" w:beforeAutospacing="1" w:after="100" w:afterAutospacing="1"/>
      <w:jc w:val="left"/>
    </w:pPr>
    <w:rPr>
      <w:sz w:val="24"/>
      <w:szCs w:val="24"/>
      <w:lang w:val="en-US" w:eastAsia="zh-CN"/>
    </w:rPr>
  </w:style>
  <w:style w:type="paragraph" w:customStyle="1" w:styleId="xl92">
    <w:name w:val="xl92"/>
    <w:basedOn w:val="Normal"/>
    <w:rsid w:val="00F74A7B"/>
    <w:pPr>
      <w:pBdr>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93">
    <w:name w:val="xl93"/>
    <w:basedOn w:val="Normal"/>
    <w:rsid w:val="00F74A7B"/>
    <w:pPr>
      <w:pBdr>
        <w:left w:val="single" w:sz="4" w:space="0" w:color="auto"/>
        <w:bottom w:val="single" w:sz="8" w:space="0" w:color="auto"/>
        <w:right w:val="single" w:sz="4" w:space="0" w:color="auto"/>
      </w:pBdr>
      <w:spacing w:before="100" w:beforeAutospacing="1" w:after="100" w:afterAutospacing="1"/>
      <w:jc w:val="left"/>
    </w:pPr>
    <w:rPr>
      <w:sz w:val="24"/>
      <w:szCs w:val="24"/>
      <w:lang w:val="en-US" w:eastAsia="zh-CN"/>
    </w:rPr>
  </w:style>
  <w:style w:type="paragraph" w:customStyle="1" w:styleId="xl94">
    <w:name w:val="xl94"/>
    <w:basedOn w:val="Normal"/>
    <w:rsid w:val="00F74A7B"/>
    <w:pPr>
      <w:pBdr>
        <w:left w:val="single" w:sz="4" w:space="0" w:color="auto"/>
        <w:bottom w:val="single" w:sz="8" w:space="0" w:color="auto"/>
        <w:right w:val="double" w:sz="6" w:space="0" w:color="auto"/>
      </w:pBdr>
      <w:spacing w:before="100" w:beforeAutospacing="1" w:after="100" w:afterAutospacing="1"/>
      <w:jc w:val="left"/>
    </w:pPr>
    <w:rPr>
      <w:sz w:val="24"/>
      <w:szCs w:val="24"/>
      <w:lang w:val="en-US" w:eastAsia="zh-CN"/>
    </w:rPr>
  </w:style>
  <w:style w:type="paragraph" w:customStyle="1" w:styleId="xl95">
    <w:name w:val="xl95"/>
    <w:basedOn w:val="Normal"/>
    <w:rsid w:val="00F74A7B"/>
    <w:pPr>
      <w:pBdr>
        <w:top w:val="single" w:sz="8" w:space="0" w:color="auto"/>
        <w:left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96">
    <w:name w:val="xl96"/>
    <w:basedOn w:val="Normal"/>
    <w:rsid w:val="00F74A7B"/>
    <w:pPr>
      <w:pBdr>
        <w:top w:val="single" w:sz="4" w:space="0" w:color="auto"/>
        <w:left w:val="double" w:sz="6" w:space="0" w:color="auto"/>
      </w:pBdr>
      <w:spacing w:before="100" w:beforeAutospacing="1" w:after="100" w:afterAutospacing="1"/>
      <w:jc w:val="left"/>
    </w:pPr>
    <w:rPr>
      <w:sz w:val="24"/>
      <w:szCs w:val="24"/>
      <w:lang w:val="en-US" w:eastAsia="zh-CN"/>
    </w:rPr>
  </w:style>
  <w:style w:type="paragraph" w:customStyle="1" w:styleId="xl97">
    <w:name w:val="xl97"/>
    <w:basedOn w:val="Normal"/>
    <w:rsid w:val="00F74A7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98">
    <w:name w:val="xl98"/>
    <w:basedOn w:val="Normal"/>
    <w:rsid w:val="00F74A7B"/>
    <w:pPr>
      <w:pBdr>
        <w:top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99">
    <w:name w:val="xl99"/>
    <w:basedOn w:val="Normal"/>
    <w:rsid w:val="00F74A7B"/>
    <w:pPr>
      <w:pBdr>
        <w:top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00">
    <w:name w:val="xl100"/>
    <w:basedOn w:val="Normal"/>
    <w:rsid w:val="00F74A7B"/>
    <w:pPr>
      <w:pBdr>
        <w:top w:val="double" w:sz="6" w:space="0" w:color="auto"/>
        <w:left w:val="double" w:sz="6" w:space="0" w:color="auto"/>
      </w:pBdr>
      <w:spacing w:before="100" w:beforeAutospacing="1" w:after="100" w:afterAutospacing="1"/>
      <w:jc w:val="left"/>
    </w:pPr>
    <w:rPr>
      <w:sz w:val="24"/>
      <w:szCs w:val="24"/>
      <w:lang w:val="en-US" w:eastAsia="zh-CN"/>
    </w:rPr>
  </w:style>
  <w:style w:type="paragraph" w:customStyle="1" w:styleId="xl101">
    <w:name w:val="xl101"/>
    <w:basedOn w:val="Normal"/>
    <w:rsid w:val="00F74A7B"/>
    <w:pPr>
      <w:pBdr>
        <w:left w:val="single" w:sz="4" w:space="0" w:color="auto"/>
        <w:bottom w:val="single" w:sz="4" w:space="0" w:color="auto"/>
      </w:pBdr>
      <w:spacing w:before="100" w:beforeAutospacing="1" w:after="100" w:afterAutospacing="1"/>
      <w:jc w:val="left"/>
    </w:pPr>
    <w:rPr>
      <w:sz w:val="24"/>
      <w:szCs w:val="24"/>
      <w:lang w:val="en-US" w:eastAsia="zh-CN"/>
    </w:rPr>
  </w:style>
  <w:style w:type="paragraph" w:customStyle="1" w:styleId="xl102">
    <w:name w:val="xl102"/>
    <w:basedOn w:val="Normal"/>
    <w:rsid w:val="00F74A7B"/>
    <w:pPr>
      <w:pBdr>
        <w:top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103">
    <w:name w:val="xl103"/>
    <w:basedOn w:val="Normal"/>
    <w:rsid w:val="00F74A7B"/>
    <w:pPr>
      <w:spacing w:before="100" w:beforeAutospacing="1" w:after="100" w:afterAutospacing="1"/>
      <w:jc w:val="center"/>
    </w:pPr>
    <w:rPr>
      <w:b/>
      <w:bCs/>
      <w:sz w:val="24"/>
      <w:szCs w:val="24"/>
      <w:lang w:val="en-US" w:eastAsia="zh-CN"/>
    </w:rPr>
  </w:style>
  <w:style w:type="paragraph" w:customStyle="1" w:styleId="xl104">
    <w:name w:val="xl104"/>
    <w:basedOn w:val="Normal"/>
    <w:rsid w:val="00F74A7B"/>
    <w:pPr>
      <w:pBdr>
        <w:top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105">
    <w:name w:val="xl105"/>
    <w:basedOn w:val="Normal"/>
    <w:rsid w:val="00F74A7B"/>
    <w:pPr>
      <w:pBdr>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06">
    <w:name w:val="xl106"/>
    <w:basedOn w:val="Normal"/>
    <w:rsid w:val="00F74A7B"/>
    <w:pPr>
      <w:pBdr>
        <w:top w:val="single" w:sz="4" w:space="0" w:color="auto"/>
        <w:left w:val="single" w:sz="4" w:space="0" w:color="auto"/>
      </w:pBdr>
      <w:spacing w:before="100" w:beforeAutospacing="1" w:after="100" w:afterAutospacing="1"/>
      <w:jc w:val="left"/>
    </w:pPr>
    <w:rPr>
      <w:sz w:val="24"/>
      <w:szCs w:val="24"/>
      <w:lang w:val="en-US" w:eastAsia="zh-CN"/>
    </w:rPr>
  </w:style>
  <w:style w:type="paragraph" w:customStyle="1" w:styleId="xl107">
    <w:name w:val="xl107"/>
    <w:basedOn w:val="Normal"/>
    <w:rsid w:val="00F74A7B"/>
    <w:pPr>
      <w:pBdr>
        <w:top w:val="double" w:sz="6" w:space="0" w:color="auto"/>
        <w:left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108">
    <w:name w:val="xl108"/>
    <w:basedOn w:val="Normal"/>
    <w:rsid w:val="00F74A7B"/>
    <w:pPr>
      <w:pBdr>
        <w:top w:val="double" w:sz="6" w:space="0" w:color="auto"/>
        <w:left w:val="single" w:sz="4"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09">
    <w:name w:val="xl109"/>
    <w:basedOn w:val="Normal"/>
    <w:rsid w:val="00F74A7B"/>
    <w:pPr>
      <w:pBdr>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10">
    <w:name w:val="xl110"/>
    <w:basedOn w:val="Normal"/>
    <w:rsid w:val="00F74A7B"/>
    <w:pPr>
      <w:pBdr>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11">
    <w:name w:val="xl111"/>
    <w:basedOn w:val="Normal"/>
    <w:rsid w:val="00F74A7B"/>
    <w:pPr>
      <w:pBdr>
        <w:left w:val="double" w:sz="6"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12">
    <w:name w:val="xl112"/>
    <w:basedOn w:val="Normal"/>
    <w:rsid w:val="00F74A7B"/>
    <w:pPr>
      <w:pBdr>
        <w:top w:val="double" w:sz="6" w:space="0" w:color="auto"/>
        <w:left w:val="double" w:sz="6" w:space="0" w:color="auto"/>
        <w:right w:val="single" w:sz="4" w:space="0" w:color="auto"/>
      </w:pBdr>
      <w:spacing w:before="100" w:beforeAutospacing="1" w:after="100" w:afterAutospacing="1"/>
      <w:jc w:val="left"/>
      <w:textAlignment w:val="center"/>
    </w:pPr>
    <w:rPr>
      <w:sz w:val="24"/>
      <w:szCs w:val="24"/>
      <w:lang w:val="en-US" w:eastAsia="zh-CN"/>
    </w:rPr>
  </w:style>
  <w:style w:type="paragraph" w:customStyle="1" w:styleId="xl113">
    <w:name w:val="xl113"/>
    <w:basedOn w:val="Normal"/>
    <w:rsid w:val="00F74A7B"/>
    <w:pPr>
      <w:pBdr>
        <w:left w:val="double" w:sz="6" w:space="0" w:color="auto"/>
        <w:bottom w:val="double" w:sz="6" w:space="0" w:color="auto"/>
        <w:right w:val="single" w:sz="4" w:space="0" w:color="auto"/>
      </w:pBdr>
      <w:spacing w:before="100" w:beforeAutospacing="1" w:after="100" w:afterAutospacing="1"/>
      <w:jc w:val="center"/>
    </w:pPr>
    <w:rPr>
      <w:sz w:val="24"/>
      <w:szCs w:val="24"/>
      <w:lang w:val="en-US" w:eastAsia="zh-CN"/>
    </w:rPr>
  </w:style>
  <w:style w:type="paragraph" w:customStyle="1" w:styleId="xl114">
    <w:name w:val="xl114"/>
    <w:basedOn w:val="Normal"/>
    <w:rsid w:val="00F74A7B"/>
    <w:pPr>
      <w:spacing w:before="100" w:beforeAutospacing="1" w:after="100" w:afterAutospacing="1"/>
      <w:jc w:val="right"/>
    </w:pPr>
    <w:rPr>
      <w:color w:val="FF0000"/>
      <w:sz w:val="24"/>
      <w:szCs w:val="24"/>
      <w:lang w:val="en-US" w:eastAsia="zh-CN"/>
    </w:rPr>
  </w:style>
  <w:style w:type="paragraph" w:customStyle="1" w:styleId="xl115">
    <w:name w:val="xl115"/>
    <w:basedOn w:val="Normal"/>
    <w:rsid w:val="00F74A7B"/>
    <w:pPr>
      <w:pBdr>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16">
    <w:name w:val="xl116"/>
    <w:basedOn w:val="Normal"/>
    <w:rsid w:val="00F74A7B"/>
    <w:pPr>
      <w:spacing w:before="100" w:beforeAutospacing="1" w:after="100" w:afterAutospacing="1"/>
      <w:jc w:val="left"/>
    </w:pPr>
    <w:rPr>
      <w:b/>
      <w:bCs/>
      <w:color w:val="FF0000"/>
      <w:sz w:val="24"/>
      <w:szCs w:val="24"/>
      <w:lang w:val="en-US" w:eastAsia="zh-CN"/>
    </w:rPr>
  </w:style>
  <w:style w:type="paragraph" w:customStyle="1" w:styleId="xl117">
    <w:name w:val="xl117"/>
    <w:basedOn w:val="Normal"/>
    <w:rsid w:val="00F74A7B"/>
    <w:pPr>
      <w:spacing w:before="100" w:beforeAutospacing="1" w:after="100" w:afterAutospacing="1"/>
      <w:jc w:val="left"/>
    </w:pPr>
    <w:rPr>
      <w:color w:val="FF0000"/>
      <w:sz w:val="24"/>
      <w:szCs w:val="24"/>
      <w:lang w:val="en-US" w:eastAsia="zh-CN"/>
    </w:rPr>
  </w:style>
  <w:style w:type="paragraph" w:customStyle="1" w:styleId="xl118">
    <w:name w:val="xl118"/>
    <w:basedOn w:val="Normal"/>
    <w:rsid w:val="00F74A7B"/>
    <w:pPr>
      <w:pBdr>
        <w:top w:val="double" w:sz="6" w:space="0" w:color="auto"/>
        <w:left w:val="double" w:sz="6" w:space="0" w:color="auto"/>
      </w:pBdr>
      <w:spacing w:before="100" w:beforeAutospacing="1" w:after="100" w:afterAutospacing="1"/>
      <w:jc w:val="left"/>
    </w:pPr>
    <w:rPr>
      <w:color w:val="FF0000"/>
      <w:sz w:val="24"/>
      <w:szCs w:val="24"/>
      <w:lang w:val="en-US" w:eastAsia="zh-CN"/>
    </w:rPr>
  </w:style>
  <w:style w:type="paragraph" w:customStyle="1" w:styleId="xl119">
    <w:name w:val="xl119"/>
    <w:basedOn w:val="Normal"/>
    <w:rsid w:val="00F74A7B"/>
    <w:pPr>
      <w:pBdr>
        <w:top w:val="double" w:sz="6" w:space="0" w:color="auto"/>
        <w:left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0">
    <w:name w:val="xl120"/>
    <w:basedOn w:val="Normal"/>
    <w:rsid w:val="00F74A7B"/>
    <w:pPr>
      <w:pBdr>
        <w:top w:val="double" w:sz="6" w:space="0" w:color="auto"/>
      </w:pBdr>
      <w:spacing w:before="100" w:beforeAutospacing="1" w:after="100" w:afterAutospacing="1"/>
      <w:jc w:val="left"/>
    </w:pPr>
    <w:rPr>
      <w:color w:val="FF0000"/>
      <w:sz w:val="24"/>
      <w:szCs w:val="24"/>
      <w:lang w:val="en-US" w:eastAsia="zh-CN"/>
    </w:rPr>
  </w:style>
  <w:style w:type="paragraph" w:customStyle="1" w:styleId="xl121">
    <w:name w:val="xl121"/>
    <w:basedOn w:val="Normal"/>
    <w:rsid w:val="00F74A7B"/>
    <w:pPr>
      <w:pBdr>
        <w:top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2">
    <w:name w:val="xl122"/>
    <w:basedOn w:val="Normal"/>
    <w:rsid w:val="00F74A7B"/>
    <w:pPr>
      <w:pBdr>
        <w:top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23">
    <w:name w:val="xl123"/>
    <w:basedOn w:val="Normal"/>
    <w:rsid w:val="00F74A7B"/>
    <w:pPr>
      <w:pBdr>
        <w:left w:val="double" w:sz="6"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24">
    <w:name w:val="xl124"/>
    <w:basedOn w:val="Normal"/>
    <w:rsid w:val="00F74A7B"/>
    <w:pPr>
      <w:pBdr>
        <w:right w:val="single" w:sz="4" w:space="0" w:color="auto"/>
      </w:pBdr>
      <w:spacing w:before="100" w:beforeAutospacing="1" w:after="100" w:afterAutospacing="1"/>
      <w:jc w:val="center"/>
    </w:pPr>
    <w:rPr>
      <w:color w:val="FF0000"/>
      <w:sz w:val="24"/>
      <w:szCs w:val="24"/>
      <w:lang w:val="en-US" w:eastAsia="zh-CN"/>
    </w:rPr>
  </w:style>
  <w:style w:type="paragraph" w:customStyle="1" w:styleId="xl125">
    <w:name w:val="xl125"/>
    <w:basedOn w:val="Normal"/>
    <w:rsid w:val="00F74A7B"/>
    <w:pPr>
      <w:pBdr>
        <w:right w:val="single" w:sz="4" w:space="0" w:color="auto"/>
      </w:pBdr>
      <w:spacing w:before="100" w:beforeAutospacing="1" w:after="100" w:afterAutospacing="1"/>
      <w:jc w:val="left"/>
    </w:pPr>
    <w:rPr>
      <w:color w:val="FF0000"/>
      <w:sz w:val="24"/>
      <w:szCs w:val="24"/>
      <w:lang w:val="en-US" w:eastAsia="zh-CN"/>
    </w:rPr>
  </w:style>
  <w:style w:type="paragraph" w:customStyle="1" w:styleId="xl126">
    <w:name w:val="xl126"/>
    <w:basedOn w:val="Normal"/>
    <w:rsid w:val="00F74A7B"/>
    <w:pPr>
      <w:pBdr>
        <w:left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7">
    <w:name w:val="xl127"/>
    <w:basedOn w:val="Normal"/>
    <w:rsid w:val="00F74A7B"/>
    <w:pPr>
      <w:pBdr>
        <w:right w:val="single" w:sz="4" w:space="0" w:color="auto"/>
      </w:pBdr>
      <w:spacing w:before="100" w:beforeAutospacing="1" w:after="100" w:afterAutospacing="1"/>
      <w:jc w:val="left"/>
    </w:pPr>
    <w:rPr>
      <w:color w:val="FF0000"/>
      <w:sz w:val="24"/>
      <w:szCs w:val="24"/>
      <w:lang w:val="en-US" w:eastAsia="zh-CN"/>
    </w:rPr>
  </w:style>
  <w:style w:type="paragraph" w:customStyle="1" w:styleId="xl128">
    <w:name w:val="xl128"/>
    <w:basedOn w:val="Normal"/>
    <w:rsid w:val="00F74A7B"/>
    <w:pPr>
      <w:pBdr>
        <w:left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9">
    <w:name w:val="xl129"/>
    <w:basedOn w:val="Normal"/>
    <w:rsid w:val="00F74A7B"/>
    <w:pPr>
      <w:pBdr>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0">
    <w:name w:val="xl130"/>
    <w:basedOn w:val="Normal"/>
    <w:rsid w:val="00F74A7B"/>
    <w:pPr>
      <w:pBdr>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31">
    <w:name w:val="xl131"/>
    <w:basedOn w:val="Normal"/>
    <w:rsid w:val="00F74A7B"/>
    <w:pPr>
      <w:pBdr>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2">
    <w:name w:val="xl132"/>
    <w:basedOn w:val="Normal"/>
    <w:rsid w:val="00F74A7B"/>
    <w:pPr>
      <w:pBdr>
        <w:left w:val="double" w:sz="6" w:space="0" w:color="auto"/>
      </w:pBdr>
      <w:spacing w:before="100" w:beforeAutospacing="1" w:after="100" w:afterAutospacing="1"/>
      <w:jc w:val="left"/>
    </w:pPr>
    <w:rPr>
      <w:color w:val="FF0000"/>
      <w:sz w:val="24"/>
      <w:szCs w:val="24"/>
      <w:lang w:val="en-US" w:eastAsia="zh-CN"/>
    </w:rPr>
  </w:style>
  <w:style w:type="paragraph" w:customStyle="1" w:styleId="xl133">
    <w:name w:val="xl133"/>
    <w:basedOn w:val="Normal"/>
    <w:rsid w:val="00F74A7B"/>
    <w:pPr>
      <w:pBdr>
        <w:left w:val="single" w:sz="4" w:space="0" w:color="auto"/>
        <w:bottom w:val="single" w:sz="8"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4">
    <w:name w:val="xl134"/>
    <w:basedOn w:val="Normal"/>
    <w:rsid w:val="00F74A7B"/>
    <w:pPr>
      <w:pBdr>
        <w:left w:val="single" w:sz="4" w:space="0" w:color="auto"/>
        <w:bottom w:val="single" w:sz="8"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5">
    <w:name w:val="xl135"/>
    <w:basedOn w:val="Normal"/>
    <w:rsid w:val="00F74A7B"/>
    <w:pPr>
      <w:pBdr>
        <w:top w:val="single" w:sz="8" w:space="0" w:color="auto"/>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36">
    <w:name w:val="xl136"/>
    <w:basedOn w:val="Normal"/>
    <w:rsid w:val="00F74A7B"/>
    <w:pPr>
      <w:pBdr>
        <w:top w:val="single" w:sz="8"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7">
    <w:name w:val="xl137"/>
    <w:basedOn w:val="Normal"/>
    <w:rsid w:val="00F74A7B"/>
    <w:pPr>
      <w:pBdr>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38">
    <w:name w:val="xl138"/>
    <w:basedOn w:val="Normal"/>
    <w:rsid w:val="00F74A7B"/>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9">
    <w:name w:val="xl139"/>
    <w:basedOn w:val="Normal"/>
    <w:rsid w:val="00F74A7B"/>
    <w:pPr>
      <w:pBdr>
        <w:top w:val="single" w:sz="4" w:space="0" w:color="auto"/>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40">
    <w:name w:val="xl140"/>
    <w:basedOn w:val="Normal"/>
    <w:rsid w:val="00F74A7B"/>
    <w:pPr>
      <w:pBdr>
        <w:top w:val="single" w:sz="4" w:space="0" w:color="auto"/>
        <w:left w:val="double" w:sz="6" w:space="0" w:color="auto"/>
      </w:pBdr>
      <w:spacing w:before="100" w:beforeAutospacing="1" w:after="100" w:afterAutospacing="1"/>
      <w:jc w:val="left"/>
    </w:pPr>
    <w:rPr>
      <w:color w:val="FF0000"/>
      <w:sz w:val="24"/>
      <w:szCs w:val="24"/>
      <w:lang w:val="en-US" w:eastAsia="zh-CN"/>
    </w:rPr>
  </w:style>
  <w:style w:type="paragraph" w:customStyle="1" w:styleId="xl141">
    <w:name w:val="xl141"/>
    <w:basedOn w:val="Normal"/>
    <w:rsid w:val="00F74A7B"/>
    <w:pPr>
      <w:pBdr>
        <w:top w:val="single" w:sz="4" w:space="0" w:color="auto"/>
        <w:left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2">
    <w:name w:val="xl142"/>
    <w:basedOn w:val="Normal"/>
    <w:rsid w:val="00F74A7B"/>
    <w:pPr>
      <w:pBdr>
        <w:top w:val="single" w:sz="4" w:space="0" w:color="auto"/>
        <w:left w:val="single" w:sz="4"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3">
    <w:name w:val="xl143"/>
    <w:basedOn w:val="Normal"/>
    <w:rsid w:val="00F74A7B"/>
    <w:pPr>
      <w:pBdr>
        <w:top w:val="double" w:sz="6" w:space="0" w:color="auto"/>
        <w:left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44">
    <w:name w:val="xl144"/>
    <w:basedOn w:val="Normal"/>
    <w:rsid w:val="00F74A7B"/>
    <w:pPr>
      <w:pBdr>
        <w:right w:val="double" w:sz="6" w:space="0" w:color="auto"/>
      </w:pBdr>
      <w:spacing w:before="100" w:beforeAutospacing="1" w:after="100" w:afterAutospacing="1"/>
      <w:jc w:val="left"/>
    </w:pPr>
    <w:rPr>
      <w:color w:val="FF0000"/>
      <w:sz w:val="24"/>
      <w:szCs w:val="24"/>
      <w:lang w:val="en-US" w:eastAsia="zh-CN"/>
    </w:rPr>
  </w:style>
  <w:style w:type="paragraph" w:customStyle="1" w:styleId="xl145">
    <w:name w:val="xl145"/>
    <w:basedOn w:val="Normal"/>
    <w:rsid w:val="00F74A7B"/>
    <w:pPr>
      <w:pBdr>
        <w:left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6">
    <w:name w:val="xl146"/>
    <w:basedOn w:val="Normal"/>
    <w:rsid w:val="00F74A7B"/>
    <w:pPr>
      <w:pBdr>
        <w:left w:val="single" w:sz="4"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7">
    <w:name w:val="xl147"/>
    <w:basedOn w:val="Normal"/>
    <w:rsid w:val="00F74A7B"/>
    <w:pPr>
      <w:pBdr>
        <w:bottom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48">
    <w:name w:val="xl148"/>
    <w:basedOn w:val="Normal"/>
    <w:rsid w:val="00F74A7B"/>
    <w:pPr>
      <w:pBdr>
        <w:top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9">
    <w:name w:val="xl149"/>
    <w:basedOn w:val="Normal"/>
    <w:rsid w:val="00F74A7B"/>
    <w:pPr>
      <w:pBdr>
        <w:bottom w:val="double" w:sz="6" w:space="0" w:color="auto"/>
      </w:pBdr>
      <w:spacing w:before="100" w:beforeAutospacing="1" w:after="100" w:afterAutospacing="1"/>
      <w:jc w:val="left"/>
    </w:pPr>
    <w:rPr>
      <w:color w:val="FF0000"/>
      <w:sz w:val="24"/>
      <w:szCs w:val="24"/>
      <w:lang w:val="en-US" w:eastAsia="zh-CN"/>
    </w:rPr>
  </w:style>
  <w:style w:type="paragraph" w:customStyle="1" w:styleId="xl150">
    <w:name w:val="xl150"/>
    <w:basedOn w:val="Normal"/>
    <w:rsid w:val="00F74A7B"/>
    <w:pPr>
      <w:spacing w:before="100" w:beforeAutospacing="1" w:after="100" w:afterAutospacing="1"/>
      <w:jc w:val="right"/>
    </w:pPr>
    <w:rPr>
      <w:b/>
      <w:bCs/>
      <w:color w:val="FF0000"/>
      <w:sz w:val="24"/>
      <w:szCs w:val="24"/>
      <w:lang w:val="en-US" w:eastAsia="zh-CN"/>
    </w:rPr>
  </w:style>
  <w:style w:type="paragraph" w:customStyle="1" w:styleId="xl151">
    <w:name w:val="xl151"/>
    <w:basedOn w:val="Normal"/>
    <w:rsid w:val="00F74A7B"/>
    <w:pPr>
      <w:pBdr>
        <w:top w:val="double" w:sz="6"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52">
    <w:name w:val="xl152"/>
    <w:basedOn w:val="Normal"/>
    <w:rsid w:val="00F74A7B"/>
    <w:pPr>
      <w:pBdr>
        <w:top w:val="double" w:sz="6" w:space="0" w:color="auto"/>
      </w:pBdr>
      <w:spacing w:before="100" w:beforeAutospacing="1" w:after="100" w:afterAutospacing="1"/>
      <w:jc w:val="center"/>
    </w:pPr>
    <w:rPr>
      <w:color w:val="FF0000"/>
      <w:sz w:val="24"/>
      <w:szCs w:val="24"/>
      <w:lang w:val="en-US" w:eastAsia="zh-CN"/>
    </w:rPr>
  </w:style>
  <w:style w:type="paragraph" w:customStyle="1" w:styleId="xl153">
    <w:name w:val="xl153"/>
    <w:basedOn w:val="Normal"/>
    <w:rsid w:val="00F74A7B"/>
    <w:pPr>
      <w:pBdr>
        <w:top w:val="single" w:sz="4" w:space="0" w:color="auto"/>
        <w:left w:val="single" w:sz="4" w:space="0" w:color="auto"/>
        <w:bottom w:val="single" w:sz="4" w:space="0" w:color="auto"/>
      </w:pBdr>
      <w:spacing w:before="100" w:beforeAutospacing="1" w:after="100" w:afterAutospacing="1"/>
      <w:jc w:val="center"/>
    </w:pPr>
    <w:rPr>
      <w:sz w:val="24"/>
      <w:szCs w:val="24"/>
      <w:lang w:val="en-US" w:eastAsia="zh-CN"/>
    </w:rPr>
  </w:style>
  <w:style w:type="paragraph" w:customStyle="1" w:styleId="xl154">
    <w:name w:val="xl154"/>
    <w:basedOn w:val="Normal"/>
    <w:rsid w:val="00F74A7B"/>
    <w:pPr>
      <w:pBdr>
        <w:top w:val="single" w:sz="4" w:space="0" w:color="auto"/>
        <w:left w:val="single" w:sz="4" w:space="0" w:color="auto"/>
        <w:bottom w:val="double" w:sz="6" w:space="0" w:color="auto"/>
      </w:pBdr>
      <w:spacing w:before="100" w:beforeAutospacing="1" w:after="100" w:afterAutospacing="1"/>
      <w:jc w:val="center"/>
    </w:pPr>
    <w:rPr>
      <w:sz w:val="24"/>
      <w:szCs w:val="24"/>
      <w:lang w:val="en-US" w:eastAsia="zh-CN"/>
    </w:rPr>
  </w:style>
  <w:style w:type="paragraph" w:customStyle="1" w:styleId="xl155">
    <w:name w:val="xl155"/>
    <w:basedOn w:val="Normal"/>
    <w:rsid w:val="00F74A7B"/>
    <w:pPr>
      <w:pBdr>
        <w:top w:val="double" w:sz="6"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56">
    <w:name w:val="xl156"/>
    <w:basedOn w:val="Normal"/>
    <w:rsid w:val="00F74A7B"/>
    <w:pPr>
      <w:pBdr>
        <w:left w:val="single" w:sz="4" w:space="0" w:color="auto"/>
      </w:pBdr>
      <w:spacing w:before="100" w:beforeAutospacing="1" w:after="100" w:afterAutospacing="1"/>
      <w:jc w:val="center"/>
    </w:pPr>
    <w:rPr>
      <w:sz w:val="24"/>
      <w:szCs w:val="24"/>
      <w:lang w:val="en-US" w:eastAsia="zh-CN"/>
    </w:rPr>
  </w:style>
  <w:style w:type="paragraph" w:customStyle="1" w:styleId="xl157">
    <w:name w:val="xl157"/>
    <w:basedOn w:val="Normal"/>
    <w:rsid w:val="00F74A7B"/>
    <w:pPr>
      <w:pBdr>
        <w:top w:val="double" w:sz="6" w:space="0" w:color="auto"/>
        <w:left w:val="single" w:sz="4" w:space="0" w:color="auto"/>
      </w:pBdr>
      <w:spacing w:before="100" w:beforeAutospacing="1" w:after="100" w:afterAutospacing="1"/>
      <w:jc w:val="center"/>
    </w:pPr>
    <w:rPr>
      <w:sz w:val="24"/>
      <w:szCs w:val="24"/>
      <w:lang w:val="en-US" w:eastAsia="zh-CN"/>
    </w:rPr>
  </w:style>
  <w:style w:type="paragraph" w:customStyle="1" w:styleId="xl158">
    <w:name w:val="xl158"/>
    <w:basedOn w:val="Normal"/>
    <w:rsid w:val="00F74A7B"/>
    <w:pPr>
      <w:pBdr>
        <w:top w:val="single" w:sz="4" w:space="0" w:color="auto"/>
        <w:left w:val="single" w:sz="4" w:space="0" w:color="auto"/>
      </w:pBdr>
      <w:spacing w:before="100" w:beforeAutospacing="1" w:after="100" w:afterAutospacing="1"/>
      <w:jc w:val="center"/>
    </w:pPr>
    <w:rPr>
      <w:sz w:val="24"/>
      <w:szCs w:val="24"/>
      <w:lang w:val="en-US" w:eastAsia="zh-CN"/>
    </w:rPr>
  </w:style>
  <w:style w:type="paragraph" w:customStyle="1" w:styleId="xl159">
    <w:name w:val="xl159"/>
    <w:basedOn w:val="Normal"/>
    <w:rsid w:val="00F74A7B"/>
    <w:pPr>
      <w:pBdr>
        <w:left w:val="single" w:sz="4" w:space="0" w:color="auto"/>
        <w:bottom w:val="double" w:sz="6" w:space="0" w:color="auto"/>
      </w:pBdr>
      <w:spacing w:before="100" w:beforeAutospacing="1" w:after="100" w:afterAutospacing="1"/>
      <w:jc w:val="center"/>
    </w:pPr>
    <w:rPr>
      <w:sz w:val="24"/>
      <w:szCs w:val="24"/>
      <w:lang w:val="en-US" w:eastAsia="zh-CN"/>
    </w:rPr>
  </w:style>
  <w:style w:type="paragraph" w:customStyle="1" w:styleId="xl160">
    <w:name w:val="xl160"/>
    <w:basedOn w:val="Normal"/>
    <w:rsid w:val="00F74A7B"/>
    <w:pPr>
      <w:pBdr>
        <w:top w:val="single" w:sz="4" w:space="0" w:color="auto"/>
        <w:left w:val="single" w:sz="4" w:space="0" w:color="auto"/>
        <w:bottom w:val="single" w:sz="4" w:space="0" w:color="auto"/>
      </w:pBdr>
      <w:spacing w:before="100" w:beforeAutospacing="1" w:after="100" w:afterAutospacing="1"/>
      <w:jc w:val="center"/>
    </w:pPr>
    <w:rPr>
      <w:color w:val="FF0000"/>
      <w:sz w:val="24"/>
      <w:szCs w:val="24"/>
      <w:lang w:val="en-US" w:eastAsia="zh-CN"/>
    </w:rPr>
  </w:style>
  <w:style w:type="paragraph" w:customStyle="1" w:styleId="xl161">
    <w:name w:val="xl161"/>
    <w:basedOn w:val="Normal"/>
    <w:rsid w:val="00F74A7B"/>
    <w:pPr>
      <w:pBdr>
        <w:top w:val="single" w:sz="4" w:space="0" w:color="auto"/>
        <w:left w:val="single" w:sz="4" w:space="0" w:color="auto"/>
        <w:bottom w:val="double" w:sz="6" w:space="0" w:color="auto"/>
      </w:pBdr>
      <w:spacing w:before="100" w:beforeAutospacing="1" w:after="100" w:afterAutospacing="1"/>
      <w:jc w:val="center"/>
    </w:pPr>
    <w:rPr>
      <w:color w:val="FF0000"/>
      <w:sz w:val="24"/>
      <w:szCs w:val="24"/>
      <w:lang w:val="en-US" w:eastAsia="zh-CN"/>
    </w:rPr>
  </w:style>
  <w:style w:type="paragraph" w:customStyle="1" w:styleId="xl162">
    <w:name w:val="xl162"/>
    <w:basedOn w:val="Normal"/>
    <w:rsid w:val="00F74A7B"/>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63">
    <w:name w:val="xl163"/>
    <w:basedOn w:val="Normal"/>
    <w:rsid w:val="00F74A7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64">
    <w:name w:val="xl164"/>
    <w:basedOn w:val="Normal"/>
    <w:rsid w:val="00F74A7B"/>
    <w:pPr>
      <w:pBdr>
        <w:top w:val="single" w:sz="4" w:space="0" w:color="auto"/>
        <w:left w:val="single" w:sz="4" w:space="0" w:color="auto"/>
        <w:bottom w:val="double" w:sz="6" w:space="0" w:color="auto"/>
        <w:right w:val="single" w:sz="4" w:space="0" w:color="auto"/>
      </w:pBdr>
      <w:spacing w:before="100" w:beforeAutospacing="1" w:after="100" w:afterAutospacing="1"/>
      <w:jc w:val="center"/>
    </w:pPr>
    <w:rPr>
      <w:sz w:val="24"/>
      <w:szCs w:val="24"/>
      <w:lang w:val="en-US" w:eastAsia="zh-CN"/>
    </w:rPr>
  </w:style>
  <w:style w:type="paragraph" w:customStyle="1" w:styleId="xl165">
    <w:name w:val="xl165"/>
    <w:basedOn w:val="Normal"/>
    <w:rsid w:val="00F74A7B"/>
    <w:pPr>
      <w:pBdr>
        <w:top w:val="single" w:sz="8"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6">
    <w:name w:val="xl166"/>
    <w:basedOn w:val="Normal"/>
    <w:rsid w:val="00F74A7B"/>
    <w:pPr>
      <w:pBdr>
        <w:top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7">
    <w:name w:val="xl167"/>
    <w:basedOn w:val="Normal"/>
    <w:rsid w:val="00F74A7B"/>
    <w:pPr>
      <w:pBdr>
        <w:top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8">
    <w:name w:val="xl168"/>
    <w:basedOn w:val="Normal"/>
    <w:rsid w:val="00F74A7B"/>
    <w:pPr>
      <w:pBdr>
        <w:top w:val="double" w:sz="6"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9">
    <w:name w:val="xl169"/>
    <w:basedOn w:val="Normal"/>
    <w:rsid w:val="00F74A7B"/>
    <w:pPr>
      <w:pBdr>
        <w:top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0">
    <w:name w:val="xl170"/>
    <w:basedOn w:val="Normal"/>
    <w:rsid w:val="00F74A7B"/>
    <w:pPr>
      <w:pBdr>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71">
    <w:name w:val="xl171"/>
    <w:basedOn w:val="Normal"/>
    <w:rsid w:val="00F74A7B"/>
    <w:pPr>
      <w:pBdr>
        <w:top w:val="double" w:sz="6" w:space="0" w:color="auto"/>
        <w:left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2">
    <w:name w:val="xl172"/>
    <w:basedOn w:val="Normal"/>
    <w:rsid w:val="00F74A7B"/>
    <w:pPr>
      <w:pBdr>
        <w:top w:val="single" w:sz="8"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73">
    <w:name w:val="xl173"/>
    <w:basedOn w:val="Normal"/>
    <w:rsid w:val="00F74A7B"/>
    <w:pPr>
      <w:pBdr>
        <w:top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74">
    <w:name w:val="xl174"/>
    <w:basedOn w:val="Normal"/>
    <w:rsid w:val="00F74A7B"/>
    <w:pPr>
      <w:pBdr>
        <w:left w:val="single" w:sz="4" w:space="0" w:color="auto"/>
        <w:bottom w:val="single" w:sz="4" w:space="0" w:color="auto"/>
      </w:pBdr>
      <w:spacing w:before="100" w:beforeAutospacing="1" w:after="100" w:afterAutospacing="1"/>
      <w:jc w:val="center"/>
    </w:pPr>
    <w:rPr>
      <w:sz w:val="24"/>
      <w:szCs w:val="24"/>
      <w:lang w:val="en-US" w:eastAsia="zh-CN"/>
    </w:rPr>
  </w:style>
  <w:style w:type="paragraph" w:customStyle="1" w:styleId="xl175">
    <w:name w:val="xl175"/>
    <w:basedOn w:val="Normal"/>
    <w:rsid w:val="00F74A7B"/>
    <w:pPr>
      <w:pBdr>
        <w:top w:val="double" w:sz="6" w:space="0" w:color="auto"/>
        <w:left w:val="single" w:sz="4" w:space="0" w:color="auto"/>
        <w:bottom w:val="double" w:sz="6" w:space="0" w:color="auto"/>
        <w:right w:val="single" w:sz="4" w:space="0" w:color="auto"/>
      </w:pBdr>
      <w:spacing w:before="100" w:beforeAutospacing="1" w:after="100" w:afterAutospacing="1"/>
      <w:jc w:val="center"/>
    </w:pPr>
    <w:rPr>
      <w:sz w:val="16"/>
      <w:szCs w:val="16"/>
      <w:lang w:val="en-US" w:eastAsia="zh-CN"/>
    </w:rPr>
  </w:style>
  <w:style w:type="paragraph" w:customStyle="1" w:styleId="xl176">
    <w:name w:val="xl176"/>
    <w:basedOn w:val="Normal"/>
    <w:rsid w:val="00F74A7B"/>
    <w:pPr>
      <w:pBdr>
        <w:top w:val="double" w:sz="6" w:space="0" w:color="auto"/>
        <w:left w:val="single" w:sz="4" w:space="0" w:color="auto"/>
        <w:bottom w:val="double" w:sz="6" w:space="0" w:color="auto"/>
      </w:pBdr>
      <w:spacing w:before="100" w:beforeAutospacing="1" w:after="100" w:afterAutospacing="1"/>
      <w:jc w:val="center"/>
    </w:pPr>
    <w:rPr>
      <w:sz w:val="16"/>
      <w:szCs w:val="16"/>
      <w:lang w:val="en-US" w:eastAsia="zh-CN"/>
    </w:rPr>
  </w:style>
  <w:style w:type="paragraph" w:customStyle="1" w:styleId="xl177">
    <w:name w:val="xl177"/>
    <w:basedOn w:val="Normal"/>
    <w:rsid w:val="00F74A7B"/>
    <w:pPr>
      <w:pBdr>
        <w:top w:val="double" w:sz="6" w:space="0" w:color="auto"/>
      </w:pBdr>
      <w:spacing w:before="100" w:beforeAutospacing="1" w:after="100" w:afterAutospacing="1"/>
      <w:jc w:val="center"/>
    </w:pPr>
    <w:rPr>
      <w:sz w:val="24"/>
      <w:szCs w:val="24"/>
      <w:lang w:val="en-US" w:eastAsia="zh-CN"/>
    </w:rPr>
  </w:style>
  <w:style w:type="paragraph" w:customStyle="1" w:styleId="xl178">
    <w:name w:val="xl178"/>
    <w:basedOn w:val="Normal"/>
    <w:rsid w:val="00F74A7B"/>
    <w:pPr>
      <w:pBdr>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9">
    <w:name w:val="xl179"/>
    <w:basedOn w:val="Normal"/>
    <w:rsid w:val="00F74A7B"/>
    <w:pPr>
      <w:pBdr>
        <w:top w:val="single" w:sz="4"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0">
    <w:name w:val="xl180"/>
    <w:basedOn w:val="Normal"/>
    <w:rsid w:val="00F74A7B"/>
    <w:pPr>
      <w:pBdr>
        <w:top w:val="single" w:sz="4" w:space="0" w:color="auto"/>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1">
    <w:name w:val="xl181"/>
    <w:basedOn w:val="Normal"/>
    <w:rsid w:val="00F74A7B"/>
    <w:pPr>
      <w:pBdr>
        <w:top w:val="double" w:sz="6" w:space="0" w:color="auto"/>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2">
    <w:name w:val="xl182"/>
    <w:basedOn w:val="Normal"/>
    <w:rsid w:val="00F74A7B"/>
    <w:pPr>
      <w:pBdr>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3">
    <w:name w:val="xl183"/>
    <w:basedOn w:val="Normal"/>
    <w:rsid w:val="00F74A7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84">
    <w:name w:val="xl184"/>
    <w:basedOn w:val="Normal"/>
    <w:rsid w:val="00F74A7B"/>
    <w:pPr>
      <w:pBdr>
        <w:top w:val="single" w:sz="4" w:space="0" w:color="auto"/>
        <w:left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85">
    <w:name w:val="xl185"/>
    <w:basedOn w:val="Normal"/>
    <w:rsid w:val="00F74A7B"/>
    <w:pPr>
      <w:pBdr>
        <w:right w:val="double" w:sz="6" w:space="0" w:color="auto"/>
      </w:pBdr>
      <w:spacing w:before="100" w:beforeAutospacing="1" w:after="100" w:afterAutospacing="1"/>
      <w:jc w:val="left"/>
    </w:pPr>
    <w:rPr>
      <w:sz w:val="24"/>
      <w:szCs w:val="24"/>
      <w:lang w:val="en-US" w:eastAsia="zh-CN"/>
    </w:rPr>
  </w:style>
  <w:style w:type="paragraph" w:customStyle="1" w:styleId="xl186">
    <w:name w:val="xl186"/>
    <w:basedOn w:val="Normal"/>
    <w:rsid w:val="00F74A7B"/>
    <w:pPr>
      <w:pBdr>
        <w:top w:val="single" w:sz="4" w:space="0" w:color="auto"/>
        <w:left w:val="single" w:sz="4"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87">
    <w:name w:val="xl187"/>
    <w:basedOn w:val="Normal"/>
    <w:rsid w:val="00F74A7B"/>
    <w:pPr>
      <w:pBdr>
        <w:top w:val="single" w:sz="8"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88">
    <w:name w:val="xl188"/>
    <w:basedOn w:val="Normal"/>
    <w:rsid w:val="00F74A7B"/>
    <w:pPr>
      <w:pBdr>
        <w:top w:val="single" w:sz="8" w:space="0" w:color="auto"/>
        <w:left w:val="single" w:sz="4"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89">
    <w:name w:val="xl189"/>
    <w:basedOn w:val="Normal"/>
    <w:rsid w:val="00F74A7B"/>
    <w:pPr>
      <w:pBdr>
        <w:top w:val="single" w:sz="4"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90">
    <w:name w:val="xl190"/>
    <w:basedOn w:val="Normal"/>
    <w:rsid w:val="00F74A7B"/>
    <w:pPr>
      <w:pBdr>
        <w:top w:val="single" w:sz="4" w:space="0" w:color="auto"/>
        <w:left w:val="single" w:sz="4" w:space="0" w:color="auto"/>
      </w:pBdr>
      <w:spacing w:before="100" w:beforeAutospacing="1" w:after="100" w:afterAutospacing="1"/>
      <w:jc w:val="center"/>
    </w:pPr>
    <w:rPr>
      <w:color w:val="FF0000"/>
      <w:sz w:val="24"/>
      <w:szCs w:val="24"/>
      <w:lang w:val="en-US" w:eastAsia="zh-CN"/>
    </w:rPr>
  </w:style>
  <w:style w:type="paragraph" w:customStyle="1" w:styleId="xl191">
    <w:name w:val="xl191"/>
    <w:basedOn w:val="Normal"/>
    <w:rsid w:val="00F74A7B"/>
    <w:pPr>
      <w:pBdr>
        <w:top w:val="double" w:sz="6" w:space="0" w:color="auto"/>
        <w:left w:val="single" w:sz="4" w:space="0" w:color="auto"/>
      </w:pBdr>
      <w:spacing w:before="100" w:beforeAutospacing="1" w:after="100" w:afterAutospacing="1"/>
      <w:jc w:val="center"/>
    </w:pPr>
    <w:rPr>
      <w:color w:val="FF0000"/>
      <w:sz w:val="24"/>
      <w:szCs w:val="24"/>
      <w:lang w:val="en-US" w:eastAsia="zh-CN"/>
    </w:rPr>
  </w:style>
  <w:style w:type="paragraph" w:customStyle="1" w:styleId="xl192">
    <w:name w:val="xl192"/>
    <w:basedOn w:val="Normal"/>
    <w:rsid w:val="00F74A7B"/>
    <w:pPr>
      <w:pBdr>
        <w:left w:val="single" w:sz="4" w:space="0" w:color="auto"/>
        <w:bottom w:val="double" w:sz="6" w:space="0" w:color="auto"/>
      </w:pBdr>
      <w:spacing w:before="100" w:beforeAutospacing="1" w:after="100" w:afterAutospacing="1"/>
      <w:jc w:val="center"/>
    </w:pPr>
    <w:rPr>
      <w:color w:val="FF0000"/>
      <w:sz w:val="24"/>
      <w:szCs w:val="24"/>
      <w:lang w:val="en-US" w:eastAsia="zh-CN"/>
    </w:rPr>
  </w:style>
  <w:style w:type="paragraph" w:customStyle="1" w:styleId="xl193">
    <w:name w:val="xl193"/>
    <w:basedOn w:val="Normal"/>
    <w:rsid w:val="00F74A7B"/>
    <w:pPr>
      <w:pBdr>
        <w:top w:val="single" w:sz="8"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4">
    <w:name w:val="xl194"/>
    <w:basedOn w:val="Normal"/>
    <w:rsid w:val="00F74A7B"/>
    <w:pPr>
      <w:pBdr>
        <w:top w:val="single" w:sz="4"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5">
    <w:name w:val="xl195"/>
    <w:basedOn w:val="Normal"/>
    <w:rsid w:val="00F74A7B"/>
    <w:pPr>
      <w:pBdr>
        <w:top w:val="single" w:sz="4" w:space="0" w:color="auto"/>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6">
    <w:name w:val="xl196"/>
    <w:basedOn w:val="Normal"/>
    <w:rsid w:val="00F74A7B"/>
    <w:pPr>
      <w:pBdr>
        <w:top w:val="double" w:sz="6" w:space="0" w:color="auto"/>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7">
    <w:name w:val="xl197"/>
    <w:basedOn w:val="Normal"/>
    <w:rsid w:val="00F74A7B"/>
    <w:pPr>
      <w:pBdr>
        <w:left w:val="single" w:sz="4" w:space="0" w:color="auto"/>
        <w:bottom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8">
    <w:name w:val="xl198"/>
    <w:basedOn w:val="Normal"/>
    <w:rsid w:val="00F74A7B"/>
    <w:pPr>
      <w:pBdr>
        <w:top w:val="double" w:sz="6" w:space="0" w:color="auto"/>
        <w:left w:val="double" w:sz="6"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99">
    <w:name w:val="xl199"/>
    <w:basedOn w:val="Normal"/>
    <w:rsid w:val="00F74A7B"/>
    <w:pPr>
      <w:pBdr>
        <w:top w:val="double" w:sz="6"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0">
    <w:name w:val="xl200"/>
    <w:basedOn w:val="Normal"/>
    <w:rsid w:val="00F74A7B"/>
    <w:pPr>
      <w:pBdr>
        <w:top w:val="single" w:sz="4" w:space="0" w:color="auto"/>
        <w:left w:val="double" w:sz="6"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1">
    <w:name w:val="xl201"/>
    <w:basedOn w:val="Normal"/>
    <w:rsid w:val="00F74A7B"/>
    <w:pPr>
      <w:pBdr>
        <w:top w:val="single" w:sz="4" w:space="0" w:color="auto"/>
        <w:left w:val="double" w:sz="6"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202">
    <w:name w:val="xl202"/>
    <w:basedOn w:val="Normal"/>
    <w:rsid w:val="00F74A7B"/>
    <w:pPr>
      <w:pBdr>
        <w:top w:val="single" w:sz="4" w:space="0" w:color="auto"/>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3">
    <w:name w:val="xl203"/>
    <w:basedOn w:val="Normal"/>
    <w:rsid w:val="00F74A7B"/>
    <w:pPr>
      <w:pBdr>
        <w:top w:val="double" w:sz="6"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04">
    <w:name w:val="xl204"/>
    <w:basedOn w:val="Normal"/>
    <w:rsid w:val="00F74A7B"/>
    <w:pPr>
      <w:pBdr>
        <w:top w:val="single" w:sz="4"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05">
    <w:name w:val="xl205"/>
    <w:basedOn w:val="Normal"/>
    <w:rsid w:val="00F74A7B"/>
    <w:pPr>
      <w:pBdr>
        <w:top w:val="double" w:sz="6"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06">
    <w:name w:val="xl206"/>
    <w:basedOn w:val="Normal"/>
    <w:rsid w:val="00F74A7B"/>
    <w:pPr>
      <w:pBdr>
        <w:top w:val="single" w:sz="4" w:space="0" w:color="auto"/>
        <w:left w:val="single" w:sz="4"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207">
    <w:name w:val="xl207"/>
    <w:basedOn w:val="Normal"/>
    <w:rsid w:val="00F74A7B"/>
    <w:pPr>
      <w:pBdr>
        <w:bottom w:val="single" w:sz="4" w:space="0" w:color="auto"/>
      </w:pBdr>
      <w:spacing w:before="100" w:beforeAutospacing="1" w:after="100" w:afterAutospacing="1"/>
      <w:jc w:val="left"/>
    </w:pPr>
    <w:rPr>
      <w:color w:val="FF0000"/>
      <w:sz w:val="24"/>
      <w:szCs w:val="24"/>
      <w:lang w:val="en-US" w:eastAsia="zh-CN"/>
    </w:rPr>
  </w:style>
  <w:style w:type="paragraph" w:customStyle="1" w:styleId="xl208">
    <w:name w:val="xl208"/>
    <w:basedOn w:val="Normal"/>
    <w:rsid w:val="00F74A7B"/>
    <w:pPr>
      <w:pBdr>
        <w:top w:val="single" w:sz="4"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209">
    <w:name w:val="xl209"/>
    <w:basedOn w:val="Normal"/>
    <w:rsid w:val="00F74A7B"/>
    <w:pPr>
      <w:pBdr>
        <w:top w:val="single" w:sz="4" w:space="0" w:color="auto"/>
      </w:pBdr>
      <w:spacing w:before="100" w:beforeAutospacing="1" w:after="100" w:afterAutospacing="1"/>
      <w:jc w:val="left"/>
    </w:pPr>
    <w:rPr>
      <w:color w:val="FF0000"/>
      <w:sz w:val="24"/>
      <w:szCs w:val="24"/>
      <w:lang w:val="en-US" w:eastAsia="zh-CN"/>
    </w:rPr>
  </w:style>
  <w:style w:type="paragraph" w:customStyle="1" w:styleId="xl210">
    <w:name w:val="xl210"/>
    <w:basedOn w:val="Normal"/>
    <w:rsid w:val="00F74A7B"/>
    <w:pPr>
      <w:pBdr>
        <w:left w:val="single" w:sz="4" w:space="0" w:color="auto"/>
      </w:pBdr>
      <w:spacing w:before="100" w:beforeAutospacing="1" w:after="100" w:afterAutospacing="1"/>
      <w:jc w:val="center"/>
      <w:textAlignment w:val="center"/>
    </w:pPr>
    <w:rPr>
      <w:sz w:val="24"/>
      <w:szCs w:val="24"/>
      <w:lang w:val="en-US" w:eastAsia="zh-CN"/>
    </w:rPr>
  </w:style>
  <w:style w:type="paragraph" w:customStyle="1" w:styleId="xl211">
    <w:name w:val="xl211"/>
    <w:basedOn w:val="Normal"/>
    <w:rsid w:val="00F74A7B"/>
    <w:pPr>
      <w:pBdr>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12">
    <w:name w:val="xl212"/>
    <w:basedOn w:val="Normal"/>
    <w:rsid w:val="00F74A7B"/>
    <w:pPr>
      <w:pBdr>
        <w:left w:val="single" w:sz="4" w:space="0" w:color="auto"/>
        <w:bottom w:val="single" w:sz="4" w:space="0" w:color="auto"/>
      </w:pBdr>
      <w:spacing w:before="100" w:beforeAutospacing="1" w:after="100" w:afterAutospacing="1"/>
      <w:jc w:val="center"/>
      <w:textAlignment w:val="center"/>
    </w:pPr>
    <w:rPr>
      <w:sz w:val="24"/>
      <w:szCs w:val="24"/>
      <w:lang w:val="en-US" w:eastAsia="zh-CN"/>
    </w:rPr>
  </w:style>
  <w:style w:type="paragraph" w:customStyle="1" w:styleId="xl213">
    <w:name w:val="xl213"/>
    <w:basedOn w:val="Normal"/>
    <w:rsid w:val="00F74A7B"/>
    <w:pPr>
      <w:pBdr>
        <w:bottom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14">
    <w:name w:val="xl214"/>
    <w:basedOn w:val="Normal"/>
    <w:rsid w:val="00F74A7B"/>
    <w:pPr>
      <w:pBdr>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15">
    <w:name w:val="xl215"/>
    <w:basedOn w:val="Normal"/>
    <w:rsid w:val="00F74A7B"/>
    <w:pPr>
      <w:pBdr>
        <w:top w:val="double" w:sz="6" w:space="0" w:color="auto"/>
      </w:pBdr>
      <w:spacing w:before="100" w:beforeAutospacing="1" w:after="100" w:afterAutospacing="1"/>
      <w:jc w:val="left"/>
    </w:pPr>
    <w:rPr>
      <w:b/>
      <w:bCs/>
      <w:color w:val="FF0000"/>
      <w:sz w:val="24"/>
      <w:szCs w:val="24"/>
      <w:lang w:val="en-US" w:eastAsia="zh-CN"/>
    </w:rPr>
  </w:style>
  <w:style w:type="paragraph" w:customStyle="1" w:styleId="xl216">
    <w:name w:val="xl216"/>
    <w:basedOn w:val="Normal"/>
    <w:rsid w:val="00F74A7B"/>
    <w:pPr>
      <w:pBdr>
        <w:top w:val="single" w:sz="4" w:space="0" w:color="auto"/>
        <w:left w:val="single" w:sz="4" w:space="0" w:color="auto"/>
        <w:right w:val="double" w:sz="6" w:space="0" w:color="auto"/>
      </w:pBdr>
      <w:spacing w:before="100" w:beforeAutospacing="1" w:after="100" w:afterAutospacing="1"/>
      <w:jc w:val="center"/>
    </w:pPr>
    <w:rPr>
      <w:sz w:val="24"/>
      <w:szCs w:val="24"/>
      <w:lang w:val="en-US" w:eastAsia="zh-CN"/>
    </w:rPr>
  </w:style>
  <w:style w:type="paragraph" w:customStyle="1" w:styleId="xl217">
    <w:name w:val="xl217"/>
    <w:basedOn w:val="Normal"/>
    <w:rsid w:val="00F74A7B"/>
    <w:pPr>
      <w:pBdr>
        <w:left w:val="single" w:sz="4" w:space="0" w:color="auto"/>
        <w:right w:val="double" w:sz="6" w:space="0" w:color="auto"/>
      </w:pBdr>
      <w:spacing w:before="100" w:beforeAutospacing="1" w:after="100" w:afterAutospacing="1"/>
      <w:jc w:val="center"/>
    </w:pPr>
    <w:rPr>
      <w:sz w:val="24"/>
      <w:szCs w:val="24"/>
      <w:lang w:val="en-US" w:eastAsia="zh-CN"/>
    </w:rPr>
  </w:style>
  <w:style w:type="paragraph" w:customStyle="1" w:styleId="xl218">
    <w:name w:val="xl218"/>
    <w:basedOn w:val="Normal"/>
    <w:rsid w:val="00F74A7B"/>
    <w:pPr>
      <w:pBdr>
        <w:top w:val="single" w:sz="4"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19">
    <w:name w:val="xl219"/>
    <w:basedOn w:val="Normal"/>
    <w:rsid w:val="00F74A7B"/>
    <w:pPr>
      <w:pBdr>
        <w:right w:val="double" w:sz="6" w:space="0" w:color="auto"/>
      </w:pBdr>
      <w:spacing w:before="100" w:beforeAutospacing="1" w:after="100" w:afterAutospacing="1"/>
      <w:jc w:val="center"/>
      <w:textAlignment w:val="center"/>
    </w:pPr>
    <w:rPr>
      <w:sz w:val="24"/>
      <w:szCs w:val="24"/>
      <w:lang w:val="en-US" w:eastAsia="zh-CN"/>
    </w:rPr>
  </w:style>
  <w:style w:type="paragraph" w:customStyle="1" w:styleId="xl220">
    <w:name w:val="xl220"/>
    <w:basedOn w:val="Normal"/>
    <w:rsid w:val="00F74A7B"/>
    <w:pPr>
      <w:pBdr>
        <w:bottom w:val="single" w:sz="4" w:space="0" w:color="auto"/>
        <w:right w:val="double" w:sz="6" w:space="0" w:color="auto"/>
      </w:pBdr>
      <w:spacing w:before="100" w:beforeAutospacing="1" w:after="100" w:afterAutospacing="1"/>
      <w:jc w:val="center"/>
      <w:textAlignment w:val="center"/>
    </w:pPr>
    <w:rPr>
      <w:sz w:val="24"/>
      <w:szCs w:val="24"/>
      <w:lang w:val="en-US" w:eastAsia="zh-CN"/>
    </w:rPr>
  </w:style>
  <w:style w:type="paragraph" w:customStyle="1" w:styleId="xl221">
    <w:name w:val="xl221"/>
    <w:basedOn w:val="Normal"/>
    <w:rsid w:val="00F74A7B"/>
    <w:pPr>
      <w:pBdr>
        <w:left w:val="double" w:sz="6"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22">
    <w:name w:val="xl222"/>
    <w:basedOn w:val="Normal"/>
    <w:rsid w:val="00F74A7B"/>
    <w:pPr>
      <w:pBdr>
        <w:left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23">
    <w:name w:val="xl223"/>
    <w:basedOn w:val="Normal"/>
    <w:rsid w:val="00F74A7B"/>
    <w:pPr>
      <w:pBdr>
        <w:left w:val="single" w:sz="4"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24">
    <w:name w:val="xl224"/>
    <w:basedOn w:val="Normal"/>
    <w:rsid w:val="00F74A7B"/>
    <w:pPr>
      <w:pBdr>
        <w:left w:val="double" w:sz="6"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25">
    <w:name w:val="xl225"/>
    <w:basedOn w:val="Normal"/>
    <w:rsid w:val="00F74A7B"/>
    <w:pPr>
      <w:pBdr>
        <w:top w:val="double" w:sz="6" w:space="0" w:color="auto"/>
        <w:left w:val="single" w:sz="4" w:space="0" w:color="auto"/>
        <w:right w:val="single" w:sz="4" w:space="0" w:color="auto"/>
      </w:pBdr>
      <w:spacing w:before="100" w:beforeAutospacing="1" w:after="100" w:afterAutospacing="1"/>
      <w:jc w:val="left"/>
      <w:textAlignment w:val="top"/>
    </w:pPr>
    <w:rPr>
      <w:sz w:val="24"/>
      <w:szCs w:val="24"/>
      <w:lang w:val="en-US" w:eastAsia="zh-CN"/>
    </w:rPr>
  </w:style>
  <w:style w:type="paragraph" w:customStyle="1" w:styleId="xl226">
    <w:name w:val="xl226"/>
    <w:basedOn w:val="Normal"/>
    <w:rsid w:val="00F74A7B"/>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eastAsia="zh-CN"/>
    </w:rPr>
  </w:style>
  <w:style w:type="paragraph" w:customStyle="1" w:styleId="xl227">
    <w:name w:val="xl227"/>
    <w:basedOn w:val="Normal"/>
    <w:rsid w:val="00F74A7B"/>
    <w:pPr>
      <w:pBdr>
        <w:top w:val="double" w:sz="6" w:space="0" w:color="auto"/>
      </w:pBdr>
      <w:spacing w:before="100" w:beforeAutospacing="1" w:after="100" w:afterAutospacing="1"/>
      <w:jc w:val="left"/>
    </w:pPr>
    <w:rPr>
      <w:sz w:val="24"/>
      <w:szCs w:val="24"/>
      <w:lang w:val="en-US" w:eastAsia="zh-CN"/>
    </w:rPr>
  </w:style>
  <w:style w:type="paragraph" w:customStyle="1" w:styleId="xl228">
    <w:name w:val="xl228"/>
    <w:basedOn w:val="Normal"/>
    <w:rsid w:val="00F74A7B"/>
    <w:pPr>
      <w:spacing w:before="100" w:beforeAutospacing="1" w:after="100" w:afterAutospacing="1"/>
      <w:jc w:val="left"/>
    </w:pPr>
    <w:rPr>
      <w:sz w:val="24"/>
      <w:szCs w:val="24"/>
      <w:lang w:val="en-US" w:eastAsia="zh-CN"/>
    </w:rPr>
  </w:style>
  <w:style w:type="paragraph" w:customStyle="1" w:styleId="xl229">
    <w:name w:val="xl229"/>
    <w:basedOn w:val="Normal"/>
    <w:rsid w:val="00F74A7B"/>
    <w:pPr>
      <w:pBdr>
        <w:lef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0">
    <w:name w:val="xl230"/>
    <w:basedOn w:val="Normal"/>
    <w:rsid w:val="00F74A7B"/>
    <w:pPr>
      <w:pBdr>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1">
    <w:name w:val="xl231"/>
    <w:basedOn w:val="Normal"/>
    <w:rsid w:val="00F74A7B"/>
    <w:pPr>
      <w:pBdr>
        <w:left w:val="single" w:sz="4" w:space="0" w:color="auto"/>
        <w:bottom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2">
    <w:name w:val="xl232"/>
    <w:basedOn w:val="Normal"/>
    <w:rsid w:val="00F74A7B"/>
    <w:pPr>
      <w:pBdr>
        <w:bottom w:val="single" w:sz="4"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3">
    <w:name w:val="xl233"/>
    <w:basedOn w:val="Normal"/>
    <w:rsid w:val="00F74A7B"/>
    <w:pPr>
      <w:pBdr>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4">
    <w:name w:val="xl234"/>
    <w:basedOn w:val="Normal"/>
    <w:rsid w:val="00F74A7B"/>
    <w:pPr>
      <w:pBdr>
        <w:right w:val="double" w:sz="6" w:space="0" w:color="auto"/>
      </w:pBdr>
      <w:spacing w:before="100" w:beforeAutospacing="1" w:after="100" w:afterAutospacing="1"/>
      <w:jc w:val="center"/>
      <w:textAlignment w:val="center"/>
    </w:pPr>
    <w:rPr>
      <w:color w:val="FF0000"/>
      <w:sz w:val="24"/>
      <w:szCs w:val="24"/>
      <w:lang w:val="en-US" w:eastAsia="zh-CN"/>
    </w:rPr>
  </w:style>
  <w:style w:type="paragraph" w:customStyle="1" w:styleId="xl235">
    <w:name w:val="xl235"/>
    <w:basedOn w:val="Normal"/>
    <w:rsid w:val="00F74A7B"/>
    <w:pPr>
      <w:pBdr>
        <w:bottom w:val="single" w:sz="4" w:space="0" w:color="auto"/>
        <w:right w:val="double" w:sz="6" w:space="0" w:color="auto"/>
      </w:pBdr>
      <w:spacing w:before="100" w:beforeAutospacing="1" w:after="100" w:afterAutospacing="1"/>
      <w:jc w:val="center"/>
      <w:textAlignment w:val="center"/>
    </w:pPr>
    <w:rPr>
      <w:color w:val="FF0000"/>
      <w:sz w:val="24"/>
      <w:szCs w:val="24"/>
      <w:lang w:val="en-US" w:eastAsia="zh-CN"/>
    </w:rPr>
  </w:style>
  <w:style w:type="paragraph" w:customStyle="1" w:styleId="xl236">
    <w:name w:val="xl236"/>
    <w:basedOn w:val="Normal"/>
    <w:rsid w:val="00F74A7B"/>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7">
    <w:name w:val="xl237"/>
    <w:basedOn w:val="Normal"/>
    <w:rsid w:val="00F74A7B"/>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8">
    <w:name w:val="xl238"/>
    <w:basedOn w:val="Normal"/>
    <w:rsid w:val="00F74A7B"/>
    <w:pPr>
      <w:pBdr>
        <w:top w:val="single" w:sz="4" w:space="0" w:color="auto"/>
        <w:left w:val="single" w:sz="4" w:space="0" w:color="auto"/>
        <w:right w:val="double" w:sz="6" w:space="0" w:color="auto"/>
      </w:pBdr>
      <w:spacing w:before="100" w:beforeAutospacing="1" w:after="100" w:afterAutospacing="1"/>
      <w:jc w:val="center"/>
    </w:pPr>
    <w:rPr>
      <w:color w:val="FF0000"/>
      <w:sz w:val="24"/>
      <w:szCs w:val="24"/>
      <w:lang w:val="en-US" w:eastAsia="zh-CN"/>
    </w:rPr>
  </w:style>
  <w:style w:type="paragraph" w:customStyle="1" w:styleId="xl239">
    <w:name w:val="xl239"/>
    <w:basedOn w:val="Normal"/>
    <w:rsid w:val="00F74A7B"/>
    <w:pPr>
      <w:pBdr>
        <w:left w:val="single" w:sz="4" w:space="0" w:color="auto"/>
        <w:right w:val="double" w:sz="6" w:space="0" w:color="auto"/>
      </w:pBdr>
      <w:spacing w:before="100" w:beforeAutospacing="1" w:after="100" w:afterAutospacing="1"/>
      <w:jc w:val="center"/>
    </w:pPr>
    <w:rPr>
      <w:color w:val="FF0000"/>
      <w:sz w:val="24"/>
      <w:szCs w:val="24"/>
      <w:lang w:val="en-US" w:eastAsia="zh-CN"/>
    </w:rPr>
  </w:style>
  <w:style w:type="paragraph" w:customStyle="1" w:styleId="xl240">
    <w:name w:val="xl240"/>
    <w:basedOn w:val="Normal"/>
    <w:rsid w:val="00F74A7B"/>
    <w:pPr>
      <w:pBdr>
        <w:top w:val="double" w:sz="6" w:space="0" w:color="auto"/>
      </w:pBdr>
      <w:spacing w:before="100" w:beforeAutospacing="1" w:after="100" w:afterAutospacing="1"/>
      <w:jc w:val="left"/>
    </w:pPr>
    <w:rPr>
      <w:color w:val="FF0000"/>
      <w:sz w:val="24"/>
      <w:szCs w:val="24"/>
      <w:lang w:val="en-US" w:eastAsia="zh-CN"/>
    </w:rPr>
  </w:style>
  <w:style w:type="paragraph" w:customStyle="1" w:styleId="xl241">
    <w:name w:val="xl241"/>
    <w:basedOn w:val="Normal"/>
    <w:rsid w:val="00F74A7B"/>
    <w:pPr>
      <w:spacing w:before="100" w:beforeAutospacing="1" w:after="100" w:afterAutospacing="1"/>
      <w:jc w:val="left"/>
    </w:pPr>
    <w:rPr>
      <w:color w:val="FF0000"/>
      <w:sz w:val="24"/>
      <w:szCs w:val="24"/>
      <w:lang w:val="en-US" w:eastAsia="zh-CN"/>
    </w:rPr>
  </w:style>
  <w:style w:type="paragraph" w:customStyle="1" w:styleId="xl242">
    <w:name w:val="xl242"/>
    <w:basedOn w:val="Normal"/>
    <w:rsid w:val="00F74A7B"/>
    <w:pPr>
      <w:pBdr>
        <w:top w:val="single" w:sz="4" w:space="0" w:color="auto"/>
        <w:left w:val="single" w:sz="4" w:space="0" w:color="auto"/>
      </w:pBdr>
      <w:spacing w:before="100" w:beforeAutospacing="1" w:after="100" w:afterAutospacing="1"/>
      <w:jc w:val="left"/>
    </w:pPr>
    <w:rPr>
      <w:sz w:val="24"/>
      <w:szCs w:val="24"/>
      <w:lang w:val="en-US" w:eastAsia="zh-CN"/>
    </w:rPr>
  </w:style>
  <w:style w:type="paragraph" w:customStyle="1" w:styleId="xl243">
    <w:name w:val="xl243"/>
    <w:basedOn w:val="Normal"/>
    <w:rsid w:val="00F74A7B"/>
    <w:pPr>
      <w:pBdr>
        <w:top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44">
    <w:name w:val="xl244"/>
    <w:basedOn w:val="Normal"/>
    <w:rsid w:val="00F74A7B"/>
    <w:pPr>
      <w:pBdr>
        <w:left w:val="single" w:sz="4" w:space="0" w:color="auto"/>
      </w:pBdr>
      <w:spacing w:before="100" w:beforeAutospacing="1" w:after="100" w:afterAutospacing="1"/>
      <w:jc w:val="left"/>
    </w:pPr>
    <w:rPr>
      <w:sz w:val="24"/>
      <w:szCs w:val="24"/>
      <w:lang w:val="en-US" w:eastAsia="zh-CN"/>
    </w:rPr>
  </w:style>
  <w:style w:type="paragraph" w:customStyle="1" w:styleId="xl245">
    <w:name w:val="xl245"/>
    <w:basedOn w:val="Normal"/>
    <w:rsid w:val="00F74A7B"/>
    <w:pPr>
      <w:pBdr>
        <w:right w:val="double" w:sz="6" w:space="0" w:color="auto"/>
      </w:pBdr>
      <w:spacing w:before="100" w:beforeAutospacing="1" w:after="100" w:afterAutospacing="1"/>
      <w:jc w:val="left"/>
    </w:pPr>
    <w:rPr>
      <w:sz w:val="24"/>
      <w:szCs w:val="24"/>
      <w:lang w:val="en-US" w:eastAsia="zh-CN"/>
    </w:rPr>
  </w:style>
  <w:style w:type="paragraph" w:customStyle="1" w:styleId="xl246">
    <w:name w:val="xl246"/>
    <w:basedOn w:val="Normal"/>
    <w:rsid w:val="00F74A7B"/>
    <w:pPr>
      <w:pBdr>
        <w:left w:val="single" w:sz="4" w:space="0" w:color="auto"/>
        <w:bottom w:val="single" w:sz="4" w:space="0" w:color="auto"/>
      </w:pBdr>
      <w:spacing w:before="100" w:beforeAutospacing="1" w:after="100" w:afterAutospacing="1"/>
      <w:jc w:val="left"/>
    </w:pPr>
    <w:rPr>
      <w:sz w:val="24"/>
      <w:szCs w:val="24"/>
      <w:lang w:val="en-US" w:eastAsia="zh-CN"/>
    </w:rPr>
  </w:style>
  <w:style w:type="paragraph" w:customStyle="1" w:styleId="xl247">
    <w:name w:val="xl247"/>
    <w:basedOn w:val="Normal"/>
    <w:rsid w:val="00F74A7B"/>
    <w:pPr>
      <w:pBdr>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48">
    <w:name w:val="xl248"/>
    <w:basedOn w:val="Normal"/>
    <w:rsid w:val="00F74A7B"/>
    <w:pPr>
      <w:pBdr>
        <w:left w:val="double" w:sz="6"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49">
    <w:name w:val="xl249"/>
    <w:basedOn w:val="Normal"/>
    <w:rsid w:val="00F74A7B"/>
    <w:pPr>
      <w:pBdr>
        <w:left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font13">
    <w:name w:val="font13"/>
    <w:basedOn w:val="Normal"/>
    <w:rsid w:val="00F74A7B"/>
    <w:pPr>
      <w:spacing w:before="100" w:beforeAutospacing="1" w:after="100" w:afterAutospacing="1"/>
      <w:jc w:val="left"/>
    </w:pPr>
    <w:rPr>
      <w:rFonts w:ascii="Arial" w:hAnsi="Arial" w:cs="Arial"/>
      <w:color w:val="FF0000"/>
      <w:sz w:val="20"/>
      <w:szCs w:val="20"/>
      <w:lang w:val="en-US" w:eastAsia="zh-CN"/>
    </w:rPr>
  </w:style>
  <w:style w:type="paragraph" w:customStyle="1" w:styleId="font14">
    <w:name w:val="font14"/>
    <w:basedOn w:val="Normal"/>
    <w:rsid w:val="00F74A7B"/>
    <w:pPr>
      <w:spacing w:before="100" w:beforeAutospacing="1" w:after="100" w:afterAutospacing="1"/>
      <w:jc w:val="left"/>
    </w:pPr>
    <w:rPr>
      <w:rFonts w:ascii="Arial" w:hAnsi="Arial" w:cs="Arial"/>
      <w:b/>
      <w:bCs/>
      <w:color w:val="FF0000"/>
      <w:sz w:val="18"/>
      <w:szCs w:val="18"/>
      <w:lang w:val="en-US" w:eastAsia="zh-CN"/>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F74A7B"/>
    <w:rPr>
      <w:sz w:val="22"/>
      <w:szCs w:val="22"/>
      <w:lang w:val="en-CA"/>
    </w:rPr>
  </w:style>
  <w:style w:type="paragraph" w:customStyle="1" w:styleId="Default">
    <w:name w:val="Default"/>
    <w:rsid w:val="00F74A7B"/>
    <w:pPr>
      <w:widowControl w:val="0"/>
      <w:autoSpaceDE w:val="0"/>
      <w:autoSpaceDN w:val="0"/>
      <w:adjustRightInd w:val="0"/>
    </w:pPr>
    <w:rPr>
      <w:color w:val="000000"/>
      <w:sz w:val="24"/>
      <w:szCs w:val="24"/>
    </w:rPr>
  </w:style>
  <w:style w:type="paragraph" w:customStyle="1" w:styleId="CM30">
    <w:name w:val="CM30"/>
    <w:basedOn w:val="Default"/>
    <w:next w:val="Default"/>
    <w:rsid w:val="00F74A7B"/>
    <w:pPr>
      <w:spacing w:after="320"/>
    </w:pPr>
    <w:rPr>
      <w:color w:val="auto"/>
    </w:rPr>
  </w:style>
  <w:style w:type="paragraph" w:customStyle="1" w:styleId="CM33">
    <w:name w:val="CM33"/>
    <w:basedOn w:val="Default"/>
    <w:next w:val="Default"/>
    <w:rsid w:val="00F74A7B"/>
    <w:pPr>
      <w:spacing w:after="435"/>
    </w:pPr>
    <w:rPr>
      <w:color w:val="auto"/>
    </w:rPr>
  </w:style>
  <w:style w:type="paragraph" w:customStyle="1" w:styleId="Anxhead">
    <w:name w:val="Anx head"/>
    <w:basedOn w:val="Normal"/>
    <w:link w:val="AnxheadChar"/>
    <w:rsid w:val="00F74A7B"/>
    <w:pPr>
      <w:jc w:val="left"/>
    </w:pPr>
    <w:rPr>
      <w:b/>
      <w:bCs/>
      <w:sz w:val="28"/>
      <w:lang w:val="en-GB"/>
    </w:rPr>
  </w:style>
  <w:style w:type="character" w:customStyle="1" w:styleId="AnxheadChar">
    <w:name w:val="Anx head Char"/>
    <w:link w:val="Anxhead"/>
    <w:rsid w:val="00F74A7B"/>
    <w:rPr>
      <w:b/>
      <w:bCs/>
      <w:sz w:val="28"/>
      <w:szCs w:val="22"/>
      <w:lang w:val="en-GB"/>
    </w:rPr>
  </w:style>
  <w:style w:type="paragraph" w:styleId="ListBullet5">
    <w:name w:val="List Bullet 5"/>
    <w:basedOn w:val="Normal"/>
    <w:autoRedefine/>
    <w:semiHidden/>
    <w:rsid w:val="00F74A7B"/>
    <w:pPr>
      <w:tabs>
        <w:tab w:val="num" w:pos="1800"/>
      </w:tabs>
      <w:ind w:left="1800" w:hanging="360"/>
    </w:pPr>
    <w:rPr>
      <w:lang w:val="en-GB"/>
    </w:rPr>
  </w:style>
  <w:style w:type="paragraph" w:customStyle="1" w:styleId="Subtitle0">
    <w:name w:val="Sub title"/>
    <w:basedOn w:val="Heading2"/>
    <w:rsid w:val="00F74A7B"/>
    <w:pPr>
      <w:keepNext/>
      <w:widowControl/>
      <w:tabs>
        <w:tab w:val="num" w:pos="0"/>
      </w:tabs>
      <w:spacing w:before="240" w:after="60"/>
    </w:pPr>
    <w:rPr>
      <w:rFonts w:ascii="Arial" w:hAnsi="Arial" w:cs="Arial"/>
      <w:b/>
      <w:bCs/>
      <w:i/>
      <w:iCs/>
      <w:sz w:val="28"/>
      <w:szCs w:val="28"/>
      <w:lang w:val="en-GB"/>
    </w:rPr>
  </w:style>
  <w:style w:type="numbering" w:customStyle="1" w:styleId="CurrentList1">
    <w:name w:val="Current List1"/>
    <w:rsid w:val="00F74A7B"/>
    <w:pPr>
      <w:numPr>
        <w:numId w:val="23"/>
      </w:numPr>
    </w:pPr>
  </w:style>
  <w:style w:type="paragraph" w:customStyle="1" w:styleId="Title2">
    <w:name w:val="Title2"/>
    <w:rsid w:val="00F74A7B"/>
    <w:pPr>
      <w:jc w:val="center"/>
      <w:outlineLvl w:val="0"/>
    </w:pPr>
    <w:rPr>
      <w:b/>
      <w:caps/>
      <w:sz w:val="22"/>
      <w:szCs w:val="22"/>
      <w:lang w:val="en-GB"/>
    </w:rPr>
  </w:style>
  <w:style w:type="paragraph" w:styleId="BodyText">
    <w:name w:val="Body Text"/>
    <w:basedOn w:val="Normal"/>
    <w:link w:val="BodyTextChar"/>
    <w:semiHidden/>
    <w:rsid w:val="00F74A7B"/>
    <w:pPr>
      <w:spacing w:after="120"/>
    </w:pPr>
    <w:rPr>
      <w:lang w:val="en-GB"/>
    </w:rPr>
  </w:style>
  <w:style w:type="character" w:customStyle="1" w:styleId="BodyTextChar">
    <w:name w:val="Body Text Char"/>
    <w:basedOn w:val="DefaultParagraphFont"/>
    <w:link w:val="BodyText"/>
    <w:semiHidden/>
    <w:rsid w:val="00F74A7B"/>
    <w:rPr>
      <w:sz w:val="22"/>
      <w:szCs w:val="22"/>
      <w:lang w:val="en-GB"/>
    </w:rPr>
  </w:style>
  <w:style w:type="paragraph" w:styleId="BodyText2">
    <w:name w:val="Body Text 2"/>
    <w:basedOn w:val="Normal"/>
    <w:link w:val="BodyText2Char"/>
    <w:semiHidden/>
    <w:rsid w:val="00F74A7B"/>
    <w:pPr>
      <w:spacing w:after="120" w:line="480" w:lineRule="auto"/>
    </w:pPr>
    <w:rPr>
      <w:lang w:val="en-GB"/>
    </w:rPr>
  </w:style>
  <w:style w:type="character" w:customStyle="1" w:styleId="BodyText2Char">
    <w:name w:val="Body Text 2 Char"/>
    <w:basedOn w:val="DefaultParagraphFont"/>
    <w:link w:val="BodyText2"/>
    <w:semiHidden/>
    <w:rsid w:val="00F74A7B"/>
    <w:rPr>
      <w:sz w:val="22"/>
      <w:szCs w:val="22"/>
      <w:lang w:val="en-GB"/>
    </w:rPr>
  </w:style>
  <w:style w:type="paragraph" w:styleId="BodyTextFirstIndent">
    <w:name w:val="Body Text First Indent"/>
    <w:basedOn w:val="BodyText"/>
    <w:link w:val="BodyTextFirstIndentChar"/>
    <w:rsid w:val="00F74A7B"/>
    <w:pPr>
      <w:ind w:firstLine="210"/>
    </w:pPr>
  </w:style>
  <w:style w:type="character" w:customStyle="1" w:styleId="BodyTextFirstIndentChar">
    <w:name w:val="Body Text First Indent Char"/>
    <w:basedOn w:val="BodyTextChar"/>
    <w:link w:val="BodyTextFirstIndent"/>
    <w:rsid w:val="00F74A7B"/>
    <w:rPr>
      <w:sz w:val="22"/>
      <w:szCs w:val="22"/>
      <w:lang w:val="en-GB"/>
    </w:rPr>
  </w:style>
  <w:style w:type="paragraph" w:styleId="BodyTextIndent">
    <w:name w:val="Body Text Indent"/>
    <w:basedOn w:val="Normal"/>
    <w:link w:val="BodyTextIndentChar"/>
    <w:semiHidden/>
    <w:rsid w:val="00F74A7B"/>
    <w:pPr>
      <w:spacing w:after="120"/>
      <w:ind w:left="360"/>
    </w:pPr>
    <w:rPr>
      <w:lang w:val="en-GB"/>
    </w:rPr>
  </w:style>
  <w:style w:type="character" w:customStyle="1" w:styleId="BodyTextIndentChar">
    <w:name w:val="Body Text Indent Char"/>
    <w:basedOn w:val="DefaultParagraphFont"/>
    <w:link w:val="BodyTextIndent"/>
    <w:semiHidden/>
    <w:rsid w:val="00F74A7B"/>
    <w:rPr>
      <w:sz w:val="22"/>
      <w:szCs w:val="22"/>
      <w:lang w:val="en-GB"/>
    </w:rPr>
  </w:style>
  <w:style w:type="paragraph" w:styleId="BodyTextFirstIndent2">
    <w:name w:val="Body Text First Indent 2"/>
    <w:basedOn w:val="BodyTextIndent"/>
    <w:link w:val="BodyTextFirstIndent2Char"/>
    <w:semiHidden/>
    <w:rsid w:val="00F74A7B"/>
    <w:pPr>
      <w:ind w:firstLine="210"/>
    </w:pPr>
  </w:style>
  <w:style w:type="character" w:customStyle="1" w:styleId="BodyTextFirstIndent2Char">
    <w:name w:val="Body Text First Indent 2 Char"/>
    <w:basedOn w:val="BodyTextIndentChar"/>
    <w:link w:val="BodyTextFirstIndent2"/>
    <w:semiHidden/>
    <w:rsid w:val="00F74A7B"/>
    <w:rPr>
      <w:sz w:val="22"/>
      <w:szCs w:val="22"/>
      <w:lang w:val="en-GB"/>
    </w:rPr>
  </w:style>
  <w:style w:type="paragraph" w:styleId="BodyTextIndent2">
    <w:name w:val="Body Text Indent 2"/>
    <w:basedOn w:val="Normal"/>
    <w:link w:val="BodyTextIndent2Char"/>
    <w:semiHidden/>
    <w:rsid w:val="00F74A7B"/>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F74A7B"/>
    <w:rPr>
      <w:sz w:val="22"/>
      <w:szCs w:val="22"/>
      <w:lang w:val="en-GB"/>
    </w:rPr>
  </w:style>
  <w:style w:type="paragraph" w:styleId="Closing">
    <w:name w:val="Closing"/>
    <w:basedOn w:val="Normal"/>
    <w:link w:val="ClosingChar"/>
    <w:semiHidden/>
    <w:rsid w:val="00F74A7B"/>
    <w:pPr>
      <w:ind w:left="4320"/>
    </w:pPr>
    <w:rPr>
      <w:lang w:val="en-GB"/>
    </w:rPr>
  </w:style>
  <w:style w:type="character" w:customStyle="1" w:styleId="ClosingChar">
    <w:name w:val="Closing Char"/>
    <w:basedOn w:val="DefaultParagraphFont"/>
    <w:link w:val="Closing"/>
    <w:semiHidden/>
    <w:rsid w:val="00F74A7B"/>
    <w:rPr>
      <w:sz w:val="22"/>
      <w:szCs w:val="22"/>
      <w:lang w:val="en-GB"/>
    </w:rPr>
  </w:style>
  <w:style w:type="paragraph" w:styleId="E-mailSignature">
    <w:name w:val="E-mail Signature"/>
    <w:basedOn w:val="Normal"/>
    <w:link w:val="E-mailSignatureChar"/>
    <w:semiHidden/>
    <w:rsid w:val="00F74A7B"/>
    <w:rPr>
      <w:lang w:val="en-GB"/>
    </w:rPr>
  </w:style>
  <w:style w:type="character" w:customStyle="1" w:styleId="E-mailSignatureChar">
    <w:name w:val="E-mail Signature Char"/>
    <w:basedOn w:val="DefaultParagraphFont"/>
    <w:link w:val="E-mailSignature"/>
    <w:semiHidden/>
    <w:rsid w:val="00F74A7B"/>
    <w:rPr>
      <w:sz w:val="22"/>
      <w:szCs w:val="22"/>
      <w:lang w:val="en-GB"/>
    </w:rPr>
  </w:style>
  <w:style w:type="paragraph" w:styleId="EnvelopeAddress">
    <w:name w:val="envelope address"/>
    <w:basedOn w:val="Normal"/>
    <w:semiHidden/>
    <w:rsid w:val="00F74A7B"/>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F74A7B"/>
    <w:rPr>
      <w:rFonts w:ascii="Arial" w:hAnsi="Arial" w:cs="Arial"/>
      <w:sz w:val="20"/>
      <w:lang w:val="en-GB"/>
    </w:rPr>
  </w:style>
  <w:style w:type="character" w:styleId="HTMLAcronym">
    <w:name w:val="HTML Acronym"/>
    <w:basedOn w:val="DefaultParagraphFont"/>
    <w:semiHidden/>
    <w:rsid w:val="00F74A7B"/>
  </w:style>
  <w:style w:type="paragraph" w:styleId="HTMLAddress">
    <w:name w:val="HTML Address"/>
    <w:basedOn w:val="Normal"/>
    <w:link w:val="HTMLAddressChar"/>
    <w:semiHidden/>
    <w:rsid w:val="00F74A7B"/>
    <w:rPr>
      <w:i/>
      <w:iCs/>
      <w:lang w:val="en-GB"/>
    </w:rPr>
  </w:style>
  <w:style w:type="character" w:customStyle="1" w:styleId="HTMLAddressChar">
    <w:name w:val="HTML Address Char"/>
    <w:basedOn w:val="DefaultParagraphFont"/>
    <w:link w:val="HTMLAddress"/>
    <w:semiHidden/>
    <w:rsid w:val="00F74A7B"/>
    <w:rPr>
      <w:i/>
      <w:iCs/>
      <w:sz w:val="22"/>
      <w:szCs w:val="22"/>
      <w:lang w:val="en-GB"/>
    </w:rPr>
  </w:style>
  <w:style w:type="character" w:styleId="HTMLCite">
    <w:name w:val="HTML Cite"/>
    <w:semiHidden/>
    <w:rsid w:val="00F74A7B"/>
    <w:rPr>
      <w:i/>
      <w:iCs/>
    </w:rPr>
  </w:style>
  <w:style w:type="character" w:styleId="HTMLCode">
    <w:name w:val="HTML Code"/>
    <w:semiHidden/>
    <w:rsid w:val="00F74A7B"/>
    <w:rPr>
      <w:rFonts w:ascii="Courier New" w:hAnsi="Courier New" w:cs="Courier New"/>
      <w:sz w:val="20"/>
      <w:szCs w:val="20"/>
    </w:rPr>
  </w:style>
  <w:style w:type="character" w:styleId="HTMLDefinition">
    <w:name w:val="HTML Definition"/>
    <w:semiHidden/>
    <w:rsid w:val="00F74A7B"/>
    <w:rPr>
      <w:i/>
      <w:iCs/>
    </w:rPr>
  </w:style>
  <w:style w:type="character" w:styleId="HTMLKeyboard">
    <w:name w:val="HTML Keyboard"/>
    <w:semiHidden/>
    <w:rsid w:val="00F74A7B"/>
    <w:rPr>
      <w:rFonts w:ascii="Courier New" w:hAnsi="Courier New" w:cs="Courier New"/>
      <w:sz w:val="20"/>
      <w:szCs w:val="20"/>
    </w:rPr>
  </w:style>
  <w:style w:type="paragraph" w:styleId="HTMLPreformatted">
    <w:name w:val="HTML Preformatted"/>
    <w:basedOn w:val="Normal"/>
    <w:link w:val="HTMLPreformattedChar"/>
    <w:semiHidden/>
    <w:rsid w:val="00F74A7B"/>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F74A7B"/>
    <w:rPr>
      <w:rFonts w:ascii="Courier New" w:hAnsi="Courier New" w:cs="Courier New"/>
      <w:szCs w:val="22"/>
      <w:lang w:val="en-GB"/>
    </w:rPr>
  </w:style>
  <w:style w:type="character" w:styleId="HTMLSample">
    <w:name w:val="HTML Sample"/>
    <w:semiHidden/>
    <w:rsid w:val="00F74A7B"/>
    <w:rPr>
      <w:rFonts w:ascii="Courier New" w:hAnsi="Courier New" w:cs="Courier New"/>
    </w:rPr>
  </w:style>
  <w:style w:type="character" w:styleId="HTMLTypewriter">
    <w:name w:val="HTML Typewriter"/>
    <w:semiHidden/>
    <w:rsid w:val="00F74A7B"/>
    <w:rPr>
      <w:rFonts w:ascii="Courier New" w:hAnsi="Courier New" w:cs="Courier New"/>
      <w:sz w:val="20"/>
      <w:szCs w:val="20"/>
    </w:rPr>
  </w:style>
  <w:style w:type="character" w:styleId="HTMLVariable">
    <w:name w:val="HTML Variable"/>
    <w:semiHidden/>
    <w:rsid w:val="00F74A7B"/>
    <w:rPr>
      <w:i/>
      <w:iCs/>
    </w:rPr>
  </w:style>
  <w:style w:type="character" w:styleId="LineNumber">
    <w:name w:val="line number"/>
    <w:basedOn w:val="DefaultParagraphFont"/>
    <w:semiHidden/>
    <w:rsid w:val="00F74A7B"/>
  </w:style>
  <w:style w:type="paragraph" w:styleId="List">
    <w:name w:val="List"/>
    <w:basedOn w:val="Normal"/>
    <w:semiHidden/>
    <w:rsid w:val="00F74A7B"/>
    <w:pPr>
      <w:ind w:left="360" w:hanging="360"/>
    </w:pPr>
    <w:rPr>
      <w:lang w:val="en-GB"/>
    </w:rPr>
  </w:style>
  <w:style w:type="paragraph" w:styleId="List2">
    <w:name w:val="List 2"/>
    <w:basedOn w:val="Normal"/>
    <w:semiHidden/>
    <w:rsid w:val="00F74A7B"/>
    <w:pPr>
      <w:ind w:left="720" w:hanging="360"/>
    </w:pPr>
    <w:rPr>
      <w:lang w:val="en-GB"/>
    </w:rPr>
  </w:style>
  <w:style w:type="paragraph" w:styleId="List3">
    <w:name w:val="List 3"/>
    <w:basedOn w:val="Normal"/>
    <w:semiHidden/>
    <w:rsid w:val="00F74A7B"/>
    <w:pPr>
      <w:ind w:left="1080" w:hanging="360"/>
    </w:pPr>
    <w:rPr>
      <w:lang w:val="en-GB"/>
    </w:rPr>
  </w:style>
  <w:style w:type="paragraph" w:styleId="List4">
    <w:name w:val="List 4"/>
    <w:basedOn w:val="Normal"/>
    <w:rsid w:val="00F74A7B"/>
    <w:pPr>
      <w:ind w:left="1440" w:hanging="360"/>
    </w:pPr>
    <w:rPr>
      <w:lang w:val="en-GB"/>
    </w:rPr>
  </w:style>
  <w:style w:type="paragraph" w:styleId="List5">
    <w:name w:val="List 5"/>
    <w:basedOn w:val="Normal"/>
    <w:rsid w:val="00F74A7B"/>
    <w:pPr>
      <w:ind w:left="1800" w:hanging="360"/>
    </w:pPr>
    <w:rPr>
      <w:lang w:val="en-GB"/>
    </w:rPr>
  </w:style>
  <w:style w:type="paragraph" w:styleId="ListBullet">
    <w:name w:val="List Bullet"/>
    <w:basedOn w:val="Normal"/>
    <w:autoRedefine/>
    <w:semiHidden/>
    <w:rsid w:val="00F74A7B"/>
    <w:pPr>
      <w:tabs>
        <w:tab w:val="num" w:pos="360"/>
      </w:tabs>
      <w:ind w:left="360" w:hanging="360"/>
    </w:pPr>
    <w:rPr>
      <w:lang w:val="en-GB"/>
    </w:rPr>
  </w:style>
  <w:style w:type="paragraph" w:styleId="ListBullet2">
    <w:name w:val="List Bullet 2"/>
    <w:basedOn w:val="Normal"/>
    <w:autoRedefine/>
    <w:semiHidden/>
    <w:rsid w:val="00F74A7B"/>
    <w:pPr>
      <w:tabs>
        <w:tab w:val="num" w:pos="720"/>
      </w:tabs>
      <w:ind w:left="720" w:hanging="360"/>
    </w:pPr>
    <w:rPr>
      <w:lang w:val="en-GB"/>
    </w:rPr>
  </w:style>
  <w:style w:type="paragraph" w:styleId="ListBullet3">
    <w:name w:val="List Bullet 3"/>
    <w:basedOn w:val="Normal"/>
    <w:autoRedefine/>
    <w:semiHidden/>
    <w:rsid w:val="00F74A7B"/>
    <w:pPr>
      <w:tabs>
        <w:tab w:val="num" w:pos="1080"/>
      </w:tabs>
      <w:ind w:left="1080" w:hanging="360"/>
    </w:pPr>
    <w:rPr>
      <w:lang w:val="en-GB"/>
    </w:rPr>
  </w:style>
  <w:style w:type="paragraph" w:styleId="ListBullet4">
    <w:name w:val="List Bullet 4"/>
    <w:basedOn w:val="Normal"/>
    <w:autoRedefine/>
    <w:semiHidden/>
    <w:rsid w:val="00F74A7B"/>
    <w:pPr>
      <w:tabs>
        <w:tab w:val="num" w:pos="1440"/>
      </w:tabs>
      <w:ind w:left="1440" w:hanging="360"/>
    </w:pPr>
    <w:rPr>
      <w:lang w:val="en-GB"/>
    </w:rPr>
  </w:style>
  <w:style w:type="paragraph" w:styleId="ListContinue">
    <w:name w:val="List Continue"/>
    <w:basedOn w:val="Normal"/>
    <w:semiHidden/>
    <w:rsid w:val="00F74A7B"/>
    <w:pPr>
      <w:spacing w:after="120"/>
      <w:ind w:left="360"/>
    </w:pPr>
    <w:rPr>
      <w:lang w:val="en-GB"/>
    </w:rPr>
  </w:style>
  <w:style w:type="paragraph" w:styleId="ListContinue2">
    <w:name w:val="List Continue 2"/>
    <w:basedOn w:val="Normal"/>
    <w:semiHidden/>
    <w:rsid w:val="00F74A7B"/>
    <w:pPr>
      <w:spacing w:after="120"/>
      <w:ind w:left="720"/>
    </w:pPr>
    <w:rPr>
      <w:lang w:val="en-GB"/>
    </w:rPr>
  </w:style>
  <w:style w:type="paragraph" w:styleId="ListContinue3">
    <w:name w:val="List Continue 3"/>
    <w:basedOn w:val="Normal"/>
    <w:semiHidden/>
    <w:rsid w:val="00F74A7B"/>
    <w:pPr>
      <w:spacing w:after="120"/>
      <w:ind w:left="1080"/>
    </w:pPr>
    <w:rPr>
      <w:lang w:val="en-GB"/>
    </w:rPr>
  </w:style>
  <w:style w:type="paragraph" w:styleId="ListContinue4">
    <w:name w:val="List Continue 4"/>
    <w:basedOn w:val="Normal"/>
    <w:semiHidden/>
    <w:rsid w:val="00F74A7B"/>
    <w:pPr>
      <w:spacing w:after="120"/>
      <w:ind w:left="1440"/>
    </w:pPr>
    <w:rPr>
      <w:lang w:val="en-GB"/>
    </w:rPr>
  </w:style>
  <w:style w:type="paragraph" w:styleId="ListContinue5">
    <w:name w:val="List Continue 5"/>
    <w:basedOn w:val="Normal"/>
    <w:semiHidden/>
    <w:rsid w:val="00F74A7B"/>
    <w:pPr>
      <w:spacing w:after="120"/>
      <w:ind w:left="1800"/>
    </w:pPr>
    <w:rPr>
      <w:lang w:val="en-GB"/>
    </w:rPr>
  </w:style>
  <w:style w:type="paragraph" w:styleId="ListNumber">
    <w:name w:val="List Number"/>
    <w:basedOn w:val="Normal"/>
    <w:rsid w:val="00F74A7B"/>
    <w:pPr>
      <w:tabs>
        <w:tab w:val="num" w:pos="360"/>
      </w:tabs>
      <w:ind w:left="360" w:hanging="360"/>
    </w:pPr>
    <w:rPr>
      <w:lang w:val="en-GB"/>
    </w:rPr>
  </w:style>
  <w:style w:type="paragraph" w:styleId="ListNumber2">
    <w:name w:val="List Number 2"/>
    <w:basedOn w:val="Normal"/>
    <w:semiHidden/>
    <w:rsid w:val="00F74A7B"/>
    <w:pPr>
      <w:tabs>
        <w:tab w:val="num" w:pos="720"/>
      </w:tabs>
      <w:ind w:left="720" w:hanging="360"/>
    </w:pPr>
    <w:rPr>
      <w:lang w:val="en-GB"/>
    </w:rPr>
  </w:style>
  <w:style w:type="paragraph" w:styleId="ListNumber3">
    <w:name w:val="List Number 3"/>
    <w:basedOn w:val="Normal"/>
    <w:semiHidden/>
    <w:rsid w:val="00F74A7B"/>
    <w:pPr>
      <w:tabs>
        <w:tab w:val="num" w:pos="1080"/>
      </w:tabs>
      <w:ind w:left="1080" w:hanging="360"/>
    </w:pPr>
    <w:rPr>
      <w:lang w:val="en-GB"/>
    </w:rPr>
  </w:style>
  <w:style w:type="paragraph" w:styleId="ListNumber4">
    <w:name w:val="List Number 4"/>
    <w:basedOn w:val="Normal"/>
    <w:semiHidden/>
    <w:rsid w:val="00F74A7B"/>
    <w:pPr>
      <w:tabs>
        <w:tab w:val="num" w:pos="1440"/>
      </w:tabs>
      <w:ind w:left="1440" w:hanging="360"/>
    </w:pPr>
    <w:rPr>
      <w:lang w:val="en-GB"/>
    </w:rPr>
  </w:style>
  <w:style w:type="paragraph" w:styleId="ListNumber5">
    <w:name w:val="List Number 5"/>
    <w:basedOn w:val="Normal"/>
    <w:semiHidden/>
    <w:rsid w:val="00F74A7B"/>
    <w:pPr>
      <w:tabs>
        <w:tab w:val="num" w:pos="1800"/>
      </w:tabs>
      <w:ind w:left="1800" w:hanging="360"/>
    </w:pPr>
    <w:rPr>
      <w:lang w:val="en-GB"/>
    </w:rPr>
  </w:style>
  <w:style w:type="paragraph" w:styleId="MessageHeader">
    <w:name w:val="Message Header"/>
    <w:basedOn w:val="Normal"/>
    <w:link w:val="MessageHeaderChar"/>
    <w:semiHidden/>
    <w:rsid w:val="00F74A7B"/>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F74A7B"/>
    <w:rPr>
      <w:rFonts w:ascii="Arial" w:hAnsi="Arial" w:cs="Arial"/>
      <w:sz w:val="22"/>
      <w:szCs w:val="24"/>
      <w:shd w:val="pct20" w:color="auto" w:fill="auto"/>
      <w:lang w:val="en-GB"/>
    </w:rPr>
  </w:style>
  <w:style w:type="paragraph" w:styleId="NormalIndent">
    <w:name w:val="Normal Indent"/>
    <w:basedOn w:val="Normal"/>
    <w:semiHidden/>
    <w:rsid w:val="00F74A7B"/>
    <w:pPr>
      <w:ind w:left="720"/>
    </w:pPr>
    <w:rPr>
      <w:lang w:val="en-GB"/>
    </w:rPr>
  </w:style>
  <w:style w:type="paragraph" w:styleId="NoteHeading">
    <w:name w:val="Note Heading"/>
    <w:basedOn w:val="Normal"/>
    <w:next w:val="Normal"/>
    <w:link w:val="NoteHeadingChar"/>
    <w:semiHidden/>
    <w:rsid w:val="00F74A7B"/>
    <w:rPr>
      <w:lang w:val="en-GB"/>
    </w:rPr>
  </w:style>
  <w:style w:type="character" w:customStyle="1" w:styleId="NoteHeadingChar">
    <w:name w:val="Note Heading Char"/>
    <w:basedOn w:val="DefaultParagraphFont"/>
    <w:link w:val="NoteHeading"/>
    <w:semiHidden/>
    <w:rsid w:val="00F74A7B"/>
    <w:rPr>
      <w:sz w:val="22"/>
      <w:szCs w:val="22"/>
      <w:lang w:val="en-GB"/>
    </w:rPr>
  </w:style>
  <w:style w:type="paragraph" w:styleId="Salutation">
    <w:name w:val="Salutation"/>
    <w:basedOn w:val="Normal"/>
    <w:next w:val="Normal"/>
    <w:link w:val="SalutationChar"/>
    <w:rsid w:val="00F74A7B"/>
    <w:rPr>
      <w:lang w:val="en-GB"/>
    </w:rPr>
  </w:style>
  <w:style w:type="character" w:customStyle="1" w:styleId="SalutationChar">
    <w:name w:val="Salutation Char"/>
    <w:basedOn w:val="DefaultParagraphFont"/>
    <w:link w:val="Salutation"/>
    <w:rsid w:val="00F74A7B"/>
    <w:rPr>
      <w:sz w:val="22"/>
      <w:szCs w:val="22"/>
      <w:lang w:val="en-GB"/>
    </w:rPr>
  </w:style>
  <w:style w:type="paragraph" w:styleId="Signature">
    <w:name w:val="Signature"/>
    <w:basedOn w:val="Normal"/>
    <w:link w:val="SignatureChar"/>
    <w:semiHidden/>
    <w:rsid w:val="00F74A7B"/>
    <w:pPr>
      <w:ind w:left="4320"/>
    </w:pPr>
    <w:rPr>
      <w:lang w:val="en-GB"/>
    </w:rPr>
  </w:style>
  <w:style w:type="character" w:customStyle="1" w:styleId="SignatureChar">
    <w:name w:val="Signature Char"/>
    <w:basedOn w:val="DefaultParagraphFont"/>
    <w:link w:val="Signature"/>
    <w:semiHidden/>
    <w:rsid w:val="00F74A7B"/>
    <w:rPr>
      <w:sz w:val="22"/>
      <w:szCs w:val="22"/>
      <w:lang w:val="en-GB"/>
    </w:rPr>
  </w:style>
  <w:style w:type="character" w:styleId="Strong">
    <w:name w:val="Strong"/>
    <w:qFormat/>
    <w:rsid w:val="00F74A7B"/>
    <w:rPr>
      <w:b/>
      <w:bCs/>
    </w:rPr>
  </w:style>
  <w:style w:type="paragraph" w:customStyle="1" w:styleId="Level3">
    <w:name w:val="Level3"/>
    <w:basedOn w:val="Normal"/>
    <w:autoRedefine/>
    <w:rsid w:val="00F74A7B"/>
    <w:pPr>
      <w:numPr>
        <w:numId w:val="24"/>
      </w:numPr>
      <w:tabs>
        <w:tab w:val="left" w:pos="578"/>
      </w:tabs>
      <w:spacing w:after="240" w:line="288" w:lineRule="auto"/>
      <w:jc w:val="left"/>
    </w:pPr>
    <w:rPr>
      <w:szCs w:val="20"/>
      <w:lang w:val="en-GB"/>
    </w:rPr>
  </w:style>
  <w:style w:type="paragraph" w:customStyle="1" w:styleId="Paralevel1">
    <w:name w:val="Para level1"/>
    <w:basedOn w:val="Normal"/>
    <w:link w:val="Paralevel1Char"/>
    <w:autoRedefine/>
    <w:uiPriority w:val="99"/>
    <w:rsid w:val="00F74A7B"/>
    <w:pPr>
      <w:suppressAutoHyphens/>
      <w:spacing w:after="240"/>
      <w:jc w:val="right"/>
    </w:pPr>
    <w:rPr>
      <w:b/>
      <w:bCs/>
      <w:lang w:val="en-GB"/>
    </w:rPr>
  </w:style>
  <w:style w:type="character" w:customStyle="1" w:styleId="Paralevel1Char">
    <w:name w:val="Para level1 Char"/>
    <w:link w:val="Paralevel1"/>
    <w:uiPriority w:val="99"/>
    <w:rsid w:val="00F74A7B"/>
    <w:rPr>
      <w:b/>
      <w:bCs/>
      <w:sz w:val="22"/>
      <w:szCs w:val="22"/>
      <w:lang w:val="en-GB"/>
    </w:rPr>
  </w:style>
  <w:style w:type="character" w:customStyle="1" w:styleId="Heading3Char3CharCharChar">
    <w:name w:val="Heading 3 Char3 Char Char Char"/>
    <w:rsid w:val="00F74A7B"/>
    <w:rPr>
      <w:sz w:val="22"/>
      <w:szCs w:val="22"/>
      <w:lang w:val="en-GB" w:eastAsia="en-US" w:bidi="ar-SA"/>
    </w:rPr>
  </w:style>
  <w:style w:type="character" w:customStyle="1" w:styleId="Normal-poolChar">
    <w:name w:val="Normal-pool Char"/>
    <w:link w:val="Normal-pool"/>
    <w:locked/>
    <w:rsid w:val="00F74A7B"/>
    <w:rPr>
      <w:lang w:val="en-GB"/>
    </w:rPr>
  </w:style>
  <w:style w:type="character" w:customStyle="1" w:styleId="bumpedfont15">
    <w:name w:val="bumpedfont15"/>
    <w:basedOn w:val="DefaultParagraphFont"/>
    <w:rsid w:val="00F74A7B"/>
  </w:style>
  <w:style w:type="table" w:customStyle="1" w:styleId="Table3Deffects11">
    <w:name w:val="Table 3D effects 11"/>
    <w:basedOn w:val="TableNormal"/>
    <w:next w:val="Table3Deffects1"/>
    <w:semiHidden/>
    <w:rsid w:val="00F74A7B"/>
    <w:pPr>
      <w:jc w:val="both"/>
    </w:pPr>
    <w:rPr>
      <w:lang w:val="en-GB"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F74A7B"/>
    <w:pPr>
      <w:jc w:val="both"/>
    </w:pPr>
    <w:rPr>
      <w:lang w:val="en-GB"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F74A7B"/>
    <w:pPr>
      <w:jc w:val="both"/>
    </w:pPr>
    <w:rPr>
      <w:lang w:val="en-GB"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F74A7B"/>
    <w:pPr>
      <w:jc w:val="both"/>
    </w:pPr>
    <w:rPr>
      <w:lang w:val="en-GB"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F74A7B"/>
    <w:pPr>
      <w:jc w:val="both"/>
    </w:pPr>
    <w:rPr>
      <w:lang w:val="en-GB"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F74A7B"/>
    <w:pPr>
      <w:jc w:val="both"/>
    </w:pPr>
    <w:rPr>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F74A7B"/>
    <w:pPr>
      <w:jc w:val="both"/>
    </w:pPr>
    <w:rPr>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F74A7B"/>
    <w:pPr>
      <w:jc w:val="both"/>
    </w:pPr>
    <w:rPr>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F74A7B"/>
    <w:pPr>
      <w:jc w:val="both"/>
    </w:pPr>
    <w:rPr>
      <w:lang w:val="en-GB"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F74A7B"/>
    <w:pPr>
      <w:jc w:val="both"/>
    </w:pPr>
    <w:rPr>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F74A7B"/>
    <w:pPr>
      <w:jc w:val="both"/>
    </w:pPr>
    <w:rPr>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F74A7B"/>
    <w:pPr>
      <w:jc w:val="both"/>
    </w:pPr>
    <w:rPr>
      <w:b/>
      <w:bCs/>
      <w:lang w:val="en-GB"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F74A7B"/>
    <w:pPr>
      <w:jc w:val="both"/>
    </w:pPr>
    <w:rPr>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F74A7B"/>
    <w:pPr>
      <w:jc w:val="both"/>
    </w:pPr>
    <w:rPr>
      <w:lang w:val="en-GB"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F74A7B"/>
    <w:pPr>
      <w:jc w:val="both"/>
    </w:pPr>
    <w:rPr>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F74A7B"/>
    <w:pPr>
      <w:jc w:val="both"/>
    </w:pPr>
    <w:rPr>
      <w:lang w:val="en-GB"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F74A7B"/>
    <w:pPr>
      <w:jc w:val="both"/>
    </w:pPr>
    <w:rPr>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F74A7B"/>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F74A7B"/>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F74A7B"/>
    <w:pPr>
      <w:jc w:val="both"/>
    </w:pPr>
    <w:rPr>
      <w:lang w:val="en-GB"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F74A7B"/>
    <w:pPr>
      <w:jc w:val="both"/>
    </w:pPr>
    <w:rPr>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F74A7B"/>
    <w:pPr>
      <w:jc w:val="both"/>
    </w:pPr>
    <w:rPr>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F74A7B"/>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F74A7B"/>
    <w:pPr>
      <w:jc w:val="both"/>
    </w:pPr>
    <w:rPr>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F74A7B"/>
    <w:pPr>
      <w:jc w:val="both"/>
    </w:pPr>
    <w:rPr>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F74A7B"/>
    <w:pPr>
      <w:jc w:val="both"/>
    </w:pPr>
    <w:rPr>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F74A7B"/>
    <w:pPr>
      <w:jc w:val="both"/>
    </w:pPr>
    <w:rPr>
      <w:lang w:val="en-GB"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F74A7B"/>
    <w:pPr>
      <w:jc w:val="both"/>
    </w:pPr>
    <w:rPr>
      <w:lang w:val="en-GB"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F74A7B"/>
    <w:pPr>
      <w:jc w:val="both"/>
    </w:pPr>
    <w:rPr>
      <w:lang w:val="en-GB"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F74A7B"/>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F74A7B"/>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F74A7B"/>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F74A7B"/>
    <w:pPr>
      <w:jc w:val="both"/>
    </w:pPr>
    <w:rPr>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F74A7B"/>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F74A7B"/>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F74A7B"/>
    <w:pPr>
      <w:jc w:val="both"/>
    </w:pPr>
    <w:rPr>
      <w:lang w:val="en-GB"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F74A7B"/>
    <w:pPr>
      <w:jc w:val="both"/>
    </w:pPr>
    <w:rPr>
      <w:lang w:val="en-GB"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F74A7B"/>
    <w:pPr>
      <w:jc w:val="both"/>
    </w:pPr>
    <w:rPr>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F74A7B"/>
    <w:pPr>
      <w:jc w:val="both"/>
    </w:pPr>
    <w:rPr>
      <w:lang w:val="en-GB"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F74A7B"/>
    <w:pPr>
      <w:jc w:val="both"/>
    </w:pPr>
    <w:rPr>
      <w:lang w:val="en-GB"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F74A7B"/>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F74A7B"/>
    <w:pPr>
      <w:jc w:val="both"/>
    </w:pPr>
    <w:rPr>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F74A7B"/>
    <w:pPr>
      <w:jc w:val="both"/>
    </w:pPr>
    <w:rPr>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F74A7B"/>
    <w:pPr>
      <w:jc w:val="both"/>
    </w:pPr>
    <w:rPr>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font15">
    <w:name w:val="font15"/>
    <w:basedOn w:val="Normal"/>
    <w:rsid w:val="00F74A7B"/>
    <w:pPr>
      <w:spacing w:before="100" w:beforeAutospacing="1" w:after="100" w:afterAutospacing="1"/>
      <w:jc w:val="left"/>
    </w:pPr>
    <w:rPr>
      <w:rFonts w:ascii="Tahoma" w:hAnsi="Tahoma" w:cs="Tahoma"/>
      <w:b/>
      <w:bCs/>
      <w:color w:val="000000"/>
      <w:sz w:val="18"/>
      <w:szCs w:val="18"/>
      <w:lang w:eastAsia="en-CA"/>
    </w:rPr>
  </w:style>
  <w:style w:type="paragraph" w:customStyle="1" w:styleId="font16">
    <w:name w:val="font16"/>
    <w:basedOn w:val="Normal"/>
    <w:rsid w:val="00F74A7B"/>
    <w:pPr>
      <w:spacing w:before="100" w:beforeAutospacing="1" w:after="100" w:afterAutospacing="1"/>
      <w:jc w:val="left"/>
    </w:pPr>
    <w:rPr>
      <w:rFonts w:ascii="Tahoma" w:hAnsi="Tahoma" w:cs="Tahoma"/>
      <w:color w:val="000000"/>
      <w:sz w:val="18"/>
      <w:szCs w:val="18"/>
      <w:lang w:eastAsia="en-CA"/>
    </w:rPr>
  </w:style>
  <w:style w:type="paragraph" w:customStyle="1" w:styleId="font17">
    <w:name w:val="font17"/>
    <w:basedOn w:val="Normal"/>
    <w:rsid w:val="00F74A7B"/>
    <w:pPr>
      <w:spacing w:before="100" w:beforeAutospacing="1" w:after="100" w:afterAutospacing="1"/>
      <w:jc w:val="left"/>
    </w:pPr>
    <w:rPr>
      <w:rFonts w:ascii="Tahoma" w:hAnsi="Tahoma" w:cs="Tahoma"/>
      <w:b/>
      <w:bCs/>
      <w:color w:val="000000"/>
      <w:sz w:val="18"/>
      <w:szCs w:val="18"/>
      <w:lang w:eastAsia="en-CA"/>
    </w:rPr>
  </w:style>
  <w:style w:type="paragraph" w:customStyle="1" w:styleId="font18">
    <w:name w:val="font18"/>
    <w:basedOn w:val="Normal"/>
    <w:rsid w:val="00F74A7B"/>
    <w:pPr>
      <w:spacing w:before="100" w:beforeAutospacing="1" w:after="100" w:afterAutospacing="1"/>
      <w:jc w:val="left"/>
    </w:pPr>
    <w:rPr>
      <w:rFonts w:ascii="Tahoma" w:hAnsi="Tahoma" w:cs="Tahoma"/>
      <w:color w:val="000000"/>
      <w:sz w:val="18"/>
      <w:szCs w:val="18"/>
      <w:lang w:eastAsia="en-CA"/>
    </w:rPr>
  </w:style>
  <w:style w:type="paragraph" w:customStyle="1" w:styleId="font19">
    <w:name w:val="font19"/>
    <w:basedOn w:val="Normal"/>
    <w:rsid w:val="00F74A7B"/>
    <w:pPr>
      <w:spacing w:before="100" w:beforeAutospacing="1" w:after="100" w:afterAutospacing="1"/>
      <w:jc w:val="left"/>
    </w:pPr>
    <w:rPr>
      <w:rFonts w:ascii="Tahoma" w:hAnsi="Tahoma" w:cs="Tahoma"/>
      <w:b/>
      <w:bCs/>
      <w:color w:val="000000"/>
      <w:sz w:val="18"/>
      <w:szCs w:val="18"/>
      <w:lang w:eastAsia="en-CA"/>
    </w:rPr>
  </w:style>
  <w:style w:type="paragraph" w:customStyle="1" w:styleId="font20">
    <w:name w:val="font20"/>
    <w:basedOn w:val="Normal"/>
    <w:rsid w:val="00F74A7B"/>
    <w:pPr>
      <w:spacing w:before="100" w:beforeAutospacing="1" w:after="100" w:afterAutospacing="1"/>
      <w:jc w:val="left"/>
    </w:pPr>
    <w:rPr>
      <w:rFonts w:ascii="Tahoma" w:hAnsi="Tahoma" w:cs="Tahoma"/>
      <w:color w:val="000000"/>
      <w:sz w:val="18"/>
      <w:szCs w:val="18"/>
      <w:lang w:eastAsia="en-CA"/>
    </w:rPr>
  </w:style>
  <w:style w:type="paragraph" w:customStyle="1" w:styleId="font21">
    <w:name w:val="font21"/>
    <w:basedOn w:val="Normal"/>
    <w:rsid w:val="00F74A7B"/>
    <w:pPr>
      <w:spacing w:before="100" w:beforeAutospacing="1" w:after="100" w:afterAutospacing="1"/>
      <w:jc w:val="left"/>
    </w:pPr>
    <w:rPr>
      <w:rFonts w:ascii="Tahoma" w:hAnsi="Tahoma" w:cs="Tahoma"/>
      <w:b/>
      <w:bCs/>
      <w:color w:val="000000"/>
      <w:sz w:val="18"/>
      <w:szCs w:val="18"/>
      <w:lang w:eastAsia="en-CA"/>
    </w:rPr>
  </w:style>
  <w:style w:type="paragraph" w:customStyle="1" w:styleId="font22">
    <w:name w:val="font22"/>
    <w:basedOn w:val="Normal"/>
    <w:rsid w:val="00F74A7B"/>
    <w:pPr>
      <w:spacing w:before="100" w:beforeAutospacing="1" w:after="100" w:afterAutospacing="1"/>
      <w:jc w:val="left"/>
    </w:pPr>
    <w:rPr>
      <w:rFonts w:ascii="Tahoma" w:hAnsi="Tahoma" w:cs="Tahoma"/>
      <w:b/>
      <w:bCs/>
      <w:color w:val="000000"/>
      <w:sz w:val="18"/>
      <w:szCs w:val="18"/>
      <w:lang w:eastAsia="en-CA"/>
    </w:rPr>
  </w:style>
  <w:style w:type="paragraph" w:customStyle="1" w:styleId="font23">
    <w:name w:val="font23"/>
    <w:basedOn w:val="Normal"/>
    <w:rsid w:val="00F74A7B"/>
    <w:pPr>
      <w:spacing w:before="100" w:beforeAutospacing="1" w:after="100" w:afterAutospacing="1"/>
      <w:jc w:val="left"/>
    </w:pPr>
    <w:rPr>
      <w:rFonts w:ascii="Tahoma" w:hAnsi="Tahoma" w:cs="Tahoma"/>
      <w:color w:val="000000"/>
      <w:sz w:val="18"/>
      <w:szCs w:val="18"/>
      <w:lang w:eastAsia="en-CA"/>
    </w:rPr>
  </w:style>
  <w:style w:type="paragraph" w:customStyle="1" w:styleId="StyleMarcellei">
    <w:name w:val="Style Marcelle (i)"/>
    <w:basedOn w:val="Heading3"/>
    <w:uiPriority w:val="99"/>
    <w:rsid w:val="00F74A7B"/>
    <w:pPr>
      <w:numPr>
        <w:ilvl w:val="0"/>
        <w:numId w:val="0"/>
      </w:numPr>
      <w:tabs>
        <w:tab w:val="num" w:pos="0"/>
        <w:tab w:val="num" w:pos="1080"/>
      </w:tabs>
      <w:ind w:left="1080" w:hanging="360"/>
    </w:pPr>
    <w:rPr>
      <w:b/>
      <w:bCs/>
      <w:lang w:val="en-GB"/>
    </w:rPr>
  </w:style>
  <w:style w:type="character" w:customStyle="1" w:styleId="0Heading0Char">
    <w:name w:val="0 Heading 0 Char"/>
    <w:link w:val="0Heading0"/>
    <w:rsid w:val="00F74A7B"/>
    <w:rPr>
      <w:sz w:val="22"/>
      <w:szCs w:val="22"/>
      <w:lang w:val="en-GB"/>
    </w:rPr>
  </w:style>
  <w:style w:type="paragraph" w:customStyle="1" w:styleId="Indent1">
    <w:name w:val="Indent 1"/>
    <w:basedOn w:val="Normal"/>
    <w:qFormat/>
    <w:rsid w:val="00F74A7B"/>
    <w:pPr>
      <w:spacing w:after="240" w:line="360" w:lineRule="auto"/>
      <w:ind w:left="1440" w:hanging="720"/>
      <w:jc w:val="left"/>
    </w:pPr>
    <w:rPr>
      <w:sz w:val="24"/>
      <w:szCs w:val="24"/>
      <w:lang w:val="en-US"/>
    </w:rPr>
  </w:style>
  <w:style w:type="paragraph" w:customStyle="1" w:styleId="msonormal0">
    <w:name w:val="msonormal"/>
    <w:basedOn w:val="Normal"/>
    <w:rsid w:val="00F74A7B"/>
    <w:pPr>
      <w:spacing w:before="100" w:beforeAutospacing="1" w:after="100" w:afterAutospacing="1"/>
      <w:jc w:val="left"/>
    </w:pPr>
    <w:rPr>
      <w:sz w:val="24"/>
      <w:szCs w:val="24"/>
      <w:lang w:eastAsia="en-CA"/>
    </w:rPr>
  </w:style>
  <w:style w:type="paragraph" w:customStyle="1" w:styleId="Style3">
    <w:name w:val="Style3"/>
    <w:basedOn w:val="Heading1"/>
    <w:link w:val="Style3Char"/>
    <w:qFormat/>
    <w:rsid w:val="00F74A7B"/>
    <w:pPr>
      <w:numPr>
        <w:numId w:val="0"/>
      </w:numPr>
      <w:ind w:firstLine="720"/>
    </w:pPr>
    <w:rPr>
      <w:rFonts w:eastAsiaTheme="minorEastAsia"/>
      <w:b/>
      <w:lang w:val="en-GB" w:eastAsia="zh-CN"/>
    </w:rPr>
  </w:style>
  <w:style w:type="character" w:customStyle="1" w:styleId="Style3Char">
    <w:name w:val="Style3 Char"/>
    <w:basedOn w:val="Heading1Char1"/>
    <w:link w:val="Style3"/>
    <w:rsid w:val="00F74A7B"/>
    <w:rPr>
      <w:rFonts w:eastAsiaTheme="minorEastAsia"/>
      <w:b/>
      <w:sz w:val="22"/>
      <w:szCs w:val="22"/>
      <w:lang w:val="en-GB" w:eastAsia="zh-CN"/>
    </w:rPr>
  </w:style>
  <w:style w:type="paragraph" w:customStyle="1" w:styleId="Style2">
    <w:name w:val="Style2"/>
    <w:basedOn w:val="Heading1"/>
    <w:link w:val="Style2Char"/>
    <w:qFormat/>
    <w:rsid w:val="00F74A7B"/>
    <w:pPr>
      <w:numPr>
        <w:numId w:val="0"/>
      </w:numPr>
    </w:pPr>
    <w:rPr>
      <w:rFonts w:eastAsiaTheme="minorEastAsia"/>
      <w:b/>
      <w:lang w:val="en-GB" w:eastAsia="zh-CN"/>
    </w:rPr>
  </w:style>
  <w:style w:type="character" w:customStyle="1" w:styleId="Style2Char">
    <w:name w:val="Style2 Char"/>
    <w:basedOn w:val="Heading1Char1"/>
    <w:link w:val="Style2"/>
    <w:rsid w:val="00F74A7B"/>
    <w:rPr>
      <w:rFonts w:eastAsiaTheme="minorEastAsia"/>
      <w:b/>
      <w:sz w:val="22"/>
      <w:szCs w:val="22"/>
      <w:lang w:val="en-GB" w:eastAsia="zh-CN"/>
    </w:rPr>
  </w:style>
  <w:style w:type="paragraph" w:customStyle="1" w:styleId="Style1">
    <w:name w:val="Style1"/>
    <w:basedOn w:val="Heading1"/>
    <w:link w:val="Style1Char"/>
    <w:qFormat/>
    <w:rsid w:val="00F74A7B"/>
    <w:pPr>
      <w:numPr>
        <w:numId w:val="0"/>
      </w:numPr>
    </w:pPr>
    <w:rPr>
      <w:rFonts w:eastAsiaTheme="minorEastAsia"/>
      <w:b/>
      <w:lang w:val="en-GB" w:eastAsia="zh-CN"/>
    </w:rPr>
  </w:style>
  <w:style w:type="character" w:customStyle="1" w:styleId="Style1Char">
    <w:name w:val="Style1 Char"/>
    <w:basedOn w:val="Heading1Char1"/>
    <w:link w:val="Style1"/>
    <w:rsid w:val="00F74A7B"/>
    <w:rPr>
      <w:rFonts w:eastAsiaTheme="minorEastAsia"/>
      <w:b/>
      <w:sz w:val="22"/>
      <w:szCs w:val="22"/>
      <w:lang w:val="en-GB" w:eastAsia="zh-CN"/>
    </w:rPr>
  </w:style>
  <w:style w:type="character" w:customStyle="1" w:styleId="ListParagraphChar">
    <w:name w:val="List Paragraph Char"/>
    <w:aliases w:val="(i) Indent 2 Char,List Paragraph (numbered (a)) Char Char,List Paragraph Char Char Char Char,List Paragraph (numbered (a)) Char1,Use Case List Paragraph Char,List Paragraph2 Char,Numbered List Paragraph Char,Bullet paras Char"/>
    <w:basedOn w:val="DefaultParagraphFont"/>
    <w:link w:val="ListParagraph"/>
    <w:uiPriority w:val="34"/>
    <w:rsid w:val="00F74A7B"/>
    <w:rPr>
      <w:sz w:val="22"/>
      <w:szCs w:val="22"/>
      <w:lang w:val="en-CA"/>
    </w:rPr>
  </w:style>
  <w:style w:type="numbering" w:customStyle="1" w:styleId="ArticleSection11">
    <w:name w:val="Article / Section11"/>
    <w:basedOn w:val="NoList"/>
    <w:next w:val="ArticleSection"/>
    <w:rsid w:val="00F74A7B"/>
    <w:pPr>
      <w:numPr>
        <w:numId w:val="25"/>
      </w:numPr>
    </w:pPr>
  </w:style>
  <w:style w:type="character" w:customStyle="1" w:styleId="CH1Char">
    <w:name w:val="CH1 Char"/>
    <w:link w:val="CH1"/>
    <w:locked/>
    <w:rsid w:val="00F74A7B"/>
    <w:rPr>
      <w:b/>
      <w:sz w:val="28"/>
      <w:szCs w:val="28"/>
      <w:lang w:val="en-GB"/>
    </w:rPr>
  </w:style>
  <w:style w:type="paragraph" w:customStyle="1" w:styleId="Listparagraph2">
    <w:name w:val="List paragraph 2"/>
    <w:basedOn w:val="Normal"/>
    <w:qFormat/>
    <w:rsid w:val="00F74A7B"/>
    <w:pPr>
      <w:numPr>
        <w:numId w:val="26"/>
      </w:numPr>
      <w:spacing w:after="240" w:line="360" w:lineRule="auto"/>
      <w:jc w:val="left"/>
    </w:pPr>
    <w:rPr>
      <w:sz w:val="24"/>
      <w:szCs w:val="24"/>
      <w:lang w:val="en-GB"/>
    </w:rPr>
  </w:style>
  <w:style w:type="character" w:customStyle="1" w:styleId="spellingerror">
    <w:name w:val="spellingerror"/>
    <w:basedOn w:val="DefaultParagraphFont"/>
    <w:rsid w:val="00F74A7B"/>
  </w:style>
  <w:style w:type="paragraph" w:customStyle="1" w:styleId="Projecthead">
    <w:name w:val="Project head"/>
    <w:basedOn w:val="Normal"/>
    <w:qFormat/>
    <w:rsid w:val="00F74A7B"/>
    <w:pPr>
      <w:spacing w:after="240" w:line="360" w:lineRule="auto"/>
      <w:jc w:val="left"/>
    </w:pPr>
    <w:rPr>
      <w:i/>
      <w:sz w:val="24"/>
      <w:szCs w:val="24"/>
      <w:lang w:val="en-US"/>
    </w:rPr>
  </w:style>
  <w:style w:type="paragraph" w:customStyle="1" w:styleId="letteredhead1">
    <w:name w:val="lettered head1"/>
    <w:basedOn w:val="Normal"/>
    <w:qFormat/>
    <w:rsid w:val="00F74A7B"/>
    <w:pPr>
      <w:numPr>
        <w:numId w:val="27"/>
      </w:numPr>
      <w:spacing w:after="240" w:line="360" w:lineRule="auto"/>
    </w:pPr>
    <w:rPr>
      <w:sz w:val="24"/>
      <w:szCs w:val="24"/>
      <w:lang w:val="en-GB"/>
    </w:rPr>
  </w:style>
  <w:style w:type="paragraph" w:customStyle="1" w:styleId="font24">
    <w:name w:val="font24"/>
    <w:basedOn w:val="Normal"/>
    <w:rsid w:val="00F74A7B"/>
    <w:pPr>
      <w:spacing w:before="100" w:beforeAutospacing="1" w:after="100" w:afterAutospacing="1"/>
      <w:jc w:val="left"/>
    </w:pPr>
    <w:rPr>
      <w:rFonts w:ascii="Tahoma" w:hAnsi="Tahoma" w:cs="Tahoma"/>
      <w:color w:val="000000"/>
      <w:sz w:val="18"/>
      <w:szCs w:val="18"/>
      <w:lang w:eastAsia="en-CA"/>
    </w:rPr>
  </w:style>
  <w:style w:type="paragraph" w:customStyle="1" w:styleId="font25">
    <w:name w:val="font25"/>
    <w:basedOn w:val="Normal"/>
    <w:rsid w:val="00F74A7B"/>
    <w:pPr>
      <w:spacing w:before="100" w:beforeAutospacing="1" w:after="100" w:afterAutospacing="1"/>
      <w:jc w:val="left"/>
    </w:pPr>
    <w:rPr>
      <w:rFonts w:ascii="Tahoma" w:hAnsi="Tahoma" w:cs="Tahoma"/>
      <w:b/>
      <w:bCs/>
      <w:color w:val="000000"/>
      <w:sz w:val="18"/>
      <w:szCs w:val="18"/>
      <w:lang w:eastAsia="en-CA"/>
    </w:rPr>
  </w:style>
  <w:style w:type="character" w:customStyle="1" w:styleId="UnresolvedMention1">
    <w:name w:val="Unresolved Mention1"/>
    <w:basedOn w:val="DefaultParagraphFont"/>
    <w:uiPriority w:val="99"/>
    <w:semiHidden/>
    <w:unhideWhenUsed/>
    <w:rsid w:val="00F74A7B"/>
    <w:rPr>
      <w:color w:val="605E5C"/>
      <w:shd w:val="clear" w:color="auto" w:fill="E1DFDD"/>
    </w:rPr>
  </w:style>
  <w:style w:type="character" w:customStyle="1" w:styleId="NormalpoolChar">
    <w:name w:val="Normal_pool Char"/>
    <w:link w:val="Normalpool"/>
    <w:locked/>
    <w:rsid w:val="00F74A7B"/>
    <w:rPr>
      <w:lang w:val="fr-FR"/>
    </w:rPr>
  </w:style>
  <w:style w:type="paragraph" w:customStyle="1" w:styleId="font26">
    <w:name w:val="font26"/>
    <w:basedOn w:val="Normal"/>
    <w:rsid w:val="00F74A7B"/>
    <w:pPr>
      <w:spacing w:before="100" w:beforeAutospacing="1" w:after="100" w:afterAutospacing="1"/>
      <w:jc w:val="left"/>
    </w:pPr>
    <w:rPr>
      <w:rFonts w:ascii="Tahoma" w:hAnsi="Tahoma" w:cs="Tahoma"/>
      <w:color w:val="000000"/>
      <w:sz w:val="18"/>
      <w:szCs w:val="18"/>
      <w:lang w:eastAsia="en-CA"/>
    </w:rPr>
  </w:style>
  <w:style w:type="paragraph" w:customStyle="1" w:styleId="font27">
    <w:name w:val="font27"/>
    <w:basedOn w:val="Normal"/>
    <w:rsid w:val="00F74A7B"/>
    <w:pPr>
      <w:spacing w:before="100" w:beforeAutospacing="1" w:after="100" w:afterAutospacing="1"/>
      <w:jc w:val="left"/>
    </w:pPr>
    <w:rPr>
      <w:rFonts w:ascii="Tahoma" w:hAnsi="Tahoma" w:cs="Tahoma"/>
      <w:b/>
      <w:bCs/>
      <w:color w:val="000000"/>
      <w:sz w:val="18"/>
      <w:szCs w:val="18"/>
      <w:lang w:eastAsia="en-CA"/>
    </w:rPr>
  </w:style>
  <w:style w:type="numbering" w:customStyle="1" w:styleId="CurrentList111">
    <w:name w:val="Current List111"/>
    <w:rsid w:val="00F74A7B"/>
  </w:style>
  <w:style w:type="numbering" w:customStyle="1" w:styleId="ArticleSection12">
    <w:name w:val="Article / Section12"/>
    <w:basedOn w:val="NoList"/>
    <w:next w:val="ArticleSection"/>
    <w:semiHidden/>
    <w:rsid w:val="00F74A7B"/>
  </w:style>
  <w:style w:type="character" w:customStyle="1" w:styleId="BBTitleChar">
    <w:name w:val="BB_Title Char"/>
    <w:link w:val="BBTitle"/>
    <w:rsid w:val="00F74A7B"/>
    <w:rPr>
      <w:b/>
      <w:sz w:val="28"/>
      <w:szCs w:val="28"/>
      <w:lang w:val="en-GB"/>
    </w:rPr>
  </w:style>
  <w:style w:type="paragraph" w:customStyle="1" w:styleId="paragraph">
    <w:name w:val="paragraph"/>
    <w:basedOn w:val="Normal"/>
    <w:rsid w:val="00F74A7B"/>
    <w:pPr>
      <w:spacing w:before="100" w:beforeAutospacing="1" w:after="100" w:afterAutospacing="1"/>
      <w:jc w:val="left"/>
    </w:pPr>
    <w:rPr>
      <w:sz w:val="24"/>
      <w:szCs w:val="24"/>
      <w:lang w:val="fr-FR" w:eastAsia="fr-FR"/>
    </w:rPr>
  </w:style>
  <w:style w:type="character" w:customStyle="1" w:styleId="eop">
    <w:name w:val="eop"/>
    <w:basedOn w:val="DefaultParagraphFont"/>
    <w:rsid w:val="00F74A7B"/>
  </w:style>
  <w:style w:type="character" w:customStyle="1" w:styleId="tabchar">
    <w:name w:val="tabchar"/>
    <w:basedOn w:val="DefaultParagraphFont"/>
    <w:rsid w:val="00F74A7B"/>
  </w:style>
  <w:style w:type="character" w:styleId="UnresolvedMention">
    <w:name w:val="Unresolved Mention"/>
    <w:basedOn w:val="DefaultParagraphFont"/>
    <w:uiPriority w:val="99"/>
    <w:semiHidden/>
    <w:unhideWhenUsed/>
    <w:rsid w:val="00F74A7B"/>
    <w:rPr>
      <w:color w:val="605E5C"/>
      <w:shd w:val="clear" w:color="auto" w:fill="E1DFDD"/>
    </w:rPr>
  </w:style>
  <w:style w:type="paragraph" w:customStyle="1" w:styleId="Underlinedheader">
    <w:name w:val="Underlined header"/>
    <w:basedOn w:val="Heading1"/>
    <w:qFormat/>
    <w:rsid w:val="00F74A7B"/>
    <w:pPr>
      <w:numPr>
        <w:numId w:val="0"/>
      </w:numPr>
      <w:spacing w:before="240"/>
      <w:ind w:firstLine="720"/>
    </w:pPr>
    <w:rPr>
      <w:u w:val="single"/>
    </w:rPr>
  </w:style>
  <w:style w:type="paragraph" w:customStyle="1" w:styleId="responsive-celltitle">
    <w:name w:val="responsive-cell__title"/>
    <w:basedOn w:val="Normal"/>
    <w:rsid w:val="00F74A7B"/>
    <w:pPr>
      <w:spacing w:before="100" w:beforeAutospacing="1" w:after="100" w:afterAutospacing="1"/>
      <w:jc w:val="left"/>
    </w:pPr>
    <w:rPr>
      <w:sz w:val="24"/>
      <w:szCs w:val="24"/>
      <w:lang w:val="en-GB" w:eastAsia="en-GB"/>
    </w:rPr>
  </w:style>
  <w:style w:type="paragraph" w:customStyle="1" w:styleId="documents-by-phasetablecell-content">
    <w:name w:val="documents-by-phase__table__cell-content"/>
    <w:basedOn w:val="Normal"/>
    <w:rsid w:val="00F74A7B"/>
    <w:pPr>
      <w:spacing w:before="100" w:beforeAutospacing="1" w:after="100" w:afterAutospacing="1"/>
      <w:jc w:val="left"/>
    </w:pPr>
    <w:rPr>
      <w:sz w:val="24"/>
      <w:szCs w:val="24"/>
      <w:lang w:val="en-GB" w:eastAsia="en-GB"/>
    </w:rPr>
  </w:style>
  <w:style w:type="paragraph" w:customStyle="1" w:styleId="Listlettered">
    <w:name w:val="List lettered"/>
    <w:basedOn w:val="ListParagraph"/>
    <w:qFormat/>
    <w:rsid w:val="00F74A7B"/>
    <w:pPr>
      <w:keepLines/>
      <w:widowControl w:val="0"/>
      <w:numPr>
        <w:numId w:val="29"/>
      </w:numPr>
      <w:tabs>
        <w:tab w:val="num" w:pos="360"/>
        <w:tab w:val="num" w:pos="1800"/>
      </w:tabs>
      <w:spacing w:after="240"/>
      <w:ind w:left="720" w:firstLine="0"/>
      <w:contextualSpacing w:val="0"/>
      <w:outlineLvl w:val="1"/>
    </w:pPr>
    <w:rPr>
      <w:lang w:val="en-GB"/>
    </w:rPr>
  </w:style>
  <w:style w:type="paragraph" w:customStyle="1" w:styleId="Listromannumerals">
    <w:name w:val="List roman numerals"/>
    <w:basedOn w:val="ListParagraph"/>
    <w:qFormat/>
    <w:rsid w:val="00F74A7B"/>
    <w:pPr>
      <w:widowControl w:val="0"/>
      <w:numPr>
        <w:ilvl w:val="2"/>
        <w:numId w:val="30"/>
      </w:numPr>
      <w:tabs>
        <w:tab w:val="num" w:pos="360"/>
        <w:tab w:val="num" w:pos="1440"/>
      </w:tabs>
      <w:spacing w:after="240"/>
      <w:ind w:left="720" w:firstLine="0"/>
      <w:contextualSpacing w:val="0"/>
      <w:outlineLvl w:val="2"/>
    </w:pPr>
    <w:rPr>
      <w:lang w:val="en-GB"/>
    </w:rPr>
  </w:style>
  <w:style w:type="paragraph" w:customStyle="1" w:styleId="Listletteredthirdindent">
    <w:name w:val="List lettered third indent"/>
    <w:basedOn w:val="Normal"/>
    <w:qFormat/>
    <w:rsid w:val="00F74A7B"/>
    <w:pPr>
      <w:keepNext/>
      <w:numPr>
        <w:ilvl w:val="3"/>
        <w:numId w:val="31"/>
      </w:numPr>
      <w:spacing w:after="240"/>
      <w:ind w:left="2694" w:hanging="538"/>
      <w:outlineLvl w:val="3"/>
    </w:pPr>
    <w:rPr>
      <w:lang w:val="en-GB"/>
    </w:rPr>
  </w:style>
  <w:style w:type="paragraph" w:customStyle="1" w:styleId="Decisionunderlined">
    <w:name w:val="Decision underlined"/>
    <w:basedOn w:val="Normal"/>
    <w:qFormat/>
    <w:rsid w:val="00F74A7B"/>
    <w:pPr>
      <w:spacing w:after="240"/>
      <w:ind w:left="720"/>
      <w:jc w:val="left"/>
    </w:pPr>
    <w:rPr>
      <w:rFonts w:eastAsiaTheme="minorHAnsi" w:cstheme="minorBidi"/>
      <w:u w:val="single"/>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documentManagement/types"/>
    <ds:schemaRef ds:uri="http://purl.org/dc/terms/"/>
    <ds:schemaRef ds:uri="http://www.w3.org/XML/1998/namespace"/>
    <ds:schemaRef ds:uri="http://schemas.openxmlformats.org/package/2006/metadata/core-properties"/>
    <ds:schemaRef ds:uri="http://purl.org/dc/elements/1.1/"/>
    <ds:schemaRef ds:uri="http://purl.org/dc/dcmitype/"/>
    <ds:schemaRef ds:uri="http://schemas.microsoft.com/office/infopath/2007/PartnerControls"/>
    <ds:schemaRef ds:uri="eb6c2e4c-3f1c-4103-a37b-37c984dbe58f"/>
    <ds:schemaRef ds:uri="b93c647f-d63b-431a-95c8-8e00048cff23"/>
    <ds:schemaRef ds:uri="http://schemas.microsoft.com/office/2006/metadata/propertie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S96-template</Template>
  <TotalTime>11</TotalTime>
  <Pages>19</Pages>
  <Words>9880</Words>
  <Characters>51898</Characters>
  <Application>Microsoft Office Word</Application>
  <DocSecurity>0</DocSecurity>
  <Lines>1059</Lines>
  <Paragraphs>582</Paragraphs>
  <ScaleCrop>false</ScaleCrop>
  <HeadingPairs>
    <vt:vector size="2" baseType="variant">
      <vt:variant>
        <vt:lpstr>Title</vt:lpstr>
      </vt:variant>
      <vt:variant>
        <vt:i4>1</vt:i4>
      </vt:variant>
    </vt:vector>
  </HeadingPairs>
  <TitlesOfParts>
    <vt:vector size="1" baseType="lpstr">
      <vt:lpstr>Proyecto de informe del comité ejecutivo del fondo multilateralpara la aplicación del protocolo de montreal a la trigésimo séptima reunión de las partes</vt:lpstr>
    </vt:vector>
  </TitlesOfParts>
  <Company>UNMFS</Company>
  <LinksUpToDate>false</LinksUpToDate>
  <CharactersWithSpaces>61196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informe del comité ejecutivo del fondo multilateralpara la aplicación del protocolo de montreal a la trigésimo séptima reunión de las partes</dc:title>
  <dc:creator>44771</dc:creator>
  <cp:lastModifiedBy>Angela Xue He Yan</cp:lastModifiedBy>
  <cp:revision>14</cp:revision>
  <cp:lastPrinted>2025-05-06T21:05:00Z</cp:lastPrinted>
  <dcterms:created xsi:type="dcterms:W3CDTF">2025-05-06T21:33:00Z</dcterms:created>
  <dcterms:modified xsi:type="dcterms:W3CDTF">2025-05-06T21:09:00Z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UNEP/OzL.Pro/ExCom/96/64</vt:lpwstr>
  </property>
  <property fmtid="{D5CDD505-2E9C-101B-9397-08002B2CF9AE}" pid="3" name="Revision date">
    <vt:lpwstr>4/28/2025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