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FF172D" w:rsidRPr="000201B4" w14:paraId="39F02B1A" w14:textId="77777777" w:rsidTr="0042292F">
        <w:trPr>
          <w:trHeight w:val="720"/>
        </w:trPr>
        <w:tc>
          <w:tcPr>
            <w:tcW w:w="6372" w:type="dxa"/>
            <w:gridSpan w:val="3"/>
            <w:tcBorders>
              <w:bottom w:val="single" w:sz="18" w:space="0" w:color="auto"/>
            </w:tcBorders>
          </w:tcPr>
          <w:p w14:paraId="04CCFE3E" w14:textId="77777777" w:rsidR="00FF172D" w:rsidRPr="000201B4" w:rsidRDefault="00FF172D" w:rsidP="0042292F">
            <w:pPr>
              <w:rPr>
                <w:b/>
                <w:bCs/>
                <w:sz w:val="28"/>
                <w:szCs w:val="28"/>
                <w:lang w:val="ru-RU"/>
              </w:rPr>
            </w:pPr>
            <w:r>
              <w:rPr>
                <w:b/>
                <w:bCs/>
                <w:sz w:val="28"/>
                <w:szCs w:val="28"/>
                <w:lang w:val="ru-RU"/>
              </w:rPr>
              <w:t>ОРГАНИЗАЦИЯ</w:t>
            </w:r>
          </w:p>
          <w:p w14:paraId="47423683" w14:textId="77777777" w:rsidR="00FF172D" w:rsidRPr="000201B4" w:rsidRDefault="00FF172D" w:rsidP="0042292F">
            <w:pPr>
              <w:rPr>
                <w:b/>
                <w:bCs/>
                <w:sz w:val="28"/>
                <w:szCs w:val="28"/>
                <w:lang w:val="ru-RU"/>
              </w:rPr>
            </w:pPr>
            <w:r>
              <w:rPr>
                <w:b/>
                <w:bCs/>
                <w:sz w:val="28"/>
                <w:szCs w:val="28"/>
                <w:lang w:val="ru-RU"/>
              </w:rPr>
              <w:t>ОБЪЕДИНЕННЫХ</w:t>
            </w:r>
          </w:p>
          <w:p w14:paraId="52321CF3" w14:textId="77777777" w:rsidR="00FF172D" w:rsidRPr="000201B4" w:rsidRDefault="00FF172D" w:rsidP="004229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3690" w:type="dxa"/>
            <w:tcBorders>
              <w:bottom w:val="single" w:sz="18" w:space="0" w:color="auto"/>
            </w:tcBorders>
          </w:tcPr>
          <w:p w14:paraId="678D7C8D" w14:textId="77777777" w:rsidR="00FF172D" w:rsidRPr="000201B4" w:rsidRDefault="00FF172D" w:rsidP="0042292F">
            <w:pPr>
              <w:jc w:val="right"/>
              <w:rPr>
                <w:sz w:val="52"/>
                <w:szCs w:val="52"/>
                <w:lang w:val="ru-RU"/>
              </w:rPr>
            </w:pPr>
            <w:r>
              <w:rPr>
                <w:rFonts w:ascii="Univers Bold" w:hAnsi="Univers Bold"/>
                <w:b/>
                <w:sz w:val="72"/>
                <w:lang w:val="ru-RU"/>
              </w:rPr>
              <w:t>EP</w:t>
            </w:r>
          </w:p>
        </w:tc>
      </w:tr>
      <w:tr w:rsidR="00FF172D" w:rsidRPr="000201B4" w14:paraId="3D853615" w14:textId="77777777" w:rsidTr="004229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4DB26447" w14:textId="77777777" w:rsidR="00FF172D" w:rsidRPr="000201B4" w:rsidRDefault="00FF172D" w:rsidP="0042292F">
            <w:pPr>
              <w:spacing w:before="120"/>
              <w:rPr>
                <w:lang w:val="ru-RU"/>
              </w:rPr>
            </w:pPr>
            <w:r>
              <w:rPr>
                <w:noProof/>
                <w:lang w:val="en-US"/>
              </w:rPr>
              <w:drawing>
                <wp:anchor distT="0" distB="0" distL="114300" distR="114300" simplePos="0" relativeHeight="251659264" behindDoc="0" locked="0" layoutInCell="1" allowOverlap="1" wp14:anchorId="3B5A103E" wp14:editId="092DE694">
                  <wp:simplePos x="0" y="0"/>
                  <wp:positionH relativeFrom="column">
                    <wp:posOffset>27495</wp:posOffset>
                  </wp:positionH>
                  <wp:positionV relativeFrom="paragraph">
                    <wp:posOffset>895350</wp:posOffset>
                  </wp:positionV>
                  <wp:extent cx="787334" cy="70548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7334" cy="705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1" locked="0" layoutInCell="0" allowOverlap="1" wp14:anchorId="40F37D41" wp14:editId="5818F703">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4FBDDDD8" w14:textId="77777777" w:rsidR="00FF172D" w:rsidRPr="000201B4" w:rsidRDefault="00FF172D" w:rsidP="0042292F">
            <w:pPr>
              <w:rPr>
                <w:b/>
                <w:bCs/>
                <w:sz w:val="32"/>
                <w:szCs w:val="32"/>
                <w:lang w:val="ru-RU"/>
              </w:rPr>
            </w:pPr>
          </w:p>
          <w:p w14:paraId="41F49072" w14:textId="77777777" w:rsidR="00FF172D" w:rsidRPr="000201B4" w:rsidRDefault="00FF172D" w:rsidP="0042292F">
            <w:pPr>
              <w:rPr>
                <w:b/>
                <w:bCs/>
                <w:sz w:val="32"/>
                <w:szCs w:val="32"/>
                <w:lang w:val="ru-RU"/>
              </w:rPr>
            </w:pPr>
            <w:r>
              <w:rPr>
                <w:b/>
                <w:bCs/>
                <w:sz w:val="32"/>
                <w:szCs w:val="32"/>
                <w:lang w:val="ru-RU"/>
              </w:rPr>
              <w:t>Программа Организации</w:t>
            </w:r>
          </w:p>
          <w:p w14:paraId="5E562B3F" w14:textId="77777777" w:rsidR="00FF172D" w:rsidRPr="000201B4" w:rsidRDefault="00FF172D" w:rsidP="0042292F">
            <w:pPr>
              <w:rPr>
                <w:sz w:val="32"/>
                <w:szCs w:val="32"/>
                <w:lang w:val="ru-RU"/>
              </w:rPr>
            </w:pPr>
            <w:r>
              <w:rPr>
                <w:b/>
                <w:bCs/>
                <w:sz w:val="32"/>
                <w:szCs w:val="32"/>
                <w:lang w:val="ru-RU"/>
              </w:rPr>
              <w:t>Объединенных Наций по</w:t>
            </w:r>
          </w:p>
          <w:p w14:paraId="2AC5F4D1" w14:textId="77777777" w:rsidR="00FF172D" w:rsidRPr="000201B4" w:rsidRDefault="00FF172D" w:rsidP="0042292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074DC31B" w14:textId="77777777" w:rsidR="00FF172D" w:rsidRPr="000201B4" w:rsidRDefault="00FF172D" w:rsidP="0042292F">
            <w:pPr>
              <w:spacing w:before="720"/>
              <w:ind w:left="158"/>
              <w:rPr>
                <w:lang w:val="ru-RU"/>
              </w:rPr>
            </w:pPr>
          </w:p>
        </w:tc>
        <w:tc>
          <w:tcPr>
            <w:tcW w:w="3780" w:type="dxa"/>
            <w:gridSpan w:val="2"/>
            <w:tcBorders>
              <w:top w:val="nil"/>
              <w:left w:val="nil"/>
              <w:bottom w:val="single" w:sz="36" w:space="0" w:color="auto"/>
              <w:right w:val="nil"/>
            </w:tcBorders>
          </w:tcPr>
          <w:p w14:paraId="4D4299BB" w14:textId="77777777" w:rsidR="00FF172D" w:rsidRPr="000201B4" w:rsidRDefault="00FF172D" w:rsidP="0042292F">
            <w:pPr>
              <w:rPr>
                <w:lang w:val="ru-RU"/>
              </w:rPr>
            </w:pPr>
          </w:p>
          <w:p w14:paraId="0F107A3F" w14:textId="77777777" w:rsidR="00FF172D" w:rsidRPr="000201B4" w:rsidRDefault="00FF172D" w:rsidP="0042292F">
            <w:pPr>
              <w:rPr>
                <w:lang w:val="en-GB"/>
              </w:rPr>
            </w:pPr>
            <w:r>
              <w:rPr>
                <w:lang w:val="en-GB"/>
              </w:rPr>
              <w:t>Distr.</w:t>
            </w:r>
          </w:p>
          <w:p w14:paraId="062E782A" w14:textId="77777777" w:rsidR="00FF172D" w:rsidRPr="000201B4" w:rsidRDefault="00FF172D" w:rsidP="0042292F">
            <w:pPr>
              <w:rPr>
                <w:lang w:val="en-GB"/>
              </w:rPr>
            </w:pPr>
            <w:r>
              <w:rPr>
                <w:lang w:val="en-GB"/>
              </w:rPr>
              <w:t>GENERAL</w:t>
            </w:r>
          </w:p>
          <w:p w14:paraId="3FC49C5A" w14:textId="77777777" w:rsidR="00FF172D" w:rsidRPr="000201B4" w:rsidRDefault="00FF172D" w:rsidP="0042292F">
            <w:pPr>
              <w:rPr>
                <w:lang w:val="en-GB"/>
              </w:rPr>
            </w:pPr>
          </w:p>
          <w:p w14:paraId="74AF1244" w14:textId="5F17439F" w:rsidR="00FF172D" w:rsidRPr="000201B4" w:rsidRDefault="00FF172D" w:rsidP="0042292F">
            <w:pPr>
              <w:rPr>
                <w:lang w:val="en-GB"/>
              </w:rPr>
            </w:pPr>
            <w:r>
              <w:rPr>
                <w:lang w:val="ru-RU"/>
              </w:rPr>
              <w:fldChar w:fldCharType="begin"/>
            </w:r>
            <w:r>
              <w:rPr>
                <w:lang w:val="en-GB"/>
              </w:rPr>
              <w:instrText xml:space="preserve"> DOCPROPERTY "Document number"  \* MERGEFORMAT </w:instrText>
            </w:r>
            <w:r>
              <w:rPr>
                <w:lang w:val="ru-RU"/>
              </w:rPr>
              <w:fldChar w:fldCharType="separate"/>
            </w:r>
            <w:r>
              <w:rPr>
                <w:lang w:val="en-GB"/>
              </w:rPr>
              <w:t>UNEP/OzL.Pro/ExCom/99/77</w:t>
            </w:r>
            <w:r>
              <w:rPr>
                <w:lang w:val="ru-RU"/>
              </w:rPr>
              <w:fldChar w:fldCharType="end"/>
            </w:r>
          </w:p>
          <w:p w14:paraId="7B5CB848" w14:textId="15DA57B0" w:rsidR="00FF172D" w:rsidRPr="00FF172D" w:rsidRDefault="00FF172D" w:rsidP="0042292F">
            <w:pPr>
              <w:rPr>
                <w:lang w:val="en-US"/>
              </w:rPr>
            </w:pPr>
            <w:r>
              <w:rPr>
                <w:lang w:val="ru-RU"/>
              </w:rPr>
              <w:fldChar w:fldCharType="begin"/>
            </w:r>
            <w:r>
              <w:rPr>
                <w:lang w:val="en-GB"/>
              </w:rPr>
              <w:instrText xml:space="preserve"> DOCPROPERTY  "Revision date"  \* MERGEFORMAT </w:instrText>
            </w:r>
            <w:r>
              <w:rPr>
                <w:lang w:val="ru-RU"/>
              </w:rPr>
              <w:fldChar w:fldCharType="separate"/>
            </w:r>
            <w:r>
              <w:rPr>
                <w:lang w:val="en-GB"/>
              </w:rPr>
              <w:t>28 October 202</w:t>
            </w:r>
            <w:r>
              <w:rPr>
                <w:lang w:val="ru-RU"/>
              </w:rPr>
              <w:fldChar w:fldCharType="end"/>
            </w:r>
            <w:r>
              <w:rPr>
                <w:lang w:val="en-US"/>
              </w:rPr>
              <w:t>6</w:t>
            </w:r>
          </w:p>
          <w:p w14:paraId="2F168C7B" w14:textId="77777777" w:rsidR="00FF172D" w:rsidRPr="000201B4" w:rsidRDefault="00FF172D" w:rsidP="0042292F">
            <w:pPr>
              <w:rPr>
                <w:lang w:val="en-GB"/>
              </w:rPr>
            </w:pPr>
          </w:p>
          <w:p w14:paraId="0F181AEF" w14:textId="77777777" w:rsidR="00FF172D" w:rsidRPr="000201B4" w:rsidRDefault="00FF172D" w:rsidP="0042292F">
            <w:pPr>
              <w:rPr>
                <w:lang w:val="en-GB"/>
              </w:rPr>
            </w:pPr>
            <w:r>
              <w:rPr>
                <w:lang w:val="en-GB"/>
              </w:rPr>
              <w:t>RUSSIAN</w:t>
            </w:r>
          </w:p>
          <w:p w14:paraId="2ACE0AE8" w14:textId="77777777" w:rsidR="00FF172D" w:rsidRPr="000201B4" w:rsidRDefault="00FF172D" w:rsidP="0042292F">
            <w:pPr>
              <w:rPr>
                <w:lang w:val="en-GB"/>
              </w:rPr>
            </w:pPr>
            <w:r>
              <w:rPr>
                <w:lang w:val="en-GB"/>
              </w:rPr>
              <w:t>ORIGINAL: ENGLISH</w:t>
            </w:r>
          </w:p>
        </w:tc>
      </w:tr>
    </w:tbl>
    <w:p w14:paraId="3A788844" w14:textId="77777777" w:rsidR="00FF172D" w:rsidRPr="000201B4" w:rsidRDefault="00FF172D" w:rsidP="00FF172D">
      <w:pPr>
        <w:jc w:val="left"/>
        <w:rPr>
          <w:lang w:val="ru-RU"/>
        </w:rPr>
      </w:pPr>
      <w:r>
        <w:rPr>
          <w:lang w:val="ru-RU"/>
        </w:rPr>
        <w:t xml:space="preserve">ИСПОЛНИТЕЛЬНЫЙ КОМИТЕТ </w:t>
      </w:r>
      <w:r>
        <w:rPr>
          <w:lang w:val="ru-RU"/>
        </w:rPr>
        <w:br/>
        <w:t xml:space="preserve">  МНОГОСТОРОННЕГО ФОНДА ДЛЯ </w:t>
      </w:r>
    </w:p>
    <w:p w14:paraId="3D105ADE" w14:textId="47F8B9EF" w:rsidR="00FF172D" w:rsidRPr="000201B4" w:rsidRDefault="00FF172D" w:rsidP="00FF172D">
      <w:pPr>
        <w:jc w:val="left"/>
        <w:rPr>
          <w:highlight w:val="yellow"/>
          <w:lang w:val="ru-RU"/>
        </w:rPr>
      </w:pPr>
      <w:r>
        <w:rPr>
          <w:lang w:val="ru-RU"/>
        </w:rPr>
        <w:t xml:space="preserve">  ОСУЩЕСТВЛЕНИЯ МОНРЕАЛЬСКОГО ПРОТОКОЛА</w:t>
      </w:r>
      <w:r>
        <w:rPr>
          <w:lang w:val="ru-RU"/>
        </w:rPr>
        <w:br/>
        <w:t xml:space="preserve">Девяносто девятое совещание </w:t>
      </w:r>
    </w:p>
    <w:p w14:paraId="377AB909" w14:textId="1E9547EF" w:rsidR="00FF172D" w:rsidRPr="000201B4" w:rsidRDefault="00FF172D" w:rsidP="00FF172D">
      <w:pPr>
        <w:jc w:val="left"/>
        <w:rPr>
          <w:lang w:val="ru-RU"/>
        </w:rPr>
      </w:pPr>
      <w:r>
        <w:rPr>
          <w:lang w:val="ru-RU"/>
        </w:rPr>
        <w:t>Монреаль, 7-11 декабря 2026 года</w:t>
      </w:r>
    </w:p>
    <w:p w14:paraId="7A19658F" w14:textId="2EBA6DB1" w:rsidR="00FF172D" w:rsidRPr="000201B4" w:rsidRDefault="00FF172D" w:rsidP="00FF172D">
      <w:pPr>
        <w:jc w:val="left"/>
        <w:rPr>
          <w:lang w:val="ru-RU"/>
        </w:rPr>
      </w:pPr>
      <w:r>
        <w:rPr>
          <w:lang w:val="ru-RU"/>
        </w:rPr>
        <w:t>Пункт 9</w:t>
      </w:r>
      <w:r>
        <w:rPr>
          <w:lang w:val="en-US"/>
        </w:rPr>
        <w:t> </w:t>
      </w:r>
      <w:r>
        <w:rPr>
          <w:lang w:val="fr-FR"/>
        </w:rPr>
        <w:t>e</w:t>
      </w:r>
      <w:r>
        <w:rPr>
          <w:lang w:val="ru-RU"/>
        </w:rPr>
        <w:t>) предварительной повестки дня</w:t>
      </w:r>
      <w:r>
        <w:rPr>
          <w:vertAlign w:val="superscript"/>
          <w:lang w:val="en-US"/>
        </w:rPr>
        <w:footnoteReference w:id="1"/>
      </w:r>
    </w:p>
    <w:p w14:paraId="14BA8D98" w14:textId="77777777" w:rsidR="00720EE7" w:rsidRPr="00FF172D" w:rsidRDefault="00720EE7" w:rsidP="00BF00F4">
      <w:pPr>
        <w:spacing w:after="240"/>
        <w:jc w:val="left"/>
        <w:rPr>
          <w:lang w:val="ru-RU"/>
        </w:rPr>
      </w:pPr>
    </w:p>
    <w:p w14:paraId="53D6C0E2" w14:textId="77777777" w:rsidR="00C67A87" w:rsidRPr="00FF172D" w:rsidRDefault="00C67A87" w:rsidP="00F435B3">
      <w:pPr>
        <w:spacing w:after="240"/>
        <w:rPr>
          <w:lang w:val="ru-RU"/>
        </w:rPr>
      </w:pPr>
    </w:p>
    <w:p w14:paraId="6593A9C5" w14:textId="77777777" w:rsidR="00FF172D" w:rsidRDefault="00FF172D" w:rsidP="00A83C1B">
      <w:pPr>
        <w:pStyle w:val="StyleHeader4Para4Left0Firstline0"/>
        <w:numPr>
          <w:ilvl w:val="0"/>
          <w:numId w:val="0"/>
        </w:numPr>
        <w:tabs>
          <w:tab w:val="left" w:pos="488"/>
          <w:tab w:val="center" w:pos="4680"/>
        </w:tabs>
        <w:rPr>
          <w:b/>
          <w:sz w:val="22"/>
          <w:lang w:val="ru-RU"/>
        </w:rPr>
      </w:pPr>
      <w:r>
        <w:rPr>
          <w:b/>
          <w:sz w:val="22"/>
          <w:lang w:val="ru-RU"/>
        </w:rPr>
        <w:t xml:space="preserve">БЮДЖЕТ ПРОГРАММЫ ЮНЕП ПО СОДЕЙСТВИЮ СОБЛЮДЕНИЮ НА 2027 ГОД </w:t>
      </w:r>
    </w:p>
    <w:p w14:paraId="1C3CA530" w14:textId="084298DF" w:rsidR="00A83C1B" w:rsidRPr="00FF172D" w:rsidRDefault="00FF172D" w:rsidP="00A83C1B">
      <w:pPr>
        <w:pStyle w:val="StyleHeader4Para4Left0Firstline0"/>
        <w:numPr>
          <w:ilvl w:val="0"/>
          <w:numId w:val="0"/>
        </w:numPr>
        <w:tabs>
          <w:tab w:val="left" w:pos="488"/>
          <w:tab w:val="center" w:pos="4680"/>
        </w:tabs>
        <w:rPr>
          <w:b/>
          <w:sz w:val="24"/>
          <w:szCs w:val="24"/>
          <w:lang w:val="ru-RU"/>
        </w:rPr>
      </w:pPr>
      <w:r>
        <w:rPr>
          <w:b/>
          <w:sz w:val="24"/>
          <w:szCs w:val="24"/>
          <w:lang w:val="ru-RU"/>
        </w:rPr>
        <w:t>Введение</w:t>
      </w:r>
    </w:p>
    <w:p w14:paraId="5D99DA1C" w14:textId="042843F0" w:rsidR="00A83C1B" w:rsidRPr="00FF172D" w:rsidRDefault="00FF172D" w:rsidP="00A83C1B">
      <w:pPr>
        <w:pStyle w:val="Heading1"/>
        <w:rPr>
          <w:u w:val="single"/>
          <w:lang w:val="ru-RU"/>
        </w:rPr>
      </w:pPr>
      <w:r>
        <w:rPr>
          <w:lang w:val="ru-RU"/>
        </w:rPr>
        <w:t>ЮНЕП представила бюджет своей Программы по содействию соблюдению (ПСС) на 2027 год на общую сумму 11 419 783 долл. США плюс эксплуатационные расходы учреждения в размере 913 583 долл. США</w:t>
      </w:r>
      <w:r>
        <w:rPr>
          <w:rStyle w:val="FootnoteReference"/>
        </w:rPr>
        <w:footnoteReference w:id="2"/>
      </w:r>
      <w:r>
        <w:rPr>
          <w:lang w:val="ru-RU"/>
        </w:rPr>
        <w:t xml:space="preserve">. Представленные материалы содержат доклад о ходе выполнения за 2026 год и программу работы и бюджет на 2027 год, которые прилагаются к настоящему документу. </w:t>
      </w:r>
    </w:p>
    <w:p w14:paraId="72513C6F" w14:textId="2ED42BA0" w:rsidR="00A83C1B" w:rsidRPr="00FF172D" w:rsidRDefault="00FF172D" w:rsidP="00A83C1B">
      <w:pPr>
        <w:pStyle w:val="Heading1"/>
        <w:rPr>
          <w:u w:val="single"/>
          <w:lang w:val="ru-RU"/>
        </w:rPr>
      </w:pPr>
      <w:r>
        <w:rPr>
          <w:lang w:val="ru-RU"/>
        </w:rPr>
        <w:t>Предлагаемый план работы ПСС на 2027 год охватывает первый год осуществления трехлетней стратегии ПСС на 2027–2029 годы.</w:t>
      </w:r>
    </w:p>
    <w:p w14:paraId="5229293B" w14:textId="5D22821C" w:rsidR="00FF172D" w:rsidRPr="00E07DCB" w:rsidRDefault="00FF172D" w:rsidP="00FF172D">
      <w:pPr>
        <w:pStyle w:val="Heading1"/>
        <w:numPr>
          <w:ilvl w:val="0"/>
          <w:numId w:val="0"/>
        </w:numPr>
        <w:tabs>
          <w:tab w:val="left" w:pos="720"/>
        </w:tabs>
        <w:rPr>
          <w:b/>
          <w:bCs/>
          <w:sz w:val="24"/>
          <w:szCs w:val="24"/>
          <w:lang w:val="ru-RU"/>
        </w:rPr>
      </w:pPr>
      <w:r>
        <w:rPr>
          <w:b/>
          <w:bCs/>
          <w:sz w:val="24"/>
          <w:szCs w:val="24"/>
          <w:lang w:val="ru-RU"/>
        </w:rPr>
        <w:t>Доклад о ходе выполнения ПСС за 2026 год</w:t>
      </w:r>
    </w:p>
    <w:p w14:paraId="59DCC499" w14:textId="4B91844F" w:rsidR="00A83C1B" w:rsidRPr="001557BF" w:rsidRDefault="001557BF" w:rsidP="00A83C1B">
      <w:pPr>
        <w:pStyle w:val="Heading1"/>
        <w:rPr>
          <w:lang w:val="ru-RU"/>
        </w:rPr>
      </w:pPr>
      <w:r>
        <w:rPr>
          <w:lang w:val="ru-RU"/>
        </w:rPr>
        <w:t xml:space="preserve">Полный отчет о ходе осуществления содержится в части </w:t>
      </w:r>
      <w:r>
        <w:rPr>
          <w:lang w:val="en-US"/>
        </w:rPr>
        <w:t>III</w:t>
      </w:r>
      <w:r>
        <w:rPr>
          <w:lang w:val="ru-RU"/>
        </w:rPr>
        <w:t xml:space="preserve"> представленных материалов, прилагаемых к настоящему документу. Ниже приводится краткая информация о мероприятиях, осуществленных в период с сентября 2025 года по август 2026 года:</w:t>
      </w:r>
    </w:p>
    <w:p w14:paraId="58A2886E" w14:textId="74DD9E3E" w:rsidR="00B26A8E" w:rsidRPr="001557BF" w:rsidRDefault="001557BF" w:rsidP="00B1606B">
      <w:pPr>
        <w:pStyle w:val="Heading2"/>
        <w:ind w:left="1440" w:hanging="720"/>
        <w:rPr>
          <w:lang w:val="ru-RU"/>
        </w:rPr>
      </w:pPr>
      <w:r>
        <w:rPr>
          <w:lang w:val="ru-RU"/>
        </w:rPr>
        <w:t>обеспечение дальнейшего функционирования региональных сетей национальных сотрудников по озону (НСО) и организация 31 сетевого и тематического совещания по</w:t>
      </w:r>
      <w:r>
        <w:rPr>
          <w:lang w:val="en-US"/>
        </w:rPr>
        <w:t> </w:t>
      </w:r>
      <w:r>
        <w:rPr>
          <w:lang w:val="ru-RU"/>
        </w:rPr>
        <w:t xml:space="preserve">вопросам, связанным с соблюдением Монреальского протокола, включая мониторинг и представление отчетности, проверку, обеспечение соблюдения соответствия, использование цифровых инструментов, передовые методы работы таможенных и правоприменительных органов, системы лицензирования и </w:t>
      </w:r>
      <w:r>
        <w:rPr>
          <w:lang w:val="ru-RU"/>
        </w:rPr>
        <w:lastRenderedPageBreak/>
        <w:t xml:space="preserve">квотирования ГФУ, энергоэффективность и регулирование обращения с хладагентами; </w:t>
      </w:r>
    </w:p>
    <w:p w14:paraId="63AE2CC7" w14:textId="7C1624E8" w:rsidR="00A83C1B" w:rsidRPr="00C56443" w:rsidRDefault="00C56443" w:rsidP="00B1606B">
      <w:pPr>
        <w:pStyle w:val="Heading2"/>
        <w:ind w:left="1440" w:hanging="720"/>
        <w:rPr>
          <w:lang w:val="ru-RU"/>
        </w:rPr>
      </w:pPr>
      <w:r>
        <w:rPr>
          <w:lang w:val="ru-RU"/>
        </w:rPr>
        <w:t>проведение учебных занятий для новых НСО и их помощников в четырех регионах в</w:t>
      </w:r>
      <w:r>
        <w:rPr>
          <w:lang w:val="en-US"/>
        </w:rPr>
        <w:t> </w:t>
      </w:r>
      <w:r>
        <w:rPr>
          <w:lang w:val="ru-RU"/>
        </w:rPr>
        <w:t>рамках программы подготовки НСО в целях укрепления потенциала национальных органов по озону (НОО) для решения возникающих проблем и содействия обмену информацией и передовым опытом; разработка руководства и учебных материалов по</w:t>
      </w:r>
      <w:r>
        <w:rPr>
          <w:lang w:val="en-US"/>
        </w:rPr>
        <w:t> </w:t>
      </w:r>
      <w:r>
        <w:rPr>
          <w:lang w:val="ru-RU"/>
        </w:rPr>
        <w:t>развитию навыков ведения переговоров для эффективного участия в совещаниях Монреальского протокола и Многостороннего фонда, при этом проведение пробного учебного курса запланировано на период после завершения отчетного периода;</w:t>
      </w:r>
    </w:p>
    <w:p w14:paraId="2BF8B266" w14:textId="361F8A56" w:rsidR="00A83C1B" w:rsidRPr="00C56443" w:rsidRDefault="00C56443" w:rsidP="00B1606B">
      <w:pPr>
        <w:pStyle w:val="Heading2"/>
        <w:ind w:left="1440" w:hanging="720"/>
        <w:rPr>
          <w:lang w:val="ru-RU"/>
        </w:rPr>
      </w:pPr>
      <w:r>
        <w:rPr>
          <w:lang w:val="ru-RU"/>
        </w:rPr>
        <w:t>оказание поддержки в проведении 21 мероприятия по межстрановому</w:t>
      </w:r>
      <w:r>
        <w:rPr>
          <w:rStyle w:val="FootnoteReference"/>
        </w:rPr>
        <w:footnoteReference w:id="3"/>
      </w:r>
      <w:r>
        <w:rPr>
          <w:lang w:val="ru-RU"/>
        </w:rPr>
        <w:t xml:space="preserve"> сотрудничеству посредством обмена опытом, организации круглых столов по технологическим вопросам, ознакомительных поездок и обмена информацией о передовом опыте по таким вопросам, как осуществление Кигалийских планов регулирования ГФУ (КПР), взаимодействие с</w:t>
      </w:r>
      <w:r>
        <w:rPr>
          <w:lang w:val="en-US"/>
        </w:rPr>
        <w:t> </w:t>
      </w:r>
      <w:r>
        <w:rPr>
          <w:lang w:val="ru-RU"/>
        </w:rPr>
        <w:t xml:space="preserve">отраслевыми заинтересованными сторонами, решения в области энергоэффективности, применение нормативных положений и мер политики в области энергоэффективности, регулирование обращения с хладагентами на протяжении их жизненного цикла, а также использование электронных платформ для отслеживания квот на ГХФУ и ГФУ; </w:t>
      </w:r>
    </w:p>
    <w:p w14:paraId="7EE0C04D" w14:textId="67A3877B" w:rsidR="00A83C1B" w:rsidRPr="00C56443" w:rsidRDefault="00C56443" w:rsidP="00B1606B">
      <w:pPr>
        <w:pStyle w:val="Heading2"/>
        <w:ind w:left="1440" w:hanging="720"/>
        <w:rPr>
          <w:lang w:val="ru-RU"/>
        </w:rPr>
      </w:pPr>
      <w:r>
        <w:rPr>
          <w:lang w:val="ru-RU"/>
        </w:rPr>
        <w:t>оказание содействия в соблюдении соответствия требованиям Монреальского протокола, а также поддержка сбора данных и представления в режиме онлайн отчетности в</w:t>
      </w:r>
      <w:r>
        <w:rPr>
          <w:lang w:val="en-US"/>
        </w:rPr>
        <w:t> </w:t>
      </w:r>
      <w:r>
        <w:rPr>
          <w:lang w:val="ru-RU"/>
        </w:rPr>
        <w:t xml:space="preserve">соответствии со статьей 7 и данных страновых программ (СП) во всех 147 странах, действующих в рамках статьи 5; осуществление регулярного мониторинга представления отчетных данных и оказание при необходимости поддержки на национальном уровне; оказание по запросам помощи НОО в анализе данных о торговле и устранении несоответствий; оказание поддержки всем НОО посредством проведения вебинаров, использования систем отслеживания и организации очных и дистанционных учебных занятий; </w:t>
      </w:r>
    </w:p>
    <w:p w14:paraId="0F3E5498" w14:textId="068FFC95" w:rsidR="00A83C1B" w:rsidRPr="00C56443" w:rsidRDefault="00C56443" w:rsidP="00B1606B">
      <w:pPr>
        <w:pStyle w:val="Heading2"/>
        <w:ind w:left="1440" w:hanging="720"/>
        <w:rPr>
          <w:lang w:val="ru-RU"/>
        </w:rPr>
      </w:pPr>
      <w:r>
        <w:rPr>
          <w:rFonts w:asciiTheme="majorBidi" w:hAnsiTheme="majorBidi" w:cstheme="majorBidi"/>
          <w:lang w:val="ru-RU"/>
        </w:rPr>
        <w:t>оказание содействия соблюдению соответствия с учетом конкретных потребностей в</w:t>
      </w:r>
      <w:r>
        <w:rPr>
          <w:rFonts w:asciiTheme="majorBidi" w:hAnsiTheme="majorBidi" w:cstheme="majorBidi"/>
          <w:lang w:val="en-US"/>
        </w:rPr>
        <w:t> </w:t>
      </w:r>
      <w:r>
        <w:rPr>
          <w:rFonts w:asciiTheme="majorBidi" w:hAnsiTheme="majorBidi" w:cstheme="majorBidi"/>
          <w:lang w:val="ru-RU"/>
        </w:rPr>
        <w:t>82</w:t>
      </w:r>
      <w:r>
        <w:rPr>
          <w:rFonts w:asciiTheme="majorBidi" w:hAnsiTheme="majorBidi" w:cstheme="majorBidi"/>
          <w:lang w:val="en-US"/>
        </w:rPr>
        <w:t> </w:t>
      </w:r>
      <w:r>
        <w:rPr>
          <w:rFonts w:asciiTheme="majorBidi" w:hAnsiTheme="majorBidi" w:cstheme="majorBidi"/>
          <w:lang w:val="ru-RU"/>
        </w:rPr>
        <w:t>странах; поддержка осуществления проектов по укреплению организационной структуры в 101 стране; предоставление рекомендаций заинтересованным НОО из стран Группы 2 и оказание поддержки 21 стране в продвижении процесса ратификации Кигалийской поправки посредством проведения двусторонних совещаний, консультаций и оказания технической помощи в сотрудничестве с Секретариатом по озону, включая предоставление рекомендаций и технического содействия в установлении базовых уровней потребления ГФУ, создании систем лицензирования ГФУ и мониторинге соблюдения обязательств по замораживанию потребления ГФУ;</w:t>
      </w:r>
    </w:p>
    <w:p w14:paraId="6FD1DA0F" w14:textId="08217D5F" w:rsidR="00D97AD3" w:rsidRPr="0098474A" w:rsidRDefault="0098474A" w:rsidP="00B1606B">
      <w:pPr>
        <w:pStyle w:val="Heading2"/>
        <w:keepNext/>
        <w:ind w:left="1440" w:hanging="720"/>
        <w:rPr>
          <w:lang w:val="ru-RU"/>
        </w:rPr>
      </w:pPr>
      <w:r>
        <w:rPr>
          <w:lang w:val="ru-RU"/>
        </w:rPr>
        <w:t xml:space="preserve">оказание поддержки странам в укреплении систем мониторинга, отчетности, проверки и обеспечения соблюдения соответствия (МОПС); оказание по запросам помощи странам в обновлении национальной нормативно-правовой базы в области осуществления Монреальского протокола, в том числе посредством предоставления технических и юридических консультаций в сотрудничестве с Программой ЮНЕП по экологическому праву «Монтевидео»; оказание содействия странам в создании или совершенствовании систем лицензирования и квотирования ГФУ, а также </w:t>
      </w:r>
      <w:r>
        <w:rPr>
          <w:lang w:val="ru-RU"/>
        </w:rPr>
        <w:lastRenderedPageBreak/>
        <w:t>предоставление всем НОО поддержки в части преимуществ и передовых практик использования электронных систем лицензирования;</w:t>
      </w:r>
    </w:p>
    <w:p w14:paraId="56CC149D" w14:textId="15B78B30" w:rsidR="00855815" w:rsidRPr="008706BA" w:rsidRDefault="00AE577B" w:rsidP="00B1606B">
      <w:pPr>
        <w:pStyle w:val="Heading2"/>
        <w:keepNext/>
        <w:ind w:left="1440" w:hanging="720"/>
        <w:rPr>
          <w:lang w:val="ru-RU"/>
        </w:rPr>
      </w:pPr>
      <w:r>
        <w:rPr>
          <w:lang w:val="ru-RU"/>
        </w:rPr>
        <w:t>укрепление потенциала таможенных и правоприменительных органов посредством содействия использованию инструментов, разработанных ЮНЕП и различными партнерами (руководств, приложений и учебных материалов), включая Руководство по</w:t>
      </w:r>
      <w:r>
        <w:rPr>
          <w:lang w:val="en-US"/>
        </w:rPr>
        <w:t> </w:t>
      </w:r>
      <w:r>
        <w:rPr>
          <w:lang w:val="ru-RU"/>
        </w:rPr>
        <w:t>подготовке сотрудников таможенных органов, разработанное ЮНЕП совместно со</w:t>
      </w:r>
      <w:r>
        <w:rPr>
          <w:lang w:val="en-US"/>
        </w:rPr>
        <w:t> </w:t>
      </w:r>
      <w:r>
        <w:rPr>
          <w:lang w:val="ru-RU"/>
        </w:rPr>
        <w:t>Всемирной таможенной организацией (ВТамО); содействие более эффективному использованию неофициального механизма предварительного информированного согласия; поддержка сотрудничества между таможенными органами, профилирования рисков и трансграничного обмена информацией посредством проведения мероприятий по трансграничному сотрудничеству; содействие внедрению кодов Гармонизированной системы описания и кодирования товаров в редакции 2022 года; а также содействие глобальному сотрудничеству правоохранительных органов посредством взаимодействия с ВТамО и другими партнерами</w:t>
      </w:r>
      <w:r>
        <w:rPr>
          <w:rStyle w:val="FootnoteReference"/>
        </w:rPr>
        <w:footnoteReference w:id="4"/>
      </w:r>
      <w:r>
        <w:rPr>
          <w:lang w:val="ru-RU"/>
        </w:rPr>
        <w:t xml:space="preserve"> в борьбе с незаконной торговлей ОРВ, ГФУ и соответствующим оборудованием;</w:t>
      </w:r>
      <w:r>
        <w:rPr>
          <w:vertAlign w:val="superscript"/>
        </w:rPr>
        <w:footnoteReference w:id="5"/>
      </w:r>
      <w:r>
        <w:rPr>
          <w:vertAlign w:val="superscript"/>
          <w:lang w:val="ru-RU"/>
        </w:rPr>
        <w:t xml:space="preserve"> </w:t>
      </w:r>
      <w:r>
        <w:rPr>
          <w:lang w:val="ru-RU"/>
        </w:rPr>
        <w:t>дальнейшая разработка доклада о тенденциях незаконной торговли, цифрового инструментария для правоприменительных органов и руководящих материалов по борьбе с незаконной торговлей;</w:t>
      </w:r>
    </w:p>
    <w:p w14:paraId="46F2D10A" w14:textId="6F488572" w:rsidR="009D1AFF" w:rsidRPr="00AE577B" w:rsidRDefault="00AE577B" w:rsidP="00B1606B">
      <w:pPr>
        <w:pStyle w:val="Heading2"/>
        <w:keepNext/>
        <w:ind w:left="1440" w:hanging="720"/>
        <w:rPr>
          <w:lang w:val="ru-RU"/>
        </w:rPr>
      </w:pPr>
      <w:r>
        <w:rPr>
          <w:lang w:val="ru-RU"/>
        </w:rPr>
        <w:t xml:space="preserve">содействие координации и сотрудничеству между НОО и национальными органами, ответственными за разработку политики в области энергоэффективности, а также другими заинтересованными сторонами; предоставление всем НОО обновленных учебных программ для подготовки технических специалистов, охватывающих вопросы энергоэффективности оборудования, информации о разработке национальных программ сертификации технических специалистов по холодильной технике и кондиционированию воздуха (ХКВ), а также рекомендаций по мерам политики, способствующим повышению энергоэффективности, и системам регистрации продукции и процедурам ее утверждения с учетом показателей энергоэффективности; оказание поддержки странам в разработке стандартов минимальной энергоэффективности (СМЭЭ) и осуществлении экспериментальных проектов в области энергоэффективности; организация мероприятий для оказания НОО поддержки в решении вопросов, связанных с сектором холодильной цепи; оказание содействия университетам во включении разработанного ЮНЕП и </w:t>
      </w:r>
      <w:r>
        <w:rPr>
          <w:lang w:val="en-US"/>
        </w:rPr>
        <w:t>ASHRAE</w:t>
      </w:r>
      <w:r>
        <w:rPr>
          <w:rStyle w:val="FootnoteReference"/>
        </w:rPr>
        <w:footnoteReference w:id="6"/>
      </w:r>
      <w:r>
        <w:rPr>
          <w:lang w:val="ru-RU"/>
        </w:rPr>
        <w:t xml:space="preserve"> университетского курса по регулированию обращения с хладагентами в</w:t>
      </w:r>
      <w:r>
        <w:rPr>
          <w:lang w:val="en-US"/>
        </w:rPr>
        <w:t> </w:t>
      </w:r>
      <w:r>
        <w:rPr>
          <w:lang w:val="ru-RU"/>
        </w:rPr>
        <w:t xml:space="preserve">учебные программы инженерных специальностей; </w:t>
      </w:r>
    </w:p>
    <w:p w14:paraId="6CDDAF65" w14:textId="4C7F0912" w:rsidR="00A83C1B" w:rsidRPr="006E43E0" w:rsidRDefault="006E43E0" w:rsidP="00B1606B">
      <w:pPr>
        <w:pStyle w:val="Heading2"/>
        <w:ind w:left="1440" w:hanging="720"/>
        <w:rPr>
          <w:lang w:val="ru-RU"/>
        </w:rPr>
      </w:pPr>
      <w:r>
        <w:rPr>
          <w:lang w:val="ru-RU"/>
        </w:rPr>
        <w:t>разработка региональных и глобальных информационных и учебных материалов для</w:t>
      </w:r>
      <w:r>
        <w:rPr>
          <w:lang w:val="en-US"/>
        </w:rPr>
        <w:t> </w:t>
      </w:r>
      <w:r>
        <w:rPr>
          <w:lang w:val="ru-RU"/>
        </w:rPr>
        <w:t>укрепления потенциала, включая информационные бюллетени, приложения и учебные руководства; подготовка информационных материалов к 10-летию принятия Кигалийской поправки; разработка брошюр по вопросам энергоэффективности холодильного оборудования и систем охлаждения, повышения устойчивости холодильных цепей, выбросов и энергопотребления центров обработки данных, устойчивого охлаждения, альтернативных технологий и регулирования обращения с</w:t>
      </w:r>
      <w:r>
        <w:rPr>
          <w:lang w:val="en-US"/>
        </w:rPr>
        <w:t> </w:t>
      </w:r>
      <w:r>
        <w:rPr>
          <w:lang w:val="ru-RU"/>
        </w:rPr>
        <w:t xml:space="preserve">хладагентами на протяжении их жизненного цикла, а также обеспечение </w:t>
      </w:r>
      <w:r>
        <w:rPr>
          <w:lang w:val="ru-RU"/>
        </w:rPr>
        <w:lastRenderedPageBreak/>
        <w:t xml:space="preserve">функционирования веб-сайта программы «ОзонЭкшн»; распространение 22 выпусков информационного бюллетеня «ОзоНьюс», выходящего раз в две недели, и трех специальных выпусков; оказание поддержки 44 НОО в реализации программ сертификации технических специалистов по холодильной технике и кондиционированию воздуха (ХКВ) и их профессиональной подготовки, проведении оценки профессиональных компетенций и налаживании сотрудничества с учреждениями технического и профессионального образования и подготовки кадров (ТПОП); освещение вопросов, связанных с Монреальским протоколом, на 16 международных, региональных и национальных мероприятиях; поддержка мероприятий по повышению осведомленности общественности, в частности празднование Международного дня охраны озонового слоя, совещаний за круглым столом и технологических выездных выставок в рамках инициативы </w:t>
      </w:r>
      <w:r>
        <w:t>Ozone</w:t>
      </w:r>
      <w:r>
        <w:rPr>
          <w:lang w:val="ru-RU"/>
        </w:rPr>
        <w:t>2</w:t>
      </w:r>
      <w:r>
        <w:t>Climate</w:t>
      </w:r>
      <w:r>
        <w:rPr>
          <w:lang w:val="ru-RU"/>
        </w:rPr>
        <w:t>, а также Всемирного дня холода;</w:t>
      </w:r>
    </w:p>
    <w:p w14:paraId="0F9EB1ED" w14:textId="4E904C0C" w:rsidR="00A83C1B" w:rsidRPr="006E43E0" w:rsidRDefault="006E43E0" w:rsidP="00B1606B">
      <w:pPr>
        <w:pStyle w:val="Heading2"/>
        <w:ind w:left="1440" w:hanging="720"/>
        <w:rPr>
          <w:lang w:val="ru-RU"/>
        </w:rPr>
      </w:pPr>
      <w:r>
        <w:rPr>
          <w:lang w:val="ru-RU"/>
        </w:rPr>
        <w:t>содействие реализации политик Многостороннего фонда в рамках услуг и проектов ПСС для расширения участия женщин, повышения их представленности и укрепления их руководящей роли в секторе ХКВ и в области экологического управления; оказание НОО поддержки в проведении соответствующих оценок посредством предоставления инструментов и ресурсов; проведение информационной кампании по случаю Международного женского дня, посвященной женщинам, работающим в сфере обеспечения соблюдения природоохранного законодательства; предоставление возможностей для установления профессиональных контактов и наставничества в рамках Международной сети женщин в</w:t>
      </w:r>
      <w:r>
        <w:rPr>
          <w:lang w:val="en-US"/>
        </w:rPr>
        <w:t> </w:t>
      </w:r>
      <w:r>
        <w:rPr>
          <w:lang w:val="ru-RU"/>
        </w:rPr>
        <w:t>секторе охлаждения (</w:t>
      </w:r>
      <w:r>
        <w:rPr>
          <w:lang w:val="en-US"/>
        </w:rPr>
        <w:t>INWIC</w:t>
      </w:r>
      <w:r>
        <w:rPr>
          <w:lang w:val="ru-RU"/>
        </w:rPr>
        <w:t xml:space="preserve">); </w:t>
      </w:r>
    </w:p>
    <w:p w14:paraId="561C8ADE" w14:textId="7A4983DF" w:rsidR="00A83C1B" w:rsidRPr="006E43E0" w:rsidRDefault="006E43E0" w:rsidP="00B1606B">
      <w:pPr>
        <w:pStyle w:val="Heading2"/>
        <w:ind w:left="1440" w:hanging="720"/>
        <w:rPr>
          <w:lang w:val="ru-RU"/>
        </w:rPr>
      </w:pPr>
      <w:r>
        <w:rPr>
          <w:lang w:val="ru-RU"/>
        </w:rPr>
        <w:t>оказание поддержки в подготовке, представлении и осуществлении проектов Многостороннего фонда, включая 102 транша и новых этапа планов организационной деятельности по поэтапному отказу от ГХФУ (ПОДПО), 36 докладов о проверке выполнения ПОДПО, 63 КПР, 54 компонента по энергоэффективности в соответствии с</w:t>
      </w:r>
      <w:r>
        <w:rPr>
          <w:lang w:val="en-US"/>
        </w:rPr>
        <w:t> </w:t>
      </w:r>
      <w:r>
        <w:rPr>
          <w:lang w:val="ru-RU"/>
        </w:rPr>
        <w:t>решением 89/6, шесть пилотных проектов в соответствии с решением</w:t>
      </w:r>
      <w:r>
        <w:rPr>
          <w:lang w:val="en-US"/>
        </w:rPr>
        <w:t> </w:t>
      </w:r>
      <w:r>
        <w:rPr>
          <w:lang w:val="ru-RU"/>
        </w:rPr>
        <w:t>91/65, а также 71</w:t>
      </w:r>
      <w:r>
        <w:rPr>
          <w:lang w:val="en-US"/>
        </w:rPr>
        <w:t> </w:t>
      </w:r>
      <w:r>
        <w:rPr>
          <w:lang w:val="ru-RU"/>
        </w:rPr>
        <w:t>проект по составлению перечней использованных или нежелательных регулируемых веществ и разработке планов действий в соответствии с решением 91/66.</w:t>
      </w:r>
    </w:p>
    <w:p w14:paraId="554F6A47" w14:textId="36AE21F0" w:rsidR="00514645" w:rsidRPr="002D05A1" w:rsidRDefault="006E43E0" w:rsidP="00514645">
      <w:pPr>
        <w:rPr>
          <w:u w:val="single"/>
          <w:lang w:val="ru-RU"/>
        </w:rPr>
      </w:pPr>
      <w:r>
        <w:rPr>
          <w:u w:val="single"/>
          <w:lang w:val="ru-RU"/>
        </w:rPr>
        <w:t xml:space="preserve">Доклад о глобальном проекте по оказанию технического содействия в налаживании связей между национальными сотрудниками по озону и лицами, ответственными за разработку политики в области энергоэффективности для оказания поддержки в достижении целей Кигалийской поправки </w:t>
      </w:r>
    </w:p>
    <w:p w14:paraId="7182CD6B" w14:textId="58C97D5C" w:rsidR="00B902DB" w:rsidRPr="00937A22" w:rsidRDefault="00937A22" w:rsidP="00514645">
      <w:pPr>
        <w:pStyle w:val="Heading1"/>
        <w:spacing w:before="240"/>
        <w:rPr>
          <w:lang w:val="ru-RU"/>
        </w:rPr>
      </w:pPr>
      <w:r>
        <w:rPr>
          <w:lang w:val="ru-RU"/>
        </w:rPr>
        <w:t xml:space="preserve">На 96-м совещании Исполнительный комитет утвердил этап </w:t>
      </w:r>
      <w:r>
        <w:t>II</w:t>
      </w:r>
      <w:r>
        <w:rPr>
          <w:lang w:val="ru-RU"/>
        </w:rPr>
        <w:t xml:space="preserve"> (2025–2027 годы) глобального проекта по оказанию технического содействия в налаживании связей между НСО и национальными органами, ответственными за разработку политики в области энергоэффективности, для оказания поддержки в достижении целей Кигалийской поправки</w:t>
      </w:r>
      <w:r>
        <w:rPr>
          <w:rStyle w:val="FootnoteReference"/>
        </w:rPr>
        <w:footnoteReference w:id="7"/>
      </w:r>
      <w:r>
        <w:rPr>
          <w:lang w:val="ru-RU"/>
        </w:rPr>
        <w:t xml:space="preserve"> (далее – проект по налаживанию связей). В</w:t>
      </w:r>
      <w:r>
        <w:rPr>
          <w:lang w:val="en-US"/>
        </w:rPr>
        <w:t> </w:t>
      </w:r>
      <w:r>
        <w:rPr>
          <w:lang w:val="ru-RU"/>
        </w:rPr>
        <w:t>соответствии с решением 96/28 </w:t>
      </w:r>
      <w:r>
        <w:t>b</w:t>
      </w:r>
      <w:r>
        <w:rPr>
          <w:lang w:val="ru-RU"/>
        </w:rPr>
        <w:t>) </w:t>
      </w:r>
      <w:r>
        <w:t>i</w:t>
      </w:r>
      <w:r>
        <w:rPr>
          <w:lang w:val="ru-RU"/>
        </w:rPr>
        <w:t>) ЮНЕП было поручено представить промежуточный доклад о</w:t>
      </w:r>
      <w:r>
        <w:rPr>
          <w:lang w:val="en-US"/>
        </w:rPr>
        <w:t> </w:t>
      </w:r>
      <w:r>
        <w:rPr>
          <w:lang w:val="ru-RU"/>
        </w:rPr>
        <w:t>ходе осуществления проекта на последнем совещании Исполнительного комитета в 2026 году в</w:t>
      </w:r>
      <w:r>
        <w:rPr>
          <w:lang w:val="en-US"/>
        </w:rPr>
        <w:t> </w:t>
      </w:r>
      <w:r>
        <w:rPr>
          <w:lang w:val="ru-RU"/>
        </w:rPr>
        <w:t>рамках отчета о ходе осуществления ПСС ЮНЕП, а окончательный доклад о ходе осуществления проекта – на последнем совещании Исполнительного комитета в 2027 году.</w:t>
      </w:r>
    </w:p>
    <w:p w14:paraId="25E28CF8" w14:textId="343D5A15" w:rsidR="00514645" w:rsidRPr="00937A22" w:rsidRDefault="00937A22" w:rsidP="00514645">
      <w:pPr>
        <w:pStyle w:val="Heading1"/>
        <w:spacing w:before="240"/>
        <w:rPr>
          <w:lang w:val="ru-RU"/>
        </w:rPr>
      </w:pPr>
      <w:r>
        <w:rPr>
          <w:lang w:val="ru-RU"/>
        </w:rPr>
        <w:lastRenderedPageBreak/>
        <w:t>В соответствии с решением 96/28 </w:t>
      </w:r>
      <w:r>
        <w:rPr>
          <w:lang w:val="en-US"/>
        </w:rPr>
        <w:t>b</w:t>
      </w:r>
      <w:r>
        <w:rPr>
          <w:lang w:val="ru-RU"/>
        </w:rPr>
        <w:t xml:space="preserve">) ЮНЕП представила доклад о ходе осуществления проекта с момента утверждения этапа </w:t>
      </w:r>
      <w:r>
        <w:t>II</w:t>
      </w:r>
      <w:r>
        <w:rPr>
          <w:lang w:val="ru-RU"/>
        </w:rPr>
        <w:t xml:space="preserve">, охватывающего период с 1 июня 2025 года по 31 августа 2026 года. </w:t>
      </w:r>
    </w:p>
    <w:p w14:paraId="74290B5B" w14:textId="446645C7" w:rsidR="00A332AA" w:rsidRPr="00937A22" w:rsidRDefault="00937A22" w:rsidP="00007539">
      <w:pPr>
        <w:pStyle w:val="Heading1"/>
        <w:rPr>
          <w:lang w:val="ru-RU"/>
        </w:rPr>
      </w:pPr>
      <w:r>
        <w:rPr>
          <w:lang w:val="ru-RU"/>
        </w:rPr>
        <w:t xml:space="preserve">Этап </w:t>
      </w:r>
      <w:r>
        <w:t>II</w:t>
      </w:r>
      <w:r>
        <w:rPr>
          <w:lang w:val="ru-RU"/>
        </w:rPr>
        <w:t xml:space="preserve"> включает два взаимодополняющих компонента: разработку информационно-методических материалов, практических инструментов осуществления и технических ресурсов, потребность в которых была выявлена в ходе этапа </w:t>
      </w:r>
      <w:r>
        <w:t>I</w:t>
      </w:r>
      <w:r>
        <w:rPr>
          <w:lang w:val="ru-RU"/>
        </w:rPr>
        <w:t>; и проведение региональных семинаров по налаживанию связей в целях содействия практическому применению разработанных ресурсов, обмену знаниями и опытом между специалистами и укреплению координации между национальными учреждениями. На начальном этапе осуществления проекта приоритетное внимание уделялось привлечению соответствующих технических экспертов и продвижению работы по</w:t>
      </w:r>
      <w:r>
        <w:rPr>
          <w:lang w:val="en-US"/>
        </w:rPr>
        <w:t> </w:t>
      </w:r>
      <w:r>
        <w:rPr>
          <w:lang w:val="ru-RU"/>
        </w:rPr>
        <w:t>разработке основных информационно-методических материалов и инструментов осуществления. В</w:t>
      </w:r>
      <w:r>
        <w:rPr>
          <w:lang w:val="en-US"/>
        </w:rPr>
        <w:t> </w:t>
      </w:r>
      <w:r>
        <w:rPr>
          <w:lang w:val="ru-RU"/>
        </w:rPr>
        <w:t>настоящее время также ведется подготовка к проведению региональных семинаров по налаживанию связей, включая разработку вспомогательных подходов и ресурсов для цикла региональных семинаров по налаживанию связей, проведение которого было перенесено на 2027 год.</w:t>
      </w:r>
    </w:p>
    <w:p w14:paraId="304697DA" w14:textId="757D304D" w:rsidR="00E92905" w:rsidRPr="00FA73AB" w:rsidRDefault="00FA73AB" w:rsidP="00E92905">
      <w:pPr>
        <w:pStyle w:val="Heading1"/>
        <w:rPr>
          <w:lang w:val="ru-RU"/>
        </w:rPr>
      </w:pPr>
      <w:r>
        <w:rPr>
          <w:lang w:val="ru-RU"/>
        </w:rPr>
        <w:t>В отношении разработки информационно-методических материалов ЮНЕП сообщила о</w:t>
      </w:r>
      <w:r>
        <w:rPr>
          <w:lang w:val="en-US"/>
        </w:rPr>
        <w:t> </w:t>
      </w:r>
      <w:r>
        <w:rPr>
          <w:lang w:val="ru-RU"/>
        </w:rPr>
        <w:t>ведущейся работе по подготовке основных комплектов материалов по шести тематическим направлениям, включая: комплексную основу для формирования политики и системы обеспечения соблюдения соответствия, увязывающую требования по переходу на альтернативные хладагенты с</w:t>
      </w:r>
      <w:r>
        <w:rPr>
          <w:lang w:val="en-US"/>
        </w:rPr>
        <w:t> </w:t>
      </w:r>
      <w:r>
        <w:rPr>
          <w:lang w:val="ru-RU"/>
        </w:rPr>
        <w:t>мерами по повышению энергоэффективности; набор инструментов для обеспечения соблюдения соответствия, маркировки и правоприменительной деятельности; набор инструментов для создания национальных механизмов координации; инструмент для мониторинга и отслеживания реализации национальных мер политики; обновленное и расширенное техническое руководство по оценке устойчивости эксплуатации объектов ХКВ; а также набор информационно-коммуникационных инструментов для содействия внедрению энергоэффективных технологий охлаждения и переходу на альтернативные хладагенты. Разрабатываемые инструменты предусматривают возможность их адаптации к различным национальным условиям и будут сопровождаться практическими руководствами, шаблонами и другими материалами, призванными содействовать их распространению и применению за рамками региональных семинаров.</w:t>
      </w:r>
    </w:p>
    <w:p w14:paraId="2C64BDF6" w14:textId="7A874CF3" w:rsidR="00E941A6" w:rsidRPr="00FA73AB" w:rsidRDefault="00FA73AB" w:rsidP="00E941A6">
      <w:pPr>
        <w:pStyle w:val="Heading1"/>
        <w:rPr>
          <w:lang w:val="ru-RU"/>
        </w:rPr>
      </w:pPr>
      <w:r>
        <w:rPr>
          <w:lang w:val="ru-RU"/>
        </w:rPr>
        <w:t>В рамках подготовки к проведению семинаров по налаживанию связей был разработан специальный набор инструментов для оказания поддержки региональным сетям ПСС в подготовке и организации семинаров. Этот набор включает руководящие материалы по проведению региональных оценок потребностей и анализа пробелов в осуществлении, призванные обеспечить учет при планировании и проведении семинаров региональных приоритетов, определенных на основе фактических данных, и конкретных потребностей стран в области осуществления. Начата работа по проведению региональных оценок потребностей и анализа пробелов, результаты которых будут использованы при разработке мероприятий семинаров и внедрении информационно-методических материалов.</w:t>
      </w:r>
    </w:p>
    <w:p w14:paraId="7083FA0F" w14:textId="11383BA3" w:rsidR="00AE0599" w:rsidRPr="00AE0599" w:rsidRDefault="00937A22" w:rsidP="00AE0599">
      <w:pPr>
        <w:keepNext/>
        <w:keepLines/>
        <w:spacing w:after="240"/>
        <w:rPr>
          <w:u w:val="single"/>
        </w:rPr>
      </w:pPr>
      <w:r>
        <w:rPr>
          <w:u w:val="single"/>
          <w:lang w:val="ru-RU"/>
        </w:rPr>
        <w:t>Доклад о предоставлении технической и стратегической поддержки странам с низким объемом потребления в целях содействия осуществлению КПР</w:t>
      </w:r>
      <w:r>
        <w:rPr>
          <w:rStyle w:val="FootnoteReference"/>
          <w:u w:val="single"/>
          <w:vertAlign w:val="baseline"/>
          <w:lang w:val="en-US"/>
        </w:rPr>
        <w:t xml:space="preserve"> </w:t>
      </w:r>
      <w:r>
        <w:rPr>
          <w:rStyle w:val="FootnoteReference"/>
          <w:u w:val="single"/>
        </w:rPr>
        <w:footnoteReference w:id="8"/>
      </w:r>
    </w:p>
    <w:p w14:paraId="160A2122" w14:textId="0EFDE0A3" w:rsidR="00130980" w:rsidRPr="00D83B3C" w:rsidRDefault="00FA73AB" w:rsidP="00130980">
      <w:pPr>
        <w:pStyle w:val="Heading1"/>
        <w:rPr>
          <w:lang w:val="ru-RU"/>
        </w:rPr>
      </w:pPr>
      <w:r>
        <w:rPr>
          <w:lang w:val="ru-RU"/>
        </w:rPr>
        <w:t>В соответствии с решением 93/95 </w:t>
      </w:r>
      <w:r>
        <w:t>d</w:t>
      </w:r>
      <w:r>
        <w:rPr>
          <w:lang w:val="ru-RU"/>
        </w:rPr>
        <w:t>), касающимся обзора системы административных расходов Многостороннего фонда, Исполнительный комитет утвердил увеличение бюджета ПСС на</w:t>
      </w:r>
      <w:r>
        <w:rPr>
          <w:lang w:val="en-US"/>
        </w:rPr>
        <w:t> </w:t>
      </w:r>
      <w:r>
        <w:rPr>
          <w:lang w:val="ru-RU"/>
        </w:rPr>
        <w:t xml:space="preserve">2024, 2025 и 2026 годы для оказания технической помощи и содействия в разработке политики странам с низким объемом потребления (НОП) в целях поддержки осуществления КПР, при том понимании, в частности, что ЮНЕП будет представлять информацию о мероприятиях по оказанию </w:t>
      </w:r>
      <w:r>
        <w:rPr>
          <w:lang w:val="ru-RU"/>
        </w:rPr>
        <w:lastRenderedPageBreak/>
        <w:t>технического содействия и содействия в разработке политики странам НОП и об их результатах в</w:t>
      </w:r>
      <w:r>
        <w:rPr>
          <w:lang w:val="en-US"/>
        </w:rPr>
        <w:t> </w:t>
      </w:r>
      <w:r>
        <w:rPr>
          <w:lang w:val="ru-RU"/>
        </w:rPr>
        <w:t>рамках ежегодных отчетов о ходе осуществления ПСС. На 97-м совещании ЮНЕП сообщила, что поддержка странам НОП осуществляется по четырем приоритетным направлениям, включая новое направление, предусматривающее укрепление потенциала в области безопасного и устойчивого охлаждения посредством повышения уровня охраны труда в секторе ХКВ. По каждому из трех первоначальных приоритетных направлений</w:t>
      </w:r>
      <w:r>
        <w:rPr>
          <w:rStyle w:val="FootnoteReference"/>
        </w:rPr>
        <w:footnoteReference w:id="9"/>
      </w:r>
      <w:r>
        <w:rPr>
          <w:lang w:val="ru-RU"/>
        </w:rPr>
        <w:t xml:space="preserve"> уже были проведены многочисленные мероприятия, при этом в рамках нового направления на 2026 год было запланировано осуществление ряда дополнительных мероприятий. </w:t>
      </w:r>
    </w:p>
    <w:p w14:paraId="541C6548" w14:textId="6A5744B2" w:rsidR="00D83B3C" w:rsidRPr="00D83B3C" w:rsidRDefault="00D83B3C" w:rsidP="00D83B3C">
      <w:pPr>
        <w:pStyle w:val="Heading1"/>
        <w:rPr>
          <w:lang w:val="ru-RU"/>
        </w:rPr>
      </w:pPr>
      <w:r>
        <w:rPr>
          <w:lang w:val="ru-RU"/>
        </w:rPr>
        <w:t>В приложении 6 к представленным материалам содержится подробный отчет по каждому из</w:t>
      </w:r>
      <w:r>
        <w:rPr>
          <w:lang w:val="en-US"/>
        </w:rPr>
        <w:t> </w:t>
      </w:r>
      <w:r>
        <w:rPr>
          <w:lang w:val="ru-RU"/>
        </w:rPr>
        <w:t>приоритетных направлений, отражающий ход осуществления ЮНЕП ряда инициатив, направленных на укрепление национального потенциала в области реализации КПР. Эти инициативы включали оценку систем лицензирования и квотирования ГФУ и разработку инструментов для совершенствования отслеживания импорта ГФУ, мониторинга квот и сверки данных; анализ тенденций потребления ГФУ и факторов, определяющих развитие рынка; оказание поддержки в укреплении подсектора местного монтажа и сборки коммерческого холодильного оборудования, включая разработку и экспериментальное использование инструментов и методологий для последующего применения в странах НОП; а также осуществление инициативы «Безопасное и устойчивое охлаждение для Африки», направленной на повышение уровня охраны труда и техники безопасности в секторе обслуживания ХКВ. Основное внимание в рамках этих мероприятий уделялось поиску практических решений общих проблем, с которыми сталкиваются страны НОП при осуществлении, в целях разработки информационно-методических материалов, которые могут применяться во всех странах НОП. Результаты этой работы включают оценки положения в странах, технические рекомендации, инструменты мониторинга, экспериментальные инициативы и масштабируемые методологии, которые призваны укрепить национальные механизмы осуществления, содействовать принятию обоснованных решений и повысить эффективность реализации КПР. За счет средств последнего транша финансирования, выделенного на трехлетний период, была оказана поддержка дополнительным инициативам. Программа ЮНЕП «ОзонЭкшн» приступила к подготовительной работе по оценке систем сертификации технических специалистов по ХКВ в странах НОП. Результаты этой оценки будут использованы для разработки практических рекомендаций и моделей передовой практики в целях повышения профессиональной компетентности технических специалистов, улучшения качества технического обслуживания, повышения стандартов безопасности и содействия устойчивому поэтапному сокращению потребления ГФУ в странах НОП. Еще одна программа направлена на расширение участия женщин и укрепление их руководящей роли в секторе охлаждения в отдельных странах НОП посредством сотрудничества с Международной сетью женщин в секторе охлаждения (</w:t>
      </w:r>
      <w:r>
        <w:rPr>
          <w:lang w:val="en-US"/>
        </w:rPr>
        <w:t>INWIC</w:t>
      </w:r>
      <w:r>
        <w:rPr>
          <w:lang w:val="ru-RU"/>
        </w:rPr>
        <w:t>). В рамках мероприятия по дальнейшей адаптации услуг ПСС к конкретным потребностям, возможностям и проблемам стран НОП на основе консультаций с НОО и региональными сетями будет проведена оценка возможностей повышения адресности, гибкости и оперативности поддержки, предоставляемой в рамках ПСС, с учетом специфических условий стран НОП.</w:t>
      </w:r>
    </w:p>
    <w:p w14:paraId="0FF868BB" w14:textId="771E975C" w:rsidR="00A83C1B" w:rsidRDefault="0074459F" w:rsidP="00A83C1B">
      <w:pPr>
        <w:rPr>
          <w:b/>
          <w:bCs/>
          <w:sz w:val="24"/>
          <w:szCs w:val="24"/>
          <w:lang w:val="ru-RU"/>
        </w:rPr>
      </w:pPr>
      <w:r>
        <w:rPr>
          <w:b/>
          <w:bCs/>
          <w:sz w:val="24"/>
          <w:szCs w:val="24"/>
          <w:lang w:val="ru-RU"/>
        </w:rPr>
        <w:t>Трехлетняя скользящая стратегия на 2027–2029 годы</w:t>
      </w:r>
    </w:p>
    <w:p w14:paraId="36393E0E" w14:textId="77777777" w:rsidR="0074459F" w:rsidRPr="0074459F" w:rsidRDefault="0074459F" w:rsidP="00A83C1B">
      <w:pPr>
        <w:rPr>
          <w:u w:val="single"/>
          <w:lang w:val="ru-RU"/>
        </w:rPr>
      </w:pPr>
    </w:p>
    <w:p w14:paraId="4B2A27D1" w14:textId="39CAAA60" w:rsidR="00AD620A" w:rsidRPr="0074459F" w:rsidRDefault="0074459F" w:rsidP="00493328">
      <w:pPr>
        <w:pStyle w:val="Heading1"/>
        <w:rPr>
          <w:lang w:val="ru-RU"/>
        </w:rPr>
      </w:pPr>
      <w:r>
        <w:rPr>
          <w:lang w:val="ru-RU"/>
        </w:rPr>
        <w:t>Трехлетняя скользящая стратегия ПСС на 2027–2029 годы определяет подход ЮНЕП к</w:t>
      </w:r>
      <w:r>
        <w:rPr>
          <w:lang w:val="en-US"/>
        </w:rPr>
        <w:t> </w:t>
      </w:r>
      <w:r>
        <w:rPr>
          <w:lang w:val="ru-RU"/>
        </w:rPr>
        <w:t xml:space="preserve">оказанию поддержки странам, действующим в рамках статьи 5, на важнейшем этапе осуществления Монреальского протокола и Кигалийской поправки к нему в период с 2027 </w:t>
      </w:r>
      <w:r>
        <w:rPr>
          <w:lang w:val="ru-RU"/>
        </w:rPr>
        <w:lastRenderedPageBreak/>
        <w:t>по</w:t>
      </w:r>
      <w:r>
        <w:rPr>
          <w:lang w:val="en-US"/>
        </w:rPr>
        <w:t> </w:t>
      </w:r>
      <w:r>
        <w:rPr>
          <w:lang w:val="ru-RU"/>
        </w:rPr>
        <w:t>2029</w:t>
      </w:r>
      <w:r>
        <w:rPr>
          <w:lang w:val="en-US"/>
        </w:rPr>
        <w:t> </w:t>
      </w:r>
      <w:r>
        <w:rPr>
          <w:lang w:val="ru-RU"/>
        </w:rPr>
        <w:t>год. Стратегия была подготовлена в соответствии с мандатами ЮНЕП на оказание содействия в</w:t>
      </w:r>
      <w:r>
        <w:rPr>
          <w:lang w:val="en-US"/>
        </w:rPr>
        <w:t> </w:t>
      </w:r>
      <w:r>
        <w:rPr>
          <w:lang w:val="ru-RU"/>
        </w:rPr>
        <w:t>соблюдении соответствия и выполнение функций механизма посредничества</w:t>
      </w:r>
      <w:r>
        <w:rPr>
          <w:vertAlign w:val="superscript"/>
        </w:rPr>
        <w:footnoteReference w:id="10"/>
      </w:r>
      <w:r>
        <w:rPr>
          <w:lang w:val="ru-RU"/>
        </w:rPr>
        <w:t xml:space="preserve"> и отражает меняющиеся потребности стран в условиях выполнения ими все более сложных обязательств. В ней учитывается обратная связь НОО и заинтересованных сторон, рекомендации, вынесенные по результатам проведенных оценок, а также уроки, извлеченные из осуществления мероприятий, связанных с предыдущей трехлетней стратегией, включая опыт, накопленный в</w:t>
      </w:r>
      <w:r>
        <w:rPr>
          <w:lang w:val="en-US"/>
        </w:rPr>
        <w:t> </w:t>
      </w:r>
      <w:r>
        <w:rPr>
          <w:lang w:val="ru-RU"/>
        </w:rPr>
        <w:t>области поэтапного отказа от ГХФУ и поэтапного сокращения потребления ГФУ, а также уделения приоритетного внимания странам НОП.</w:t>
      </w:r>
    </w:p>
    <w:p w14:paraId="0CA470ED" w14:textId="27363FE9" w:rsidR="00A873E9" w:rsidRPr="007575C9" w:rsidRDefault="0074459F" w:rsidP="00493328">
      <w:pPr>
        <w:pStyle w:val="Heading1"/>
      </w:pPr>
      <w:r>
        <w:rPr>
          <w:lang w:val="ru-RU"/>
        </w:rPr>
        <w:t xml:space="preserve">Трехлетняя стратегия ПСС предусматривает систематизацию результатов оказания поддержки в рамках проектов и предоставления услуг ПСС по 11 категориям, при этом общим желаемым результатом является достижение и поддержание странами, действующими в рамках статьи 5, соблюдения положений Монреальского протокола и поправок к нему. </w:t>
      </w:r>
      <w:r>
        <w:t>Эти 11 категорий:</w:t>
      </w:r>
    </w:p>
    <w:p w14:paraId="0D3D7327" w14:textId="3F21D07C" w:rsidR="00A83C1B" w:rsidRPr="0074459F" w:rsidRDefault="0074459F" w:rsidP="0096677D">
      <w:pPr>
        <w:pStyle w:val="Subpara1special"/>
        <w:numPr>
          <w:ilvl w:val="1"/>
          <w:numId w:val="58"/>
        </w:numPr>
        <w:ind w:left="1440" w:hanging="720"/>
        <w:rPr>
          <w:lang w:val="ru-RU"/>
        </w:rPr>
      </w:pPr>
      <w:r>
        <w:rPr>
          <w:lang w:val="ru-RU"/>
        </w:rPr>
        <w:t xml:space="preserve">НОО эффективно осуществляют управление своими национальными программами; </w:t>
      </w:r>
    </w:p>
    <w:p w14:paraId="09775F4F" w14:textId="1CD8F7E0" w:rsidR="00A83C1B" w:rsidRPr="0074459F" w:rsidRDefault="0074459F" w:rsidP="0096677D">
      <w:pPr>
        <w:pStyle w:val="Subpara1special"/>
        <w:numPr>
          <w:ilvl w:val="1"/>
          <w:numId w:val="58"/>
        </w:numPr>
        <w:ind w:left="1440" w:hanging="720"/>
        <w:rPr>
          <w:lang w:val="ru-RU"/>
        </w:rPr>
      </w:pPr>
      <w:r>
        <w:rPr>
          <w:lang w:val="ru-RU"/>
        </w:rPr>
        <w:t>страны, действующие в рамках статьи 5, представляют точные и своевременные данные;</w:t>
      </w:r>
    </w:p>
    <w:p w14:paraId="77B1AAE7" w14:textId="5E099378" w:rsidR="001208AD" w:rsidRPr="0074459F" w:rsidRDefault="0074459F" w:rsidP="0096677D">
      <w:pPr>
        <w:pStyle w:val="Subpara1special"/>
        <w:numPr>
          <w:ilvl w:val="1"/>
          <w:numId w:val="58"/>
        </w:numPr>
        <w:ind w:left="1440" w:hanging="720"/>
        <w:rPr>
          <w:lang w:val="ru-RU"/>
        </w:rPr>
      </w:pPr>
      <w:r>
        <w:rPr>
          <w:lang w:val="ru-RU"/>
        </w:rPr>
        <w:t xml:space="preserve">национальные нормативно-правовые механизмы созданы и функционируют; </w:t>
      </w:r>
    </w:p>
    <w:p w14:paraId="3DC11D18" w14:textId="532CFF21" w:rsidR="00B14AE4" w:rsidRPr="0074459F" w:rsidRDefault="0074459F" w:rsidP="0096677D">
      <w:pPr>
        <w:pStyle w:val="Subpara1special"/>
        <w:numPr>
          <w:ilvl w:val="1"/>
          <w:numId w:val="58"/>
        </w:numPr>
        <w:ind w:left="1440" w:hanging="720"/>
        <w:rPr>
          <w:lang w:val="ru-RU"/>
        </w:rPr>
      </w:pPr>
      <w:r>
        <w:rPr>
          <w:lang w:val="ru-RU"/>
        </w:rPr>
        <w:t xml:space="preserve">национальные системы таможенного контроля и соблюдения соответствия функционируют и укрепляются; </w:t>
      </w:r>
    </w:p>
    <w:p w14:paraId="4F0D541A" w14:textId="128E2F27" w:rsidR="006C680D" w:rsidRPr="0074459F" w:rsidRDefault="0074459F" w:rsidP="0096677D">
      <w:pPr>
        <w:pStyle w:val="Subpara1special"/>
        <w:numPr>
          <w:ilvl w:val="1"/>
          <w:numId w:val="58"/>
        </w:numPr>
        <w:ind w:left="1440" w:hanging="720"/>
        <w:rPr>
          <w:lang w:val="ru-RU"/>
        </w:rPr>
      </w:pPr>
      <w:r>
        <w:rPr>
          <w:lang w:val="ru-RU"/>
        </w:rPr>
        <w:t>укрепляется потенциал национальных кадров и учреждений сектора ХКВ в целях обеспечения безопасного, эффективного и экологически обоснованного регулирования обращения с хладагентами;</w:t>
      </w:r>
    </w:p>
    <w:p w14:paraId="7E5E3735" w14:textId="37CE3781" w:rsidR="00487B9E" w:rsidRPr="003C5330" w:rsidRDefault="003C5330" w:rsidP="0096677D">
      <w:pPr>
        <w:pStyle w:val="Subpara1special"/>
        <w:numPr>
          <w:ilvl w:val="1"/>
          <w:numId w:val="58"/>
        </w:numPr>
        <w:ind w:left="1440" w:hanging="720"/>
        <w:rPr>
          <w:lang w:val="ru-RU"/>
        </w:rPr>
      </w:pPr>
      <w:r>
        <w:rPr>
          <w:lang w:val="ru-RU"/>
        </w:rPr>
        <w:t xml:space="preserve">эффективное осуществление проектов, поддерживаемых Многосторонним фондом (МФ), позволяет странам достигать целевых показателей соблюдения соответствия, установленных Протоколом и их соглашениями с Исполнительным комитетом МФ; </w:t>
      </w:r>
    </w:p>
    <w:p w14:paraId="30ED56F9" w14:textId="2AE44546" w:rsidR="008D5BB8" w:rsidRPr="003C5330" w:rsidRDefault="003C5330" w:rsidP="0096677D">
      <w:pPr>
        <w:pStyle w:val="Subpara1special"/>
        <w:numPr>
          <w:ilvl w:val="1"/>
          <w:numId w:val="58"/>
        </w:numPr>
        <w:ind w:left="1440" w:hanging="720"/>
        <w:rPr>
          <w:lang w:val="ru-RU"/>
        </w:rPr>
      </w:pPr>
      <w:r>
        <w:rPr>
          <w:lang w:val="ru-RU"/>
        </w:rPr>
        <w:t xml:space="preserve">энергоэффективность в секторе ХКВ поддерживается на достигнутом уровне или повышается; </w:t>
      </w:r>
    </w:p>
    <w:p w14:paraId="64B868F7" w14:textId="1401107D" w:rsidR="00A315ED" w:rsidRPr="003C5330" w:rsidRDefault="003C5330" w:rsidP="0096677D">
      <w:pPr>
        <w:pStyle w:val="Subpara1special"/>
        <w:numPr>
          <w:ilvl w:val="1"/>
          <w:numId w:val="58"/>
        </w:numPr>
        <w:ind w:left="1440" w:hanging="720"/>
        <w:rPr>
          <w:lang w:val="ru-RU"/>
        </w:rPr>
      </w:pPr>
      <w:r>
        <w:rPr>
          <w:lang w:val="ru-RU"/>
        </w:rPr>
        <w:t>регулирование обращения с хладагентами на протяжении их жизненного цикла и их утилизация способствуют эффективному функционированию национальных систем управления в рамках Монреальского протокола;</w:t>
      </w:r>
    </w:p>
    <w:p w14:paraId="43901FC2" w14:textId="4E6AA13D" w:rsidR="00A83C1B" w:rsidRPr="003C5330" w:rsidRDefault="003C5330" w:rsidP="0096677D">
      <w:pPr>
        <w:pStyle w:val="Subpara1special"/>
        <w:numPr>
          <w:ilvl w:val="1"/>
          <w:numId w:val="58"/>
        </w:numPr>
        <w:ind w:left="1440" w:hanging="720"/>
        <w:rPr>
          <w:lang w:val="ru-RU"/>
        </w:rPr>
      </w:pPr>
      <w:r>
        <w:rPr>
          <w:lang w:val="ru-RU"/>
        </w:rPr>
        <w:t xml:space="preserve">целенаправленные информационно-коммуникационные мероприятия способствуют достижению национальных целей соблюдения соответствия; </w:t>
      </w:r>
    </w:p>
    <w:p w14:paraId="0B1F28F3" w14:textId="401903C4" w:rsidR="00A83C1B" w:rsidRPr="003C5330" w:rsidRDefault="003C5330" w:rsidP="0096677D">
      <w:pPr>
        <w:pStyle w:val="Subpara1special"/>
        <w:numPr>
          <w:ilvl w:val="1"/>
          <w:numId w:val="58"/>
        </w:numPr>
        <w:ind w:left="1440" w:hanging="720"/>
        <w:rPr>
          <w:lang w:val="ru-RU"/>
        </w:rPr>
      </w:pPr>
      <w:r>
        <w:rPr>
          <w:lang w:val="ru-RU"/>
        </w:rPr>
        <w:t xml:space="preserve">современные информационные системы и цифровые инструменты содействуют эффективному функционированию национальных механизмов соблюдения соответствия; </w:t>
      </w:r>
    </w:p>
    <w:p w14:paraId="6B9DC76C" w14:textId="5B4AD173" w:rsidR="00077E22" w:rsidRPr="003C5330" w:rsidRDefault="003C5330" w:rsidP="0096677D">
      <w:pPr>
        <w:pStyle w:val="Subpara1special"/>
        <w:numPr>
          <w:ilvl w:val="1"/>
          <w:numId w:val="58"/>
        </w:numPr>
        <w:ind w:left="1440" w:hanging="720"/>
        <w:rPr>
          <w:lang w:val="ru-RU"/>
        </w:rPr>
      </w:pPr>
      <w:r>
        <w:rPr>
          <w:lang w:val="ru-RU"/>
        </w:rPr>
        <w:t>вопросы расширения прав и возможностей женщин учитываются в программах и проектах Многостороннего фонда.</w:t>
      </w:r>
    </w:p>
    <w:p w14:paraId="401407F2" w14:textId="059C1A7D" w:rsidR="00A83C1B" w:rsidRPr="003C5330" w:rsidRDefault="003C5330" w:rsidP="00A83C1B">
      <w:pPr>
        <w:pStyle w:val="Heading1"/>
        <w:rPr>
          <w:lang w:val="ru-RU"/>
        </w:rPr>
      </w:pPr>
      <w:r>
        <w:rPr>
          <w:lang w:val="ru-RU"/>
        </w:rPr>
        <w:lastRenderedPageBreak/>
        <w:t xml:space="preserve">Результаты 9, 10 и 11 определены как сквозные категории. Подробное описание трехлетней скользящей стратегии ПСС на 2027–2029 годы содержится в части </w:t>
      </w:r>
      <w:r>
        <w:rPr>
          <w:lang w:val="en-US"/>
        </w:rPr>
        <w:t>I</w:t>
      </w:r>
      <w:r>
        <w:rPr>
          <w:lang w:val="ru-RU"/>
        </w:rPr>
        <w:t xml:space="preserve"> представленных материалов, прилагаемых к настоящему документу.</w:t>
      </w:r>
    </w:p>
    <w:p w14:paraId="5B81AA07" w14:textId="57D8B09F" w:rsidR="00A83C1B" w:rsidRPr="003C5330" w:rsidRDefault="003C5330" w:rsidP="00A83C1B">
      <w:pPr>
        <w:keepNext/>
        <w:spacing w:after="240"/>
        <w:rPr>
          <w:b/>
          <w:bCs/>
          <w:sz w:val="24"/>
          <w:szCs w:val="24"/>
          <w:lang w:val="ru-RU"/>
        </w:rPr>
      </w:pPr>
      <w:r>
        <w:rPr>
          <w:b/>
          <w:bCs/>
          <w:sz w:val="24"/>
          <w:szCs w:val="24"/>
          <w:lang w:val="ru-RU"/>
        </w:rPr>
        <w:t>Программа работы ПСС на 2027 год</w:t>
      </w:r>
    </w:p>
    <w:p w14:paraId="084432F5" w14:textId="53DE8C6E" w:rsidR="00A83C1B" w:rsidRPr="003C5330" w:rsidRDefault="003C5330" w:rsidP="00A25BA4">
      <w:pPr>
        <w:pStyle w:val="Heading1"/>
        <w:keepNext/>
        <w:rPr>
          <w:lang w:val="ru-RU"/>
        </w:rPr>
      </w:pPr>
      <w:r>
        <w:rPr>
          <w:lang w:val="ru-RU"/>
        </w:rPr>
        <w:t>В 2027 году ЮНЕП будет осуществлять следующие мероприятия в целях содействия достижению 11 результатов, перечисленных выше (полный план работы на 2027 год содержится в</w:t>
      </w:r>
      <w:r>
        <w:rPr>
          <w:lang w:val="en-US"/>
        </w:rPr>
        <w:t> </w:t>
      </w:r>
      <w:r>
        <w:rPr>
          <w:lang w:val="ru-RU"/>
        </w:rPr>
        <w:t xml:space="preserve">приложении </w:t>
      </w:r>
      <w:r>
        <w:rPr>
          <w:lang w:val="en-US"/>
        </w:rPr>
        <w:t>I</w:t>
      </w:r>
      <w:r>
        <w:rPr>
          <w:lang w:val="ru-RU"/>
        </w:rPr>
        <w:t xml:space="preserve"> к прилагаемым представленным материалам):</w:t>
      </w:r>
    </w:p>
    <w:p w14:paraId="2BEFF063" w14:textId="53625057" w:rsidR="001C5C2C" w:rsidRPr="003C5330" w:rsidRDefault="003C5330" w:rsidP="00D5065D">
      <w:pPr>
        <w:pStyle w:val="Heading2"/>
        <w:spacing w:before="240"/>
        <w:ind w:left="1440" w:hanging="720"/>
        <w:rPr>
          <w:lang w:val="ru-RU"/>
        </w:rPr>
      </w:pPr>
      <w:r>
        <w:rPr>
          <w:i/>
          <w:iCs/>
          <w:lang w:val="ru-RU"/>
        </w:rPr>
        <w:t>НОО эффективно осуществляют управление своими национальными программами</w:t>
      </w:r>
      <w:r>
        <w:rPr>
          <w:lang w:val="ru-RU"/>
        </w:rPr>
        <w:t>: предоставление НОО руководящих указаний по вопросам осуществления проектов по</w:t>
      </w:r>
      <w:r>
        <w:rPr>
          <w:lang w:val="en-US"/>
        </w:rPr>
        <w:t> </w:t>
      </w:r>
      <w:r>
        <w:rPr>
          <w:lang w:val="ru-RU"/>
        </w:rPr>
        <w:t>укреплению организационной структуры и техническим вопросам, а также оказание по запросам адресной помощи в решении технических, политических и оперативных вопросов и вопросов, связанных с соблюдением соответствия; организация совещаний региональных сетей в целях содействия взаимному обучению, обмену информацией и сотрудничеству между НОО, проведение подготовки вновь назначенных НСО и углубленной подготовки по вопросам управления проектами для заинтересованных сотрудников; проведение учебных занятий по вопросам управления в рамках Монреальского протокола и Многостороннего фонда в целях повышения эффективности участия в международных совещаниях; содействие межстрановому сотрудничеству посредством организации ознакомительных поездок, технических обменов и круглых столов по технологическим вопросам; распространение информации об итогах совещаний Исполнительного комитета, Рабочей группы открытого состава и Совещаний Сторон; а также предоставление руководящих указаний по планированию мер в</w:t>
      </w:r>
      <w:r>
        <w:rPr>
          <w:lang w:val="en-US"/>
        </w:rPr>
        <w:t> </w:t>
      </w:r>
      <w:r>
        <w:rPr>
          <w:lang w:val="ru-RU"/>
        </w:rPr>
        <w:t>отношении остаточного потребления ГХФУ для обслуживания оборудования после 2030</w:t>
      </w:r>
      <w:r>
        <w:rPr>
          <w:lang w:val="en-US"/>
        </w:rPr>
        <w:t> </w:t>
      </w:r>
      <w:r>
        <w:rPr>
          <w:lang w:val="ru-RU"/>
        </w:rPr>
        <w:t>года, включая подходы, адаптированные к условиям стран НОП;</w:t>
      </w:r>
    </w:p>
    <w:p w14:paraId="47A36996" w14:textId="0F4E34B1" w:rsidR="00503B5B" w:rsidRPr="003C5330" w:rsidRDefault="003C5330" w:rsidP="00D5065D">
      <w:pPr>
        <w:pStyle w:val="Heading2"/>
        <w:spacing w:before="240"/>
        <w:ind w:left="1440" w:hanging="720"/>
        <w:rPr>
          <w:lang w:val="ru-RU"/>
        </w:rPr>
      </w:pPr>
      <w:r>
        <w:rPr>
          <w:i/>
          <w:iCs/>
          <w:lang w:val="ru-RU"/>
        </w:rPr>
        <w:t>страны, действующие в рамках статьи 5, представляют точные и своевременные данные:</w:t>
      </w:r>
      <w:r>
        <w:rPr>
          <w:lang w:val="ru-RU"/>
        </w:rPr>
        <w:t xml:space="preserve"> осуществление мониторинга представления данных в соответствии со статьей</w:t>
      </w:r>
      <w:r>
        <w:rPr>
          <w:lang w:val="en-US"/>
        </w:rPr>
        <w:t> </w:t>
      </w:r>
      <w:r>
        <w:rPr>
          <w:lang w:val="ru-RU"/>
        </w:rPr>
        <w:t>7 и данных страновых программ (СП) и оказание адресной поддержки странам, сталкивающимся с трудностями или задержками при представлении данных; содействие распространению передовых методов и методологий сбора, проверки и представления данных, оказание поддержки в использовании систем представления отчетности в</w:t>
      </w:r>
      <w:r>
        <w:rPr>
          <w:lang w:val="en-US"/>
        </w:rPr>
        <w:t> </w:t>
      </w:r>
      <w:r>
        <w:rPr>
          <w:lang w:val="ru-RU"/>
        </w:rPr>
        <w:t>режиме онлайн и сверке данных об импорте и экспорте; оказание помощи странам в</w:t>
      </w:r>
      <w:r>
        <w:rPr>
          <w:lang w:val="en-US"/>
        </w:rPr>
        <w:t> </w:t>
      </w:r>
      <w:r>
        <w:rPr>
          <w:lang w:val="ru-RU"/>
        </w:rPr>
        <w:t>установлении базовых уровней потребления ГФУ и исходных уровней для устойчивого совокупного сокращения потребления ГФУ после принятия Исполнительным комитетом решения о соответствующей методологии; разработка и распространение руководящих материалов и инструментов для совершенствования представления отчетности; а также оказание НОО помощи в выявлении, оценке и представлении отчетности о</w:t>
      </w:r>
      <w:r>
        <w:rPr>
          <w:lang w:val="en-US"/>
        </w:rPr>
        <w:t> </w:t>
      </w:r>
      <w:r>
        <w:rPr>
          <w:lang w:val="ru-RU"/>
        </w:rPr>
        <w:t>нетрадиционных источниках потребления ГФУ;</w:t>
      </w:r>
    </w:p>
    <w:p w14:paraId="518548E3" w14:textId="7AA52566" w:rsidR="00A10C91" w:rsidRPr="003C5330" w:rsidRDefault="003C5330" w:rsidP="00D5065D">
      <w:pPr>
        <w:pStyle w:val="Heading2"/>
        <w:spacing w:before="240"/>
        <w:ind w:left="1440" w:hanging="720"/>
        <w:rPr>
          <w:lang w:val="ru-RU"/>
        </w:rPr>
      </w:pPr>
      <w:r>
        <w:rPr>
          <w:i/>
          <w:iCs/>
          <w:lang w:val="ru-RU"/>
        </w:rPr>
        <w:t>национальные нормативно-правовые механизмы созданы и функционируют</w:t>
      </w:r>
      <w:r>
        <w:rPr>
          <w:lang w:val="ru-RU"/>
        </w:rPr>
        <w:t xml:space="preserve">: продолжение оказания содействия странам, действующим в рамках статьи 5, в разработке, обновлении и укреплении законодательства и нормативно-правовой базы в отношении ГХФУ и ГФУ с уделением особого внимания странам Группы 2 в свете предстоящего замораживания потребления ГФУ; оказание технической поддержки в обеспечении функционирования и укреплении систем лицензирования и квотирования ГФУ; продолжение оказания поддержки странам в ратификации Кигалийской поправки и стимулирование стран, действующих в рамках статьи 5, которые еще не ратифицировали Кигалийскую поправку, к внедрению добровольных </w:t>
      </w:r>
      <w:r>
        <w:rPr>
          <w:lang w:val="ru-RU"/>
        </w:rPr>
        <w:lastRenderedPageBreak/>
        <w:t>систем лицензирования ГФУ; оказание НОО помощи в разработке мер политики и нормативно-правового регулирования для управления остаточным потреблением ГХФУ в секторе обслуживания оборудования после 2030 года, включая нормативные меры, касающиеся бывшего в</w:t>
      </w:r>
      <w:r>
        <w:rPr>
          <w:lang w:val="en-US"/>
        </w:rPr>
        <w:t> </w:t>
      </w:r>
      <w:r>
        <w:rPr>
          <w:lang w:val="ru-RU"/>
        </w:rPr>
        <w:t xml:space="preserve">употреблении оборудования, а также рекуперации и рециклинга хладагентов; </w:t>
      </w:r>
    </w:p>
    <w:p w14:paraId="65770B15" w14:textId="562CF29B" w:rsidR="00A10C91" w:rsidRPr="004F0AED" w:rsidRDefault="003C5330" w:rsidP="00D5065D">
      <w:pPr>
        <w:pStyle w:val="Heading2"/>
        <w:spacing w:before="240"/>
        <w:ind w:left="1440" w:hanging="720"/>
        <w:rPr>
          <w:lang w:val="ru-RU"/>
        </w:rPr>
      </w:pPr>
      <w:r>
        <w:rPr>
          <w:i/>
          <w:iCs/>
          <w:lang w:val="ru-RU"/>
        </w:rPr>
        <w:t>национальные системы таможенного контроля и обеспечения соблюдения соответствия функционируют и укрепляются</w:t>
      </w:r>
      <w:r>
        <w:rPr>
          <w:lang w:val="ru-RU"/>
        </w:rPr>
        <w:t>: оказание поддержки НОО в укреплении механизмов осуществления, мониторинга соблюдения и обеспечения исполнения национального законодательства и нормативных положений, регулирующих обращение с регулируемыми веществами и предотвращение незаконной торговли, в том числе посредством повышения осведомленности и наращивания потенциала; содействие использованию учебных материалов, разработанных ЮНЕП и ее партнерами, для</w:t>
      </w:r>
      <w:r>
        <w:rPr>
          <w:lang w:val="en-US"/>
        </w:rPr>
        <w:t> </w:t>
      </w:r>
      <w:r>
        <w:rPr>
          <w:lang w:val="ru-RU"/>
        </w:rPr>
        <w:t>сотрудников таможенных и других правоохранительных органов, оказание помощи национальным учебным заведениям таможенных служб во включении соответствующих материалов в учебные программы; содействие внедрению стандартных операционных процедур и инновационных подходов к обеспечению соблюдения требований систем лицензирования и квотирования на границах и на внутренних рынках; укрепление сотрудничества между НОО, таможенными и другими правоохранительными органами; оказание помощи НОО и таможенным органам в повышении качества данных о торговле и подготовке к внедрению кодов Гармонизированной системы Всемирной таможенной организации (ВТамО) 2028 года; проведение подготовки инспекторов по охране окружающей среды; а также оказание заинтересованным НОО помощи в разработке и экспериментальном осуществлении программ контроля за соблюдением соответствия во</w:t>
      </w:r>
      <w:r>
        <w:rPr>
          <w:lang w:val="en-US"/>
        </w:rPr>
        <w:t> </w:t>
      </w:r>
      <w:r>
        <w:rPr>
          <w:lang w:val="ru-RU"/>
        </w:rPr>
        <w:t xml:space="preserve">внутренних цепочках поставок после прохождения таможенного контроля, охватывающих оптовых продавцов, импортеров и предприятия по обслуживанию оборудования; </w:t>
      </w:r>
    </w:p>
    <w:p w14:paraId="76F730BB" w14:textId="36CF385A" w:rsidR="0004690E" w:rsidRPr="004F0AED" w:rsidRDefault="003C5330" w:rsidP="00D5065D">
      <w:pPr>
        <w:pStyle w:val="Heading2"/>
        <w:keepNext/>
        <w:keepLines/>
        <w:spacing w:before="240"/>
        <w:ind w:left="1440" w:hanging="720"/>
        <w:rPr>
          <w:lang w:val="ru-RU"/>
        </w:rPr>
      </w:pPr>
      <w:r>
        <w:rPr>
          <w:i/>
          <w:iCs/>
          <w:lang w:val="ru-RU"/>
        </w:rPr>
        <w:t>укрепляется потенциал национальных кадров и учреждений сектора ХКВ в целях обеспечения безопасного, эффективного и экологически обоснованного регулирования обращения с хладагентами</w:t>
      </w:r>
      <w:r>
        <w:rPr>
          <w:lang w:val="ru-RU"/>
        </w:rPr>
        <w:t>: предоставление НОО и заинтересованным сторонам сектора обслуживания оборудования технической информации об альтернативных хладагентах, новых технологиях и передовых методах обслуживания; распространение стандартизированных руководящих указаний по обслуживанию оборудования ХКВ, механизмов сертификации и инструментов оценки профессиональных компетенций, а также разработка упрощенных технических материалов об альтернативах ГФУ и областях их применения; оказание помощи странам в принятии или обновлении национальных кодексов практики обслуживания оборудования ХКВ; повышение квалификации технических специалистов и инструкторов сектора ХКВ в области безопасной установки, ввода в эксплуатацию, обслуживания, технического содержания и вывода из эксплуатации систем, использующих альтернативные хладагенты; содействие сотрудничеству между НОО и учреждениями технического и профессионального образования и подготовки (ТПОП); поощрение сотрудничества с организациями по</w:t>
      </w:r>
      <w:r>
        <w:rPr>
          <w:lang w:val="en-US"/>
        </w:rPr>
        <w:t> </w:t>
      </w:r>
      <w:r>
        <w:rPr>
          <w:lang w:val="ru-RU"/>
        </w:rPr>
        <w:t>стандартизации и укрепление национальных и региональных ассоциаций сектора ХКВ; укрепление потенциала НОО по вопросам, связанным с сектором холодильной цепи, а также с ГФУ и альтернативными веществами, используемыми в мобильных системах кондиционирования воздуха (МКВ);</w:t>
      </w:r>
    </w:p>
    <w:p w14:paraId="0D54DC81" w14:textId="25B8DB07" w:rsidR="0004690E" w:rsidRPr="004F0AED" w:rsidRDefault="003C5330" w:rsidP="00D5065D">
      <w:pPr>
        <w:pStyle w:val="Heading2"/>
        <w:spacing w:before="240"/>
        <w:ind w:left="1440" w:hanging="720"/>
        <w:rPr>
          <w:lang w:val="ru-RU"/>
        </w:rPr>
      </w:pPr>
      <w:r>
        <w:rPr>
          <w:i/>
          <w:iCs/>
          <w:lang w:val="ru-RU"/>
        </w:rPr>
        <w:t>эффективное осуществление проектов, поддерживаемых Многосторонним фондом, позволяет странам достигать целевых показателей соблюдения соответствия, установленных Протоколом и их соглашениями с Исполнительным комитетом МФ</w:t>
      </w:r>
      <w:r>
        <w:rPr>
          <w:lang w:val="ru-RU"/>
        </w:rPr>
        <w:t xml:space="preserve">: </w:t>
      </w:r>
      <w:r>
        <w:rPr>
          <w:lang w:val="ru-RU"/>
        </w:rPr>
        <w:lastRenderedPageBreak/>
        <w:t>продолжение оказания поддержки в подготовке, представлении, осуществлении и мониторинге этапов и траншей ПОДПО и КПР; оказание поддержки в проведении мероприятий по проверке данных о потреблении ГХФУ и ГФУ и оказание помощи странам в принятии последующих мер по выполнению рекомендаций, содержащихся в</w:t>
      </w:r>
      <w:r>
        <w:rPr>
          <w:lang w:val="en-US"/>
        </w:rPr>
        <w:t> </w:t>
      </w:r>
      <w:r>
        <w:rPr>
          <w:lang w:val="ru-RU"/>
        </w:rPr>
        <w:t>докладах о проверке;</w:t>
      </w:r>
    </w:p>
    <w:p w14:paraId="6125DEAE" w14:textId="67871284" w:rsidR="00C47EC5" w:rsidRPr="004F0AED" w:rsidRDefault="003C5330" w:rsidP="00D5065D">
      <w:pPr>
        <w:pStyle w:val="Heading2"/>
        <w:spacing w:before="240"/>
        <w:ind w:left="1440" w:hanging="720"/>
        <w:rPr>
          <w:lang w:val="ru-RU"/>
        </w:rPr>
      </w:pPr>
      <w:r>
        <w:rPr>
          <w:i/>
          <w:iCs/>
          <w:lang w:val="ru-RU"/>
        </w:rPr>
        <w:t>энергоэффективность в секторе ХКВ поддерживается на достигнутом уровне или повышается:</w:t>
      </w:r>
      <w:r>
        <w:rPr>
          <w:lang w:val="ru-RU"/>
        </w:rPr>
        <w:t xml:space="preserve"> оказание поддержки НОО в укреплении сотрудничества с национальными органами по вопросам энергетики и разработке политических и нормативно-правовых механизмов для поддержания или повышения энергоэффективности оборудования ХКВ, а также в укреплении соответствующего потенциала НОО, таможенных органов и органов по вопросам энергетики в области обеспечения соблюдения соответствия; оказание поддержки во включении учебных модулей по энергоэффективности в</w:t>
      </w:r>
      <w:r>
        <w:rPr>
          <w:lang w:val="en-US"/>
        </w:rPr>
        <w:t> </w:t>
      </w:r>
      <w:r>
        <w:rPr>
          <w:lang w:val="ru-RU"/>
        </w:rPr>
        <w:t>национальные программы подготовки и сертификации технических специалистов сектора ХКВ; разработка и распространение руководящих материалов по учету вопросов энергоэффективности в КПР, ПОДПО и национальных механизмах политики с учетом национальных условий, температуры окружающей среды и состояния внедрения стандартов минимальной энергоэффективности (СМЭЭ); оказание по запросам помощи странам, действующим в рамках статьи 5, в подготовке и представлении мероприятий в</w:t>
      </w:r>
      <w:r>
        <w:rPr>
          <w:lang w:val="en-US"/>
        </w:rPr>
        <w:t> </w:t>
      </w:r>
      <w:r>
        <w:rPr>
          <w:lang w:val="ru-RU"/>
        </w:rPr>
        <w:t>области энергоэффективности в соответствии с решениями Исполнительного комитета и предусмотренными механизмами финансирования, а также в осуществлении соответствующих проектов;</w:t>
      </w:r>
    </w:p>
    <w:p w14:paraId="6DA8646D" w14:textId="4D5B2795" w:rsidR="00816CD3" w:rsidRPr="004F0AED" w:rsidRDefault="003C5330" w:rsidP="00D5065D">
      <w:pPr>
        <w:pStyle w:val="Heading2"/>
        <w:spacing w:before="240"/>
        <w:ind w:left="1440" w:hanging="720"/>
        <w:rPr>
          <w:lang w:val="ru-RU"/>
        </w:rPr>
      </w:pPr>
      <w:r>
        <w:rPr>
          <w:i/>
          <w:iCs/>
          <w:lang w:val="ru-RU"/>
        </w:rPr>
        <w:t>регулирование обращения с хладагентами на протяжении их жизненного цикла и их утилизация способствуют эффективному функционированию национальных систем управления в рамках Монреальского протокола:</w:t>
      </w:r>
      <w:r>
        <w:rPr>
          <w:lang w:val="ru-RU"/>
        </w:rPr>
        <w:t xml:space="preserve"> предоставление НОО информации по</w:t>
      </w:r>
      <w:r>
        <w:rPr>
          <w:lang w:val="en-US"/>
        </w:rPr>
        <w:t> </w:t>
      </w:r>
      <w:r>
        <w:rPr>
          <w:lang w:val="ru-RU"/>
        </w:rPr>
        <w:t>техническим вопросам и вопросам политики, передовым методам и устойчивым моделям финансирования, связанным с регулированием обращения с хладагентами на протяжении их жизненного цикла и утилизацией регулируемых веществ, посредством совещаний региональных сетей и других мероприятий в сотрудничестве с</w:t>
      </w:r>
      <w:r>
        <w:rPr>
          <w:lang w:val="en-US"/>
        </w:rPr>
        <w:t> </w:t>
      </w:r>
      <w:r>
        <w:rPr>
          <w:lang w:val="ru-RU"/>
        </w:rPr>
        <w:t>соответствующими партнерами; разработка и распространение практических руководящих материалов и инструментов по вопросам регулирования обращения с</w:t>
      </w:r>
      <w:r>
        <w:rPr>
          <w:lang w:val="en-US"/>
        </w:rPr>
        <w:t> </w:t>
      </w:r>
      <w:r>
        <w:rPr>
          <w:lang w:val="ru-RU"/>
        </w:rPr>
        <w:t>хладагентами на протяжении их жизненного цикла и утилизации регулируемых веществ; оказание технической помощи странам, действующим в рамках статьи 5, при рассмотрении вариантов экспорта использованных, ненужных, рециркулированных или восстановленных регулируемых веществ, а также при оценке осуществимости и устойчивости подходов к регулированию обращения с хладагентами на протяжении их жизненного цикла; содействие координации между НОО, координационными центрами Базельской конвенции и компетентными органами по вопросам контроля за торговлей и экологически обоснованного регулирования обращения с регулируемыми веществами; а также продолжение оказания поддержки в осуществлении проектов, утвержденных в</w:t>
      </w:r>
      <w:r>
        <w:rPr>
          <w:lang w:val="en-US"/>
        </w:rPr>
        <w:t> </w:t>
      </w:r>
      <w:r>
        <w:rPr>
          <w:lang w:val="ru-RU"/>
        </w:rPr>
        <w:t>соответствии с решением 91/66 Исполнительного комитета, касающихся инвентаризации запасов использованных или ненужных регулируемых веществ и разработки плана их сбора, транспортировки и утилизации;</w:t>
      </w:r>
    </w:p>
    <w:p w14:paraId="425DE218" w14:textId="51A5B5DA" w:rsidR="005C70F9" w:rsidRPr="004F0AED" w:rsidRDefault="003C5330" w:rsidP="00D5065D">
      <w:pPr>
        <w:pStyle w:val="Heading2"/>
        <w:spacing w:before="240"/>
        <w:ind w:left="1440" w:hanging="720"/>
        <w:rPr>
          <w:lang w:val="ru-RU"/>
        </w:rPr>
      </w:pPr>
      <w:r>
        <w:rPr>
          <w:i/>
          <w:iCs/>
          <w:lang w:val="ru-RU"/>
        </w:rPr>
        <w:t>целенаправленные информационно-коммуникационные мероприятия способствуют достижению национальных целей соблюдения соответствия</w:t>
      </w:r>
      <w:r>
        <w:rPr>
          <w:lang w:val="ru-RU"/>
        </w:rPr>
        <w:t>: разработка и распространение целевых информационно-коммуникационных материалов по</w:t>
      </w:r>
      <w:r>
        <w:rPr>
          <w:lang w:val="en-US"/>
        </w:rPr>
        <w:t> </w:t>
      </w:r>
      <w:r>
        <w:rPr>
          <w:lang w:val="ru-RU"/>
        </w:rPr>
        <w:t xml:space="preserve">приоритетным вопросам, связанным с Монреальским протоколом и Кигалийской поправкой, с использованием цифровых, печатных и аудиовизуальных каналов, включая материалы для лиц, принимающих решения на высоком уровне, в целях </w:t>
      </w:r>
      <w:r>
        <w:rPr>
          <w:lang w:val="ru-RU"/>
        </w:rPr>
        <w:lastRenderedPageBreak/>
        <w:t>содействия национальным усилиям по соблюдению соответствия; оказание поддержки заинтересованным странам в организации национальных мероприятий по повышению осведомленности по случаю Международного дня таможенника, Всемирного дня холодильной техники и Международного дня охраны озонового слоя, а также других информационно-просветительских мероприятий; перевод и распространение основных информационных материалов на официальных языках ООН, помимо английского; оказание заинтересованным НОО помощи в разработке и осуществлении национальных коммуникационных стратегий, в том числе в целях освещения национальных достижений, извлеченных уроков и передовой практики; содействие сотрудничеству с</w:t>
      </w:r>
      <w:r>
        <w:rPr>
          <w:lang w:val="en-US"/>
        </w:rPr>
        <w:t> </w:t>
      </w:r>
      <w:r>
        <w:rPr>
          <w:lang w:val="ru-RU"/>
        </w:rPr>
        <w:t>образовательными учреждениями, университетами, научно-исследовательскими центрами и молодежными организациями в целях повышения осведомленности и формирования будущего потенциала в области устойчивого охлаждения и регулирования обращения с хладагентами;</w:t>
      </w:r>
    </w:p>
    <w:p w14:paraId="2CA8D07E" w14:textId="396D94CE" w:rsidR="005C70F9" w:rsidRPr="001E1B48" w:rsidRDefault="003C5330" w:rsidP="00D5065D">
      <w:pPr>
        <w:pStyle w:val="Heading2"/>
        <w:spacing w:before="240"/>
        <w:ind w:left="1440" w:hanging="720"/>
        <w:rPr>
          <w:lang w:val="ru-RU"/>
        </w:rPr>
      </w:pPr>
      <w:r>
        <w:rPr>
          <w:i/>
          <w:iCs/>
          <w:lang w:val="ru-RU"/>
        </w:rPr>
        <w:t>современные информационные системы и цифровые инструменты содействуют эффективному функционированию национальных механизмов соблюдения соответствия</w:t>
      </w:r>
      <w:r>
        <w:rPr>
          <w:lang w:val="ru-RU"/>
        </w:rPr>
        <w:t>: содействие модернизации деятельности НОО, включая сбор данных, ведение документации и хранение файлов; содействие обмену знаниями об электронных системах лицензирования, предназначенных для выдачи лицензий, управления квотами и мониторинга торговли; предоставление информации, руководящих указаний по</w:t>
      </w:r>
      <w:r>
        <w:rPr>
          <w:lang w:val="en-US"/>
        </w:rPr>
        <w:t> </w:t>
      </w:r>
      <w:r>
        <w:rPr>
          <w:lang w:val="ru-RU"/>
        </w:rPr>
        <w:t xml:space="preserve">вопросам политики и технических рекомендаций в отношении новых цифровых технологий, решений и инструментов на основе искусственного интеллекта для сектора ХКВ, включая виртуальные платформы для обучения и системы «единого окна»; а также оказание поддержки заинтересованным странам в экспериментальном внедрении и использовании соответствующих цифровых решений и инструментов управления; </w:t>
      </w:r>
    </w:p>
    <w:p w14:paraId="5FFD5967" w14:textId="5E10A843" w:rsidR="00F349CC" w:rsidRPr="001E1B48" w:rsidRDefault="003C5330" w:rsidP="00D5065D">
      <w:pPr>
        <w:pStyle w:val="Heading2"/>
        <w:spacing w:before="240"/>
        <w:ind w:left="1440" w:hanging="720"/>
        <w:rPr>
          <w:lang w:val="ru-RU"/>
        </w:rPr>
      </w:pPr>
      <w:r>
        <w:rPr>
          <w:i/>
          <w:iCs/>
          <w:lang w:val="ru-RU"/>
        </w:rPr>
        <w:t>вопросы расширения прав и возможностей женщин учитываются в программах и проектах Многостороннего фонда</w:t>
      </w:r>
      <w:r>
        <w:rPr>
          <w:lang w:val="ru-RU"/>
        </w:rPr>
        <w:t>: обеспечение включения во все проекты Многостороннего фонда, осуществляемые ЮНЕП, мероприятий в соответствии с</w:t>
      </w:r>
      <w:r>
        <w:rPr>
          <w:lang w:val="en-US"/>
        </w:rPr>
        <w:t> </w:t>
      </w:r>
      <w:r>
        <w:rPr>
          <w:lang w:val="ru-RU"/>
        </w:rPr>
        <w:t>политикой Многостороннего фонда; продолжение предоставления соответствующей информации о политике Многостороннего фонда в ходе совещаний региональных сетей; поощрение более широкого участия женщин в секторе ХКВ посредством повышения осведомленности и информирования, а также предоставления возможностей для установления профессиональных контактов и наставничества через Международную сеть женщин в секторе охлаждения (</w:t>
      </w:r>
      <w:r>
        <w:rPr>
          <w:lang w:val="en-US"/>
        </w:rPr>
        <w:t>INWIC</w:t>
      </w:r>
      <w:r>
        <w:rPr>
          <w:lang w:val="ru-RU"/>
        </w:rPr>
        <w:t>), популяризации примеров для подражания, историй успеха и достижений женщин, работающих в секторе ХКВ.</w:t>
      </w:r>
    </w:p>
    <w:p w14:paraId="02B3DA89" w14:textId="39303CFE" w:rsidR="00A83C1B" w:rsidRPr="001E1B48" w:rsidRDefault="001E1B48" w:rsidP="00A83C1B">
      <w:pPr>
        <w:pStyle w:val="Heading1"/>
        <w:keepNext/>
        <w:numPr>
          <w:ilvl w:val="0"/>
          <w:numId w:val="0"/>
        </w:numPr>
        <w:tabs>
          <w:tab w:val="left" w:pos="720"/>
        </w:tabs>
        <w:rPr>
          <w:u w:val="single"/>
          <w:lang w:val="ru-RU"/>
        </w:rPr>
      </w:pPr>
      <w:r>
        <w:rPr>
          <w:u w:val="single"/>
          <w:lang w:val="ru-RU"/>
        </w:rPr>
        <w:t>Изменения в бюджете ПСС на 2027 год</w:t>
      </w:r>
    </w:p>
    <w:p w14:paraId="48D361A2" w14:textId="0F1E50B0" w:rsidR="00A83C1B" w:rsidRPr="001E1B48" w:rsidRDefault="001E1B48" w:rsidP="001557BF">
      <w:pPr>
        <w:pStyle w:val="Heading1"/>
        <w:rPr>
          <w:lang w:val="ru-RU"/>
        </w:rPr>
      </w:pPr>
      <w:r>
        <w:rPr>
          <w:lang w:val="ru-RU"/>
        </w:rPr>
        <w:t>Предлагаемый бюджет ПСС на 2027 год в размере 11 419 783 долл. США плюс эксплуатационные расходы учреждения в размере 913 583 долл. США (8 процентов) представлен в</w:t>
      </w:r>
      <w:r>
        <w:rPr>
          <w:lang w:val="en-US"/>
        </w:rPr>
        <w:t> </w:t>
      </w:r>
      <w:r>
        <w:rPr>
          <w:lang w:val="ru-RU"/>
        </w:rPr>
        <w:t xml:space="preserve">части </w:t>
      </w:r>
      <w:r>
        <w:t>III</w:t>
      </w:r>
      <w:r>
        <w:rPr>
          <w:lang w:val="ru-RU"/>
        </w:rPr>
        <w:t xml:space="preserve"> прилагаемых материалов. Общий объем бюджета на 1,27 процента превышает объем бюджета, утвержденного на 2026 год (т. е. 11 276 967 долл. США плюс эксплуатационные расходы учреждения), что соответствует решению 47/24 </w:t>
      </w:r>
      <w:r>
        <w:t>a</w:t>
      </w:r>
      <w:r>
        <w:rPr>
          <w:lang w:val="ru-RU"/>
        </w:rPr>
        <w:t>) </w:t>
      </w:r>
      <w:r>
        <w:t>iii</w:t>
      </w:r>
      <w:r>
        <w:rPr>
          <w:lang w:val="ru-RU"/>
        </w:rPr>
        <w:t>)</w:t>
      </w:r>
      <w:r>
        <w:rPr>
          <w:rStyle w:val="FootnoteReference"/>
        </w:rPr>
        <w:footnoteReference w:id="11"/>
      </w:r>
      <w:r>
        <w:rPr>
          <w:lang w:val="ru-RU"/>
        </w:rPr>
        <w:t>. Бюджет на 2026 год включал дополнительные ассигнования в размере 150 000 долл. США в соответствии с решением 93/95 </w:t>
      </w:r>
      <w:r>
        <w:t>d</w:t>
      </w:r>
      <w:r>
        <w:rPr>
          <w:lang w:val="ru-RU"/>
        </w:rPr>
        <w:t>) для</w:t>
      </w:r>
      <w:r>
        <w:rPr>
          <w:lang w:val="en-US"/>
        </w:rPr>
        <w:t> </w:t>
      </w:r>
      <w:r>
        <w:rPr>
          <w:lang w:val="ru-RU"/>
        </w:rPr>
        <w:t xml:space="preserve">оказания технической помощи и содействия по вопросам политики странам НОП; если </w:t>
      </w:r>
      <w:r>
        <w:rPr>
          <w:lang w:val="ru-RU"/>
        </w:rPr>
        <w:lastRenderedPageBreak/>
        <w:t xml:space="preserve">исключить эту сумму из бюджета, увеличение бюджета на 2027 год составляет 2,6 процента, что также соответствует применимым положениям политики. </w:t>
      </w:r>
    </w:p>
    <w:p w14:paraId="70554F9B" w14:textId="44BEF57C" w:rsidR="00A83C1B" w:rsidRPr="001E1B48" w:rsidRDefault="001E1B48" w:rsidP="00A83C1B">
      <w:pPr>
        <w:pStyle w:val="Heading1"/>
        <w:widowControl w:val="0"/>
        <w:numPr>
          <w:ilvl w:val="0"/>
          <w:numId w:val="0"/>
        </w:numPr>
        <w:tabs>
          <w:tab w:val="left" w:pos="720"/>
        </w:tabs>
        <w:rPr>
          <w:lang w:val="ru-RU"/>
        </w:rPr>
      </w:pPr>
      <w:r>
        <w:rPr>
          <w:i/>
          <w:lang w:val="ru-RU"/>
        </w:rPr>
        <w:t>Изменения в программной части бюджета</w:t>
      </w:r>
      <w:r>
        <w:rPr>
          <w:rStyle w:val="FootnoteReference"/>
          <w:i/>
          <w:vertAlign w:val="baseline"/>
          <w:lang w:val="ru-RU"/>
        </w:rPr>
        <w:t xml:space="preserve"> </w:t>
      </w:r>
      <w:r>
        <w:rPr>
          <w:rStyle w:val="FootnoteReference"/>
          <w:lang w:val="en-US"/>
        </w:rPr>
        <w:footnoteReference w:id="12"/>
      </w:r>
    </w:p>
    <w:p w14:paraId="14869E73" w14:textId="62896A02" w:rsidR="00DE00E7" w:rsidRPr="001E1B48" w:rsidRDefault="001E1B48" w:rsidP="001557BF">
      <w:pPr>
        <w:pStyle w:val="Heading1"/>
        <w:rPr>
          <w:lang w:val="ru-RU"/>
        </w:rPr>
      </w:pPr>
      <w:r>
        <w:rPr>
          <w:lang w:val="ru-RU"/>
        </w:rPr>
        <w:t xml:space="preserve">Что касается основных компонентов бюджета, предлагается увеличить бюджет на штатный и другой персонал на 3 процента для покрытия расходов, обусловленных инфляцией, в то время как расходы на поездки увеличатся на 50 000 долл. США (8,75 процента) для покрытия возросших расходов на авиаперелеты. Бюджет на глобальные услуги остается без изменений, при этом объем финансирования сохраняется на уровне 2026 года после исключения дополнительных ассигнований в размере 150 000 долл. США, предусмотренных решением 93/95 </w:t>
      </w:r>
      <w:r>
        <w:t>d</w:t>
      </w:r>
      <w:r>
        <w:rPr>
          <w:lang w:val="ru-RU"/>
        </w:rPr>
        <w:t>). В других разделах бюджета предусмотрено отсутствие роста расходов (региональные мероприятия, обеспечение проведения совещаний, деятельность отделений), в результате чего общее увеличение бюджета составляет вышеупомянутые 2,6 процента.</w:t>
      </w:r>
    </w:p>
    <w:p w14:paraId="13DBD04B" w14:textId="30365062" w:rsidR="00A83C1B" w:rsidRPr="001E1B48" w:rsidRDefault="001E1B48" w:rsidP="001557BF">
      <w:pPr>
        <w:pStyle w:val="Heading1"/>
        <w:rPr>
          <w:lang w:val="ru-RU"/>
        </w:rPr>
      </w:pPr>
      <w:r>
        <w:rPr>
          <w:lang w:val="ru-RU"/>
        </w:rPr>
        <w:t>При сохранении общего объема бюджета на глобальные услуги на прежнем уровне предлагается внести следующие изменения в статьи бюджета (СБ) в соответствии с</w:t>
      </w:r>
      <w:r>
        <w:rPr>
          <w:lang w:val="en-US"/>
        </w:rPr>
        <w:t> </w:t>
      </w:r>
      <w:r>
        <w:rPr>
          <w:lang w:val="ru-RU"/>
        </w:rPr>
        <w:t>решением 97/85 </w:t>
      </w:r>
      <w:r>
        <w:rPr>
          <w:lang w:val="en-US"/>
        </w:rPr>
        <w:t>d</w:t>
      </w:r>
      <w:r>
        <w:rPr>
          <w:lang w:val="ru-RU"/>
        </w:rPr>
        <w:t>) </w:t>
      </w:r>
      <w:r>
        <w:rPr>
          <w:lang w:val="en-US"/>
        </w:rPr>
        <w:t>ii</w:t>
      </w:r>
      <w:r>
        <w:rPr>
          <w:lang w:val="ru-RU"/>
        </w:rPr>
        <w:t xml:space="preserve">), которое позволяет ЮНЕП перераспределять приоритеты финансирования между СБ ПСС с учетом меняющихся приоритетов: </w:t>
      </w:r>
    </w:p>
    <w:p w14:paraId="00DD1084" w14:textId="55B16293" w:rsidR="0039198A" w:rsidRDefault="001E1B48" w:rsidP="00D5065D">
      <w:pPr>
        <w:pStyle w:val="Heading2"/>
        <w:ind w:left="1440" w:hanging="720"/>
      </w:pPr>
      <w:r>
        <w:rPr>
          <w:lang w:val="ru-RU"/>
        </w:rPr>
        <w:t>СБ</w:t>
      </w:r>
      <w:r>
        <w:t xml:space="preserve"> 3213 </w:t>
      </w:r>
      <w:r>
        <w:rPr>
          <w:lang w:val="ru-RU"/>
        </w:rPr>
        <w:t>и</w:t>
      </w:r>
      <w:r>
        <w:t xml:space="preserve"> 3216: </w:t>
      </w:r>
    </w:p>
    <w:p w14:paraId="490F4E65" w14:textId="54794BEF" w:rsidR="0039198A" w:rsidRPr="008D0C34" w:rsidRDefault="008D0C34" w:rsidP="008D0C34">
      <w:pPr>
        <w:pStyle w:val="Heading3"/>
        <w:rPr>
          <w:lang w:val="ru-RU"/>
        </w:rPr>
      </w:pPr>
      <w:r>
        <w:rPr>
          <w:lang w:val="ru-RU"/>
        </w:rPr>
        <w:t>изменение нумерации в связи с исключением бюджетных ассигнований на</w:t>
      </w:r>
      <w:r>
        <w:rPr>
          <w:lang w:val="en-US"/>
        </w:rPr>
        <w:t> </w:t>
      </w:r>
      <w:r>
        <w:rPr>
          <w:lang w:val="ru-RU"/>
        </w:rPr>
        <w:t>временное техническое содействие в области энергоэффективности</w:t>
      </w:r>
      <w:r>
        <w:rPr>
          <w:rStyle w:val="FootnoteReference"/>
        </w:rPr>
        <w:footnoteReference w:id="13"/>
      </w:r>
      <w:r>
        <w:rPr>
          <w:lang w:val="ru-RU"/>
        </w:rPr>
        <w:t>, ранее СБ 3213, и исключение бюджетных ассигнований на оказание технической помощи и содействия по вопросам политики странам НОП, ранее СБ</w:t>
      </w:r>
      <w:r>
        <w:rPr>
          <w:lang w:val="en-US"/>
        </w:rPr>
        <w:t> </w:t>
      </w:r>
      <w:r>
        <w:rPr>
          <w:lang w:val="ru-RU"/>
        </w:rPr>
        <w:t xml:space="preserve">3216; </w:t>
      </w:r>
    </w:p>
    <w:p w14:paraId="3131D876" w14:textId="1C22B037" w:rsidR="0043403F" w:rsidRPr="008D0C34" w:rsidRDefault="008D0C34" w:rsidP="009D0AEB">
      <w:pPr>
        <w:pStyle w:val="Heading3"/>
        <w:rPr>
          <w:lang w:val="ru-RU"/>
        </w:rPr>
      </w:pPr>
      <w:r>
        <w:rPr>
          <w:lang w:val="ru-RU"/>
        </w:rPr>
        <w:t>включение бюджетных ассигнований на поддержку цифровизации (цифровые инструменты), теперь СБ 3216, для осуществления мероприятий, направленных на достижение этого нового результата, предусмотренного стратегическим планом на 2027–2029 годы, в размере 60 000 долл. США, при</w:t>
      </w:r>
      <w:r>
        <w:rPr>
          <w:lang w:val="en-US"/>
        </w:rPr>
        <w:t> </w:t>
      </w:r>
      <w:r>
        <w:rPr>
          <w:lang w:val="ru-RU"/>
        </w:rPr>
        <w:t xml:space="preserve">этом эквивалентная сумма была исключена из СБ 3212, предназначенной для перевода материалов и информационно-просветительской деятельности. </w:t>
      </w:r>
    </w:p>
    <w:p w14:paraId="72D27EC5" w14:textId="6747BCD0" w:rsidR="00A83C1B" w:rsidRPr="008D0C34" w:rsidRDefault="008D0C34" w:rsidP="00492D84">
      <w:pPr>
        <w:pStyle w:val="Heading1"/>
        <w:keepNext/>
        <w:numPr>
          <w:ilvl w:val="0"/>
          <w:numId w:val="0"/>
        </w:numPr>
        <w:rPr>
          <w:i/>
          <w:lang w:val="ru-RU"/>
        </w:rPr>
      </w:pPr>
      <w:r>
        <w:rPr>
          <w:i/>
          <w:u w:val="single"/>
          <w:lang w:val="ru-RU"/>
        </w:rPr>
        <w:t>Изменения в кадровом составе ПСС</w:t>
      </w:r>
      <w:r>
        <w:rPr>
          <w:rStyle w:val="FootnoteReference"/>
          <w:i/>
          <w:u w:val="single"/>
          <w:vertAlign w:val="baseline"/>
          <w:lang w:val="ru-RU"/>
        </w:rPr>
        <w:t xml:space="preserve"> </w:t>
      </w:r>
      <w:r>
        <w:rPr>
          <w:rStyle w:val="FootnoteReference"/>
          <w:i/>
          <w:lang w:val="en-US"/>
        </w:rPr>
        <w:footnoteReference w:id="14"/>
      </w:r>
      <w:r>
        <w:rPr>
          <w:i/>
          <w:lang w:val="ru-RU"/>
        </w:rPr>
        <w:t xml:space="preserve"> </w:t>
      </w:r>
    </w:p>
    <w:p w14:paraId="012A8976" w14:textId="074CC3B8" w:rsidR="00154227" w:rsidRPr="008D0C34" w:rsidRDefault="008D0C34" w:rsidP="001557BF">
      <w:pPr>
        <w:pStyle w:val="Heading1"/>
        <w:rPr>
          <w:lang w:val="ru-RU"/>
        </w:rPr>
      </w:pPr>
      <w:r>
        <w:rPr>
          <w:lang w:val="ru-RU"/>
        </w:rPr>
        <w:t>ЮНЕП предложила увеличить общий бюджет расходов на персонал на 3 процента с учетом поправок на инфляцию. Расчет основан на фактических расходах по занятым должностям в 2026 году и официальных стандартных ставках расходов ООН на 2025 год для вакантных должностей. ЮНЕП предлагает внести следующие изменения в СБ, касающиеся персонала, на 2027 год</w:t>
      </w:r>
      <w:r>
        <w:rPr>
          <w:vertAlign w:val="superscript"/>
        </w:rPr>
        <w:footnoteReference w:id="15"/>
      </w:r>
      <w:r>
        <w:rPr>
          <w:lang w:val="ru-RU"/>
        </w:rPr>
        <w:t>.</w:t>
      </w:r>
    </w:p>
    <w:p w14:paraId="607263E6" w14:textId="694E87D0" w:rsidR="00154227" w:rsidRPr="008D0C34" w:rsidRDefault="008D0C34" w:rsidP="00D5065D">
      <w:pPr>
        <w:pStyle w:val="Heading2"/>
        <w:ind w:left="1440" w:hanging="720"/>
        <w:rPr>
          <w:lang w:val="ru-RU"/>
        </w:rPr>
      </w:pPr>
      <w:r>
        <w:rPr>
          <w:lang w:val="ru-RU"/>
        </w:rPr>
        <w:lastRenderedPageBreak/>
        <w:t xml:space="preserve">СБ 1109: понижение уровня должности с Р5 (координатор по вопросам Монреальского протокола, международные партнерства) до Р4 (сотрудник по управлению программами, сектор обслуживания холодильного оборудования) с учетом более оперативного и технического характера данной должности; </w:t>
      </w:r>
    </w:p>
    <w:p w14:paraId="7F6F2E03" w14:textId="04DEF1C9" w:rsidR="0015261A" w:rsidRPr="008D0C34" w:rsidRDefault="008D0C34" w:rsidP="00D5065D">
      <w:pPr>
        <w:pStyle w:val="Heading2"/>
        <w:ind w:left="1440" w:hanging="720"/>
        <w:rPr>
          <w:lang w:val="ru-RU"/>
        </w:rPr>
      </w:pPr>
      <w:r>
        <w:rPr>
          <w:lang w:val="ru-RU"/>
        </w:rPr>
        <w:t>СБ 1110: д</w:t>
      </w:r>
      <w:r>
        <w:rPr>
          <w:rFonts w:asciiTheme="majorBidi" w:hAnsiTheme="majorBidi" w:cstheme="majorBidi"/>
          <w:lang w:val="ru-RU"/>
        </w:rPr>
        <w:t>обавление СБ для создания должности уровня Р2 за счет экономии средств в</w:t>
      </w:r>
      <w:r>
        <w:rPr>
          <w:rFonts w:asciiTheme="majorBidi" w:hAnsiTheme="majorBidi" w:cstheme="majorBidi"/>
          <w:lang w:val="en-US"/>
        </w:rPr>
        <w:t> </w:t>
      </w:r>
      <w:r>
        <w:rPr>
          <w:rFonts w:asciiTheme="majorBidi" w:hAnsiTheme="majorBidi" w:cstheme="majorBidi"/>
          <w:lang w:val="ru-RU"/>
        </w:rPr>
        <w:t>результате вышеупомянутого понижения уровня должности и перераспределения существующих бюджетных ассигнований. Эта новая должность младшего сотрудника по программам уровня Р2 будет находиться в Парижском отделении и предусматривает оказание поддержки в осуществлении глобальных проектов, услуг и инициатив ПСС, в</w:t>
      </w:r>
      <w:r>
        <w:rPr>
          <w:rFonts w:asciiTheme="majorBidi" w:hAnsiTheme="majorBidi" w:cstheme="majorBidi"/>
          <w:lang w:val="en-US"/>
        </w:rPr>
        <w:t> </w:t>
      </w:r>
      <w:r>
        <w:rPr>
          <w:rFonts w:asciiTheme="majorBidi" w:hAnsiTheme="majorBidi" w:cstheme="majorBidi"/>
          <w:lang w:val="ru-RU"/>
        </w:rPr>
        <w:t>том числе, помимо прочего, в секторе обслуживания холодильного оборудования, в</w:t>
      </w:r>
      <w:r>
        <w:rPr>
          <w:rFonts w:asciiTheme="majorBidi" w:hAnsiTheme="majorBidi" w:cstheme="majorBidi"/>
          <w:lang w:val="en-US"/>
        </w:rPr>
        <w:t> </w:t>
      </w:r>
      <w:r>
        <w:rPr>
          <w:rFonts w:asciiTheme="majorBidi" w:hAnsiTheme="majorBidi" w:cstheme="majorBidi"/>
          <w:lang w:val="ru-RU"/>
        </w:rPr>
        <w:t>области энергоэффективности и других приоритетных направлениях.</w:t>
      </w:r>
    </w:p>
    <w:p w14:paraId="4A7C3258" w14:textId="75F8C5C9" w:rsidR="004466DB" w:rsidRPr="008D0C34" w:rsidRDefault="008D0C34" w:rsidP="001557BF">
      <w:pPr>
        <w:pStyle w:val="Heading1"/>
        <w:rPr>
          <w:lang w:val="ru-RU"/>
        </w:rPr>
      </w:pPr>
      <w:r>
        <w:rPr>
          <w:lang w:val="ru-RU"/>
        </w:rPr>
        <w:t>Все вакансии ЮНЕП на должности со сроком назначения один год или более, включая должности, финансируемые из бюджета ПСС, объявляются как вакансии с ограниченным срочным назначением, при этом все назначения продлеваются на срок не более одного года исключительно при условии наличия финансирования.</w:t>
      </w:r>
    </w:p>
    <w:p w14:paraId="2F43F524" w14:textId="6F564A98" w:rsidR="00A83C1B" w:rsidRPr="008D0C34" w:rsidRDefault="008D0C34" w:rsidP="002D0CCB">
      <w:pPr>
        <w:keepNext/>
        <w:spacing w:after="240"/>
        <w:rPr>
          <w:i/>
          <w:iCs/>
          <w:u w:val="single"/>
          <w:lang w:val="ru-RU"/>
        </w:rPr>
      </w:pPr>
      <w:r>
        <w:rPr>
          <w:i/>
          <w:iCs/>
          <w:u w:val="single"/>
          <w:lang w:val="ru-RU"/>
        </w:rPr>
        <w:t>Компоненты бюджета, связанные с поездками, региональными мероприятиями и совещаниями, а также деятельностью отделений (помещения и оборудование)</w:t>
      </w:r>
    </w:p>
    <w:p w14:paraId="2FFC3651" w14:textId="127EC805" w:rsidR="009677E9" w:rsidRPr="008D0C34" w:rsidRDefault="008D0C34" w:rsidP="001557BF">
      <w:pPr>
        <w:pStyle w:val="Heading1"/>
        <w:rPr>
          <w:lang w:val="ru-RU"/>
        </w:rPr>
      </w:pPr>
      <w:r>
        <w:rPr>
          <w:lang w:val="ru-RU"/>
        </w:rPr>
        <w:t>Бюджет по этим компонентам сформирован исходя из сценария нулевого роста, за</w:t>
      </w:r>
      <w:r>
        <w:rPr>
          <w:lang w:val="en-US"/>
        </w:rPr>
        <w:t> </w:t>
      </w:r>
      <w:r>
        <w:rPr>
          <w:lang w:val="ru-RU"/>
        </w:rPr>
        <w:t>исключением расходов на поездки, для которых предлагается увеличение на 8,75 процента.</w:t>
      </w:r>
      <w:r>
        <w:rPr>
          <w:rFonts w:ascii="Segoe UI" w:eastAsia="Times New Roman" w:hAnsi="Segoe UI" w:cs="Segoe UI"/>
          <w:sz w:val="21"/>
          <w:szCs w:val="21"/>
          <w:lang w:val="ru-RU" w:eastAsia="en-CA"/>
        </w:rPr>
        <w:t xml:space="preserve"> </w:t>
      </w:r>
      <w:r>
        <w:rPr>
          <w:lang w:val="ru-RU"/>
        </w:rPr>
        <w:t xml:space="preserve"> </w:t>
      </w:r>
    </w:p>
    <w:p w14:paraId="36FC462B" w14:textId="3589C886" w:rsidR="00A83C1B" w:rsidRPr="00223FD4" w:rsidRDefault="008D0C34" w:rsidP="00A83C1B">
      <w:pPr>
        <w:keepNext/>
        <w:spacing w:after="240"/>
        <w:rPr>
          <w:i/>
          <w:iCs/>
          <w:u w:val="single"/>
          <w:lang w:val="en-US"/>
        </w:rPr>
      </w:pPr>
      <w:r>
        <w:rPr>
          <w:i/>
          <w:iCs/>
          <w:u w:val="single"/>
          <w:lang w:val="en-US"/>
        </w:rPr>
        <w:t>Сопоставление бюджетов на 2025–2027 годы</w:t>
      </w:r>
    </w:p>
    <w:p w14:paraId="071CAD7A" w14:textId="0799C5BF" w:rsidR="00A83C1B" w:rsidRPr="00106FFF" w:rsidRDefault="00106FFF" w:rsidP="001557BF">
      <w:pPr>
        <w:pStyle w:val="Heading1"/>
        <w:rPr>
          <w:lang w:val="ru-RU"/>
        </w:rPr>
      </w:pPr>
      <w:r>
        <w:rPr>
          <w:lang w:val="ru-RU"/>
        </w:rPr>
        <w:t>В соответствии с решением 97/85 </w:t>
      </w:r>
      <w:r>
        <w:t>d</w:t>
      </w:r>
      <w:r>
        <w:rPr>
          <w:lang w:val="ru-RU"/>
        </w:rPr>
        <w:t>) </w:t>
      </w:r>
      <w:r>
        <w:t>iv</w:t>
      </w:r>
      <w:r>
        <w:rPr>
          <w:lang w:val="ru-RU"/>
        </w:rPr>
        <w:t>)</w:t>
      </w:r>
      <w:r>
        <w:rPr>
          <w:vertAlign w:val="superscript"/>
        </w:rPr>
        <w:footnoteReference w:id="16"/>
      </w:r>
      <w:r>
        <w:rPr>
          <w:lang w:val="ru-RU"/>
        </w:rPr>
        <w:t xml:space="preserve"> ЮНЕП представила сравнительные данные о бюджете ПСС за трехлетний период, как показано в таблице 1. </w:t>
      </w:r>
    </w:p>
    <w:p w14:paraId="7237CA3A" w14:textId="0EE19F42" w:rsidR="00A83C1B" w:rsidRPr="00E54E96" w:rsidRDefault="00106FFF" w:rsidP="00A83C1B">
      <w:pPr>
        <w:keepNext/>
        <w:widowControl w:val="0"/>
        <w:rPr>
          <w:b/>
        </w:rPr>
      </w:pPr>
      <w:r>
        <w:rPr>
          <w:b/>
          <w:lang w:val="ru-RU"/>
        </w:rPr>
        <w:t>Таблица 1: Бюджет ПСС на 2025-2027 годы (в долл. США</w:t>
      </w:r>
      <w:r>
        <w:rPr>
          <w:b/>
        </w:rPr>
        <w:t>)</w:t>
      </w:r>
    </w:p>
    <w:tbl>
      <w:tblPr>
        <w:tblW w:w="9418" w:type="dxa"/>
        <w:tblInd w:w="-5" w:type="dxa"/>
        <w:tblLayout w:type="fixed"/>
        <w:tblCellMar>
          <w:left w:w="57" w:type="dxa"/>
          <w:right w:w="57" w:type="dxa"/>
        </w:tblCellMar>
        <w:tblLook w:val="04A0" w:firstRow="1" w:lastRow="0" w:firstColumn="1" w:lastColumn="0" w:noHBand="0" w:noVBand="1"/>
      </w:tblPr>
      <w:tblGrid>
        <w:gridCol w:w="1418"/>
        <w:gridCol w:w="1333"/>
        <w:gridCol w:w="1333"/>
        <w:gridCol w:w="1303"/>
        <w:gridCol w:w="1364"/>
        <w:gridCol w:w="1329"/>
        <w:gridCol w:w="1338"/>
      </w:tblGrid>
      <w:tr w:rsidR="00A83C1B" w:rsidRPr="0086418B" w14:paraId="2CF33C43" w14:textId="77777777">
        <w:trPr>
          <w:trHeight w:val="230"/>
          <w:tblHeader/>
        </w:trPr>
        <w:tc>
          <w:tcPr>
            <w:tcW w:w="1418"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vAlign w:val="center"/>
            <w:hideMark/>
          </w:tcPr>
          <w:p w14:paraId="61561A04" w14:textId="0E7C0AEF" w:rsidR="00A83C1B" w:rsidRPr="00106FFF" w:rsidRDefault="00106FFF" w:rsidP="00465E49">
            <w:pPr>
              <w:widowControl w:val="0"/>
              <w:jc w:val="left"/>
              <w:rPr>
                <w:b/>
                <w:color w:val="000000"/>
                <w:sz w:val="20"/>
                <w:szCs w:val="20"/>
                <w:lang w:val="ru-RU" w:eastAsia="en-GB"/>
              </w:rPr>
            </w:pPr>
            <w:r>
              <w:rPr>
                <w:b/>
                <w:color w:val="000000"/>
                <w:sz w:val="20"/>
                <w:szCs w:val="20"/>
                <w:lang w:val="ru-RU" w:eastAsia="en-GB"/>
              </w:rPr>
              <w:t>Статья бюджета</w:t>
            </w:r>
          </w:p>
        </w:tc>
        <w:tc>
          <w:tcPr>
            <w:tcW w:w="3969" w:type="dxa"/>
            <w:gridSpan w:val="3"/>
            <w:tcBorders>
              <w:top w:val="single" w:sz="4" w:space="0" w:color="auto"/>
              <w:left w:val="single" w:sz="4" w:space="0" w:color="auto"/>
              <w:bottom w:val="single" w:sz="4" w:space="0" w:color="auto"/>
              <w:right w:val="single" w:sz="4" w:space="0" w:color="auto"/>
            </w:tcBorders>
            <w:noWrap/>
            <w:vAlign w:val="center"/>
            <w:hideMark/>
          </w:tcPr>
          <w:p w14:paraId="3F30EA8A" w14:textId="061A539F" w:rsidR="00A83C1B" w:rsidRPr="0086418B" w:rsidRDefault="00A83C1B" w:rsidP="00465E49">
            <w:pPr>
              <w:widowControl w:val="0"/>
              <w:jc w:val="center"/>
              <w:rPr>
                <w:b/>
                <w:bCs/>
                <w:color w:val="000000"/>
                <w:sz w:val="20"/>
                <w:szCs w:val="20"/>
                <w:lang w:eastAsia="en-GB"/>
              </w:rPr>
            </w:pPr>
            <w:r>
              <w:rPr>
                <w:b/>
                <w:bCs/>
                <w:color w:val="000000"/>
                <w:sz w:val="20"/>
                <w:szCs w:val="20"/>
                <w:lang w:eastAsia="en-GB"/>
              </w:rPr>
              <w:t>2025</w:t>
            </w:r>
          </w:p>
        </w:tc>
        <w:tc>
          <w:tcPr>
            <w:tcW w:w="2693" w:type="dxa"/>
            <w:gridSpan w:val="2"/>
            <w:tcBorders>
              <w:top w:val="single" w:sz="4" w:space="0" w:color="auto"/>
              <w:left w:val="single" w:sz="4" w:space="0" w:color="auto"/>
              <w:bottom w:val="single" w:sz="4" w:space="0" w:color="auto"/>
              <w:right w:val="single" w:sz="4" w:space="0" w:color="auto"/>
            </w:tcBorders>
            <w:noWrap/>
            <w:vAlign w:val="center"/>
            <w:hideMark/>
          </w:tcPr>
          <w:p w14:paraId="52A276DD" w14:textId="0C9611F8" w:rsidR="00A83C1B" w:rsidRPr="0086418B" w:rsidRDefault="00A83C1B" w:rsidP="00465E49">
            <w:pPr>
              <w:widowControl w:val="0"/>
              <w:jc w:val="center"/>
              <w:rPr>
                <w:b/>
                <w:bCs/>
                <w:color w:val="000000"/>
                <w:sz w:val="20"/>
                <w:szCs w:val="20"/>
                <w:lang w:eastAsia="en-GB"/>
              </w:rPr>
            </w:pPr>
            <w:r>
              <w:rPr>
                <w:b/>
                <w:bCs/>
                <w:color w:val="000000"/>
                <w:sz w:val="20"/>
                <w:szCs w:val="20"/>
                <w:lang w:eastAsia="en-GB"/>
              </w:rPr>
              <w:t>2026</w:t>
            </w:r>
          </w:p>
        </w:tc>
        <w:tc>
          <w:tcPr>
            <w:tcW w:w="1338" w:type="dxa"/>
            <w:tcBorders>
              <w:top w:val="single" w:sz="4" w:space="0" w:color="auto"/>
              <w:left w:val="single" w:sz="4" w:space="0" w:color="auto"/>
              <w:bottom w:val="single" w:sz="4" w:space="0" w:color="auto"/>
              <w:right w:val="single" w:sz="4" w:space="0" w:color="auto"/>
            </w:tcBorders>
            <w:noWrap/>
            <w:vAlign w:val="center"/>
            <w:hideMark/>
          </w:tcPr>
          <w:p w14:paraId="3DB6E81C" w14:textId="4153F358" w:rsidR="00A83C1B" w:rsidRPr="0086418B" w:rsidRDefault="00A83C1B" w:rsidP="00465E49">
            <w:pPr>
              <w:widowControl w:val="0"/>
              <w:jc w:val="center"/>
              <w:rPr>
                <w:b/>
                <w:bCs/>
                <w:color w:val="000000"/>
                <w:sz w:val="20"/>
                <w:szCs w:val="20"/>
                <w:lang w:eastAsia="en-GB"/>
              </w:rPr>
            </w:pPr>
            <w:r>
              <w:rPr>
                <w:b/>
                <w:bCs/>
                <w:color w:val="000000"/>
                <w:sz w:val="20"/>
                <w:szCs w:val="20"/>
                <w:lang w:eastAsia="en-GB"/>
              </w:rPr>
              <w:t>2027</w:t>
            </w:r>
          </w:p>
        </w:tc>
      </w:tr>
      <w:tr w:rsidR="00A83C1B" w:rsidRPr="0086418B" w14:paraId="6F986BC4" w14:textId="77777777">
        <w:trPr>
          <w:trHeight w:val="71"/>
          <w:tblHead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A5B91C3" w14:textId="77777777" w:rsidR="00A83C1B" w:rsidRPr="0086418B" w:rsidRDefault="00A83C1B" w:rsidP="00465E49">
            <w:pPr>
              <w:widowControl w:val="0"/>
              <w:jc w:val="left"/>
              <w:rPr>
                <w:b/>
                <w:color w:val="000000"/>
                <w:sz w:val="20"/>
                <w:szCs w:val="20"/>
                <w:lang w:val="en-GB" w:eastAsia="en-GB"/>
              </w:rPr>
            </w:pPr>
          </w:p>
        </w:tc>
        <w:tc>
          <w:tcPr>
            <w:tcW w:w="133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5F39AE3" w14:textId="3FA0E9ED" w:rsidR="00A83C1B" w:rsidRPr="00106FFF" w:rsidRDefault="00106FFF" w:rsidP="00465E49">
            <w:pPr>
              <w:widowControl w:val="0"/>
              <w:jc w:val="center"/>
              <w:rPr>
                <w:b/>
                <w:color w:val="000000"/>
                <w:sz w:val="20"/>
                <w:szCs w:val="20"/>
                <w:lang w:val="ru-RU"/>
              </w:rPr>
            </w:pPr>
            <w:r>
              <w:rPr>
                <w:b/>
                <w:color w:val="000000"/>
                <w:sz w:val="20"/>
                <w:szCs w:val="20"/>
                <w:lang w:val="ru-RU"/>
              </w:rPr>
              <w:t>Утверждено</w:t>
            </w:r>
          </w:p>
        </w:tc>
        <w:tc>
          <w:tcPr>
            <w:tcW w:w="133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D89E762" w14:textId="4417A789" w:rsidR="00A83C1B" w:rsidRPr="00106FFF" w:rsidRDefault="00106FFF" w:rsidP="00465E49">
            <w:pPr>
              <w:widowControl w:val="0"/>
              <w:jc w:val="center"/>
              <w:rPr>
                <w:b/>
                <w:color w:val="000000"/>
                <w:sz w:val="20"/>
                <w:szCs w:val="20"/>
                <w:lang w:val="ru-RU"/>
              </w:rPr>
            </w:pPr>
            <w:r>
              <w:rPr>
                <w:b/>
                <w:color w:val="000000"/>
                <w:sz w:val="20"/>
                <w:szCs w:val="20"/>
                <w:lang w:val="ru-RU"/>
              </w:rPr>
              <w:t>Расход</w:t>
            </w:r>
          </w:p>
        </w:tc>
        <w:tc>
          <w:tcPr>
            <w:tcW w:w="130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E7E6A40" w14:textId="49F48F23" w:rsidR="00A83C1B" w:rsidRPr="00106FFF" w:rsidRDefault="00106FFF" w:rsidP="00465E49">
            <w:pPr>
              <w:widowControl w:val="0"/>
              <w:jc w:val="center"/>
              <w:rPr>
                <w:b/>
                <w:color w:val="000000"/>
                <w:sz w:val="20"/>
                <w:szCs w:val="20"/>
                <w:lang w:val="ru-RU"/>
              </w:rPr>
            </w:pPr>
            <w:r>
              <w:rPr>
                <w:b/>
                <w:color w:val="000000"/>
                <w:sz w:val="20"/>
                <w:szCs w:val="20"/>
                <w:lang w:val="ru-RU"/>
              </w:rPr>
              <w:t>Остаток</w:t>
            </w:r>
          </w:p>
        </w:tc>
        <w:tc>
          <w:tcPr>
            <w:tcW w:w="13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2BEF64F" w14:textId="7ADCC355" w:rsidR="00A83C1B" w:rsidRPr="00106FFF" w:rsidRDefault="00106FFF" w:rsidP="00465E49">
            <w:pPr>
              <w:widowControl w:val="0"/>
              <w:jc w:val="center"/>
              <w:rPr>
                <w:b/>
                <w:color w:val="000000"/>
                <w:sz w:val="20"/>
                <w:szCs w:val="20"/>
                <w:lang w:val="ru-RU"/>
              </w:rPr>
            </w:pPr>
            <w:r>
              <w:rPr>
                <w:b/>
                <w:color w:val="000000"/>
                <w:sz w:val="20"/>
                <w:szCs w:val="20"/>
                <w:lang w:val="ru-RU"/>
              </w:rPr>
              <w:t>Утверждено</w:t>
            </w:r>
          </w:p>
        </w:tc>
        <w:tc>
          <w:tcPr>
            <w:tcW w:w="132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2FC2577" w14:textId="7E9BAEDD" w:rsidR="00A83C1B" w:rsidRPr="0086418B" w:rsidRDefault="00106FFF" w:rsidP="00465E49">
            <w:pPr>
              <w:widowControl w:val="0"/>
              <w:jc w:val="center"/>
              <w:rPr>
                <w:b/>
                <w:color w:val="000000"/>
                <w:sz w:val="20"/>
                <w:szCs w:val="20"/>
              </w:rPr>
            </w:pPr>
            <w:r>
              <w:rPr>
                <w:b/>
                <w:color w:val="000000"/>
                <w:sz w:val="20"/>
                <w:szCs w:val="20"/>
                <w:lang w:val="ru-RU" w:eastAsia="en-GB"/>
              </w:rPr>
              <w:t>Расход</w:t>
            </w:r>
            <w:r>
              <w:rPr>
                <w:sz w:val="20"/>
                <w:szCs w:val="20"/>
                <w:vertAlign w:val="superscript"/>
                <w:lang w:val="en-US"/>
              </w:rPr>
              <w:t>a</w:t>
            </w:r>
            <w:r>
              <w:rPr>
                <w:b/>
                <w:color w:val="000000"/>
                <w:sz w:val="20"/>
                <w:szCs w:val="20"/>
                <w:lang w:eastAsia="en-GB"/>
              </w:rPr>
              <w:t xml:space="preserve"> </w:t>
            </w:r>
          </w:p>
        </w:tc>
        <w:tc>
          <w:tcPr>
            <w:tcW w:w="13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E362E3B" w14:textId="673D3FAB" w:rsidR="00A83C1B" w:rsidRPr="00106FFF" w:rsidRDefault="00106FFF" w:rsidP="00465E49">
            <w:pPr>
              <w:widowControl w:val="0"/>
              <w:jc w:val="center"/>
              <w:rPr>
                <w:b/>
                <w:color w:val="000000"/>
                <w:sz w:val="20"/>
                <w:szCs w:val="20"/>
                <w:lang w:val="ru-RU"/>
              </w:rPr>
            </w:pPr>
            <w:r>
              <w:rPr>
                <w:b/>
                <w:color w:val="000000"/>
                <w:sz w:val="20"/>
                <w:szCs w:val="20"/>
                <w:lang w:val="ru-RU"/>
              </w:rPr>
              <w:t>Предложено</w:t>
            </w:r>
          </w:p>
        </w:tc>
      </w:tr>
      <w:tr w:rsidR="00106FFF" w:rsidRPr="0086418B" w14:paraId="414C23A0" w14:textId="77777777" w:rsidTr="0086418B">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56B3258" w14:textId="02A8C7E0" w:rsidR="00106FFF" w:rsidRPr="00F95C11" w:rsidRDefault="00106FFF" w:rsidP="00106FFF">
            <w:pPr>
              <w:widowControl w:val="0"/>
              <w:jc w:val="left"/>
              <w:rPr>
                <w:color w:val="000000"/>
                <w:sz w:val="20"/>
                <w:szCs w:val="20"/>
                <w:lang w:eastAsia="en-GB"/>
              </w:rPr>
            </w:pPr>
            <w:r>
              <w:rPr>
                <w:color w:val="000000"/>
                <w:sz w:val="20"/>
                <w:szCs w:val="20"/>
                <w:lang w:eastAsia="en-GB"/>
              </w:rPr>
              <w:t>Штатный персонал и консультанты</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C77226D" w14:textId="28613CC1" w:rsidR="00106FFF" w:rsidRPr="00106FFF" w:rsidRDefault="00106FFF" w:rsidP="00106FFF">
            <w:pPr>
              <w:widowControl w:val="0"/>
              <w:jc w:val="right"/>
              <w:rPr>
                <w:color w:val="000000"/>
                <w:sz w:val="20"/>
                <w:szCs w:val="20"/>
                <w:highlight w:val="yellow"/>
                <w:lang w:eastAsia="en-GB"/>
              </w:rPr>
            </w:pPr>
            <w:r>
              <w:rPr>
                <w:sz w:val="20"/>
                <w:szCs w:val="20"/>
              </w:rPr>
              <w:t>7 854 531</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707BE0" w14:textId="69D66223" w:rsidR="00106FFF" w:rsidRPr="00106FFF" w:rsidRDefault="00106FFF" w:rsidP="00106FFF">
            <w:pPr>
              <w:widowControl w:val="0"/>
              <w:jc w:val="right"/>
              <w:rPr>
                <w:color w:val="000000"/>
                <w:sz w:val="20"/>
                <w:szCs w:val="20"/>
                <w:highlight w:val="yellow"/>
                <w:lang w:eastAsia="en-GB"/>
              </w:rPr>
            </w:pPr>
            <w:r>
              <w:rPr>
                <w:sz w:val="20"/>
                <w:szCs w:val="20"/>
              </w:rPr>
              <w:t>7 776 320</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34D16C5" w14:textId="1F1F95AE" w:rsidR="00106FFF" w:rsidRPr="00106FFF" w:rsidRDefault="00106FFF" w:rsidP="00106FFF">
            <w:pPr>
              <w:widowControl w:val="0"/>
              <w:jc w:val="right"/>
              <w:rPr>
                <w:color w:val="000000"/>
                <w:sz w:val="20"/>
                <w:szCs w:val="20"/>
                <w:lang w:eastAsia="en-GB"/>
              </w:rPr>
            </w:pPr>
            <w:r>
              <w:rPr>
                <w:sz w:val="20"/>
                <w:szCs w:val="20"/>
              </w:rPr>
              <w:t>78 211</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F6F479B" w14:textId="29818DAA" w:rsidR="00106FFF" w:rsidRPr="00106FFF" w:rsidRDefault="00106FFF" w:rsidP="00106FFF">
            <w:pPr>
              <w:widowControl w:val="0"/>
              <w:jc w:val="right"/>
              <w:rPr>
                <w:color w:val="000000"/>
                <w:sz w:val="20"/>
                <w:szCs w:val="20"/>
                <w:highlight w:val="yellow"/>
                <w:lang w:eastAsia="en-GB"/>
              </w:rPr>
            </w:pPr>
            <w:r>
              <w:rPr>
                <w:sz w:val="20"/>
                <w:szCs w:val="20"/>
              </w:rPr>
              <w:t>8 090 167</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B1AB616" w14:textId="1729FBA5" w:rsidR="00106FFF" w:rsidRPr="00106FFF" w:rsidRDefault="00106FFF" w:rsidP="00106FFF">
            <w:pPr>
              <w:widowControl w:val="0"/>
              <w:jc w:val="right"/>
              <w:rPr>
                <w:color w:val="000000"/>
                <w:sz w:val="20"/>
                <w:szCs w:val="20"/>
                <w:highlight w:val="yellow"/>
                <w:lang w:eastAsia="en-GB"/>
              </w:rPr>
            </w:pPr>
            <w:r>
              <w:rPr>
                <w:sz w:val="20"/>
                <w:szCs w:val="20"/>
              </w:rPr>
              <w:t>7 890 000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AC84D5A" w14:textId="7AF191FA" w:rsidR="00106FFF" w:rsidRPr="00106FFF" w:rsidRDefault="00106FFF" w:rsidP="00106FFF">
            <w:pPr>
              <w:widowControl w:val="0"/>
              <w:jc w:val="right"/>
              <w:rPr>
                <w:color w:val="000000"/>
                <w:sz w:val="20"/>
                <w:szCs w:val="20"/>
                <w:lang w:eastAsia="en-GB"/>
              </w:rPr>
            </w:pPr>
            <w:r>
              <w:rPr>
                <w:sz w:val="20"/>
                <w:szCs w:val="20"/>
              </w:rPr>
              <w:t>8 332 983</w:t>
            </w:r>
          </w:p>
        </w:tc>
      </w:tr>
      <w:tr w:rsidR="00422C39" w:rsidRPr="0086418B" w14:paraId="5B223BED" w14:textId="77777777" w:rsidTr="0086418B">
        <w:trPr>
          <w:trHeight w:val="230"/>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20FF983B" w14:textId="583322BE" w:rsidR="00422C39" w:rsidRPr="00F95C11" w:rsidRDefault="00422C39" w:rsidP="00422C39">
            <w:pPr>
              <w:widowControl w:val="0"/>
              <w:jc w:val="left"/>
              <w:rPr>
                <w:color w:val="000000"/>
                <w:sz w:val="20"/>
                <w:szCs w:val="20"/>
                <w:lang w:eastAsia="en-GB"/>
              </w:rPr>
            </w:pPr>
            <w:r>
              <w:rPr>
                <w:color w:val="000000"/>
                <w:sz w:val="20"/>
                <w:szCs w:val="20"/>
                <w:lang w:val="ru-RU" w:eastAsia="en-GB"/>
              </w:rPr>
              <w:t>Поездки</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87FC084" w14:textId="369146B3" w:rsidR="00422C39" w:rsidRPr="00106FFF" w:rsidRDefault="00422C39" w:rsidP="00422C39">
            <w:pPr>
              <w:widowControl w:val="0"/>
              <w:jc w:val="right"/>
              <w:rPr>
                <w:color w:val="000000"/>
                <w:sz w:val="20"/>
                <w:szCs w:val="20"/>
                <w:highlight w:val="yellow"/>
                <w:lang w:eastAsia="en-GB"/>
              </w:rPr>
            </w:pPr>
            <w:r>
              <w:rPr>
                <w:color w:val="000000"/>
                <w:sz w:val="20"/>
                <w:szCs w:val="20"/>
              </w:rPr>
              <w:t>575</w:t>
            </w:r>
            <w:r>
              <w:rPr>
                <w:color w:val="000000"/>
                <w:sz w:val="20"/>
                <w:szCs w:val="20"/>
                <w:lang w:val="ru-RU"/>
              </w:rPr>
              <w:t xml:space="preserve"> </w:t>
            </w:r>
            <w:r>
              <w:rPr>
                <w:color w:val="000000"/>
                <w:sz w:val="20"/>
                <w:szCs w:val="20"/>
              </w:rPr>
              <w:t>400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8093A75" w14:textId="557F5735" w:rsidR="00422C39" w:rsidRPr="00106FFF" w:rsidRDefault="00422C39" w:rsidP="00422C39">
            <w:pPr>
              <w:widowControl w:val="0"/>
              <w:jc w:val="right"/>
              <w:rPr>
                <w:color w:val="000000"/>
                <w:sz w:val="20"/>
                <w:szCs w:val="20"/>
                <w:highlight w:val="yellow"/>
                <w:lang w:eastAsia="en-GB"/>
              </w:rPr>
            </w:pPr>
            <w:r>
              <w:rPr>
                <w:sz w:val="20"/>
                <w:szCs w:val="20"/>
              </w:rPr>
              <w:t>511</w:t>
            </w:r>
            <w:r>
              <w:rPr>
                <w:sz w:val="20"/>
                <w:szCs w:val="20"/>
                <w:lang w:val="ru-RU"/>
              </w:rPr>
              <w:t xml:space="preserve"> </w:t>
            </w:r>
            <w:r>
              <w:rPr>
                <w:sz w:val="20"/>
                <w:szCs w:val="20"/>
              </w:rPr>
              <w:t>321</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5145E51" w14:textId="2A8EAF58" w:rsidR="00422C39" w:rsidRPr="00106FFF" w:rsidRDefault="00422C39" w:rsidP="00422C39">
            <w:pPr>
              <w:widowControl w:val="0"/>
              <w:jc w:val="right"/>
              <w:rPr>
                <w:color w:val="000000"/>
                <w:sz w:val="20"/>
                <w:szCs w:val="20"/>
                <w:highlight w:val="yellow"/>
                <w:lang w:eastAsia="en-GB"/>
              </w:rPr>
            </w:pPr>
            <w:r>
              <w:rPr>
                <w:sz w:val="20"/>
                <w:szCs w:val="20"/>
              </w:rPr>
              <w:t>64</w:t>
            </w:r>
            <w:r>
              <w:rPr>
                <w:sz w:val="20"/>
                <w:szCs w:val="20"/>
                <w:lang w:val="ru-RU"/>
              </w:rPr>
              <w:t xml:space="preserve"> </w:t>
            </w:r>
            <w:r>
              <w:rPr>
                <w:sz w:val="20"/>
                <w:szCs w:val="20"/>
              </w:rPr>
              <w:t>079</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9730BA9" w14:textId="250C73F3" w:rsidR="00422C39" w:rsidRPr="00106FFF" w:rsidRDefault="00422C39" w:rsidP="00422C39">
            <w:pPr>
              <w:widowControl w:val="0"/>
              <w:jc w:val="right"/>
              <w:rPr>
                <w:color w:val="000000"/>
                <w:sz w:val="20"/>
                <w:szCs w:val="20"/>
                <w:highlight w:val="yellow"/>
                <w:lang w:eastAsia="en-GB"/>
              </w:rPr>
            </w:pPr>
            <w:r>
              <w:rPr>
                <w:color w:val="000000"/>
                <w:sz w:val="20"/>
                <w:szCs w:val="20"/>
              </w:rPr>
              <w:t>571</w:t>
            </w:r>
            <w:r>
              <w:rPr>
                <w:color w:val="000000"/>
                <w:sz w:val="20"/>
                <w:szCs w:val="20"/>
                <w:lang w:val="ru-RU"/>
              </w:rPr>
              <w:t xml:space="preserve"> </w:t>
            </w:r>
            <w:r>
              <w:rPr>
                <w:color w:val="000000"/>
                <w:sz w:val="20"/>
                <w:szCs w:val="20"/>
              </w:rPr>
              <w:t>400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D93421D" w14:textId="605CF48B" w:rsidR="00422C39" w:rsidRPr="00106FFF" w:rsidRDefault="00422C39" w:rsidP="00422C39">
            <w:pPr>
              <w:widowControl w:val="0"/>
              <w:jc w:val="right"/>
              <w:rPr>
                <w:color w:val="000000"/>
                <w:sz w:val="20"/>
                <w:szCs w:val="20"/>
                <w:highlight w:val="yellow"/>
                <w:lang w:eastAsia="en-GB"/>
              </w:rPr>
            </w:pPr>
            <w:r>
              <w:rPr>
                <w:color w:val="000000"/>
                <w:sz w:val="20"/>
                <w:szCs w:val="20"/>
              </w:rPr>
              <w:t>571</w:t>
            </w:r>
            <w:r>
              <w:rPr>
                <w:color w:val="000000"/>
                <w:sz w:val="20"/>
                <w:szCs w:val="20"/>
                <w:lang w:val="ru-RU"/>
              </w:rPr>
              <w:t xml:space="preserve"> </w:t>
            </w:r>
            <w:r>
              <w:rPr>
                <w:color w:val="000000"/>
                <w:sz w:val="20"/>
                <w:szCs w:val="20"/>
              </w:rPr>
              <w:t>400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55C25C8" w14:textId="29598488" w:rsidR="00422C39" w:rsidRPr="00106FFF" w:rsidRDefault="00422C39" w:rsidP="00422C39">
            <w:pPr>
              <w:widowControl w:val="0"/>
              <w:jc w:val="right"/>
              <w:rPr>
                <w:color w:val="000000"/>
                <w:sz w:val="20"/>
                <w:szCs w:val="20"/>
                <w:lang w:eastAsia="en-GB"/>
              </w:rPr>
            </w:pPr>
            <w:r>
              <w:rPr>
                <w:color w:val="000000"/>
                <w:sz w:val="20"/>
                <w:szCs w:val="20"/>
              </w:rPr>
              <w:t>621</w:t>
            </w:r>
            <w:r>
              <w:rPr>
                <w:color w:val="000000"/>
                <w:sz w:val="20"/>
                <w:szCs w:val="20"/>
                <w:lang w:val="ru-RU"/>
              </w:rPr>
              <w:t xml:space="preserve"> </w:t>
            </w:r>
            <w:r>
              <w:rPr>
                <w:color w:val="000000"/>
                <w:sz w:val="20"/>
                <w:szCs w:val="20"/>
              </w:rPr>
              <w:t>400</w:t>
            </w:r>
          </w:p>
        </w:tc>
      </w:tr>
      <w:tr w:rsidR="00422C39" w:rsidRPr="0086418B" w14:paraId="630AB5B6" w14:textId="77777777" w:rsidTr="0086418B">
        <w:trPr>
          <w:trHeight w:val="422"/>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B61DDDF" w14:textId="5EAF6B3E" w:rsidR="00422C39" w:rsidRPr="00F95C11" w:rsidRDefault="00422C39" w:rsidP="00422C39">
            <w:pPr>
              <w:widowControl w:val="0"/>
              <w:jc w:val="left"/>
              <w:rPr>
                <w:color w:val="000000"/>
                <w:sz w:val="20"/>
                <w:szCs w:val="20"/>
                <w:lang w:eastAsia="en-GB"/>
              </w:rPr>
            </w:pPr>
            <w:r>
              <w:rPr>
                <w:color w:val="000000"/>
                <w:sz w:val="20"/>
                <w:szCs w:val="20"/>
                <w:lang w:eastAsia="en-GB"/>
              </w:rPr>
              <w:t>Региональные мероприятия и совещания</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48987A3" w14:textId="7C86076E" w:rsidR="00422C39" w:rsidRPr="00106FFF" w:rsidRDefault="00422C39" w:rsidP="00422C39">
            <w:pPr>
              <w:widowControl w:val="0"/>
              <w:ind w:left="112"/>
              <w:jc w:val="right"/>
              <w:rPr>
                <w:color w:val="000000"/>
                <w:sz w:val="20"/>
                <w:szCs w:val="20"/>
                <w:lang w:eastAsia="en-GB"/>
              </w:rPr>
            </w:pPr>
            <w:r>
              <w:rPr>
                <w:color w:val="000000"/>
                <w:sz w:val="20"/>
                <w:szCs w:val="20"/>
              </w:rPr>
              <w:t>1</w:t>
            </w:r>
            <w:r>
              <w:rPr>
                <w:color w:val="000000"/>
                <w:sz w:val="20"/>
                <w:szCs w:val="20"/>
                <w:lang w:val="ru-RU"/>
              </w:rPr>
              <w:t xml:space="preserve"> </w:t>
            </w:r>
            <w:r>
              <w:rPr>
                <w:color w:val="000000"/>
                <w:sz w:val="20"/>
                <w:szCs w:val="20"/>
              </w:rPr>
              <w:t>316</w:t>
            </w:r>
            <w:r>
              <w:rPr>
                <w:color w:val="000000"/>
                <w:sz w:val="20"/>
                <w:szCs w:val="20"/>
                <w:lang w:val="ru-RU"/>
              </w:rPr>
              <w:t xml:space="preserve"> </w:t>
            </w:r>
            <w:r>
              <w:rPr>
                <w:color w:val="000000"/>
                <w:sz w:val="20"/>
                <w:szCs w:val="20"/>
              </w:rPr>
              <w:t>400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B25209A" w14:textId="1660A819" w:rsidR="00422C39" w:rsidRPr="00106FFF" w:rsidRDefault="00422C39" w:rsidP="00422C39">
            <w:pPr>
              <w:widowControl w:val="0"/>
              <w:jc w:val="right"/>
              <w:rPr>
                <w:color w:val="000000"/>
                <w:sz w:val="20"/>
                <w:szCs w:val="20"/>
                <w:lang w:eastAsia="en-GB"/>
              </w:rPr>
            </w:pPr>
            <w:r>
              <w:rPr>
                <w:sz w:val="20"/>
                <w:szCs w:val="20"/>
              </w:rPr>
              <w:t>1</w:t>
            </w:r>
            <w:r>
              <w:rPr>
                <w:sz w:val="20"/>
                <w:szCs w:val="20"/>
                <w:lang w:val="ru-RU"/>
              </w:rPr>
              <w:t xml:space="preserve"> </w:t>
            </w:r>
            <w:r>
              <w:rPr>
                <w:sz w:val="20"/>
                <w:szCs w:val="20"/>
              </w:rPr>
              <w:t>076</w:t>
            </w:r>
            <w:r>
              <w:rPr>
                <w:sz w:val="20"/>
                <w:szCs w:val="20"/>
                <w:lang w:val="ru-RU"/>
              </w:rPr>
              <w:t xml:space="preserve"> </w:t>
            </w:r>
            <w:r>
              <w:rPr>
                <w:sz w:val="20"/>
                <w:szCs w:val="20"/>
              </w:rPr>
              <w:t>774</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A608A1D" w14:textId="1EF013E3" w:rsidR="00422C39" w:rsidRPr="00106FFF" w:rsidRDefault="00422C39" w:rsidP="00422C39">
            <w:pPr>
              <w:widowControl w:val="0"/>
              <w:jc w:val="right"/>
              <w:rPr>
                <w:color w:val="000000"/>
                <w:sz w:val="20"/>
                <w:szCs w:val="20"/>
                <w:lang w:eastAsia="en-GB"/>
              </w:rPr>
            </w:pPr>
            <w:r>
              <w:rPr>
                <w:sz w:val="20"/>
                <w:szCs w:val="20"/>
              </w:rPr>
              <w:t>239</w:t>
            </w:r>
            <w:r>
              <w:rPr>
                <w:sz w:val="20"/>
                <w:szCs w:val="20"/>
                <w:lang w:val="ru-RU"/>
              </w:rPr>
              <w:t xml:space="preserve"> </w:t>
            </w:r>
            <w:r>
              <w:rPr>
                <w:sz w:val="20"/>
                <w:szCs w:val="20"/>
              </w:rPr>
              <w:t>626</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49F5007" w14:textId="60DAE999" w:rsidR="00422C39" w:rsidRPr="00106FFF" w:rsidRDefault="00422C39" w:rsidP="00422C39">
            <w:pPr>
              <w:widowControl w:val="0"/>
              <w:jc w:val="right"/>
              <w:rPr>
                <w:color w:val="000000"/>
                <w:sz w:val="20"/>
                <w:szCs w:val="20"/>
                <w:lang w:eastAsia="en-GB"/>
              </w:rPr>
            </w:pPr>
            <w:r>
              <w:rPr>
                <w:color w:val="000000"/>
                <w:sz w:val="20"/>
                <w:szCs w:val="20"/>
              </w:rPr>
              <w:t>1</w:t>
            </w:r>
            <w:r>
              <w:rPr>
                <w:color w:val="000000"/>
                <w:sz w:val="20"/>
                <w:szCs w:val="20"/>
                <w:lang w:val="ru-RU"/>
              </w:rPr>
              <w:t xml:space="preserve"> </w:t>
            </w:r>
            <w:r>
              <w:rPr>
                <w:color w:val="000000"/>
                <w:sz w:val="20"/>
                <w:szCs w:val="20"/>
              </w:rPr>
              <w:t>320</w:t>
            </w:r>
            <w:r>
              <w:rPr>
                <w:color w:val="000000"/>
                <w:sz w:val="20"/>
                <w:szCs w:val="20"/>
                <w:lang w:val="ru-RU"/>
              </w:rPr>
              <w:t xml:space="preserve"> </w:t>
            </w:r>
            <w:r>
              <w:rPr>
                <w:color w:val="000000"/>
                <w:sz w:val="20"/>
                <w:szCs w:val="20"/>
              </w:rPr>
              <w:t>400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ECE000D" w14:textId="05349EDC" w:rsidR="00422C39" w:rsidRPr="00106FFF" w:rsidRDefault="00422C39" w:rsidP="00422C39">
            <w:pPr>
              <w:widowControl w:val="0"/>
              <w:jc w:val="right"/>
              <w:rPr>
                <w:color w:val="000000"/>
                <w:sz w:val="20"/>
                <w:szCs w:val="20"/>
                <w:lang w:eastAsia="en-GB"/>
              </w:rPr>
            </w:pPr>
            <w:r>
              <w:rPr>
                <w:color w:val="000000"/>
                <w:sz w:val="20"/>
                <w:szCs w:val="20"/>
              </w:rPr>
              <w:t>1</w:t>
            </w:r>
            <w:r>
              <w:rPr>
                <w:color w:val="000000"/>
                <w:sz w:val="20"/>
                <w:szCs w:val="20"/>
                <w:lang w:val="ru-RU"/>
              </w:rPr>
              <w:t xml:space="preserve"> </w:t>
            </w:r>
            <w:r>
              <w:rPr>
                <w:color w:val="000000"/>
                <w:sz w:val="20"/>
                <w:szCs w:val="20"/>
              </w:rPr>
              <w:t>320</w:t>
            </w:r>
            <w:r>
              <w:rPr>
                <w:color w:val="000000"/>
                <w:sz w:val="20"/>
                <w:szCs w:val="20"/>
                <w:lang w:val="ru-RU"/>
              </w:rPr>
              <w:t xml:space="preserve"> </w:t>
            </w:r>
            <w:r>
              <w:rPr>
                <w:color w:val="000000"/>
                <w:sz w:val="20"/>
                <w:szCs w:val="20"/>
              </w:rPr>
              <w:t>400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FE4AE97" w14:textId="2D34ECD9" w:rsidR="00422C39" w:rsidRPr="00106FFF" w:rsidRDefault="00422C39" w:rsidP="00422C39">
            <w:pPr>
              <w:widowControl w:val="0"/>
              <w:jc w:val="right"/>
              <w:rPr>
                <w:color w:val="000000"/>
                <w:sz w:val="20"/>
                <w:szCs w:val="20"/>
                <w:lang w:eastAsia="en-GB"/>
              </w:rPr>
            </w:pPr>
            <w:r>
              <w:rPr>
                <w:color w:val="000000"/>
                <w:sz w:val="20"/>
                <w:szCs w:val="20"/>
              </w:rPr>
              <w:t>1</w:t>
            </w:r>
            <w:r>
              <w:rPr>
                <w:color w:val="000000"/>
                <w:sz w:val="20"/>
                <w:szCs w:val="20"/>
                <w:lang w:val="ru-RU"/>
              </w:rPr>
              <w:t xml:space="preserve"> </w:t>
            </w:r>
            <w:r>
              <w:rPr>
                <w:color w:val="000000"/>
                <w:sz w:val="20"/>
                <w:szCs w:val="20"/>
              </w:rPr>
              <w:t>320</w:t>
            </w:r>
            <w:r>
              <w:rPr>
                <w:color w:val="000000"/>
                <w:sz w:val="20"/>
                <w:szCs w:val="20"/>
                <w:lang w:val="ru-RU"/>
              </w:rPr>
              <w:t xml:space="preserve"> </w:t>
            </w:r>
            <w:r>
              <w:rPr>
                <w:color w:val="000000"/>
                <w:sz w:val="20"/>
                <w:szCs w:val="20"/>
              </w:rPr>
              <w:t>400</w:t>
            </w:r>
          </w:p>
        </w:tc>
      </w:tr>
      <w:tr w:rsidR="00422C39" w:rsidRPr="0086418B" w14:paraId="1FA4D93B" w14:textId="77777777" w:rsidTr="0086418B">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2CEA05AC" w14:textId="0DD1D2F5" w:rsidR="00422C39" w:rsidRPr="00106FFF" w:rsidRDefault="00422C39" w:rsidP="00422C39">
            <w:pPr>
              <w:widowControl w:val="0"/>
              <w:jc w:val="left"/>
              <w:rPr>
                <w:color w:val="000000"/>
                <w:sz w:val="20"/>
                <w:szCs w:val="20"/>
                <w:lang w:val="ru-RU" w:eastAsia="en-GB"/>
              </w:rPr>
            </w:pPr>
            <w:r>
              <w:rPr>
                <w:color w:val="000000"/>
                <w:sz w:val="20"/>
                <w:szCs w:val="20"/>
                <w:lang w:val="ru-RU" w:eastAsia="en-GB"/>
              </w:rPr>
              <w:t>Глобальные услуги и обеспечение проведения совещаний</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8E8694F" w14:textId="488611C3" w:rsidR="00422C39" w:rsidRPr="00106FFF" w:rsidRDefault="00422C39" w:rsidP="00422C39">
            <w:pPr>
              <w:widowControl w:val="0"/>
              <w:jc w:val="right"/>
              <w:rPr>
                <w:color w:val="000000"/>
                <w:sz w:val="20"/>
                <w:szCs w:val="20"/>
                <w:lang w:eastAsia="en-GB"/>
              </w:rPr>
            </w:pPr>
            <w:r>
              <w:rPr>
                <w:color w:val="000000"/>
                <w:sz w:val="20"/>
                <w:szCs w:val="20"/>
              </w:rPr>
              <w:t>855</w:t>
            </w:r>
            <w:r>
              <w:rPr>
                <w:color w:val="000000"/>
                <w:sz w:val="20"/>
                <w:szCs w:val="20"/>
                <w:lang w:val="ru-RU"/>
              </w:rPr>
              <w:t xml:space="preserve"> </w:t>
            </w:r>
            <w:r>
              <w:rPr>
                <w:color w:val="000000"/>
                <w:sz w:val="20"/>
                <w:szCs w:val="20"/>
              </w:rPr>
              <w:t>000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71CBCA9" w14:textId="7E273B40" w:rsidR="00422C39" w:rsidRPr="00106FFF" w:rsidRDefault="00422C39" w:rsidP="00422C39">
            <w:pPr>
              <w:widowControl w:val="0"/>
              <w:jc w:val="right"/>
              <w:rPr>
                <w:color w:val="000000"/>
                <w:sz w:val="20"/>
                <w:szCs w:val="20"/>
                <w:lang w:eastAsia="en-GB"/>
              </w:rPr>
            </w:pPr>
            <w:r>
              <w:rPr>
                <w:sz w:val="20"/>
                <w:szCs w:val="20"/>
              </w:rPr>
              <w:t>614 857</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47E8BBE" w14:textId="23E146CC" w:rsidR="00422C39" w:rsidRPr="00106FFF" w:rsidRDefault="00422C39" w:rsidP="00422C39">
            <w:pPr>
              <w:widowControl w:val="0"/>
              <w:jc w:val="right"/>
              <w:rPr>
                <w:color w:val="000000"/>
                <w:sz w:val="20"/>
                <w:szCs w:val="20"/>
                <w:lang w:eastAsia="en-GB"/>
              </w:rPr>
            </w:pPr>
            <w:r>
              <w:rPr>
                <w:sz w:val="20"/>
                <w:szCs w:val="20"/>
              </w:rPr>
              <w:t>240</w:t>
            </w:r>
            <w:r>
              <w:rPr>
                <w:sz w:val="20"/>
                <w:szCs w:val="20"/>
                <w:lang w:val="ru-RU"/>
              </w:rPr>
              <w:t xml:space="preserve"> </w:t>
            </w:r>
            <w:r>
              <w:rPr>
                <w:sz w:val="20"/>
                <w:szCs w:val="20"/>
              </w:rPr>
              <w:t>143</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5C3C4AD" w14:textId="4B970E59" w:rsidR="00422C39" w:rsidRPr="00106FFF" w:rsidRDefault="00422C39" w:rsidP="00422C39">
            <w:pPr>
              <w:widowControl w:val="0"/>
              <w:jc w:val="right"/>
              <w:rPr>
                <w:color w:val="000000"/>
                <w:sz w:val="20"/>
                <w:szCs w:val="20"/>
                <w:lang w:eastAsia="en-GB"/>
              </w:rPr>
            </w:pPr>
            <w:r>
              <w:rPr>
                <w:color w:val="000000"/>
                <w:sz w:val="20"/>
                <w:szCs w:val="20"/>
              </w:rPr>
              <w:t>705</w:t>
            </w:r>
            <w:r>
              <w:rPr>
                <w:color w:val="000000"/>
                <w:sz w:val="20"/>
                <w:szCs w:val="20"/>
                <w:lang w:val="ru-RU"/>
              </w:rPr>
              <w:t xml:space="preserve"> </w:t>
            </w:r>
            <w:r>
              <w:rPr>
                <w:color w:val="000000"/>
                <w:sz w:val="20"/>
                <w:szCs w:val="20"/>
              </w:rPr>
              <w:t>000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25CF3B7" w14:textId="145E7878" w:rsidR="00422C39" w:rsidRPr="00106FFF" w:rsidRDefault="00422C39" w:rsidP="00422C39">
            <w:pPr>
              <w:widowControl w:val="0"/>
              <w:jc w:val="right"/>
              <w:rPr>
                <w:color w:val="000000"/>
                <w:sz w:val="20"/>
                <w:szCs w:val="20"/>
                <w:lang w:eastAsia="en-GB"/>
              </w:rPr>
            </w:pPr>
            <w:r>
              <w:rPr>
                <w:color w:val="000000"/>
                <w:sz w:val="20"/>
                <w:szCs w:val="20"/>
              </w:rPr>
              <w:t>650</w:t>
            </w:r>
            <w:r>
              <w:rPr>
                <w:color w:val="000000"/>
                <w:sz w:val="20"/>
                <w:szCs w:val="20"/>
                <w:lang w:val="ru-RU"/>
              </w:rPr>
              <w:t xml:space="preserve"> </w:t>
            </w:r>
            <w:r>
              <w:rPr>
                <w:color w:val="000000"/>
                <w:sz w:val="20"/>
                <w:szCs w:val="20"/>
              </w:rPr>
              <w:t>000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2FEAFA4" w14:textId="582BCF03" w:rsidR="00422C39" w:rsidRPr="00106FFF" w:rsidRDefault="00422C39" w:rsidP="00422C39">
            <w:pPr>
              <w:widowControl w:val="0"/>
              <w:jc w:val="right"/>
              <w:rPr>
                <w:color w:val="000000"/>
                <w:sz w:val="20"/>
                <w:szCs w:val="20"/>
                <w:lang w:eastAsia="en-GB"/>
              </w:rPr>
            </w:pPr>
            <w:r>
              <w:rPr>
                <w:color w:val="000000"/>
                <w:sz w:val="20"/>
                <w:szCs w:val="20"/>
              </w:rPr>
              <w:t>555</w:t>
            </w:r>
            <w:r>
              <w:rPr>
                <w:color w:val="000000"/>
                <w:sz w:val="20"/>
                <w:szCs w:val="20"/>
                <w:lang w:val="ru-RU"/>
              </w:rPr>
              <w:t xml:space="preserve"> </w:t>
            </w:r>
            <w:r>
              <w:rPr>
                <w:color w:val="000000"/>
                <w:sz w:val="20"/>
                <w:szCs w:val="20"/>
              </w:rPr>
              <w:t>000</w:t>
            </w:r>
          </w:p>
        </w:tc>
      </w:tr>
      <w:tr w:rsidR="00422C39" w:rsidRPr="0086418B" w14:paraId="6193D773" w14:textId="77777777" w:rsidTr="0086418B">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122E7E2F" w14:textId="30E07D22" w:rsidR="00422C39" w:rsidRPr="00F95C11" w:rsidRDefault="00422C39" w:rsidP="00422C39">
            <w:pPr>
              <w:widowControl w:val="0"/>
              <w:jc w:val="left"/>
              <w:rPr>
                <w:color w:val="000000"/>
                <w:sz w:val="20"/>
                <w:szCs w:val="20"/>
                <w:lang w:eastAsia="en-GB"/>
              </w:rPr>
            </w:pPr>
            <w:r>
              <w:rPr>
                <w:color w:val="000000"/>
                <w:sz w:val="20"/>
                <w:szCs w:val="20"/>
                <w:lang w:eastAsia="en-GB"/>
              </w:rPr>
              <w:t>Помещения и оборудование</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CAB8B12" w14:textId="3A7BA8C8" w:rsidR="00422C39" w:rsidRPr="00106FFF" w:rsidRDefault="00422C39" w:rsidP="00422C39">
            <w:pPr>
              <w:widowControl w:val="0"/>
              <w:jc w:val="right"/>
              <w:rPr>
                <w:color w:val="000000"/>
                <w:sz w:val="20"/>
                <w:szCs w:val="20"/>
                <w:highlight w:val="yellow"/>
                <w:lang w:eastAsia="en-GB"/>
              </w:rPr>
            </w:pPr>
            <w:r>
              <w:rPr>
                <w:color w:val="000000"/>
                <w:sz w:val="20"/>
                <w:szCs w:val="20"/>
              </w:rPr>
              <w:t>590</w:t>
            </w:r>
            <w:r>
              <w:rPr>
                <w:color w:val="000000"/>
                <w:sz w:val="20"/>
                <w:szCs w:val="20"/>
                <w:lang w:val="ru-RU"/>
              </w:rPr>
              <w:t xml:space="preserve"> </w:t>
            </w:r>
            <w:r>
              <w:rPr>
                <w:color w:val="000000"/>
                <w:sz w:val="20"/>
                <w:szCs w:val="20"/>
              </w:rPr>
              <w:t>000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C02FBA4" w14:textId="160E5600" w:rsidR="00422C39" w:rsidRPr="00106FFF" w:rsidRDefault="00422C39" w:rsidP="00422C39">
            <w:pPr>
              <w:widowControl w:val="0"/>
              <w:jc w:val="right"/>
              <w:rPr>
                <w:color w:val="000000"/>
                <w:sz w:val="20"/>
                <w:szCs w:val="20"/>
                <w:highlight w:val="yellow"/>
                <w:lang w:eastAsia="en-GB"/>
              </w:rPr>
            </w:pPr>
            <w:r>
              <w:rPr>
                <w:sz w:val="20"/>
                <w:szCs w:val="20"/>
              </w:rPr>
              <w:t>475</w:t>
            </w:r>
            <w:r>
              <w:rPr>
                <w:sz w:val="20"/>
                <w:szCs w:val="20"/>
                <w:lang w:val="ru-RU"/>
              </w:rPr>
              <w:t xml:space="preserve"> </w:t>
            </w:r>
            <w:r>
              <w:rPr>
                <w:sz w:val="20"/>
                <w:szCs w:val="20"/>
              </w:rPr>
              <w:t>019</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97CB512" w14:textId="1F19F6F9" w:rsidR="00422C39" w:rsidRPr="00106FFF" w:rsidRDefault="00422C39" w:rsidP="00422C39">
            <w:pPr>
              <w:widowControl w:val="0"/>
              <w:jc w:val="right"/>
              <w:rPr>
                <w:color w:val="000000"/>
                <w:sz w:val="20"/>
                <w:szCs w:val="20"/>
                <w:highlight w:val="yellow"/>
                <w:lang w:eastAsia="en-GB"/>
              </w:rPr>
            </w:pPr>
            <w:r>
              <w:rPr>
                <w:sz w:val="20"/>
                <w:szCs w:val="20"/>
              </w:rPr>
              <w:t>114</w:t>
            </w:r>
            <w:r>
              <w:rPr>
                <w:sz w:val="20"/>
                <w:szCs w:val="20"/>
                <w:lang w:val="ru-RU"/>
              </w:rPr>
              <w:t xml:space="preserve"> </w:t>
            </w:r>
            <w:r>
              <w:rPr>
                <w:sz w:val="20"/>
                <w:szCs w:val="20"/>
              </w:rPr>
              <w:t>981</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03B3BFE" w14:textId="297882B5" w:rsidR="00422C39" w:rsidRPr="00106FFF" w:rsidRDefault="00422C39" w:rsidP="00422C39">
            <w:pPr>
              <w:widowControl w:val="0"/>
              <w:jc w:val="right"/>
              <w:rPr>
                <w:color w:val="000000"/>
                <w:sz w:val="20"/>
                <w:szCs w:val="20"/>
                <w:highlight w:val="yellow"/>
                <w:lang w:eastAsia="en-GB"/>
              </w:rPr>
            </w:pPr>
            <w:r>
              <w:rPr>
                <w:color w:val="000000"/>
                <w:sz w:val="20"/>
                <w:szCs w:val="20"/>
              </w:rPr>
              <w:t>590</w:t>
            </w:r>
            <w:r>
              <w:rPr>
                <w:color w:val="000000"/>
                <w:sz w:val="20"/>
                <w:szCs w:val="20"/>
                <w:lang w:val="ru-RU"/>
              </w:rPr>
              <w:t xml:space="preserve"> </w:t>
            </w:r>
            <w:r>
              <w:rPr>
                <w:color w:val="000000"/>
                <w:sz w:val="20"/>
                <w:szCs w:val="20"/>
              </w:rPr>
              <w:t>000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B7971EA" w14:textId="49BF3A85" w:rsidR="00422C39" w:rsidRPr="00106FFF" w:rsidRDefault="00422C39" w:rsidP="00422C39">
            <w:pPr>
              <w:widowControl w:val="0"/>
              <w:jc w:val="right"/>
              <w:rPr>
                <w:color w:val="000000"/>
                <w:sz w:val="20"/>
                <w:szCs w:val="20"/>
                <w:highlight w:val="yellow"/>
                <w:lang w:eastAsia="en-GB"/>
              </w:rPr>
            </w:pPr>
            <w:r>
              <w:rPr>
                <w:color w:val="000000"/>
                <w:sz w:val="20"/>
                <w:szCs w:val="20"/>
              </w:rPr>
              <w:t>550</w:t>
            </w:r>
            <w:r>
              <w:rPr>
                <w:color w:val="000000"/>
                <w:sz w:val="20"/>
                <w:szCs w:val="20"/>
                <w:lang w:val="ru-RU"/>
              </w:rPr>
              <w:t xml:space="preserve"> </w:t>
            </w:r>
            <w:r>
              <w:rPr>
                <w:color w:val="000000"/>
                <w:sz w:val="20"/>
                <w:szCs w:val="20"/>
              </w:rPr>
              <w:t>000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D13F466" w14:textId="6EFDD72B" w:rsidR="00422C39" w:rsidRPr="00106FFF" w:rsidRDefault="00422C39" w:rsidP="00422C39">
            <w:pPr>
              <w:widowControl w:val="0"/>
              <w:jc w:val="right"/>
              <w:rPr>
                <w:color w:val="000000"/>
                <w:sz w:val="20"/>
                <w:szCs w:val="20"/>
                <w:lang w:eastAsia="en-GB"/>
              </w:rPr>
            </w:pPr>
            <w:r>
              <w:rPr>
                <w:color w:val="000000"/>
                <w:sz w:val="20"/>
                <w:szCs w:val="20"/>
              </w:rPr>
              <w:t>590</w:t>
            </w:r>
            <w:r>
              <w:rPr>
                <w:color w:val="000000"/>
                <w:sz w:val="20"/>
                <w:szCs w:val="20"/>
                <w:lang w:val="ru-RU"/>
              </w:rPr>
              <w:t xml:space="preserve"> </w:t>
            </w:r>
            <w:r>
              <w:rPr>
                <w:color w:val="000000"/>
                <w:sz w:val="20"/>
                <w:szCs w:val="20"/>
              </w:rPr>
              <w:t>000</w:t>
            </w:r>
          </w:p>
        </w:tc>
      </w:tr>
      <w:tr w:rsidR="00422C39" w:rsidRPr="0086418B" w14:paraId="7567F993" w14:textId="77777777" w:rsidTr="00F95C11">
        <w:trPr>
          <w:trHeight w:val="232"/>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7FBD5447" w14:textId="3CC3B601" w:rsidR="00422C39" w:rsidRPr="00F95C11" w:rsidRDefault="00422C39" w:rsidP="00422C39">
            <w:pPr>
              <w:widowControl w:val="0"/>
              <w:jc w:val="left"/>
              <w:rPr>
                <w:b/>
                <w:color w:val="000000"/>
                <w:sz w:val="20"/>
                <w:szCs w:val="20"/>
              </w:rPr>
            </w:pPr>
            <w:r>
              <w:rPr>
                <w:b/>
                <w:color w:val="000000"/>
                <w:sz w:val="20"/>
                <w:szCs w:val="20"/>
              </w:rPr>
              <w:t xml:space="preserve">Промежуточный итог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D573183" w14:textId="0A7F3A2B" w:rsidR="00422C39" w:rsidRPr="00106FFF" w:rsidRDefault="00422C39" w:rsidP="00422C39">
            <w:pPr>
              <w:widowControl w:val="0"/>
              <w:jc w:val="right"/>
              <w:rPr>
                <w:b/>
                <w:bCs/>
                <w:color w:val="000000"/>
                <w:sz w:val="20"/>
                <w:szCs w:val="20"/>
                <w:highlight w:val="yellow"/>
                <w:lang w:eastAsia="en-GB"/>
              </w:rPr>
            </w:pPr>
            <w:r>
              <w:rPr>
                <w:b/>
                <w:bCs/>
                <w:color w:val="000000"/>
                <w:sz w:val="20"/>
                <w:szCs w:val="20"/>
              </w:rPr>
              <w:t>11</w:t>
            </w:r>
            <w:r>
              <w:rPr>
                <w:b/>
                <w:bCs/>
                <w:color w:val="000000"/>
                <w:sz w:val="20"/>
                <w:szCs w:val="20"/>
                <w:lang w:val="ru-RU"/>
              </w:rPr>
              <w:t xml:space="preserve"> </w:t>
            </w:r>
            <w:r>
              <w:rPr>
                <w:b/>
                <w:bCs/>
                <w:color w:val="000000"/>
                <w:sz w:val="20"/>
                <w:szCs w:val="20"/>
              </w:rPr>
              <w:t>191</w:t>
            </w:r>
            <w:r>
              <w:rPr>
                <w:b/>
                <w:bCs/>
                <w:color w:val="000000"/>
                <w:sz w:val="20"/>
                <w:szCs w:val="20"/>
                <w:lang w:val="ru-RU"/>
              </w:rPr>
              <w:t xml:space="preserve"> </w:t>
            </w:r>
            <w:r>
              <w:rPr>
                <w:b/>
                <w:bCs/>
                <w:color w:val="000000"/>
                <w:sz w:val="20"/>
                <w:szCs w:val="20"/>
              </w:rPr>
              <w:t>331</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5134309" w14:textId="7B4D72D0" w:rsidR="00422C39" w:rsidRPr="00106FFF" w:rsidRDefault="00422C39" w:rsidP="00422C39">
            <w:pPr>
              <w:widowControl w:val="0"/>
              <w:jc w:val="right"/>
              <w:rPr>
                <w:b/>
                <w:bCs/>
                <w:color w:val="000000"/>
                <w:sz w:val="20"/>
                <w:szCs w:val="20"/>
                <w:highlight w:val="yellow"/>
                <w:lang w:eastAsia="en-GB"/>
              </w:rPr>
            </w:pPr>
            <w:r>
              <w:rPr>
                <w:b/>
                <w:bCs/>
                <w:color w:val="000000"/>
                <w:sz w:val="20"/>
                <w:szCs w:val="20"/>
              </w:rPr>
              <w:t>10</w:t>
            </w:r>
            <w:r>
              <w:rPr>
                <w:b/>
                <w:bCs/>
                <w:color w:val="000000"/>
                <w:sz w:val="20"/>
                <w:szCs w:val="20"/>
                <w:lang w:val="ru-RU"/>
              </w:rPr>
              <w:t xml:space="preserve"> </w:t>
            </w:r>
            <w:r>
              <w:rPr>
                <w:b/>
                <w:bCs/>
                <w:color w:val="000000"/>
                <w:sz w:val="20"/>
                <w:szCs w:val="20"/>
              </w:rPr>
              <w:t>454</w:t>
            </w:r>
            <w:r>
              <w:rPr>
                <w:b/>
                <w:bCs/>
                <w:color w:val="000000"/>
                <w:sz w:val="20"/>
                <w:szCs w:val="20"/>
                <w:lang w:val="ru-RU"/>
              </w:rPr>
              <w:t xml:space="preserve"> </w:t>
            </w:r>
            <w:r>
              <w:rPr>
                <w:b/>
                <w:bCs/>
                <w:color w:val="000000"/>
                <w:sz w:val="20"/>
                <w:szCs w:val="20"/>
              </w:rPr>
              <w:t>291</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EFF7EF2" w14:textId="0C1539BD" w:rsidR="00422C39" w:rsidRPr="00106FFF" w:rsidRDefault="00422C39" w:rsidP="00422C39">
            <w:pPr>
              <w:widowControl w:val="0"/>
              <w:jc w:val="right"/>
              <w:rPr>
                <w:b/>
                <w:bCs/>
                <w:sz w:val="20"/>
                <w:szCs w:val="20"/>
                <w:highlight w:val="yellow"/>
              </w:rPr>
            </w:pPr>
            <w:r>
              <w:rPr>
                <w:b/>
                <w:bCs/>
                <w:color w:val="000000"/>
                <w:sz w:val="20"/>
                <w:szCs w:val="20"/>
              </w:rPr>
              <w:t>737</w:t>
            </w:r>
            <w:r>
              <w:rPr>
                <w:b/>
                <w:bCs/>
                <w:color w:val="000000"/>
                <w:sz w:val="20"/>
                <w:szCs w:val="20"/>
                <w:lang w:val="ru-RU"/>
              </w:rPr>
              <w:t xml:space="preserve"> </w:t>
            </w:r>
            <w:r>
              <w:rPr>
                <w:b/>
                <w:bCs/>
                <w:color w:val="000000"/>
                <w:sz w:val="20"/>
                <w:szCs w:val="20"/>
              </w:rPr>
              <w:t>040</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AB5D91C" w14:textId="4DB992A8" w:rsidR="00422C39" w:rsidRPr="00106FFF" w:rsidRDefault="00422C39" w:rsidP="00422C39">
            <w:pPr>
              <w:widowControl w:val="0"/>
              <w:jc w:val="right"/>
              <w:rPr>
                <w:b/>
                <w:bCs/>
                <w:color w:val="000000"/>
                <w:sz w:val="20"/>
                <w:szCs w:val="20"/>
                <w:highlight w:val="yellow"/>
                <w:lang w:eastAsia="en-GB"/>
              </w:rPr>
            </w:pPr>
            <w:r>
              <w:rPr>
                <w:b/>
                <w:bCs/>
                <w:color w:val="000000"/>
                <w:sz w:val="20"/>
                <w:szCs w:val="20"/>
              </w:rPr>
              <w:t>11</w:t>
            </w:r>
            <w:r>
              <w:rPr>
                <w:b/>
                <w:bCs/>
                <w:color w:val="000000"/>
                <w:sz w:val="20"/>
                <w:szCs w:val="20"/>
                <w:lang w:val="ru-RU"/>
              </w:rPr>
              <w:t xml:space="preserve"> </w:t>
            </w:r>
            <w:r>
              <w:rPr>
                <w:b/>
                <w:bCs/>
                <w:color w:val="000000"/>
                <w:sz w:val="20"/>
                <w:szCs w:val="20"/>
              </w:rPr>
              <w:t>276</w:t>
            </w:r>
            <w:r>
              <w:rPr>
                <w:b/>
                <w:bCs/>
                <w:color w:val="000000"/>
                <w:sz w:val="20"/>
                <w:szCs w:val="20"/>
                <w:lang w:val="ru-RU"/>
              </w:rPr>
              <w:t xml:space="preserve"> </w:t>
            </w:r>
            <w:r>
              <w:rPr>
                <w:b/>
                <w:bCs/>
                <w:color w:val="000000"/>
                <w:sz w:val="20"/>
                <w:szCs w:val="20"/>
              </w:rPr>
              <w:t>967</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D570726" w14:textId="6834C9B2" w:rsidR="00422C39" w:rsidRPr="00106FFF" w:rsidRDefault="00422C39" w:rsidP="00422C39">
            <w:pPr>
              <w:jc w:val="right"/>
              <w:rPr>
                <w:b/>
                <w:bCs/>
                <w:color w:val="000000"/>
                <w:sz w:val="20"/>
                <w:szCs w:val="20"/>
                <w:highlight w:val="yellow"/>
                <w:lang w:eastAsia="en-GB"/>
              </w:rPr>
            </w:pPr>
            <w:r>
              <w:rPr>
                <w:b/>
                <w:bCs/>
                <w:color w:val="000000"/>
                <w:sz w:val="20"/>
                <w:szCs w:val="20"/>
              </w:rPr>
              <w:t>10</w:t>
            </w:r>
            <w:r>
              <w:rPr>
                <w:b/>
                <w:bCs/>
                <w:color w:val="000000"/>
                <w:sz w:val="20"/>
                <w:szCs w:val="20"/>
                <w:lang w:val="ru-RU"/>
              </w:rPr>
              <w:t xml:space="preserve"> </w:t>
            </w:r>
            <w:r>
              <w:rPr>
                <w:b/>
                <w:bCs/>
                <w:color w:val="000000"/>
                <w:sz w:val="20"/>
                <w:szCs w:val="20"/>
              </w:rPr>
              <w:t>981</w:t>
            </w:r>
            <w:r>
              <w:rPr>
                <w:b/>
                <w:bCs/>
                <w:color w:val="000000"/>
                <w:sz w:val="20"/>
                <w:szCs w:val="20"/>
                <w:lang w:val="ru-RU"/>
              </w:rPr>
              <w:t xml:space="preserve"> </w:t>
            </w:r>
            <w:r>
              <w:rPr>
                <w:b/>
                <w:bCs/>
                <w:color w:val="000000"/>
                <w:sz w:val="20"/>
                <w:szCs w:val="20"/>
              </w:rPr>
              <w:t>800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EBA1FEF" w14:textId="6461C236" w:rsidR="00422C39" w:rsidRPr="00106FFF" w:rsidRDefault="00422C39" w:rsidP="00422C39">
            <w:pPr>
              <w:jc w:val="right"/>
              <w:rPr>
                <w:b/>
                <w:bCs/>
                <w:color w:val="000000"/>
                <w:sz w:val="20"/>
                <w:szCs w:val="20"/>
                <w:lang w:eastAsia="en-GB"/>
              </w:rPr>
            </w:pPr>
            <w:r>
              <w:rPr>
                <w:b/>
                <w:bCs/>
                <w:color w:val="000000"/>
                <w:sz w:val="20"/>
                <w:szCs w:val="20"/>
              </w:rPr>
              <w:t>11</w:t>
            </w:r>
            <w:r>
              <w:rPr>
                <w:b/>
                <w:bCs/>
                <w:color w:val="000000"/>
                <w:sz w:val="20"/>
                <w:szCs w:val="20"/>
                <w:lang w:val="ru-RU"/>
              </w:rPr>
              <w:t xml:space="preserve"> </w:t>
            </w:r>
            <w:r>
              <w:rPr>
                <w:b/>
                <w:bCs/>
                <w:color w:val="000000"/>
                <w:sz w:val="20"/>
                <w:szCs w:val="20"/>
              </w:rPr>
              <w:t>419</w:t>
            </w:r>
            <w:r>
              <w:rPr>
                <w:b/>
                <w:bCs/>
                <w:color w:val="000000"/>
                <w:sz w:val="20"/>
                <w:szCs w:val="20"/>
                <w:lang w:val="ru-RU"/>
              </w:rPr>
              <w:t xml:space="preserve"> </w:t>
            </w:r>
            <w:r>
              <w:rPr>
                <w:b/>
                <w:bCs/>
                <w:color w:val="000000"/>
                <w:sz w:val="20"/>
                <w:szCs w:val="20"/>
              </w:rPr>
              <w:t>783</w:t>
            </w:r>
          </w:p>
        </w:tc>
      </w:tr>
      <w:tr w:rsidR="00422C39" w:rsidRPr="0086418B" w14:paraId="4815C8DE" w14:textId="77777777" w:rsidTr="00F95C11">
        <w:trPr>
          <w:trHeight w:val="476"/>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30DE7005" w14:textId="62AEF93A" w:rsidR="00422C39" w:rsidRPr="00106FFF" w:rsidRDefault="00422C39" w:rsidP="00422C39">
            <w:pPr>
              <w:widowControl w:val="0"/>
              <w:jc w:val="left"/>
              <w:rPr>
                <w:color w:val="000000"/>
                <w:sz w:val="20"/>
                <w:szCs w:val="20"/>
                <w:lang w:val="ru-RU" w:eastAsia="en-GB"/>
              </w:rPr>
            </w:pPr>
            <w:r>
              <w:rPr>
                <w:color w:val="000000"/>
                <w:sz w:val="20"/>
                <w:szCs w:val="20"/>
                <w:lang w:val="ru-RU" w:eastAsia="en-GB"/>
              </w:rPr>
              <w:t xml:space="preserve">Вспомогательные расходы на </w:t>
            </w:r>
            <w:r>
              <w:rPr>
                <w:color w:val="000000"/>
                <w:sz w:val="20"/>
                <w:szCs w:val="20"/>
                <w:lang w:val="ru-RU" w:eastAsia="en-GB"/>
              </w:rPr>
              <w:lastRenderedPageBreak/>
              <w:t>программу</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07C2DC8" w14:textId="60330BC0" w:rsidR="00422C39" w:rsidRPr="00106FFF" w:rsidRDefault="00422C39" w:rsidP="00422C39">
            <w:pPr>
              <w:widowControl w:val="0"/>
              <w:jc w:val="right"/>
              <w:rPr>
                <w:color w:val="000000"/>
                <w:sz w:val="20"/>
                <w:szCs w:val="20"/>
                <w:highlight w:val="yellow"/>
                <w:lang w:eastAsia="en-GB"/>
              </w:rPr>
            </w:pPr>
            <w:r>
              <w:rPr>
                <w:color w:val="000000"/>
                <w:sz w:val="20"/>
                <w:szCs w:val="20"/>
              </w:rPr>
              <w:lastRenderedPageBreak/>
              <w:t>895</w:t>
            </w:r>
            <w:r>
              <w:rPr>
                <w:color w:val="000000"/>
                <w:sz w:val="20"/>
                <w:szCs w:val="20"/>
                <w:lang w:val="ru-RU"/>
              </w:rPr>
              <w:t xml:space="preserve"> </w:t>
            </w:r>
            <w:r>
              <w:rPr>
                <w:color w:val="000000"/>
                <w:sz w:val="20"/>
                <w:szCs w:val="20"/>
              </w:rPr>
              <w:t>306</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6F533D1" w14:textId="14D52344" w:rsidR="00422C39" w:rsidRPr="00106FFF" w:rsidRDefault="00422C39" w:rsidP="00422C39">
            <w:pPr>
              <w:widowControl w:val="0"/>
              <w:jc w:val="right"/>
              <w:rPr>
                <w:color w:val="000000"/>
                <w:sz w:val="20"/>
                <w:szCs w:val="20"/>
                <w:highlight w:val="yellow"/>
                <w:lang w:eastAsia="en-GB"/>
              </w:rPr>
            </w:pPr>
            <w:r>
              <w:rPr>
                <w:color w:val="000000"/>
                <w:sz w:val="20"/>
                <w:szCs w:val="20"/>
              </w:rPr>
              <w:t>836</w:t>
            </w:r>
            <w:r>
              <w:rPr>
                <w:color w:val="000000"/>
                <w:sz w:val="20"/>
                <w:szCs w:val="20"/>
                <w:lang w:val="ru-RU"/>
              </w:rPr>
              <w:t xml:space="preserve"> </w:t>
            </w:r>
            <w:r>
              <w:rPr>
                <w:color w:val="000000"/>
                <w:sz w:val="20"/>
                <w:szCs w:val="20"/>
              </w:rPr>
              <w:t>343</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7D18A74" w14:textId="3C6E587A" w:rsidR="00422C39" w:rsidRPr="00106FFF" w:rsidRDefault="00422C39" w:rsidP="00422C39">
            <w:pPr>
              <w:widowControl w:val="0"/>
              <w:jc w:val="right"/>
              <w:rPr>
                <w:color w:val="000000"/>
                <w:sz w:val="20"/>
                <w:szCs w:val="20"/>
                <w:highlight w:val="yellow"/>
                <w:lang w:eastAsia="en-GB"/>
              </w:rPr>
            </w:pPr>
            <w:r>
              <w:rPr>
                <w:color w:val="000000"/>
                <w:sz w:val="20"/>
                <w:szCs w:val="20"/>
              </w:rPr>
              <w:t>58</w:t>
            </w:r>
            <w:r>
              <w:rPr>
                <w:color w:val="000000"/>
                <w:sz w:val="20"/>
                <w:szCs w:val="20"/>
                <w:lang w:val="ru-RU"/>
              </w:rPr>
              <w:t xml:space="preserve"> </w:t>
            </w:r>
            <w:r>
              <w:rPr>
                <w:color w:val="000000"/>
                <w:sz w:val="20"/>
                <w:szCs w:val="20"/>
              </w:rPr>
              <w:t>963</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EB61397" w14:textId="13F55A74" w:rsidR="00422C39" w:rsidRPr="00106FFF" w:rsidRDefault="00422C39" w:rsidP="00422C39">
            <w:pPr>
              <w:widowControl w:val="0"/>
              <w:jc w:val="right"/>
              <w:rPr>
                <w:color w:val="000000"/>
                <w:sz w:val="20"/>
                <w:szCs w:val="20"/>
                <w:highlight w:val="yellow"/>
                <w:lang w:eastAsia="en-GB"/>
              </w:rPr>
            </w:pPr>
            <w:r>
              <w:rPr>
                <w:color w:val="000000"/>
                <w:sz w:val="20"/>
                <w:szCs w:val="20"/>
              </w:rPr>
              <w:t>902</w:t>
            </w:r>
            <w:r>
              <w:rPr>
                <w:color w:val="000000"/>
                <w:sz w:val="20"/>
                <w:szCs w:val="20"/>
                <w:lang w:val="ru-RU"/>
              </w:rPr>
              <w:t xml:space="preserve"> </w:t>
            </w:r>
            <w:r>
              <w:rPr>
                <w:color w:val="000000"/>
                <w:sz w:val="20"/>
                <w:szCs w:val="20"/>
              </w:rPr>
              <w:t>157</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A1A4C56" w14:textId="1CF0A395" w:rsidR="00422C39" w:rsidRPr="00106FFF" w:rsidRDefault="00422C39" w:rsidP="00422C39">
            <w:pPr>
              <w:jc w:val="right"/>
              <w:rPr>
                <w:color w:val="000000"/>
                <w:sz w:val="20"/>
                <w:szCs w:val="20"/>
                <w:highlight w:val="yellow"/>
                <w:lang w:eastAsia="en-GB"/>
              </w:rPr>
            </w:pPr>
            <w:r>
              <w:rPr>
                <w:color w:val="000000"/>
                <w:sz w:val="20"/>
                <w:szCs w:val="20"/>
              </w:rPr>
              <w:t>878</w:t>
            </w:r>
            <w:r>
              <w:rPr>
                <w:color w:val="000000"/>
                <w:sz w:val="20"/>
                <w:szCs w:val="20"/>
                <w:lang w:val="ru-RU"/>
              </w:rPr>
              <w:t xml:space="preserve"> </w:t>
            </w:r>
            <w:r>
              <w:rPr>
                <w:color w:val="000000"/>
                <w:sz w:val="20"/>
                <w:szCs w:val="20"/>
              </w:rPr>
              <w:t>544</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8E855CA" w14:textId="4A2A65C7" w:rsidR="00422C39" w:rsidRPr="00F95C11" w:rsidRDefault="00422C39" w:rsidP="00422C39">
            <w:pPr>
              <w:jc w:val="right"/>
              <w:rPr>
                <w:color w:val="000000"/>
                <w:sz w:val="20"/>
                <w:szCs w:val="20"/>
              </w:rPr>
            </w:pPr>
            <w:r>
              <w:rPr>
                <w:color w:val="000000"/>
                <w:sz w:val="20"/>
                <w:szCs w:val="20"/>
              </w:rPr>
              <w:t>913</w:t>
            </w:r>
            <w:r>
              <w:rPr>
                <w:color w:val="000000"/>
                <w:sz w:val="20"/>
                <w:szCs w:val="20"/>
                <w:lang w:val="ru-RU"/>
              </w:rPr>
              <w:t xml:space="preserve"> </w:t>
            </w:r>
            <w:r>
              <w:rPr>
                <w:color w:val="000000"/>
                <w:sz w:val="20"/>
                <w:szCs w:val="20"/>
              </w:rPr>
              <w:t>583</w:t>
            </w:r>
          </w:p>
          <w:p w14:paraId="5DEF8031" w14:textId="119053B7" w:rsidR="00422C39" w:rsidRPr="00106FFF" w:rsidRDefault="00422C39" w:rsidP="00422C39">
            <w:pPr>
              <w:widowControl w:val="0"/>
              <w:jc w:val="right"/>
              <w:rPr>
                <w:color w:val="000000"/>
                <w:sz w:val="20"/>
                <w:szCs w:val="20"/>
                <w:highlight w:val="yellow"/>
                <w:lang w:eastAsia="en-GB"/>
              </w:rPr>
            </w:pPr>
          </w:p>
        </w:tc>
      </w:tr>
      <w:tr w:rsidR="00106FFF" w:rsidRPr="0086418B" w14:paraId="301421E5" w14:textId="77777777" w:rsidTr="00961C8E">
        <w:trPr>
          <w:trHeight w:val="7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06C7CA2A" w14:textId="4E9FBED6" w:rsidR="00106FFF" w:rsidRPr="00106FFF" w:rsidRDefault="00106FFF" w:rsidP="00106FFF">
            <w:pPr>
              <w:widowControl w:val="0"/>
              <w:jc w:val="left"/>
              <w:rPr>
                <w:b/>
                <w:color w:val="000000"/>
                <w:sz w:val="20"/>
                <w:szCs w:val="20"/>
                <w:lang w:val="ru-RU"/>
              </w:rPr>
            </w:pPr>
            <w:r>
              <w:rPr>
                <w:b/>
                <w:iCs/>
                <w:color w:val="000000"/>
                <w:sz w:val="20"/>
                <w:szCs w:val="20"/>
                <w:lang w:val="ru-RU" w:eastAsia="en-GB"/>
              </w:rPr>
              <w:t>Итого</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tcPr>
          <w:p w14:paraId="39A354BF" w14:textId="7150EB97" w:rsidR="00106FFF" w:rsidRPr="00106FFF" w:rsidRDefault="00106FFF" w:rsidP="00106FFF">
            <w:pPr>
              <w:widowControl w:val="0"/>
              <w:jc w:val="right"/>
              <w:rPr>
                <w:b/>
                <w:bCs/>
                <w:color w:val="000000"/>
                <w:sz w:val="20"/>
                <w:szCs w:val="20"/>
                <w:highlight w:val="yellow"/>
                <w:lang w:eastAsia="en-GB"/>
              </w:rPr>
            </w:pPr>
            <w:r>
              <w:rPr>
                <w:b/>
                <w:bCs/>
                <w:sz w:val="20"/>
                <w:szCs w:val="20"/>
              </w:rPr>
              <w:t>12 086 637</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tcPr>
          <w:p w14:paraId="49F6F2A9" w14:textId="4CCCD736" w:rsidR="00106FFF" w:rsidRPr="00106FFF" w:rsidRDefault="00106FFF" w:rsidP="00106FFF">
            <w:pPr>
              <w:widowControl w:val="0"/>
              <w:jc w:val="right"/>
              <w:rPr>
                <w:b/>
                <w:bCs/>
                <w:color w:val="000000"/>
                <w:sz w:val="20"/>
                <w:szCs w:val="20"/>
                <w:highlight w:val="yellow"/>
                <w:lang w:eastAsia="en-GB"/>
              </w:rPr>
            </w:pPr>
            <w:r>
              <w:rPr>
                <w:b/>
                <w:bCs/>
                <w:sz w:val="20"/>
                <w:szCs w:val="20"/>
              </w:rPr>
              <w:t>11 290 634</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tcPr>
          <w:p w14:paraId="21C81DFB" w14:textId="7DB0DA71" w:rsidR="00106FFF" w:rsidRPr="00106FFF" w:rsidRDefault="00106FFF" w:rsidP="00106FFF">
            <w:pPr>
              <w:widowControl w:val="0"/>
              <w:jc w:val="right"/>
              <w:rPr>
                <w:b/>
                <w:bCs/>
                <w:color w:val="000000"/>
                <w:sz w:val="20"/>
                <w:szCs w:val="20"/>
                <w:highlight w:val="yellow"/>
                <w:lang w:eastAsia="en-GB"/>
              </w:rPr>
            </w:pPr>
            <w:r>
              <w:rPr>
                <w:b/>
                <w:bCs/>
                <w:sz w:val="20"/>
                <w:szCs w:val="20"/>
              </w:rPr>
              <w:t>796 003ᵇ</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tcPr>
          <w:p w14:paraId="1532DED5" w14:textId="4A8E8B32" w:rsidR="00106FFF" w:rsidRPr="00106FFF" w:rsidRDefault="00106FFF" w:rsidP="00106FFF">
            <w:pPr>
              <w:widowControl w:val="0"/>
              <w:jc w:val="right"/>
              <w:rPr>
                <w:b/>
                <w:bCs/>
                <w:color w:val="000000"/>
                <w:sz w:val="20"/>
                <w:szCs w:val="20"/>
              </w:rPr>
            </w:pPr>
            <w:r>
              <w:rPr>
                <w:b/>
                <w:bCs/>
                <w:sz w:val="20"/>
                <w:szCs w:val="20"/>
              </w:rPr>
              <w:t>12 179 124</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tcPr>
          <w:p w14:paraId="5B9B5124" w14:textId="7019C968" w:rsidR="00106FFF" w:rsidRPr="00106FFF" w:rsidRDefault="00106FFF" w:rsidP="00106FFF">
            <w:pPr>
              <w:jc w:val="right"/>
              <w:rPr>
                <w:b/>
                <w:bCs/>
                <w:color w:val="000000"/>
                <w:sz w:val="20"/>
                <w:szCs w:val="20"/>
                <w:highlight w:val="yellow"/>
                <w:lang w:eastAsia="en-GB"/>
              </w:rPr>
            </w:pPr>
            <w:r>
              <w:rPr>
                <w:b/>
                <w:bCs/>
                <w:sz w:val="20"/>
                <w:szCs w:val="20"/>
              </w:rPr>
              <w:t>11 860 344</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tcPr>
          <w:p w14:paraId="7084C205" w14:textId="34E1038B" w:rsidR="00106FFF" w:rsidRPr="00106FFF" w:rsidRDefault="00106FFF" w:rsidP="00106FFF">
            <w:pPr>
              <w:jc w:val="right"/>
              <w:rPr>
                <w:b/>
                <w:bCs/>
                <w:color w:val="000000"/>
                <w:sz w:val="20"/>
                <w:szCs w:val="20"/>
                <w:highlight w:val="yellow"/>
                <w:lang w:eastAsia="en-GB"/>
              </w:rPr>
            </w:pPr>
            <w:r>
              <w:rPr>
                <w:b/>
                <w:bCs/>
                <w:sz w:val="20"/>
                <w:szCs w:val="20"/>
              </w:rPr>
              <w:t>12 333 366</w:t>
            </w:r>
          </w:p>
        </w:tc>
      </w:tr>
    </w:tbl>
    <w:p w14:paraId="0F650D36" w14:textId="587DD896" w:rsidR="00A83C1B" w:rsidRPr="00106FFF" w:rsidRDefault="00A83C1B" w:rsidP="00A83C1B">
      <w:pPr>
        <w:widowControl w:val="0"/>
        <w:rPr>
          <w:sz w:val="19"/>
          <w:szCs w:val="19"/>
          <w:lang w:val="ru-RU"/>
        </w:rPr>
      </w:pPr>
      <w:r>
        <w:rPr>
          <w:sz w:val="19"/>
          <w:szCs w:val="19"/>
          <w:vertAlign w:val="superscript"/>
          <w:lang w:val="en-US"/>
        </w:rPr>
        <w:t>a</w:t>
      </w:r>
      <w:r>
        <w:rPr>
          <w:sz w:val="19"/>
          <w:szCs w:val="19"/>
          <w:lang w:val="ru-RU"/>
        </w:rPr>
        <w:t xml:space="preserve"> Предполагаемые расходы по состоянию на 31 декабря 2026 года.</w:t>
      </w:r>
    </w:p>
    <w:p w14:paraId="65D653FA" w14:textId="35404C4E" w:rsidR="00A83C1B" w:rsidRPr="00106FFF" w:rsidRDefault="00A83C1B" w:rsidP="00A83C1B">
      <w:pPr>
        <w:widowControl w:val="0"/>
        <w:rPr>
          <w:sz w:val="19"/>
          <w:vertAlign w:val="superscript"/>
          <w:lang w:val="ru-RU"/>
        </w:rPr>
      </w:pPr>
      <w:r>
        <w:rPr>
          <w:sz w:val="19"/>
          <w:szCs w:val="19"/>
          <w:vertAlign w:val="superscript"/>
          <w:lang w:val="en-US"/>
        </w:rPr>
        <w:t>b</w:t>
      </w:r>
      <w:r>
        <w:rPr>
          <w:sz w:val="19"/>
          <w:szCs w:val="19"/>
          <w:lang w:val="ru-RU"/>
        </w:rPr>
        <w:t xml:space="preserve"> </w:t>
      </w:r>
      <w:r>
        <w:rPr>
          <w:sz w:val="19"/>
          <w:lang w:val="ru-RU"/>
        </w:rPr>
        <w:t xml:space="preserve">Остаток средств, возвращенный на 99-м совещании. </w:t>
      </w:r>
    </w:p>
    <w:p w14:paraId="6A609999" w14:textId="6E24EE80" w:rsidR="00A83C1B" w:rsidRPr="00106FFF" w:rsidRDefault="00106FFF" w:rsidP="005935DB">
      <w:pPr>
        <w:pStyle w:val="Heading1"/>
        <w:widowControl w:val="0"/>
        <w:spacing w:before="240"/>
        <w:rPr>
          <w:lang w:val="ru-RU"/>
        </w:rPr>
      </w:pPr>
      <w:bookmarkStart w:id="0" w:name="_Hlk182338250"/>
      <w:r>
        <w:rPr>
          <w:lang w:val="ru-RU"/>
        </w:rPr>
        <w:t>Из 11 191 331 долл. США, утвержденных на бюджет ПСС на 2025 год, плюс эксплуатационные расходы учреждения в размере 895 306 долл. США, ЮНЕП вернула на 99-м совещании остаток средств на осуществление проектов в размере 737 040 долл. США</w:t>
      </w:r>
      <w:r w:rsidRPr="00B1606B">
        <w:rPr>
          <w:lang w:val="ru-RU"/>
        </w:rPr>
        <w:t xml:space="preserve"> </w:t>
      </w:r>
      <w:r>
        <w:rPr>
          <w:lang w:val="ru-RU"/>
        </w:rPr>
        <w:t xml:space="preserve">плюс эксплуатационные расходы учреждения в размере 58 963 долл. США в соответствии с решением 35/36 </w:t>
      </w:r>
      <w:r>
        <w:rPr>
          <w:lang w:val="en-US"/>
        </w:rPr>
        <w:t>d</w:t>
      </w:r>
      <w:r>
        <w:rPr>
          <w:lang w:val="ru-RU"/>
        </w:rPr>
        <w:t>). Возврат средств отражен в документе «Доклад о неиспользованных остатках и наличии ресурсов»</w:t>
      </w:r>
      <w:r>
        <w:rPr>
          <w:vertAlign w:val="superscript"/>
          <w:lang w:val="en-US"/>
        </w:rPr>
        <w:footnoteReference w:id="17"/>
      </w:r>
      <w:r>
        <w:rPr>
          <w:lang w:val="ru-RU"/>
        </w:rPr>
        <w:t xml:space="preserve">. </w:t>
      </w:r>
      <w:bookmarkEnd w:id="0"/>
      <w:r>
        <w:rPr>
          <w:lang w:val="ru-RU"/>
        </w:rPr>
        <w:t>Большая часть возвращаемых остатков средств относится к региональным мероприятиям и совещаниям, а также к глобальным услугам и обеспечению проведения совещаний.</w:t>
      </w:r>
    </w:p>
    <w:p w14:paraId="4761B8F9" w14:textId="3565702F" w:rsidR="00A83C1B" w:rsidRPr="00106FFF" w:rsidRDefault="00106FFF" w:rsidP="00A83C1B">
      <w:pPr>
        <w:pStyle w:val="Heading1"/>
        <w:keepNext/>
        <w:numPr>
          <w:ilvl w:val="0"/>
          <w:numId w:val="0"/>
        </w:numPr>
        <w:jc w:val="center"/>
        <w:rPr>
          <w:b/>
          <w:lang w:val="ru-RU"/>
        </w:rPr>
      </w:pPr>
      <w:r>
        <w:rPr>
          <w:b/>
          <w:lang w:val="ru-RU"/>
        </w:rPr>
        <w:t>ЗАМЕЧАНИЯ И РЕКОМЕНДАЦИЯ СЕКРЕТАРИАТА</w:t>
      </w:r>
    </w:p>
    <w:p w14:paraId="0B01F4D0" w14:textId="0152AE76" w:rsidR="00A83C1B" w:rsidRPr="00106FFF" w:rsidRDefault="00106FFF" w:rsidP="00A83C1B">
      <w:pPr>
        <w:keepNext/>
        <w:spacing w:after="240"/>
        <w:jc w:val="left"/>
        <w:rPr>
          <w:sz w:val="24"/>
          <w:szCs w:val="24"/>
          <w:lang w:val="ru-RU"/>
        </w:rPr>
      </w:pPr>
      <w:r>
        <w:rPr>
          <w:b/>
          <w:sz w:val="24"/>
          <w:szCs w:val="24"/>
          <w:lang w:val="ru-RU"/>
        </w:rPr>
        <w:t>Комментарии</w:t>
      </w:r>
    </w:p>
    <w:p w14:paraId="0158A7B4" w14:textId="087182BB" w:rsidR="000E6489" w:rsidRPr="00106FFF" w:rsidRDefault="00106FFF" w:rsidP="001557BF">
      <w:pPr>
        <w:pStyle w:val="Heading1"/>
        <w:rPr>
          <w:lang w:val="ru-RU"/>
        </w:rPr>
      </w:pPr>
      <w:r>
        <w:rPr>
          <w:lang w:val="ru-RU"/>
        </w:rPr>
        <w:t>Секретариат рассмотрел представленные программу работы и бюджет ПСС, а также изменения в программной части бюджета и бюджете расходов на персонал в соответствии с решением 97/85 </w:t>
      </w:r>
      <w:r>
        <w:t>d</w:t>
      </w:r>
      <w:r>
        <w:rPr>
          <w:lang w:val="ru-RU"/>
        </w:rPr>
        <w:t>)</w:t>
      </w:r>
      <w:r>
        <w:rPr>
          <w:vertAlign w:val="superscript"/>
        </w:rPr>
        <w:footnoteReference w:id="18"/>
      </w:r>
      <w:r>
        <w:rPr>
          <w:lang w:val="ru-RU"/>
        </w:rPr>
        <w:t>, с учетом общей структуры ПСС, ее деятельности, региональной структуры и других соответствующих решений.</w:t>
      </w:r>
    </w:p>
    <w:p w14:paraId="43E5C523" w14:textId="692F5BD3" w:rsidR="0045502B" w:rsidRPr="00106FFF" w:rsidRDefault="00106FFF" w:rsidP="00106FFF">
      <w:pPr>
        <w:pStyle w:val="Heading1"/>
        <w:rPr>
          <w:lang w:val="ru-RU"/>
        </w:rPr>
      </w:pPr>
      <w:r>
        <w:rPr>
          <w:lang w:val="ru-RU"/>
        </w:rPr>
        <w:t xml:space="preserve">Секретариат запросил информацию о том, какие изменения были внесены в стратегию ПСС на 2027–2029 годы по результатам проведенных обстоятельных консультаций и анализа осуществления стратегии на 2024–2026 годы. ЮНЕП указала, что по итогам анализа и консультаций был сделан вывод о том, что основная модель предоставления услуг в рамках программы остается эффективной и актуальной, особенно в части деятельности региональных сетей, оказания содействия в обеспечении соблюдения соответствия, поддержки в области наращивания потенциала и мероприятий по линии сотрудничества Юг – Юг. Вместе с тем заинтересованные стороны указали на необходимость уделять больше внимания устойчивости достигнутых результатов, особенно в рамках подготовки к поэтапному отказу от ГХФУ к 2030 году и осуществлению КПР. Основные рекомендации включали переход от подхода, ориентированного на отдельные проекты, к более системной модели соблюдения соответствия, расширение поддержки систем лицензирования и квотирования ГФУ, совершенствование управления данными и цифровых инструментов, укрепление институционального потенциала НОО, повышение эффективности выполнения ЮНЕП функций механизма посредничества посредством разработки более стандартизированных руководящих материалов и информационно-аналитических продуктов, а также предоставление дополнительной поддержки в таких областях, как регулирование обращения с хладагентами на протяжении их жизненного цикла, устойчивое охлаждение, МКВ, энергоэффективность и сертификация технических специалистов. Таким образом, стратегия на 2027–2029 годы отражает эти </w:t>
      </w:r>
      <w:r>
        <w:rPr>
          <w:lang w:val="ru-RU"/>
        </w:rPr>
        <w:lastRenderedPageBreak/>
        <w:t>корректировки и представляет собой дальнейшее развитие ПСС, а не ее коренную перестройку, с усилением внимания к устойчивому обеспечению соблюдения соответствия, институциональной устойчивости, цифровизации и новым приоритетам, связанным с осуществлением Кигалийской поправки.</w:t>
      </w:r>
    </w:p>
    <w:p w14:paraId="3C2B5F05" w14:textId="769B24CA" w:rsidR="0051679B" w:rsidRPr="00011A55" w:rsidRDefault="00011A55" w:rsidP="001557BF">
      <w:pPr>
        <w:pStyle w:val="Heading1"/>
        <w:rPr>
          <w:lang w:val="ru-RU"/>
        </w:rPr>
      </w:pPr>
      <w:r>
        <w:rPr>
          <w:lang w:val="ru-RU"/>
        </w:rPr>
        <w:t>В ответ на вопрос о том, использует ли ПСС единую методологию во всех регионах для оценки рисков несоблюдения соответствия, осуществления мер политики, незаконной торговли и технических проблем в странах, действующих в рамках статьи 5, а также о том, каким образом региональные группы координируют и отслеживают последующие меры, ЮНЕП сообщила, что региональные группы ПСС используют согласованный подход, основанный на требованиях Монреальского протокола к представлению отчетности, решениях Исполнительного комитета и методологиях ПСС. Они оценивают соблюдение соответствия на основе данных, представляемых в соответствии со статьей 7, и данных СП, тенденций потребления, функционирования систем лицензирования и квотирования, хода осуществления проектов и регулярного взаимодействия с НОО. Мониторинг рисков несоблюдения соответствия и возникающих проблем осуществляется посредством проведения страновых оценок, совещаний сетей, миссий, консультаций и анализа изменений в области политики, нормативно-правового регулирования и незаконной торговли. Региональные группы обмениваются информацией и передовой практикой посредством совместного планирования, общих процессов представления отчетности, межрегиональных обменов, совместных совещаний и вебинаров, адаптируя при этом оказываемую поддержку к местным условиям. Собранная информация используется для раннего выявления рисков несоблюдения соответствия и разработки адресных мер по устранению пробелов в нормативно-правовой базе, институциональном потенциале, обеспечении соблюдения соответствия и технической сфере.</w:t>
      </w:r>
    </w:p>
    <w:p w14:paraId="72C18DC2" w14:textId="02FE67DC" w:rsidR="0051679B" w:rsidRPr="00011A55" w:rsidRDefault="00011A55" w:rsidP="001557BF">
      <w:pPr>
        <w:pStyle w:val="Heading1"/>
        <w:rPr>
          <w:lang w:val="ru-RU"/>
        </w:rPr>
      </w:pPr>
      <w:r>
        <w:rPr>
          <w:lang w:val="ru-RU"/>
        </w:rPr>
        <w:t>Секретариат запросил информацию о том, каким образом рекомендации по результатам проводимой в настоящее время оценки ПСС будут учтены в стратегии ПСС на 2027–2029 годы. ЮНЕП сообщила, что программа «ОзонЭкшн» рассмотрит выводы оценки после их получения и включит соответствующие рекомендации в планы работы ПСС на 2028 и 2029 годы. Это позволит по мере необходимости корректировать приоритеты, подходы и порядок предоставления услуг, продолжая при этом оказывать поддержку странам, действующим в рамках статьи 5, и учитывать меняющиеся потребности в области обеспечения соблюдения соответствия.</w:t>
      </w:r>
    </w:p>
    <w:p w14:paraId="01A7E982" w14:textId="5EFD14D0" w:rsidR="00EC7AA8" w:rsidRPr="00011A55" w:rsidRDefault="00011A55" w:rsidP="001557BF">
      <w:pPr>
        <w:pStyle w:val="Heading1"/>
        <w:rPr>
          <w:lang w:val="ru-RU"/>
        </w:rPr>
      </w:pPr>
      <w:r>
        <w:rPr>
          <w:lang w:val="ru-RU"/>
        </w:rPr>
        <w:t xml:space="preserve">Секретариат запросил информацию об одном из мероприятий по оказанию поддержки странам НОП в осуществлении Кигалийской поправки, предусматривающем реализацию экспериментального проекта в Кабо-Верде. Запрос касался того, каким образом усовершенствованные меры по обеспечению безопасности труда при обращении с воспламеняющимися, токсичными хладагентами и хладагентами, находящимися под высоким давлением, будут распространяться за пределы экспериментального проекта и включаться в национальные кодексы практики и системы сертификации в других странах. ЮНЕП сообщила, что в рамках экспериментального проекта апробируется практический и адаптируемый подход к управлению вышеупомянутыми рисками для безопасности, связанными с использованием хладагентов с низким ПГП. В рамках этой инициативы выявляются пробелы в подготовке кадров, сертификации, нормативно-правовом регулировании, обеспечении оборудованием и практике обеспечения безопасности, а также разрабатываются инструменты для их устранения, такие как диагностический инструментарий, методология оценки рисков, реестр технических специалистов и механизмы представления отчетности. Извлеченные уроки будут использованы при разработке стандартизированных учебных модулей, программ подготовки инструкторов, механизмов признания ранее приобретенных знаний и навыков технических специалистов, работающих в неформальном секторе, а также при включении требований охраны труда в системы сертификации технических специалистов, системы лицензирования и КПР. Полученные результаты будут объединены в рамочную программу обеспечения безопасности в секторе ХКВ для Африки, содержащую руководящие указания и дорожную карту по воспроизведению данного подхода, которые другие страны НОП смогут адаптировать к своим национальным условиям. </w:t>
      </w:r>
    </w:p>
    <w:p w14:paraId="31EA22A3" w14:textId="09346380" w:rsidR="00AB1E7E" w:rsidRPr="00011A55" w:rsidRDefault="00011A55" w:rsidP="001557BF">
      <w:pPr>
        <w:pStyle w:val="Heading1"/>
        <w:rPr>
          <w:lang w:val="ru-RU"/>
        </w:rPr>
      </w:pPr>
      <w:r>
        <w:rPr>
          <w:lang w:val="ru-RU"/>
        </w:rPr>
        <w:lastRenderedPageBreak/>
        <w:t>В ответ на запрос Секретариата относительно очевидного отсутствия программы лицензирования специалистов по работе с хладагентами (</w:t>
      </w:r>
      <w:r>
        <w:rPr>
          <w:lang w:val="en-US"/>
        </w:rPr>
        <w:t>Refrigerant</w:t>
      </w:r>
      <w:r>
        <w:rPr>
          <w:lang w:val="ru-RU"/>
        </w:rPr>
        <w:t xml:space="preserve"> </w:t>
      </w:r>
      <w:r>
        <w:rPr>
          <w:lang w:val="en-US"/>
        </w:rPr>
        <w:t>Driving</w:t>
      </w:r>
      <w:r>
        <w:rPr>
          <w:lang w:val="ru-RU"/>
        </w:rPr>
        <w:t xml:space="preserve"> </w:t>
      </w:r>
      <w:r>
        <w:rPr>
          <w:lang w:val="en-US"/>
        </w:rPr>
        <w:t>License</w:t>
      </w:r>
      <w:r>
        <w:rPr>
          <w:lang w:val="ru-RU"/>
        </w:rPr>
        <w:t xml:space="preserve">, </w:t>
      </w:r>
      <w:r>
        <w:rPr>
          <w:lang w:val="en-US"/>
        </w:rPr>
        <w:t>RDL</w:t>
      </w:r>
      <w:r>
        <w:rPr>
          <w:lang w:val="ru-RU"/>
        </w:rPr>
        <w:t xml:space="preserve">) в стратегии ПСС на 2027–2029 годы ЮНЕП разъяснила, что осуществление этой программы не прекращается. В рамках данной инициативы была успешно разработана и апробирована в шести странах различных регионов международно признанная система профессиональных компетенций для технических специалистов в области отопления, вентиляции, кондиционирования воздуха и холодильной техники, однако накопленный опыт показал, что международная система сертификации с централизованным управлением зачастую является слишком сложной и ресурсоемкой для широкого внедрения. В результате ЮНЕП завершила этап разработки программы </w:t>
      </w:r>
      <w:r>
        <w:rPr>
          <w:lang w:val="en-US"/>
        </w:rPr>
        <w:t>RDL</w:t>
      </w:r>
      <w:r>
        <w:rPr>
          <w:lang w:val="ru-RU"/>
        </w:rPr>
        <w:t xml:space="preserve"> и совместно с Европейской ассоциацией кондиционирования воздуха и холодильной техники преобразовала разработанную в ее рамках систему, инструменты и ресурсы в модульный инструментарий, который страны могут использовать для создания или укрепления собственных национальных систем профессиональной квалификации и сертификации технических специалистов с учетом местных нормативно-правовых и институциональных потребностей.</w:t>
      </w:r>
    </w:p>
    <w:p w14:paraId="02B01DF1" w14:textId="6F985ADC" w:rsidR="001E05B0" w:rsidRPr="00011A55" w:rsidRDefault="00011A55" w:rsidP="003C4D79">
      <w:pPr>
        <w:rPr>
          <w:i/>
          <w:iCs/>
          <w:lang w:val="ru-RU"/>
        </w:rPr>
      </w:pPr>
      <w:r>
        <w:rPr>
          <w:i/>
          <w:iCs/>
          <w:lang w:val="ru-RU"/>
        </w:rPr>
        <w:t>Запрошенный на 2027 год бюджет ПСС</w:t>
      </w:r>
    </w:p>
    <w:p w14:paraId="2506E614" w14:textId="77777777" w:rsidR="001E05B0" w:rsidRPr="00011A55" w:rsidRDefault="001E05B0" w:rsidP="003C4D79">
      <w:pPr>
        <w:rPr>
          <w:i/>
          <w:iCs/>
          <w:lang w:val="ru-RU"/>
        </w:rPr>
      </w:pPr>
    </w:p>
    <w:p w14:paraId="0EB49888" w14:textId="551C75F2" w:rsidR="003C4D79" w:rsidRPr="00011A55" w:rsidRDefault="00EA5A98" w:rsidP="0077714D">
      <w:pPr>
        <w:pStyle w:val="Heading1"/>
        <w:rPr>
          <w:lang w:val="ru-RU"/>
        </w:rPr>
      </w:pPr>
      <w:r>
        <w:rPr>
          <w:lang w:val="ru-RU"/>
        </w:rPr>
        <w:t>Касательно бюджета на 2027 год Секретариат запросил разъяснения по некоторым статьям, включенным в представленные материалы. Относительно причин увеличения бюджета на поездки на 8,75 процента (50 000 долл. США) ЮНЕП пояснила, что это увеличение направлено на расширение непосредственного содействия странам, действующим в рамках статьи 5, в критически важный период 2027–2029 годов, предшествующий установленному на 2030 год сроку поэтапного отказа от ГХФУ и ключевым контрольным срокам соблюдения соответствия в рамках Кигалийской поправки. Дополнительные средства на поездки позволят сотрудникам ПСС расширить поддержку непосредственно в странах по вопросам регулирования остаточного потребления ГХФУ в секторе обслуживания оборудования, систем лицензирования и квотирования ГФУ, проверки, осуществления КПР, регулирования обращения с хладагентами на протяжении их жизненного цикла и укрепления организационной структуры. Увеличение бюджета также позволит ПСС реагировать на запросы стран, нуждающихся в непосредственном практическом содействии, особенно стран, сталкивающихся с рисками несоблюдения соответствия, текучестью кадров в НОО и новыми проблемами в области нормативно-правового регулирования и представления отчетности.</w:t>
      </w:r>
    </w:p>
    <w:p w14:paraId="00F71DCD" w14:textId="15940101" w:rsidR="007F4001" w:rsidRPr="00EA5A98" w:rsidRDefault="00EA5A98" w:rsidP="0077714D">
      <w:pPr>
        <w:pStyle w:val="Heading1"/>
        <w:rPr>
          <w:lang w:val="ru-RU"/>
        </w:rPr>
      </w:pPr>
      <w:r>
        <w:rPr>
          <w:lang w:val="ru-RU"/>
        </w:rPr>
        <w:t>В отношении сокращения бюджетных ассигнований по статье, предназначенной для перевода материалов и информационно-просветительской деятельности, со 160 000 до 100 000 долл. США и введения новой статьи бюджета на поддержку цифровизации в размере 60 000 долл. США ЮНЕП разъяснила, что сокращение ассигнований не означает уменьшения масштабов информационно-коммуникационной деятельности, обмена знаниями или перевода материалов. Напротив, оно отражает переход от использования печатных материалов и проведения информационно-просветительских мероприятий к более экономически эффективным цифровым платформам, инструментам онлайн-обучения и электронным хранилищам информационных ресурсов при сохранении контроля качества переводных и информационно-коммуникационных материалов. Новая статья бюджета на поддержку цифровизации отвечает растущему спросу со стороны стран, действующих в рамках статьи 5, на цифровые решения и будет использоваться для поддержки таких мероприятий, как повышение осведомленности о цифровых инструментах и осуществление экспериментальных инициатив по разработке или совершенствованию электронных систем лицензирования и управления квотами.</w:t>
      </w:r>
    </w:p>
    <w:p w14:paraId="7D5CC186" w14:textId="72D32A59" w:rsidR="001E05B0" w:rsidRPr="00011A55" w:rsidRDefault="00011A55" w:rsidP="00431768">
      <w:pPr>
        <w:rPr>
          <w:i/>
          <w:iCs/>
          <w:lang w:val="ru-RU"/>
        </w:rPr>
      </w:pPr>
      <w:r>
        <w:rPr>
          <w:i/>
          <w:iCs/>
          <w:lang w:val="ru-RU"/>
        </w:rPr>
        <w:t xml:space="preserve">Проект по налаживанию связей – этап </w:t>
      </w:r>
      <w:r>
        <w:rPr>
          <w:i/>
          <w:iCs/>
        </w:rPr>
        <w:t>II</w:t>
      </w:r>
    </w:p>
    <w:p w14:paraId="4F5AB18B" w14:textId="77777777" w:rsidR="001E05B0" w:rsidRPr="00011A55" w:rsidRDefault="001E05B0" w:rsidP="00431768">
      <w:pPr>
        <w:rPr>
          <w:lang w:val="ru-RU"/>
        </w:rPr>
      </w:pPr>
    </w:p>
    <w:p w14:paraId="0248B63F" w14:textId="7B746DBA" w:rsidR="00ED19FF" w:rsidRPr="00EA5A98" w:rsidRDefault="00EA5A98" w:rsidP="00EA5A98">
      <w:pPr>
        <w:pStyle w:val="Heading1"/>
        <w:rPr>
          <w:lang w:val="ru-RU"/>
        </w:rPr>
      </w:pPr>
      <w:r>
        <w:rPr>
          <w:lang w:val="ru-RU"/>
        </w:rPr>
        <w:t>В отношении проекта по налаживанию связей Секретариат отметил задержки по сравнению с первоначальным графиком осуществления проекта, в связи с чем ЮНЕП пояснила, что отклонение от графика обусловлено целенаправленными усилиями по обеспечению качества, актуальности и практической применимости результатов проекта:</w:t>
      </w:r>
    </w:p>
    <w:p w14:paraId="541E9C76" w14:textId="3CA27EC4" w:rsidR="00431768" w:rsidRPr="00EA5A98" w:rsidRDefault="00EA5A98" w:rsidP="00D5065D">
      <w:pPr>
        <w:pStyle w:val="Heading2"/>
        <w:ind w:left="1440" w:hanging="720"/>
        <w:rPr>
          <w:lang w:val="ru-RU"/>
        </w:rPr>
      </w:pPr>
      <w:r>
        <w:rPr>
          <w:lang w:val="ru-RU"/>
        </w:rPr>
        <w:lastRenderedPageBreak/>
        <w:t>Что касается мероприятий по оценке региональных потребностей, ЮНЕП отдала приоритет получению всесторонней и репрезентативной информации, а не подготовке оценок на основе неполных данных, поскольку эти оценки призваны служить основой для формирования повесток дня семинаров-практикумов, определения приоритетных тем и конкретных примеров из практики, а также обеспечения соответствия информационно-аналитических материалов реальным национальным и региональным потребностям. Таким образом, продление периода консультаций является необходимой и важной мерой по обеспечению качества и ответственности стран за осуществление проекта.</w:t>
      </w:r>
    </w:p>
    <w:p w14:paraId="2B1443B2" w14:textId="4F835454" w:rsidR="00431768" w:rsidRPr="00EA5A98" w:rsidRDefault="00EA5A98" w:rsidP="00D5065D">
      <w:pPr>
        <w:pStyle w:val="Heading2"/>
        <w:ind w:left="1440" w:hanging="720"/>
        <w:rPr>
          <w:lang w:val="ru-RU"/>
        </w:rPr>
      </w:pPr>
      <w:r>
        <w:rPr>
          <w:lang w:val="ru-RU"/>
        </w:rPr>
        <w:t xml:space="preserve">Что касается мероприятий по разработке информационно-аналитических материалов, ЮНЕП указала, что разработка или техническая экспертиза ряда инструментов и ресурсов находится на завершающей стадии, отметив, что эти материалы разрабатываются не как отдельные публикации, а как практические комплекты материалов для осуществления мероприятий, сопровождаемые вспомогательными ресурсами для их внедрения, такими как руководства пользователей, презентации, методические указания для ведущих занятий, упражнения и рекомендации по внедрению на национальном уровне. Все материалы также готовятся на английском, французском и испанском языках. Дополнительные усилия по разработке и рассмотрению материалов отражают уроки, извлеченные из осуществления этапа </w:t>
      </w:r>
      <w:r>
        <w:rPr>
          <w:lang w:val="en-US"/>
        </w:rPr>
        <w:t>I</w:t>
      </w:r>
      <w:r>
        <w:rPr>
          <w:lang w:val="ru-RU"/>
        </w:rPr>
        <w:t xml:space="preserve">, а именно необходимость предоставления странам практических инструментов многократного использования и структурированных руководящих указаний для поддержки долгосрочного осуществления мероприятий. </w:t>
      </w:r>
    </w:p>
    <w:p w14:paraId="4C9EFAA5" w14:textId="2DB2BDEC" w:rsidR="00431768" w:rsidRPr="00EA5A98" w:rsidRDefault="00EA5A98" w:rsidP="00D5065D">
      <w:pPr>
        <w:pStyle w:val="Heading2"/>
        <w:ind w:left="1440" w:hanging="720"/>
        <w:rPr>
          <w:lang w:val="ru-RU"/>
        </w:rPr>
      </w:pPr>
      <w:r>
        <w:rPr>
          <w:lang w:val="ru-RU"/>
        </w:rPr>
        <w:t xml:space="preserve">Что касается семинаров-практикумов по налаживанию связей, ЮНЕП пояснила, что они призваны стать этапом практического внедрения и применения результатов этапа </w:t>
      </w:r>
      <w:r>
        <w:rPr>
          <w:lang w:val="en-US"/>
        </w:rPr>
        <w:t>II</w:t>
      </w:r>
      <w:r>
        <w:rPr>
          <w:lang w:val="ru-RU"/>
        </w:rPr>
        <w:t>. Их проведение на более позднем этапе проекта позволит обеспечить окончательную доработку всех информационно-аналитических материалов и инструментов и их эффективное использование в ходе практической подготовки, взаимного обмена опытом, изучения конкретных примеров из практики стран, выполнения практических упражнений и планирования действий на национальном уровне, что позволит максимально повысить качество и результативность процесса налаживания связей.</w:t>
      </w:r>
    </w:p>
    <w:p w14:paraId="065D09F4" w14:textId="31B63FB9" w:rsidR="00F0445E" w:rsidRPr="00EA5A98" w:rsidRDefault="00EA5A98" w:rsidP="0077714D">
      <w:pPr>
        <w:pStyle w:val="Heading1"/>
        <w:rPr>
          <w:lang w:val="ru-RU"/>
        </w:rPr>
      </w:pPr>
      <w:r>
        <w:rPr>
          <w:lang w:val="ru-RU"/>
        </w:rPr>
        <w:t xml:space="preserve">В ответ на вопрос о том, каким образом ЮНЕП учла уроки, извлеченные из осуществления проектов в области энергоэффективности, утвержденных в соответствии с решениями 89/6 и 91/65, ЮНЕП подчеркнула, что это остается одним из ключевых элементов этапа </w:t>
      </w:r>
      <w:r>
        <w:rPr>
          <w:lang w:val="en-GB"/>
        </w:rPr>
        <w:t>II</w:t>
      </w:r>
      <w:r>
        <w:rPr>
          <w:lang w:val="ru-RU"/>
        </w:rPr>
        <w:t xml:space="preserve"> и что основные уроки и опыт, накопленные в ходе осуществления этих проектов, будут учтены при подготовке информационно-аналитических материалов, разрабатываемых в настоящее время</w:t>
      </w:r>
      <w:r>
        <w:rPr>
          <w:rStyle w:val="FootnoteReference"/>
          <w:lang w:val="en-GB"/>
        </w:rPr>
        <w:footnoteReference w:id="19"/>
      </w:r>
      <w:r>
        <w:rPr>
          <w:lang w:val="ru-RU"/>
        </w:rPr>
        <w:t>. Предполагается, что эти материалы будут включать информацию о СМЭЭ и энергетической маркировке, механизмах межведомственной координации, профессиональной подготовке и сертификации, надзоре за рынком и правоприменении, механизмах финансирования, а также мероприятиях по повышению осведомленности и информационно-просветительской деятельности.</w:t>
      </w:r>
    </w:p>
    <w:p w14:paraId="398C5BBB" w14:textId="02F4F173" w:rsidR="00D60B74" w:rsidRPr="00EA5A98" w:rsidRDefault="00EA5A98" w:rsidP="0077714D">
      <w:pPr>
        <w:pStyle w:val="Heading1"/>
        <w:rPr>
          <w:lang w:val="ru-RU"/>
        </w:rPr>
      </w:pPr>
      <w:r>
        <w:rPr>
          <w:lang w:val="ru-RU"/>
        </w:rPr>
        <w:t xml:space="preserve">Секретариат также запросил у ЮНЕП информацию об ожидаемых результатах в области финансовой грамотности и доступа к финансированию, а также о выполнении рекомендации, вынесенной по итогам этапа </w:t>
      </w:r>
      <w:r>
        <w:rPr>
          <w:lang w:val="en-US"/>
        </w:rPr>
        <w:t>I</w:t>
      </w:r>
      <w:r>
        <w:rPr>
          <w:lang w:val="ru-RU"/>
        </w:rPr>
        <w:t xml:space="preserve">, относительно инновационных механизмов финансирования, в ответ на что ЮНЕП указала, что эти вопросы остаются важными компонентами этапа </w:t>
      </w:r>
      <w:r>
        <w:rPr>
          <w:lang w:val="en-US"/>
        </w:rPr>
        <w:t>II</w:t>
      </w:r>
      <w:r>
        <w:rPr>
          <w:lang w:val="ru-RU"/>
        </w:rPr>
        <w:t xml:space="preserve"> и будут включены как в информационно-аналитические материалы, так и в программу семинаров-практикумов по </w:t>
      </w:r>
      <w:r>
        <w:rPr>
          <w:lang w:val="ru-RU"/>
        </w:rPr>
        <w:lastRenderedPageBreak/>
        <w:t>налаживанию связей, запланированных на 2027 год. Вопросы финансирования будут рассматриваться в качестве сквозного аспекта осуществления мероприятий с целью содействия более глубокому пониманию НСО и заинтересованными сторонами в области энергоэффективности имеющихся вариантов финансирования, необходимых условий для его привлечения и способов увязки возможностей финансирования с национальной политикой, КПР и более широкими инициативами в области энергоэффективности и охлаждения.</w:t>
      </w:r>
    </w:p>
    <w:p w14:paraId="75EB8049" w14:textId="22049482" w:rsidR="00B767D8" w:rsidRPr="00B93438" w:rsidRDefault="00B93438" w:rsidP="0077714D">
      <w:pPr>
        <w:pStyle w:val="Heading1"/>
        <w:rPr>
          <w:lang w:val="ru-RU"/>
        </w:rPr>
      </w:pPr>
      <w:r>
        <w:rPr>
          <w:lang w:val="ru-RU"/>
        </w:rPr>
        <w:t>Учитывая, что проведение всех региональных семинаров-практикумов по налаживанию связей было перенесено на 2027 год, Секретариат запросил разъяснения относительно реалистичности такого графика и мер по снижению основных рисков дальнейших задержек. ЮНЕП подтвердила возможность соблюдения пересмотренного графика, признав при этом, что новые сроки осуществления проекта являются весьма сжатыми. ЮНЕП отметила, что пересмотренная последовательность мероприятий по-прежнему соответствует предусмотренному проектом поэтапному переходу от оценки потребностей и разработки информационно-аналитических материалов к их практическому применению в ходе семинаров-практикумов по налаживанию связей. Признавая риски, связанные со сжатыми сроками, ЮНЕП планирует предотвращать дальнейшие задержки путем параллельного осуществления мероприятий, постоянного мониторинга и принятия корректирующих мер.</w:t>
      </w:r>
    </w:p>
    <w:p w14:paraId="22A57D39" w14:textId="4A7903FB" w:rsidR="008554CF" w:rsidRPr="00B93438" w:rsidRDefault="00B93438" w:rsidP="001557BF">
      <w:pPr>
        <w:pStyle w:val="Heading1"/>
        <w:rPr>
          <w:lang w:val="ru-RU"/>
        </w:rPr>
      </w:pPr>
      <w:r>
        <w:rPr>
          <w:lang w:val="ru-RU"/>
        </w:rPr>
        <w:t xml:space="preserve">В таблице 2 представлено сопоставление утвержденного бюджета ПСС на 2026 год и предлагаемого бюджета на 2027 год.  </w:t>
      </w:r>
    </w:p>
    <w:p w14:paraId="55F804FE" w14:textId="43A5C317" w:rsidR="000E6489" w:rsidRPr="00B93438" w:rsidRDefault="00B93438" w:rsidP="000E6489">
      <w:pPr>
        <w:pStyle w:val="Heading1"/>
        <w:keepNext/>
        <w:numPr>
          <w:ilvl w:val="0"/>
          <w:numId w:val="0"/>
        </w:numPr>
        <w:tabs>
          <w:tab w:val="left" w:pos="720"/>
        </w:tabs>
        <w:spacing w:after="0"/>
        <w:rPr>
          <w:b/>
          <w:highlight w:val="yellow"/>
          <w:lang w:val="ru-RU"/>
        </w:rPr>
      </w:pPr>
      <w:r>
        <w:rPr>
          <w:b/>
          <w:lang w:val="ru-RU"/>
        </w:rPr>
        <w:t>Таблица 2. Сопоставление утвержденного бюджета ПСС на 2026 год и предлагаемого бюджета на 2027 год (в долл. США)</w:t>
      </w:r>
    </w:p>
    <w:tbl>
      <w:tblPr>
        <w:tblW w:w="5000" w:type="pct"/>
        <w:tblLayout w:type="fixed"/>
        <w:tblLook w:val="04A0" w:firstRow="1" w:lastRow="0" w:firstColumn="1" w:lastColumn="0" w:noHBand="0" w:noVBand="1"/>
      </w:tblPr>
      <w:tblGrid>
        <w:gridCol w:w="2537"/>
        <w:gridCol w:w="1994"/>
        <w:gridCol w:w="1984"/>
        <w:gridCol w:w="1418"/>
        <w:gridCol w:w="1507"/>
      </w:tblGrid>
      <w:tr w:rsidR="00B93438" w:rsidRPr="000E6489" w14:paraId="1B47B59E" w14:textId="77777777" w:rsidTr="00B93438">
        <w:trPr>
          <w:tblHeader/>
        </w:trPr>
        <w:tc>
          <w:tcPr>
            <w:tcW w:w="1344" w:type="pct"/>
            <w:tcBorders>
              <w:top w:val="single" w:sz="4" w:space="0" w:color="auto"/>
              <w:left w:val="single" w:sz="4" w:space="0" w:color="auto"/>
              <w:bottom w:val="single" w:sz="4" w:space="0" w:color="auto"/>
              <w:right w:val="single" w:sz="4" w:space="0" w:color="auto"/>
            </w:tcBorders>
            <w:noWrap/>
            <w:vAlign w:val="center"/>
            <w:hideMark/>
          </w:tcPr>
          <w:p w14:paraId="26E46F1F" w14:textId="58D84031" w:rsidR="00B93438" w:rsidRPr="00B93438" w:rsidRDefault="00B93438" w:rsidP="00B93438">
            <w:pPr>
              <w:keepNext/>
              <w:jc w:val="left"/>
              <w:rPr>
                <w:b/>
                <w:color w:val="000000"/>
                <w:sz w:val="20"/>
                <w:szCs w:val="20"/>
                <w:lang w:val="ru-RU" w:eastAsia="en-CA"/>
              </w:rPr>
            </w:pPr>
            <w:r>
              <w:rPr>
                <w:b/>
                <w:color w:val="000000"/>
                <w:sz w:val="20"/>
                <w:szCs w:val="20"/>
                <w:lang w:val="ru-RU" w:eastAsia="en-CA"/>
              </w:rPr>
              <w:t>Статья бюджета</w:t>
            </w:r>
          </w:p>
        </w:tc>
        <w:tc>
          <w:tcPr>
            <w:tcW w:w="1056"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2487D2DA" w14:textId="6FA7812A" w:rsidR="00B93438" w:rsidRPr="00D45F2C" w:rsidRDefault="00B93438" w:rsidP="00B93438">
            <w:pPr>
              <w:keepNext/>
              <w:jc w:val="center"/>
              <w:rPr>
                <w:b/>
                <w:color w:val="000000"/>
                <w:sz w:val="20"/>
                <w:szCs w:val="20"/>
                <w:lang w:eastAsia="en-CA"/>
              </w:rPr>
            </w:pPr>
            <w:r>
              <w:rPr>
                <w:b/>
                <w:color w:val="000000"/>
                <w:sz w:val="20"/>
                <w:szCs w:val="20"/>
                <w:lang w:val="ru-RU" w:eastAsia="en-CA"/>
              </w:rPr>
              <w:t xml:space="preserve">Утвержденный бюджет на 2026 г. </w:t>
            </w:r>
          </w:p>
        </w:tc>
        <w:tc>
          <w:tcPr>
            <w:tcW w:w="105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09B0BFD4" w14:textId="61910DC9" w:rsidR="00B93438" w:rsidRPr="00D45F2C" w:rsidRDefault="00B93438" w:rsidP="00B93438">
            <w:pPr>
              <w:keepNext/>
              <w:jc w:val="center"/>
              <w:rPr>
                <w:b/>
                <w:color w:val="000000"/>
                <w:sz w:val="20"/>
                <w:szCs w:val="20"/>
                <w:lang w:eastAsia="en-CA"/>
              </w:rPr>
            </w:pPr>
            <w:r>
              <w:rPr>
                <w:b/>
                <w:color w:val="000000"/>
                <w:sz w:val="20"/>
                <w:szCs w:val="20"/>
                <w:lang w:val="ru-RU" w:eastAsia="en-CA"/>
              </w:rPr>
              <w:t xml:space="preserve">Предлагаемый бюджет на 2027 г. </w:t>
            </w:r>
          </w:p>
        </w:tc>
        <w:tc>
          <w:tcPr>
            <w:tcW w:w="75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5CBBD831" w14:textId="2D150E25" w:rsidR="00B93438" w:rsidRPr="00D45F2C" w:rsidRDefault="00B93438" w:rsidP="00B93438">
            <w:pPr>
              <w:keepNext/>
              <w:jc w:val="center"/>
              <w:rPr>
                <w:b/>
                <w:color w:val="000000"/>
                <w:sz w:val="20"/>
                <w:szCs w:val="20"/>
                <w:lang w:eastAsia="en-CA"/>
              </w:rPr>
            </w:pPr>
            <w:r>
              <w:rPr>
                <w:b/>
                <w:color w:val="000000"/>
                <w:sz w:val="20"/>
                <w:szCs w:val="20"/>
                <w:lang w:val="ru-RU" w:eastAsia="en-CA"/>
              </w:rPr>
              <w:t>Разница</w:t>
            </w:r>
            <w:r>
              <w:rPr>
                <w:b/>
                <w:color w:val="000000"/>
                <w:sz w:val="20"/>
                <w:szCs w:val="20"/>
                <w:lang w:eastAsia="en-CA"/>
              </w:rPr>
              <w:t xml:space="preserve"> </w:t>
            </w:r>
          </w:p>
        </w:tc>
        <w:tc>
          <w:tcPr>
            <w:tcW w:w="798"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2D61C823" w14:textId="0E7A0CA4" w:rsidR="00B93438" w:rsidRPr="00D45F2C" w:rsidRDefault="00B93438" w:rsidP="00B93438">
            <w:pPr>
              <w:keepNext/>
              <w:jc w:val="center"/>
              <w:rPr>
                <w:b/>
                <w:color w:val="000000"/>
                <w:sz w:val="20"/>
                <w:szCs w:val="20"/>
                <w:lang w:eastAsia="en-CA"/>
              </w:rPr>
            </w:pPr>
            <w:r>
              <w:rPr>
                <w:b/>
                <w:color w:val="000000"/>
                <w:sz w:val="20"/>
                <w:szCs w:val="20"/>
                <w:lang w:val="ru-RU" w:eastAsia="en-CA"/>
              </w:rPr>
              <w:t>Изменение</w:t>
            </w:r>
            <w:r>
              <w:rPr>
                <w:b/>
                <w:color w:val="000000"/>
                <w:sz w:val="20"/>
                <w:szCs w:val="20"/>
                <w:lang w:eastAsia="en-CA"/>
              </w:rPr>
              <w:t xml:space="preserve"> (</w:t>
            </w:r>
            <w:r>
              <w:rPr>
                <w:b/>
                <w:color w:val="000000"/>
                <w:sz w:val="20"/>
                <w:szCs w:val="20"/>
                <w:lang w:val="ru-RU" w:eastAsia="en-CA"/>
              </w:rPr>
              <w:t>в </w:t>
            </w:r>
            <w:r>
              <w:rPr>
                <w:b/>
                <w:color w:val="000000"/>
                <w:sz w:val="20"/>
                <w:szCs w:val="20"/>
                <w:lang w:eastAsia="en-CA"/>
              </w:rPr>
              <w:t xml:space="preserve">%) </w:t>
            </w:r>
          </w:p>
        </w:tc>
      </w:tr>
      <w:tr w:rsidR="00D45F2C" w:rsidRPr="000E6489" w14:paraId="22389F90" w14:textId="77777777" w:rsidTr="00B93438">
        <w:trPr>
          <w:trHeight w:val="70"/>
        </w:trPr>
        <w:tc>
          <w:tcPr>
            <w:tcW w:w="1344" w:type="pct"/>
            <w:tcBorders>
              <w:top w:val="nil"/>
              <w:left w:val="single" w:sz="4" w:space="0" w:color="auto"/>
              <w:bottom w:val="single" w:sz="4" w:space="0" w:color="auto"/>
              <w:right w:val="single" w:sz="4" w:space="0" w:color="auto"/>
            </w:tcBorders>
            <w:hideMark/>
          </w:tcPr>
          <w:p w14:paraId="290F2C24" w14:textId="2A628405" w:rsidR="00D45F2C" w:rsidRPr="00D45F2C" w:rsidRDefault="00D45F2C" w:rsidP="00D45F2C">
            <w:pPr>
              <w:jc w:val="left"/>
              <w:rPr>
                <w:color w:val="000000"/>
                <w:sz w:val="20"/>
                <w:szCs w:val="20"/>
                <w:lang w:eastAsia="en-CA"/>
              </w:rPr>
            </w:pPr>
            <w:r>
              <w:rPr>
                <w:color w:val="000000"/>
                <w:sz w:val="20"/>
                <w:szCs w:val="20"/>
                <w:lang w:eastAsia="en-CA"/>
              </w:rPr>
              <w:t>1100 (</w:t>
            </w:r>
            <w:r>
              <w:rPr>
                <w:color w:val="000000"/>
                <w:sz w:val="20"/>
                <w:szCs w:val="20"/>
                <w:lang w:val="ru-RU" w:eastAsia="en-CA"/>
              </w:rPr>
              <w:t>штатный персонал</w:t>
            </w:r>
            <w:r>
              <w:rPr>
                <w:color w:val="000000"/>
                <w:sz w:val="20"/>
                <w:szCs w:val="20"/>
                <w:lang w:eastAsia="en-CA"/>
              </w:rPr>
              <w:t>)</w:t>
            </w:r>
          </w:p>
        </w:tc>
        <w:tc>
          <w:tcPr>
            <w:tcW w:w="105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61D2E54" w14:textId="2E0C1B03" w:rsidR="00D45F2C" w:rsidRPr="00D45F2C" w:rsidRDefault="00D45F2C" w:rsidP="00D45F2C">
            <w:pPr>
              <w:jc w:val="right"/>
              <w:rPr>
                <w:color w:val="000000"/>
                <w:sz w:val="20"/>
                <w:szCs w:val="20"/>
                <w:lang w:eastAsia="en-CA"/>
              </w:rPr>
            </w:pPr>
            <w:r>
              <w:rPr>
                <w:color w:val="000000"/>
                <w:sz w:val="20"/>
                <w:szCs w:val="20"/>
              </w:rPr>
              <w:t>8 090 167</w:t>
            </w:r>
          </w:p>
        </w:tc>
        <w:tc>
          <w:tcPr>
            <w:tcW w:w="105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88730C4" w14:textId="78C9BB9C" w:rsidR="00D45F2C" w:rsidRPr="00D45F2C" w:rsidRDefault="00D45F2C" w:rsidP="00D45F2C">
            <w:pPr>
              <w:jc w:val="right"/>
              <w:rPr>
                <w:color w:val="000000"/>
                <w:sz w:val="20"/>
                <w:szCs w:val="20"/>
                <w:lang w:eastAsia="en-CA"/>
              </w:rPr>
            </w:pPr>
            <w:r>
              <w:rPr>
                <w:color w:val="000000"/>
                <w:sz w:val="20"/>
                <w:szCs w:val="20"/>
              </w:rPr>
              <w:t>8</w:t>
            </w:r>
            <w:r>
              <w:rPr>
                <w:color w:val="000000"/>
                <w:sz w:val="20"/>
                <w:szCs w:val="20"/>
                <w:lang w:val="ru-RU"/>
              </w:rPr>
              <w:t xml:space="preserve"> </w:t>
            </w:r>
            <w:r>
              <w:rPr>
                <w:color w:val="000000"/>
                <w:sz w:val="20"/>
                <w:szCs w:val="20"/>
              </w:rPr>
              <w:t>332</w:t>
            </w:r>
            <w:r>
              <w:rPr>
                <w:color w:val="000000"/>
                <w:sz w:val="20"/>
                <w:szCs w:val="20"/>
                <w:lang w:val="ru-RU"/>
              </w:rPr>
              <w:t xml:space="preserve"> </w:t>
            </w:r>
            <w:r>
              <w:rPr>
                <w:color w:val="000000"/>
                <w:sz w:val="20"/>
                <w:szCs w:val="20"/>
              </w:rPr>
              <w:t>983</w:t>
            </w:r>
          </w:p>
        </w:tc>
        <w:tc>
          <w:tcPr>
            <w:tcW w:w="75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566D0C2" w14:textId="634733A3" w:rsidR="00D45F2C" w:rsidRPr="00D45F2C" w:rsidRDefault="00D45F2C" w:rsidP="00D45F2C">
            <w:pPr>
              <w:jc w:val="right"/>
              <w:rPr>
                <w:color w:val="000000"/>
                <w:sz w:val="20"/>
                <w:szCs w:val="20"/>
                <w:lang w:eastAsia="en-CA"/>
              </w:rPr>
            </w:pPr>
            <w:r>
              <w:rPr>
                <w:color w:val="000000"/>
                <w:sz w:val="20"/>
                <w:szCs w:val="20"/>
              </w:rPr>
              <w:t>242</w:t>
            </w:r>
            <w:r>
              <w:rPr>
                <w:color w:val="000000"/>
                <w:sz w:val="20"/>
                <w:szCs w:val="20"/>
                <w:lang w:val="ru-RU"/>
              </w:rPr>
              <w:t xml:space="preserve"> </w:t>
            </w:r>
            <w:r>
              <w:rPr>
                <w:color w:val="000000"/>
                <w:sz w:val="20"/>
                <w:szCs w:val="20"/>
              </w:rPr>
              <w:t>816</w:t>
            </w:r>
          </w:p>
        </w:tc>
        <w:tc>
          <w:tcPr>
            <w:tcW w:w="798"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463581F" w14:textId="3E83C7AC" w:rsidR="00D45F2C" w:rsidRPr="00D45F2C" w:rsidRDefault="00D45F2C" w:rsidP="00D45F2C">
            <w:pPr>
              <w:jc w:val="right"/>
              <w:rPr>
                <w:color w:val="000000"/>
                <w:sz w:val="20"/>
                <w:szCs w:val="20"/>
                <w:lang w:eastAsia="en-CA"/>
              </w:rPr>
            </w:pPr>
            <w:r>
              <w:rPr>
                <w:color w:val="000000"/>
                <w:sz w:val="20"/>
                <w:szCs w:val="20"/>
              </w:rPr>
              <w:t>3</w:t>
            </w:r>
            <w:r>
              <w:rPr>
                <w:color w:val="000000"/>
                <w:sz w:val="20"/>
                <w:szCs w:val="20"/>
                <w:lang w:val="ru-RU"/>
              </w:rPr>
              <w:t>,</w:t>
            </w:r>
            <w:r>
              <w:rPr>
                <w:color w:val="000000"/>
                <w:sz w:val="20"/>
                <w:szCs w:val="20"/>
              </w:rPr>
              <w:t>00</w:t>
            </w:r>
          </w:p>
        </w:tc>
      </w:tr>
      <w:tr w:rsidR="00D45F2C" w:rsidRPr="000E6489" w14:paraId="6B620080" w14:textId="77777777" w:rsidTr="00B93438">
        <w:tc>
          <w:tcPr>
            <w:tcW w:w="1344" w:type="pct"/>
            <w:tcBorders>
              <w:top w:val="nil"/>
              <w:left w:val="single" w:sz="4" w:space="0" w:color="auto"/>
              <w:bottom w:val="single" w:sz="4" w:space="0" w:color="auto"/>
              <w:right w:val="single" w:sz="4" w:space="0" w:color="auto"/>
            </w:tcBorders>
            <w:hideMark/>
          </w:tcPr>
          <w:p w14:paraId="714E2C5A" w14:textId="5CD23965" w:rsidR="00D45F2C" w:rsidRPr="00D45F2C" w:rsidRDefault="00D45F2C" w:rsidP="00D45F2C">
            <w:pPr>
              <w:jc w:val="left"/>
              <w:rPr>
                <w:color w:val="000000"/>
                <w:sz w:val="20"/>
                <w:szCs w:val="20"/>
                <w:lang w:eastAsia="en-CA"/>
              </w:rPr>
            </w:pPr>
            <w:r>
              <w:rPr>
                <w:color w:val="000000"/>
                <w:sz w:val="20"/>
                <w:szCs w:val="20"/>
                <w:lang w:eastAsia="en-CA"/>
              </w:rPr>
              <w:t>1600 (</w:t>
            </w:r>
            <w:r>
              <w:rPr>
                <w:color w:val="000000"/>
                <w:sz w:val="20"/>
                <w:szCs w:val="20"/>
                <w:lang w:val="ru-RU" w:eastAsia="en-CA"/>
              </w:rPr>
              <w:t>поездки</w:t>
            </w:r>
            <w:r>
              <w:rPr>
                <w:color w:val="000000"/>
                <w:sz w:val="20"/>
                <w:szCs w:val="20"/>
                <w:lang w:eastAsia="en-CA"/>
              </w:rPr>
              <w:t>)</w:t>
            </w:r>
          </w:p>
        </w:tc>
        <w:tc>
          <w:tcPr>
            <w:tcW w:w="105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F087F1D" w14:textId="22E8C037" w:rsidR="00D45F2C" w:rsidRPr="00D45F2C" w:rsidRDefault="00D45F2C" w:rsidP="00D45F2C">
            <w:pPr>
              <w:jc w:val="right"/>
              <w:rPr>
                <w:color w:val="000000"/>
                <w:sz w:val="20"/>
                <w:szCs w:val="20"/>
                <w:lang w:eastAsia="en-CA"/>
              </w:rPr>
            </w:pPr>
            <w:r>
              <w:rPr>
                <w:color w:val="000000"/>
                <w:sz w:val="20"/>
                <w:szCs w:val="20"/>
              </w:rPr>
              <w:t>571 400</w:t>
            </w:r>
          </w:p>
        </w:tc>
        <w:tc>
          <w:tcPr>
            <w:tcW w:w="105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40176A4" w14:textId="25213844" w:rsidR="00D45F2C" w:rsidRPr="00D45F2C" w:rsidRDefault="00D45F2C" w:rsidP="00D45F2C">
            <w:pPr>
              <w:jc w:val="right"/>
              <w:rPr>
                <w:bCs/>
                <w:sz w:val="20"/>
                <w:szCs w:val="20"/>
              </w:rPr>
            </w:pPr>
            <w:r>
              <w:rPr>
                <w:color w:val="000000"/>
                <w:sz w:val="20"/>
                <w:szCs w:val="20"/>
              </w:rPr>
              <w:t>621</w:t>
            </w:r>
            <w:r>
              <w:rPr>
                <w:color w:val="000000"/>
                <w:sz w:val="20"/>
                <w:szCs w:val="20"/>
                <w:lang w:val="ru-RU"/>
              </w:rPr>
              <w:t xml:space="preserve"> </w:t>
            </w:r>
            <w:r>
              <w:rPr>
                <w:color w:val="000000"/>
                <w:sz w:val="20"/>
                <w:szCs w:val="20"/>
              </w:rPr>
              <w:t>400</w:t>
            </w:r>
          </w:p>
        </w:tc>
        <w:tc>
          <w:tcPr>
            <w:tcW w:w="75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7315C21" w14:textId="141B9972" w:rsidR="00D45F2C" w:rsidRPr="00D45F2C" w:rsidRDefault="00D45F2C" w:rsidP="00D45F2C">
            <w:pPr>
              <w:jc w:val="right"/>
              <w:rPr>
                <w:color w:val="000000"/>
                <w:sz w:val="20"/>
                <w:szCs w:val="20"/>
                <w:lang w:eastAsia="en-CA"/>
              </w:rPr>
            </w:pPr>
            <w:r>
              <w:rPr>
                <w:color w:val="000000"/>
                <w:sz w:val="20"/>
                <w:szCs w:val="20"/>
              </w:rPr>
              <w:t>50</w:t>
            </w:r>
            <w:r>
              <w:rPr>
                <w:color w:val="000000"/>
                <w:sz w:val="20"/>
                <w:szCs w:val="20"/>
                <w:lang w:val="ru-RU"/>
              </w:rPr>
              <w:t xml:space="preserve"> </w:t>
            </w:r>
            <w:r>
              <w:rPr>
                <w:color w:val="000000"/>
                <w:sz w:val="20"/>
                <w:szCs w:val="20"/>
              </w:rPr>
              <w:t>000</w:t>
            </w:r>
          </w:p>
        </w:tc>
        <w:tc>
          <w:tcPr>
            <w:tcW w:w="798"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BA81CB4" w14:textId="0B356CFC" w:rsidR="00D45F2C" w:rsidRPr="00D45F2C" w:rsidRDefault="00D45F2C" w:rsidP="00D45F2C">
            <w:pPr>
              <w:jc w:val="right"/>
              <w:rPr>
                <w:color w:val="000000"/>
                <w:sz w:val="20"/>
                <w:szCs w:val="20"/>
                <w:lang w:eastAsia="en-CA"/>
              </w:rPr>
            </w:pPr>
            <w:r>
              <w:rPr>
                <w:color w:val="000000"/>
                <w:sz w:val="20"/>
                <w:szCs w:val="20"/>
              </w:rPr>
              <w:t>8</w:t>
            </w:r>
            <w:r>
              <w:rPr>
                <w:color w:val="000000"/>
                <w:sz w:val="20"/>
                <w:szCs w:val="20"/>
                <w:lang w:val="ru-RU"/>
              </w:rPr>
              <w:t>,</w:t>
            </w:r>
            <w:r>
              <w:rPr>
                <w:color w:val="000000"/>
                <w:sz w:val="20"/>
                <w:szCs w:val="20"/>
              </w:rPr>
              <w:t>75</w:t>
            </w:r>
          </w:p>
        </w:tc>
      </w:tr>
      <w:tr w:rsidR="00D45F2C" w:rsidRPr="000E6489" w14:paraId="186D7F01" w14:textId="77777777" w:rsidTr="00B93438">
        <w:tc>
          <w:tcPr>
            <w:tcW w:w="1344" w:type="pct"/>
            <w:tcBorders>
              <w:top w:val="nil"/>
              <w:left w:val="single" w:sz="4" w:space="0" w:color="auto"/>
              <w:bottom w:val="single" w:sz="4" w:space="0" w:color="auto"/>
              <w:right w:val="single" w:sz="4" w:space="0" w:color="auto"/>
            </w:tcBorders>
            <w:hideMark/>
          </w:tcPr>
          <w:p w14:paraId="29BA29E9" w14:textId="3C75EFA8" w:rsidR="00D45F2C" w:rsidRPr="00D45F2C" w:rsidRDefault="00D45F2C" w:rsidP="00D45F2C">
            <w:pPr>
              <w:jc w:val="left"/>
              <w:rPr>
                <w:color w:val="000000"/>
                <w:sz w:val="20"/>
                <w:szCs w:val="20"/>
                <w:lang w:eastAsia="en-CA"/>
              </w:rPr>
            </w:pPr>
            <w:r>
              <w:rPr>
                <w:color w:val="000000"/>
                <w:sz w:val="20"/>
                <w:szCs w:val="20"/>
                <w:lang w:eastAsia="en-CA"/>
              </w:rPr>
              <w:t>2030 (</w:t>
            </w:r>
            <w:r>
              <w:rPr>
                <w:color w:val="000000"/>
                <w:sz w:val="20"/>
                <w:szCs w:val="20"/>
                <w:lang w:val="ru-RU" w:eastAsia="en-CA"/>
              </w:rPr>
              <w:t>региональные мероприятия</w:t>
            </w:r>
            <w:r>
              <w:rPr>
                <w:color w:val="000000"/>
                <w:sz w:val="20"/>
                <w:szCs w:val="20"/>
                <w:lang w:eastAsia="en-CA"/>
              </w:rPr>
              <w:t>)</w:t>
            </w:r>
          </w:p>
        </w:tc>
        <w:tc>
          <w:tcPr>
            <w:tcW w:w="105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5E6896A" w14:textId="2EF6764C" w:rsidR="00D45F2C" w:rsidRPr="00D45F2C" w:rsidRDefault="00D45F2C" w:rsidP="00D45F2C">
            <w:pPr>
              <w:jc w:val="right"/>
              <w:rPr>
                <w:color w:val="000000"/>
                <w:sz w:val="20"/>
                <w:szCs w:val="20"/>
                <w:lang w:eastAsia="en-CA"/>
              </w:rPr>
            </w:pPr>
            <w:r>
              <w:rPr>
                <w:color w:val="000000"/>
                <w:sz w:val="20"/>
                <w:szCs w:val="20"/>
              </w:rPr>
              <w:t>1</w:t>
            </w:r>
            <w:r>
              <w:rPr>
                <w:color w:val="000000"/>
                <w:sz w:val="20"/>
                <w:szCs w:val="20"/>
                <w:lang w:val="ru-RU"/>
              </w:rPr>
              <w:t xml:space="preserve"> </w:t>
            </w:r>
            <w:r>
              <w:rPr>
                <w:color w:val="000000"/>
                <w:sz w:val="20"/>
                <w:szCs w:val="20"/>
              </w:rPr>
              <w:t>320 400</w:t>
            </w:r>
          </w:p>
        </w:tc>
        <w:tc>
          <w:tcPr>
            <w:tcW w:w="105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8328312" w14:textId="28898FA7" w:rsidR="00D45F2C" w:rsidRPr="00D45F2C" w:rsidRDefault="00D45F2C" w:rsidP="00D45F2C">
            <w:pPr>
              <w:jc w:val="right"/>
              <w:rPr>
                <w:color w:val="000000"/>
                <w:sz w:val="20"/>
                <w:szCs w:val="20"/>
                <w:lang w:eastAsia="en-CA"/>
              </w:rPr>
            </w:pPr>
            <w:r>
              <w:rPr>
                <w:color w:val="000000"/>
                <w:sz w:val="20"/>
                <w:szCs w:val="20"/>
              </w:rPr>
              <w:t>1</w:t>
            </w:r>
            <w:r>
              <w:rPr>
                <w:color w:val="000000"/>
                <w:sz w:val="20"/>
                <w:szCs w:val="20"/>
                <w:lang w:val="ru-RU"/>
              </w:rPr>
              <w:t xml:space="preserve"> </w:t>
            </w:r>
            <w:r>
              <w:rPr>
                <w:color w:val="000000"/>
                <w:sz w:val="20"/>
                <w:szCs w:val="20"/>
              </w:rPr>
              <w:t>320</w:t>
            </w:r>
            <w:r>
              <w:rPr>
                <w:color w:val="000000"/>
                <w:sz w:val="20"/>
                <w:szCs w:val="20"/>
                <w:lang w:val="ru-RU"/>
              </w:rPr>
              <w:t xml:space="preserve"> </w:t>
            </w:r>
            <w:r>
              <w:rPr>
                <w:color w:val="000000"/>
                <w:sz w:val="20"/>
                <w:szCs w:val="20"/>
              </w:rPr>
              <w:t>400</w:t>
            </w:r>
          </w:p>
        </w:tc>
        <w:tc>
          <w:tcPr>
            <w:tcW w:w="75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4DB2208" w14:textId="1156DC5B" w:rsidR="00D45F2C" w:rsidRPr="00D45F2C" w:rsidRDefault="00D45F2C" w:rsidP="00D45F2C">
            <w:pPr>
              <w:jc w:val="right"/>
              <w:rPr>
                <w:color w:val="000000"/>
                <w:sz w:val="20"/>
                <w:szCs w:val="20"/>
                <w:lang w:eastAsia="en-CA"/>
              </w:rPr>
            </w:pPr>
            <w:r>
              <w:rPr>
                <w:color w:val="000000"/>
                <w:sz w:val="20"/>
                <w:szCs w:val="20"/>
              </w:rPr>
              <w:t>0</w:t>
            </w:r>
          </w:p>
        </w:tc>
        <w:tc>
          <w:tcPr>
            <w:tcW w:w="798"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05B5543E" w14:textId="4C393929" w:rsidR="00D45F2C" w:rsidRPr="00D45F2C" w:rsidRDefault="00D45F2C" w:rsidP="00D45F2C">
            <w:pPr>
              <w:jc w:val="right"/>
              <w:rPr>
                <w:color w:val="000000"/>
                <w:sz w:val="20"/>
                <w:szCs w:val="20"/>
                <w:lang w:eastAsia="en-CA"/>
              </w:rPr>
            </w:pPr>
            <w:r>
              <w:rPr>
                <w:color w:val="000000"/>
                <w:sz w:val="20"/>
                <w:szCs w:val="20"/>
              </w:rPr>
              <w:t>0</w:t>
            </w:r>
            <w:r>
              <w:rPr>
                <w:color w:val="000000"/>
                <w:sz w:val="20"/>
                <w:szCs w:val="20"/>
                <w:lang w:val="ru-RU"/>
              </w:rPr>
              <w:t>,</w:t>
            </w:r>
            <w:r>
              <w:rPr>
                <w:color w:val="000000"/>
                <w:sz w:val="20"/>
                <w:szCs w:val="20"/>
              </w:rPr>
              <w:t>00</w:t>
            </w:r>
          </w:p>
        </w:tc>
      </w:tr>
      <w:tr w:rsidR="00D45F2C" w:rsidRPr="000E6489" w14:paraId="56E993F0" w14:textId="77777777" w:rsidTr="00B93438">
        <w:tc>
          <w:tcPr>
            <w:tcW w:w="1344" w:type="pct"/>
            <w:tcBorders>
              <w:top w:val="nil"/>
              <w:left w:val="single" w:sz="4" w:space="0" w:color="auto"/>
              <w:bottom w:val="single" w:sz="4" w:space="0" w:color="auto"/>
              <w:right w:val="single" w:sz="4" w:space="0" w:color="auto"/>
            </w:tcBorders>
            <w:hideMark/>
          </w:tcPr>
          <w:p w14:paraId="3BAE10D8" w14:textId="795486A1" w:rsidR="00D45F2C" w:rsidRPr="00D45F2C" w:rsidRDefault="00D45F2C" w:rsidP="00D45F2C">
            <w:pPr>
              <w:jc w:val="left"/>
              <w:rPr>
                <w:color w:val="000000"/>
                <w:sz w:val="20"/>
                <w:szCs w:val="20"/>
                <w:lang w:eastAsia="en-CA"/>
              </w:rPr>
            </w:pPr>
            <w:r>
              <w:rPr>
                <w:color w:val="000000"/>
                <w:sz w:val="20"/>
                <w:szCs w:val="20"/>
                <w:lang w:eastAsia="en-CA"/>
              </w:rPr>
              <w:t>3200 (</w:t>
            </w:r>
            <w:r>
              <w:rPr>
                <w:color w:val="000000"/>
                <w:sz w:val="20"/>
                <w:szCs w:val="20"/>
                <w:lang w:val="ru-RU" w:eastAsia="en-CA"/>
              </w:rPr>
              <w:t>глобальные услуги</w:t>
            </w:r>
            <w:r>
              <w:rPr>
                <w:color w:val="000000"/>
                <w:sz w:val="20"/>
                <w:szCs w:val="20"/>
                <w:lang w:eastAsia="en-CA"/>
              </w:rPr>
              <w:t>)</w:t>
            </w:r>
          </w:p>
        </w:tc>
        <w:tc>
          <w:tcPr>
            <w:tcW w:w="105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FC91340" w14:textId="27F0FE98" w:rsidR="00D45F2C" w:rsidRPr="00D45F2C" w:rsidRDefault="00D45F2C" w:rsidP="00D45F2C">
            <w:pPr>
              <w:jc w:val="right"/>
              <w:rPr>
                <w:color w:val="000000"/>
                <w:sz w:val="20"/>
                <w:szCs w:val="20"/>
                <w:lang w:eastAsia="en-CA"/>
              </w:rPr>
            </w:pPr>
            <w:r>
              <w:rPr>
                <w:color w:val="000000"/>
                <w:sz w:val="20"/>
                <w:szCs w:val="20"/>
              </w:rPr>
              <w:t>700 000</w:t>
            </w:r>
          </w:p>
        </w:tc>
        <w:tc>
          <w:tcPr>
            <w:tcW w:w="105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FF43D7C" w14:textId="28C88A25" w:rsidR="00D45F2C" w:rsidRPr="00D45F2C" w:rsidRDefault="00D45F2C" w:rsidP="00D45F2C">
            <w:pPr>
              <w:jc w:val="right"/>
              <w:rPr>
                <w:color w:val="000000"/>
                <w:sz w:val="20"/>
                <w:szCs w:val="20"/>
                <w:lang w:eastAsia="en-CA"/>
              </w:rPr>
            </w:pPr>
            <w:r>
              <w:rPr>
                <w:color w:val="000000"/>
                <w:sz w:val="20"/>
                <w:szCs w:val="20"/>
              </w:rPr>
              <w:t>550</w:t>
            </w:r>
            <w:r>
              <w:rPr>
                <w:color w:val="000000"/>
                <w:sz w:val="20"/>
                <w:szCs w:val="20"/>
                <w:lang w:val="ru-RU"/>
              </w:rPr>
              <w:t xml:space="preserve"> </w:t>
            </w:r>
            <w:r>
              <w:rPr>
                <w:color w:val="000000"/>
                <w:sz w:val="20"/>
                <w:szCs w:val="20"/>
              </w:rPr>
              <w:t>000</w:t>
            </w:r>
          </w:p>
        </w:tc>
        <w:tc>
          <w:tcPr>
            <w:tcW w:w="75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7E7C9F0" w14:textId="33396F84" w:rsidR="00D45F2C" w:rsidRPr="00D45F2C" w:rsidRDefault="00D45F2C" w:rsidP="00D45F2C">
            <w:pPr>
              <w:jc w:val="right"/>
              <w:rPr>
                <w:color w:val="000000"/>
                <w:sz w:val="20"/>
                <w:szCs w:val="20"/>
                <w:lang w:eastAsia="en-CA"/>
              </w:rPr>
            </w:pPr>
            <w:r>
              <w:rPr>
                <w:color w:val="000000"/>
                <w:sz w:val="20"/>
                <w:szCs w:val="20"/>
              </w:rPr>
              <w:t>(150</w:t>
            </w:r>
            <w:r>
              <w:rPr>
                <w:color w:val="000000"/>
                <w:sz w:val="20"/>
                <w:szCs w:val="20"/>
                <w:lang w:val="ru-RU"/>
              </w:rPr>
              <w:t xml:space="preserve"> </w:t>
            </w:r>
            <w:r>
              <w:rPr>
                <w:color w:val="000000"/>
                <w:sz w:val="20"/>
                <w:szCs w:val="20"/>
              </w:rPr>
              <w:t>000)</w:t>
            </w:r>
          </w:p>
        </w:tc>
        <w:tc>
          <w:tcPr>
            <w:tcW w:w="798"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23ADAD2" w14:textId="61778F98" w:rsidR="00D45F2C" w:rsidRPr="00D45F2C" w:rsidRDefault="00D45F2C" w:rsidP="00D45F2C">
            <w:pPr>
              <w:jc w:val="right"/>
              <w:rPr>
                <w:color w:val="000000"/>
                <w:sz w:val="20"/>
                <w:szCs w:val="20"/>
                <w:lang w:eastAsia="en-CA"/>
              </w:rPr>
            </w:pPr>
            <w:r>
              <w:rPr>
                <w:color w:val="000000"/>
                <w:sz w:val="20"/>
                <w:szCs w:val="20"/>
              </w:rPr>
              <w:t>(21</w:t>
            </w:r>
            <w:r>
              <w:rPr>
                <w:color w:val="000000"/>
                <w:sz w:val="20"/>
                <w:szCs w:val="20"/>
                <w:lang w:val="ru-RU"/>
              </w:rPr>
              <w:t>,</w:t>
            </w:r>
            <w:r>
              <w:rPr>
                <w:color w:val="000000"/>
                <w:sz w:val="20"/>
                <w:szCs w:val="20"/>
              </w:rPr>
              <w:t>43)</w:t>
            </w:r>
          </w:p>
        </w:tc>
      </w:tr>
      <w:tr w:rsidR="00D45F2C" w:rsidRPr="000E6489" w14:paraId="5807A5DF" w14:textId="77777777" w:rsidTr="00B93438">
        <w:tc>
          <w:tcPr>
            <w:tcW w:w="1344" w:type="pct"/>
            <w:tcBorders>
              <w:top w:val="nil"/>
              <w:left w:val="single" w:sz="4" w:space="0" w:color="auto"/>
              <w:bottom w:val="single" w:sz="4" w:space="0" w:color="auto"/>
              <w:right w:val="single" w:sz="4" w:space="0" w:color="auto"/>
            </w:tcBorders>
            <w:hideMark/>
          </w:tcPr>
          <w:p w14:paraId="59DD3C85" w14:textId="4BC385AD" w:rsidR="00D45F2C" w:rsidRPr="00D45F2C" w:rsidRDefault="00D45F2C" w:rsidP="00D45F2C">
            <w:pPr>
              <w:jc w:val="left"/>
              <w:rPr>
                <w:color w:val="000000"/>
                <w:sz w:val="20"/>
                <w:szCs w:val="20"/>
                <w:lang w:eastAsia="en-CA"/>
              </w:rPr>
            </w:pPr>
            <w:r>
              <w:rPr>
                <w:color w:val="000000"/>
                <w:sz w:val="20"/>
                <w:szCs w:val="20"/>
                <w:lang w:eastAsia="en-CA"/>
              </w:rPr>
              <w:t>4210 (информационные и консульта</w:t>
            </w:r>
            <w:r>
              <w:rPr>
                <w:color w:val="000000"/>
                <w:sz w:val="20"/>
                <w:szCs w:val="20"/>
                <w:lang w:val="ru-RU" w:eastAsia="en-CA"/>
              </w:rPr>
              <w:t>тивные</w:t>
            </w:r>
            <w:r>
              <w:rPr>
                <w:color w:val="000000"/>
                <w:sz w:val="20"/>
                <w:szCs w:val="20"/>
                <w:lang w:eastAsia="en-CA"/>
              </w:rPr>
              <w:t xml:space="preserve"> совещания)</w:t>
            </w:r>
          </w:p>
        </w:tc>
        <w:tc>
          <w:tcPr>
            <w:tcW w:w="105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767AE75" w14:textId="062ECF78" w:rsidR="00D45F2C" w:rsidRPr="00D45F2C" w:rsidRDefault="00D45F2C" w:rsidP="00D45F2C">
            <w:pPr>
              <w:jc w:val="right"/>
              <w:rPr>
                <w:color w:val="000000"/>
                <w:sz w:val="20"/>
                <w:szCs w:val="20"/>
                <w:lang w:eastAsia="en-CA"/>
              </w:rPr>
            </w:pPr>
            <w:r>
              <w:rPr>
                <w:color w:val="000000"/>
                <w:sz w:val="20"/>
                <w:szCs w:val="20"/>
              </w:rPr>
              <w:t>5 000</w:t>
            </w:r>
          </w:p>
        </w:tc>
        <w:tc>
          <w:tcPr>
            <w:tcW w:w="105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F9C86CE" w14:textId="32070A44" w:rsidR="00D45F2C" w:rsidRPr="00D45F2C" w:rsidRDefault="00D45F2C" w:rsidP="00D45F2C">
            <w:pPr>
              <w:jc w:val="right"/>
              <w:rPr>
                <w:color w:val="000000"/>
                <w:sz w:val="20"/>
                <w:szCs w:val="20"/>
                <w:lang w:eastAsia="en-CA"/>
              </w:rPr>
            </w:pPr>
            <w:r>
              <w:rPr>
                <w:color w:val="000000"/>
                <w:sz w:val="20"/>
                <w:szCs w:val="20"/>
              </w:rPr>
              <w:t>5</w:t>
            </w:r>
            <w:r>
              <w:rPr>
                <w:color w:val="000000"/>
                <w:sz w:val="20"/>
                <w:szCs w:val="20"/>
                <w:lang w:val="ru-RU"/>
              </w:rPr>
              <w:t xml:space="preserve"> </w:t>
            </w:r>
            <w:r>
              <w:rPr>
                <w:color w:val="000000"/>
                <w:sz w:val="20"/>
                <w:szCs w:val="20"/>
              </w:rPr>
              <w:t>000</w:t>
            </w:r>
          </w:p>
        </w:tc>
        <w:tc>
          <w:tcPr>
            <w:tcW w:w="75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2EC97E7" w14:textId="566A289B" w:rsidR="00D45F2C" w:rsidRPr="00D45F2C" w:rsidRDefault="00D45F2C" w:rsidP="00D45F2C">
            <w:pPr>
              <w:jc w:val="right"/>
              <w:rPr>
                <w:color w:val="000000"/>
                <w:sz w:val="20"/>
                <w:szCs w:val="20"/>
                <w:lang w:eastAsia="en-CA"/>
              </w:rPr>
            </w:pPr>
            <w:r>
              <w:rPr>
                <w:color w:val="000000"/>
                <w:sz w:val="20"/>
                <w:szCs w:val="20"/>
              </w:rPr>
              <w:t>0</w:t>
            </w:r>
          </w:p>
        </w:tc>
        <w:tc>
          <w:tcPr>
            <w:tcW w:w="798"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98C578E" w14:textId="41F60797" w:rsidR="00D45F2C" w:rsidRPr="00D45F2C" w:rsidRDefault="00D45F2C" w:rsidP="00D45F2C">
            <w:pPr>
              <w:jc w:val="right"/>
              <w:rPr>
                <w:color w:val="000000"/>
                <w:sz w:val="20"/>
                <w:szCs w:val="20"/>
                <w:lang w:eastAsia="en-CA"/>
              </w:rPr>
            </w:pPr>
            <w:r>
              <w:rPr>
                <w:color w:val="000000"/>
                <w:sz w:val="20"/>
                <w:szCs w:val="20"/>
              </w:rPr>
              <w:t>0</w:t>
            </w:r>
            <w:r>
              <w:rPr>
                <w:color w:val="000000"/>
                <w:sz w:val="20"/>
                <w:szCs w:val="20"/>
                <w:lang w:val="ru-RU"/>
              </w:rPr>
              <w:t>,</w:t>
            </w:r>
            <w:r>
              <w:rPr>
                <w:color w:val="000000"/>
                <w:sz w:val="20"/>
                <w:szCs w:val="20"/>
              </w:rPr>
              <w:t>00</w:t>
            </w:r>
          </w:p>
        </w:tc>
      </w:tr>
      <w:tr w:rsidR="00D45F2C" w:rsidRPr="000E6489" w14:paraId="16E81067" w14:textId="77777777" w:rsidTr="00B93438">
        <w:tc>
          <w:tcPr>
            <w:tcW w:w="1344" w:type="pct"/>
            <w:tcBorders>
              <w:top w:val="nil"/>
              <w:left w:val="single" w:sz="4" w:space="0" w:color="auto"/>
              <w:bottom w:val="single" w:sz="4" w:space="0" w:color="auto"/>
              <w:right w:val="single" w:sz="4" w:space="0" w:color="auto"/>
            </w:tcBorders>
            <w:hideMark/>
          </w:tcPr>
          <w:p w14:paraId="38733A33" w14:textId="442D1600" w:rsidR="00D45F2C" w:rsidRPr="00D45F2C" w:rsidRDefault="00D45F2C" w:rsidP="00D45F2C">
            <w:pPr>
              <w:jc w:val="left"/>
              <w:rPr>
                <w:color w:val="000000"/>
                <w:sz w:val="20"/>
                <w:szCs w:val="20"/>
                <w:lang w:eastAsia="en-CA"/>
              </w:rPr>
            </w:pPr>
            <w:r>
              <w:rPr>
                <w:color w:val="000000"/>
                <w:sz w:val="20"/>
                <w:szCs w:val="20"/>
                <w:lang w:eastAsia="en-CA"/>
              </w:rPr>
              <w:t>5200 (</w:t>
            </w:r>
            <w:r>
              <w:rPr>
                <w:color w:val="000000"/>
                <w:sz w:val="20"/>
                <w:szCs w:val="20"/>
                <w:lang w:val="ru-RU" w:eastAsia="en-CA"/>
              </w:rPr>
              <w:t>деятельность отделений</w:t>
            </w:r>
            <w:r>
              <w:rPr>
                <w:color w:val="000000"/>
                <w:sz w:val="20"/>
                <w:szCs w:val="20"/>
                <w:lang w:eastAsia="en-CA"/>
              </w:rPr>
              <w:t>/</w:t>
            </w:r>
            <w:r>
              <w:rPr>
                <w:color w:val="000000"/>
                <w:sz w:val="20"/>
                <w:szCs w:val="20"/>
                <w:lang w:val="ru-RU" w:eastAsia="en-CA"/>
              </w:rPr>
              <w:t>коммуникация</w:t>
            </w:r>
            <w:r>
              <w:rPr>
                <w:color w:val="000000"/>
                <w:sz w:val="20"/>
                <w:szCs w:val="20"/>
                <w:lang w:eastAsia="en-CA"/>
              </w:rPr>
              <w:t>)</w:t>
            </w:r>
          </w:p>
        </w:tc>
        <w:tc>
          <w:tcPr>
            <w:tcW w:w="1056"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78C765E" w14:textId="5BA91665" w:rsidR="00D45F2C" w:rsidRPr="00D45F2C" w:rsidRDefault="00D45F2C" w:rsidP="00D45F2C">
            <w:pPr>
              <w:jc w:val="right"/>
              <w:rPr>
                <w:color w:val="000000"/>
                <w:sz w:val="20"/>
                <w:szCs w:val="20"/>
                <w:lang w:eastAsia="en-CA"/>
              </w:rPr>
            </w:pPr>
            <w:r>
              <w:rPr>
                <w:color w:val="000000"/>
                <w:sz w:val="20"/>
                <w:szCs w:val="20"/>
              </w:rPr>
              <w:t>590 000</w:t>
            </w:r>
          </w:p>
        </w:tc>
        <w:tc>
          <w:tcPr>
            <w:tcW w:w="105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2A5C4B3" w14:textId="4A924873" w:rsidR="00D45F2C" w:rsidRPr="00D45F2C" w:rsidRDefault="00D45F2C" w:rsidP="00D45F2C">
            <w:pPr>
              <w:jc w:val="right"/>
              <w:rPr>
                <w:color w:val="000000"/>
                <w:sz w:val="20"/>
                <w:szCs w:val="20"/>
                <w:lang w:eastAsia="en-CA"/>
              </w:rPr>
            </w:pPr>
            <w:r>
              <w:rPr>
                <w:color w:val="000000"/>
                <w:sz w:val="20"/>
                <w:szCs w:val="20"/>
                <w:lang w:eastAsia="en-CA"/>
              </w:rPr>
              <w:t>590</w:t>
            </w:r>
            <w:r>
              <w:rPr>
                <w:color w:val="000000"/>
                <w:sz w:val="20"/>
                <w:szCs w:val="20"/>
                <w:lang w:val="ru-RU" w:eastAsia="en-CA"/>
              </w:rPr>
              <w:t xml:space="preserve"> </w:t>
            </w:r>
            <w:r>
              <w:rPr>
                <w:color w:val="000000"/>
                <w:sz w:val="20"/>
                <w:szCs w:val="20"/>
                <w:lang w:eastAsia="en-CA"/>
              </w:rPr>
              <w:t>000</w:t>
            </w:r>
          </w:p>
        </w:tc>
        <w:tc>
          <w:tcPr>
            <w:tcW w:w="75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4C77C49E" w14:textId="6693869C" w:rsidR="00D45F2C" w:rsidRPr="00D45F2C" w:rsidRDefault="00D45F2C" w:rsidP="00D45F2C">
            <w:pPr>
              <w:jc w:val="right"/>
              <w:rPr>
                <w:color w:val="000000"/>
                <w:sz w:val="20"/>
                <w:szCs w:val="20"/>
                <w:lang w:eastAsia="en-CA"/>
              </w:rPr>
            </w:pPr>
            <w:r>
              <w:rPr>
                <w:color w:val="000000"/>
                <w:sz w:val="20"/>
                <w:szCs w:val="20"/>
              </w:rPr>
              <w:t>0</w:t>
            </w:r>
          </w:p>
        </w:tc>
        <w:tc>
          <w:tcPr>
            <w:tcW w:w="798"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9BEC714" w14:textId="44094029" w:rsidR="00D45F2C" w:rsidRPr="00D45F2C" w:rsidRDefault="00D45F2C" w:rsidP="00D45F2C">
            <w:pPr>
              <w:jc w:val="right"/>
              <w:rPr>
                <w:color w:val="000000"/>
                <w:sz w:val="20"/>
                <w:szCs w:val="20"/>
                <w:lang w:eastAsia="en-CA"/>
              </w:rPr>
            </w:pPr>
            <w:r>
              <w:rPr>
                <w:color w:val="000000"/>
                <w:sz w:val="20"/>
                <w:szCs w:val="20"/>
              </w:rPr>
              <w:t>0</w:t>
            </w:r>
            <w:r>
              <w:rPr>
                <w:color w:val="000000"/>
                <w:sz w:val="20"/>
                <w:szCs w:val="20"/>
                <w:lang w:val="ru-RU"/>
              </w:rPr>
              <w:t>,</w:t>
            </w:r>
            <w:r>
              <w:rPr>
                <w:color w:val="000000"/>
                <w:sz w:val="20"/>
                <w:szCs w:val="20"/>
              </w:rPr>
              <w:t>00</w:t>
            </w:r>
          </w:p>
        </w:tc>
      </w:tr>
      <w:tr w:rsidR="00D45F2C" w:rsidRPr="00433B39" w14:paraId="598A1642" w14:textId="77777777" w:rsidTr="00B93438">
        <w:tc>
          <w:tcPr>
            <w:tcW w:w="1344" w:type="pct"/>
            <w:tcBorders>
              <w:top w:val="nil"/>
              <w:left w:val="single" w:sz="4" w:space="0" w:color="auto"/>
              <w:bottom w:val="single" w:sz="4" w:space="0" w:color="auto"/>
              <w:right w:val="single" w:sz="4" w:space="0" w:color="auto"/>
            </w:tcBorders>
            <w:hideMark/>
          </w:tcPr>
          <w:p w14:paraId="5FC9F37E" w14:textId="6A300C34" w:rsidR="00D45F2C" w:rsidRPr="00B93438" w:rsidRDefault="00B93438" w:rsidP="00D45F2C">
            <w:pPr>
              <w:jc w:val="left"/>
              <w:rPr>
                <w:b/>
                <w:color w:val="000000"/>
                <w:sz w:val="20"/>
                <w:szCs w:val="20"/>
                <w:lang w:val="ru-RU" w:eastAsia="en-CA"/>
              </w:rPr>
            </w:pPr>
            <w:r>
              <w:rPr>
                <w:b/>
                <w:color w:val="000000"/>
                <w:sz w:val="20"/>
                <w:szCs w:val="20"/>
                <w:lang w:val="ru-RU" w:eastAsia="en-CA"/>
              </w:rPr>
              <w:t>Итого</w:t>
            </w:r>
          </w:p>
        </w:tc>
        <w:tc>
          <w:tcPr>
            <w:tcW w:w="1056" w:type="pct"/>
            <w:tcBorders>
              <w:top w:val="nil"/>
              <w:left w:val="nil"/>
              <w:bottom w:val="single" w:sz="4" w:space="0" w:color="auto"/>
              <w:right w:val="single" w:sz="4" w:space="0" w:color="auto"/>
            </w:tcBorders>
            <w:noWrap/>
            <w:tcMar>
              <w:top w:w="0" w:type="dxa"/>
              <w:left w:w="0" w:type="dxa"/>
              <w:bottom w:w="0" w:type="dxa"/>
              <w:right w:w="173" w:type="dxa"/>
            </w:tcMar>
          </w:tcPr>
          <w:p w14:paraId="618F0BD4" w14:textId="5CA0A3A0" w:rsidR="00D45F2C" w:rsidRPr="00D45F2C" w:rsidRDefault="00D45F2C" w:rsidP="00D45F2C">
            <w:pPr>
              <w:jc w:val="right"/>
              <w:rPr>
                <w:b/>
                <w:color w:val="000000"/>
                <w:sz w:val="20"/>
                <w:szCs w:val="20"/>
                <w:lang w:eastAsia="en-CA"/>
              </w:rPr>
            </w:pPr>
            <w:r>
              <w:rPr>
                <w:b/>
                <w:color w:val="000000"/>
                <w:sz w:val="20"/>
                <w:szCs w:val="20"/>
                <w:lang w:eastAsia="en-CA"/>
              </w:rPr>
              <w:t>11 276 967</w:t>
            </w:r>
          </w:p>
        </w:tc>
        <w:tc>
          <w:tcPr>
            <w:tcW w:w="1051" w:type="pct"/>
            <w:tcBorders>
              <w:top w:val="nil"/>
              <w:left w:val="nil"/>
              <w:bottom w:val="single" w:sz="4" w:space="0" w:color="auto"/>
              <w:right w:val="single" w:sz="4" w:space="0" w:color="auto"/>
            </w:tcBorders>
            <w:noWrap/>
            <w:tcMar>
              <w:top w:w="0" w:type="dxa"/>
              <w:left w:w="0" w:type="dxa"/>
              <w:bottom w:w="0" w:type="dxa"/>
              <w:right w:w="173" w:type="dxa"/>
            </w:tcMar>
          </w:tcPr>
          <w:p w14:paraId="47C5A2CD" w14:textId="3EB06741" w:rsidR="00D45F2C" w:rsidRPr="00D45F2C" w:rsidRDefault="00D45F2C" w:rsidP="00D45F2C">
            <w:pPr>
              <w:jc w:val="right"/>
              <w:rPr>
                <w:b/>
                <w:color w:val="000000"/>
                <w:sz w:val="20"/>
                <w:szCs w:val="20"/>
                <w:lang w:eastAsia="en-CA"/>
              </w:rPr>
            </w:pPr>
            <w:r>
              <w:rPr>
                <w:b/>
                <w:color w:val="000000"/>
                <w:sz w:val="20"/>
                <w:szCs w:val="20"/>
                <w:lang w:eastAsia="en-CA"/>
              </w:rPr>
              <w:t>11 419 783</w:t>
            </w:r>
          </w:p>
        </w:tc>
        <w:tc>
          <w:tcPr>
            <w:tcW w:w="751" w:type="pct"/>
            <w:tcBorders>
              <w:top w:val="nil"/>
              <w:left w:val="nil"/>
              <w:bottom w:val="single" w:sz="4" w:space="0" w:color="auto"/>
              <w:right w:val="single" w:sz="4" w:space="0" w:color="auto"/>
            </w:tcBorders>
            <w:noWrap/>
            <w:tcMar>
              <w:top w:w="0" w:type="dxa"/>
              <w:left w:w="0" w:type="dxa"/>
              <w:bottom w:w="0" w:type="dxa"/>
              <w:right w:w="173" w:type="dxa"/>
            </w:tcMar>
            <w:vAlign w:val="center"/>
            <w:hideMark/>
          </w:tcPr>
          <w:p w14:paraId="040363B3" w14:textId="1BE6DB31" w:rsidR="00D45F2C" w:rsidRPr="00D45F2C" w:rsidRDefault="00D45F2C" w:rsidP="00D45F2C">
            <w:pPr>
              <w:jc w:val="right"/>
              <w:rPr>
                <w:b/>
                <w:bCs/>
                <w:color w:val="000000"/>
                <w:sz w:val="20"/>
                <w:szCs w:val="20"/>
                <w:lang w:eastAsia="en-CA"/>
              </w:rPr>
            </w:pPr>
            <w:r>
              <w:rPr>
                <w:b/>
                <w:bCs/>
                <w:color w:val="000000"/>
                <w:sz w:val="20"/>
                <w:szCs w:val="20"/>
              </w:rPr>
              <w:t>142 816</w:t>
            </w:r>
          </w:p>
        </w:tc>
        <w:tc>
          <w:tcPr>
            <w:tcW w:w="798" w:type="pct"/>
            <w:tcBorders>
              <w:top w:val="nil"/>
              <w:left w:val="nil"/>
              <w:bottom w:val="single" w:sz="4" w:space="0" w:color="auto"/>
              <w:right w:val="single" w:sz="4" w:space="0" w:color="auto"/>
            </w:tcBorders>
            <w:noWrap/>
            <w:tcMar>
              <w:top w:w="0" w:type="dxa"/>
              <w:left w:w="0" w:type="dxa"/>
              <w:bottom w:w="0" w:type="dxa"/>
              <w:right w:w="173" w:type="dxa"/>
            </w:tcMar>
            <w:vAlign w:val="center"/>
            <w:hideMark/>
          </w:tcPr>
          <w:p w14:paraId="1114799C" w14:textId="6171F3BD" w:rsidR="00D45F2C" w:rsidRPr="00D45F2C" w:rsidRDefault="00D45F2C" w:rsidP="00D45F2C">
            <w:pPr>
              <w:jc w:val="right"/>
              <w:rPr>
                <w:b/>
                <w:bCs/>
                <w:color w:val="000000"/>
                <w:sz w:val="20"/>
                <w:szCs w:val="20"/>
                <w:lang w:eastAsia="en-CA"/>
              </w:rPr>
            </w:pPr>
            <w:r>
              <w:rPr>
                <w:b/>
                <w:bCs/>
                <w:color w:val="000000"/>
                <w:sz w:val="20"/>
                <w:szCs w:val="20"/>
              </w:rPr>
              <w:t>1</w:t>
            </w:r>
            <w:r>
              <w:rPr>
                <w:b/>
                <w:bCs/>
                <w:color w:val="000000"/>
                <w:sz w:val="20"/>
                <w:szCs w:val="20"/>
                <w:lang w:val="ru-RU"/>
              </w:rPr>
              <w:t>,</w:t>
            </w:r>
            <w:r>
              <w:rPr>
                <w:b/>
                <w:bCs/>
                <w:color w:val="000000"/>
                <w:sz w:val="20"/>
                <w:szCs w:val="20"/>
              </w:rPr>
              <w:t>27*</w:t>
            </w:r>
          </w:p>
        </w:tc>
      </w:tr>
    </w:tbl>
    <w:p w14:paraId="5101E6F3" w14:textId="6B0F47B0" w:rsidR="00A83C1B" w:rsidRPr="00E4093D" w:rsidRDefault="00A94328" w:rsidP="00A83C1B">
      <w:pPr>
        <w:rPr>
          <w:lang w:val="ru-RU"/>
        </w:rPr>
      </w:pPr>
      <w:r>
        <w:rPr>
          <w:lang w:val="ru-RU"/>
        </w:rPr>
        <w:t>*</w:t>
      </w:r>
      <w:r>
        <w:t> </w:t>
      </w:r>
      <w:r>
        <w:rPr>
          <w:sz w:val="18"/>
          <w:szCs w:val="18"/>
          <w:lang w:val="ru-RU"/>
        </w:rPr>
        <w:t>2,6 процента, если 150 000 долл. США, утвержденные в соответствии с решением 93/95 </w:t>
      </w:r>
      <w:r>
        <w:rPr>
          <w:sz w:val="18"/>
          <w:szCs w:val="18"/>
          <w:lang w:val="en-US"/>
        </w:rPr>
        <w:t>d</w:t>
      </w:r>
      <w:r>
        <w:rPr>
          <w:sz w:val="18"/>
          <w:szCs w:val="18"/>
          <w:lang w:val="ru-RU"/>
        </w:rPr>
        <w:t>), исключить из утвержденного бюджета на 2026 год.</w:t>
      </w:r>
    </w:p>
    <w:p w14:paraId="0607DEFF" w14:textId="77777777" w:rsidR="00B56C5B" w:rsidRPr="00E4093D" w:rsidRDefault="00B56C5B" w:rsidP="00443559">
      <w:pPr>
        <w:widowControl w:val="0"/>
        <w:jc w:val="left"/>
        <w:outlineLvl w:val="0"/>
        <w:rPr>
          <w:b/>
          <w:lang w:val="ru-RU"/>
        </w:rPr>
      </w:pPr>
    </w:p>
    <w:p w14:paraId="5105E11A" w14:textId="1514A390" w:rsidR="00A83C1B" w:rsidRPr="00B93438" w:rsidRDefault="00EA5A98" w:rsidP="00443559">
      <w:pPr>
        <w:widowControl w:val="0"/>
        <w:spacing w:after="240"/>
        <w:jc w:val="left"/>
        <w:outlineLvl w:val="0"/>
        <w:rPr>
          <w:b/>
          <w:sz w:val="24"/>
          <w:szCs w:val="24"/>
          <w:lang w:val="ru-RU"/>
        </w:rPr>
      </w:pPr>
      <w:r>
        <w:rPr>
          <w:b/>
          <w:sz w:val="24"/>
          <w:szCs w:val="24"/>
          <w:lang w:val="ru-RU"/>
        </w:rPr>
        <w:t>Рекомендация</w:t>
      </w:r>
    </w:p>
    <w:p w14:paraId="7714853A" w14:textId="10468F35" w:rsidR="000E6489" w:rsidRPr="00E4093D" w:rsidRDefault="00E4093D" w:rsidP="001557BF">
      <w:pPr>
        <w:pStyle w:val="Heading1"/>
        <w:rPr>
          <w:lang w:val="ru-RU"/>
        </w:rPr>
      </w:pPr>
      <w:r>
        <w:rPr>
          <w:lang w:val="ru-RU"/>
        </w:rPr>
        <w:t>В свете представленной ЮНЕП информации и вышеизложенных комментариев Исполнительный комитет, возможно, пожелает:</w:t>
      </w:r>
    </w:p>
    <w:p w14:paraId="6948008C" w14:textId="33CC87E4" w:rsidR="000E6489" w:rsidRPr="00E4093D" w:rsidRDefault="00E4093D" w:rsidP="00D5065D">
      <w:pPr>
        <w:pStyle w:val="Heading2"/>
        <w:ind w:left="1440" w:hanging="720"/>
        <w:rPr>
          <w:lang w:val="ru-RU"/>
        </w:rPr>
      </w:pPr>
      <w:r>
        <w:rPr>
          <w:lang w:val="ru-RU"/>
        </w:rPr>
        <w:t>принять к сведению доклад о ходе выполнения Программы ЮНЕП по содействию соблюдению (ПСС) за 2026 год, а также ее предложенную трехлетнюю стратегию на 2027-2029 годы, план работы и бюджет на 2027 год, содержащиеся в документе</w:t>
      </w:r>
      <w:r>
        <w:t> UNEP</w:t>
      </w:r>
      <w:r>
        <w:rPr>
          <w:lang w:val="ru-RU"/>
        </w:rPr>
        <w:t>/</w:t>
      </w:r>
      <w:r>
        <w:t>OzL</w:t>
      </w:r>
      <w:r>
        <w:rPr>
          <w:lang w:val="ru-RU"/>
        </w:rPr>
        <w:t>.</w:t>
      </w:r>
      <w:r>
        <w:t>Pro</w:t>
      </w:r>
      <w:r>
        <w:rPr>
          <w:lang w:val="ru-RU"/>
        </w:rPr>
        <w:t>/</w:t>
      </w:r>
      <w:r>
        <w:t>ExCom</w:t>
      </w:r>
      <w:r>
        <w:rPr>
          <w:lang w:val="ru-RU"/>
        </w:rPr>
        <w:t xml:space="preserve">/99/77; </w:t>
      </w:r>
    </w:p>
    <w:p w14:paraId="0A49EC14" w14:textId="03B60698" w:rsidR="000E6489" w:rsidRPr="00E4093D" w:rsidRDefault="00E4093D" w:rsidP="00D5065D">
      <w:pPr>
        <w:pStyle w:val="Heading2"/>
        <w:ind w:left="1440" w:hanging="720"/>
        <w:rPr>
          <w:lang w:val="ru-RU"/>
        </w:rPr>
      </w:pPr>
      <w:r>
        <w:rPr>
          <w:lang w:val="ru-RU"/>
        </w:rPr>
        <w:t>утвердить</w:t>
      </w:r>
      <w:r w:rsidRPr="00B1606B">
        <w:rPr>
          <w:lang w:val="ru-RU"/>
        </w:rPr>
        <w:t xml:space="preserve"> </w:t>
      </w:r>
      <w:r>
        <w:rPr>
          <w:lang w:val="ru-RU"/>
        </w:rPr>
        <w:t>мероприятия</w:t>
      </w:r>
      <w:r w:rsidRPr="00B1606B">
        <w:rPr>
          <w:lang w:val="ru-RU"/>
        </w:rPr>
        <w:t xml:space="preserve"> </w:t>
      </w:r>
      <w:r>
        <w:rPr>
          <w:lang w:val="ru-RU"/>
        </w:rPr>
        <w:t>и</w:t>
      </w:r>
      <w:r w:rsidRPr="00B1606B">
        <w:rPr>
          <w:lang w:val="ru-RU"/>
        </w:rPr>
        <w:t xml:space="preserve"> </w:t>
      </w:r>
      <w:r>
        <w:rPr>
          <w:lang w:val="ru-RU"/>
        </w:rPr>
        <w:t>бюджет</w:t>
      </w:r>
      <w:r w:rsidRPr="00B1606B">
        <w:rPr>
          <w:lang w:val="ru-RU"/>
        </w:rPr>
        <w:t xml:space="preserve"> </w:t>
      </w:r>
      <w:r>
        <w:rPr>
          <w:lang w:val="ru-RU"/>
        </w:rPr>
        <w:t>ПСС</w:t>
      </w:r>
      <w:r w:rsidRPr="00B1606B">
        <w:rPr>
          <w:lang w:val="ru-RU"/>
        </w:rPr>
        <w:t xml:space="preserve"> </w:t>
      </w:r>
      <w:r>
        <w:rPr>
          <w:lang w:val="ru-RU"/>
        </w:rPr>
        <w:t>на</w:t>
      </w:r>
      <w:r w:rsidRPr="00B1606B">
        <w:rPr>
          <w:lang w:val="ru-RU"/>
        </w:rPr>
        <w:t xml:space="preserve"> 2027</w:t>
      </w:r>
      <w:r>
        <w:rPr>
          <w:lang w:val="en-US"/>
        </w:rPr>
        <w:t> </w:t>
      </w:r>
      <w:r>
        <w:rPr>
          <w:lang w:val="ru-RU"/>
        </w:rPr>
        <w:t>год</w:t>
      </w:r>
      <w:r w:rsidRPr="00B1606B">
        <w:rPr>
          <w:lang w:val="ru-RU"/>
        </w:rPr>
        <w:t xml:space="preserve"> </w:t>
      </w:r>
      <w:r>
        <w:rPr>
          <w:lang w:val="ru-RU"/>
        </w:rPr>
        <w:t>в</w:t>
      </w:r>
      <w:r w:rsidRPr="00B1606B">
        <w:rPr>
          <w:lang w:val="ru-RU"/>
        </w:rPr>
        <w:t xml:space="preserve"> </w:t>
      </w:r>
      <w:r>
        <w:rPr>
          <w:lang w:val="ru-RU"/>
        </w:rPr>
        <w:t>размере</w:t>
      </w:r>
      <w:r w:rsidRPr="00B1606B">
        <w:rPr>
          <w:lang w:val="ru-RU"/>
        </w:rPr>
        <w:t xml:space="preserve"> 11 419 783 </w:t>
      </w:r>
      <w:r>
        <w:rPr>
          <w:lang w:val="ru-RU"/>
        </w:rPr>
        <w:t>долл</w:t>
      </w:r>
      <w:r w:rsidRPr="00B1606B">
        <w:rPr>
          <w:lang w:val="ru-RU"/>
        </w:rPr>
        <w:t xml:space="preserve">. </w:t>
      </w:r>
      <w:r>
        <w:rPr>
          <w:lang w:val="ru-RU"/>
        </w:rPr>
        <w:t>США плюс эксплуатационные расходы учреждения в размере 8</w:t>
      </w:r>
      <w:r>
        <w:t> </w:t>
      </w:r>
      <w:r>
        <w:rPr>
          <w:lang w:val="ru-RU"/>
        </w:rPr>
        <w:t xml:space="preserve">процентов, составляющие 913 583 долл. США, </w:t>
      </w:r>
      <w:r>
        <w:t>приняв к сведению предлагаемые корректировки</w:t>
      </w:r>
      <w:r>
        <w:rPr>
          <w:lang w:val="ru-RU"/>
        </w:rPr>
        <w:t>;</w:t>
      </w:r>
    </w:p>
    <w:p w14:paraId="50F28059" w14:textId="292284B4" w:rsidR="000E6489" w:rsidRPr="00E4093D" w:rsidRDefault="00E4093D" w:rsidP="00D5065D">
      <w:pPr>
        <w:pStyle w:val="Heading2"/>
        <w:ind w:left="1440" w:hanging="720"/>
        <w:rPr>
          <w:lang w:val="ru-RU"/>
        </w:rPr>
      </w:pPr>
      <w:r>
        <w:rPr>
          <w:lang w:val="ru-RU"/>
        </w:rPr>
        <w:lastRenderedPageBreak/>
        <w:t>предложить ЮНЕП в будущих документах по бюджету ПСС продолжать:</w:t>
      </w:r>
    </w:p>
    <w:p w14:paraId="0232C24F" w14:textId="488C8BAA" w:rsidR="000E6489" w:rsidRPr="00E4093D" w:rsidRDefault="00E4093D" w:rsidP="000E6489">
      <w:pPr>
        <w:pStyle w:val="Heading3"/>
        <w:rPr>
          <w:lang w:val="ru-RU"/>
        </w:rPr>
      </w:pPr>
      <w:r>
        <w:rPr>
          <w:lang w:val="ru-RU"/>
        </w:rPr>
        <w:t>представлять подробную информацию о мероприятиях, на которые будут расходоваться глобальные фонды;</w:t>
      </w:r>
    </w:p>
    <w:p w14:paraId="7054FA5B" w14:textId="5FC31F24" w:rsidR="000E6489" w:rsidRPr="00E4093D" w:rsidRDefault="00E4093D" w:rsidP="000E6489">
      <w:pPr>
        <w:pStyle w:val="Heading3"/>
        <w:rPr>
          <w:lang w:val="ru-RU"/>
        </w:rPr>
      </w:pPr>
      <w:r>
        <w:rPr>
          <w:lang w:val="ru-RU"/>
        </w:rPr>
        <w:t>расширять приоритеты финансирования по статьям бюджета ПСС с целью учета меняющихся приоритетов и представлять подробные сведения о произведенном перераспределении средств в соответствии с решениями 47/24 и 50/26;</w:t>
      </w:r>
    </w:p>
    <w:p w14:paraId="071574F8" w14:textId="5D83DA49" w:rsidR="000E6489" w:rsidRPr="00E4093D" w:rsidRDefault="00E4093D" w:rsidP="000E6489">
      <w:pPr>
        <w:pStyle w:val="Heading3"/>
        <w:rPr>
          <w:lang w:val="ru-RU"/>
        </w:rPr>
      </w:pPr>
      <w:r>
        <w:rPr>
          <w:lang w:val="ru-RU"/>
        </w:rPr>
        <w:t xml:space="preserve">представлять информацию о текущих должностных уровнях персонала и информировать Исполнительный комитет о любых изменениях в них, особенно в случаях увеличения бюджетных ассигнований; </w:t>
      </w:r>
    </w:p>
    <w:p w14:paraId="5D34F488" w14:textId="78B58A89" w:rsidR="000E6489" w:rsidRPr="00E4093D" w:rsidRDefault="00E4093D" w:rsidP="000E6489">
      <w:pPr>
        <w:pStyle w:val="Heading3"/>
        <w:rPr>
          <w:lang w:val="ru-RU"/>
        </w:rPr>
      </w:pPr>
      <w:r>
        <w:rPr>
          <w:lang w:val="ru-RU"/>
        </w:rPr>
        <w:t>представлять бюджет на соответствующий год, а также информацию о расходах, понесенных в году, предшествующем последнему году, с учетом вышеизложенных подпунктов c) </w:t>
      </w:r>
      <w:r>
        <w:t>ii</w:t>
      </w:r>
      <w:r>
        <w:rPr>
          <w:lang w:val="ru-RU"/>
        </w:rPr>
        <w:t>) и c) </w:t>
      </w:r>
      <w:r>
        <w:t>iii</w:t>
      </w:r>
      <w:r>
        <w:rPr>
          <w:lang w:val="ru-RU"/>
        </w:rPr>
        <w:t xml:space="preserve">). </w:t>
      </w:r>
    </w:p>
    <w:p w14:paraId="6248AEFD" w14:textId="77777777" w:rsidR="00522C75" w:rsidRPr="00E4093D" w:rsidRDefault="00522C75" w:rsidP="00F435B3">
      <w:pPr>
        <w:spacing w:before="240" w:after="240"/>
        <w:jc w:val="left"/>
        <w:rPr>
          <w:lang w:val="ru-RU"/>
        </w:rPr>
      </w:pPr>
    </w:p>
    <w:p w14:paraId="6DDA607A" w14:textId="77777777" w:rsidR="00522C75" w:rsidRPr="00E4093D" w:rsidRDefault="00522C75" w:rsidP="00F435B3">
      <w:pPr>
        <w:spacing w:before="240" w:after="240"/>
        <w:jc w:val="left"/>
        <w:rPr>
          <w:lang w:val="ru-RU"/>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B1606B" w14:paraId="1B2F562A" w14:textId="77777777" w:rsidTr="00CC4AE5">
        <w:tc>
          <w:tcPr>
            <w:tcW w:w="999" w:type="pct"/>
          </w:tcPr>
          <w:p w14:paraId="1E3FC9CF" w14:textId="77777777" w:rsidR="00720EE7" w:rsidRPr="00E4093D" w:rsidRDefault="00720EE7" w:rsidP="004669D1">
            <w:pPr>
              <w:rPr>
                <w:lang w:val="ru-RU"/>
              </w:rPr>
            </w:pPr>
          </w:p>
        </w:tc>
        <w:tc>
          <w:tcPr>
            <w:tcW w:w="1000" w:type="pct"/>
          </w:tcPr>
          <w:p w14:paraId="102DB9A2" w14:textId="77777777" w:rsidR="00720EE7" w:rsidRPr="00E4093D" w:rsidRDefault="00720EE7" w:rsidP="004669D1">
            <w:pPr>
              <w:rPr>
                <w:lang w:val="ru-RU"/>
              </w:rPr>
            </w:pPr>
          </w:p>
        </w:tc>
        <w:tc>
          <w:tcPr>
            <w:tcW w:w="1000" w:type="pct"/>
            <w:tcBorders>
              <w:bottom w:val="single" w:sz="4" w:space="0" w:color="auto"/>
            </w:tcBorders>
          </w:tcPr>
          <w:p w14:paraId="45372E81" w14:textId="77777777" w:rsidR="00720EE7" w:rsidRPr="00E4093D" w:rsidRDefault="00720EE7" w:rsidP="004669D1">
            <w:pPr>
              <w:rPr>
                <w:lang w:val="ru-RU"/>
              </w:rPr>
            </w:pPr>
          </w:p>
        </w:tc>
        <w:tc>
          <w:tcPr>
            <w:tcW w:w="1000" w:type="pct"/>
          </w:tcPr>
          <w:p w14:paraId="70FFDC9B" w14:textId="77777777" w:rsidR="00720EE7" w:rsidRPr="00E4093D" w:rsidRDefault="00720EE7" w:rsidP="004669D1">
            <w:pPr>
              <w:rPr>
                <w:lang w:val="ru-RU"/>
              </w:rPr>
            </w:pPr>
          </w:p>
        </w:tc>
        <w:tc>
          <w:tcPr>
            <w:tcW w:w="1001" w:type="pct"/>
          </w:tcPr>
          <w:p w14:paraId="22BF2D08" w14:textId="77777777" w:rsidR="00720EE7" w:rsidRPr="00E4093D" w:rsidRDefault="00720EE7" w:rsidP="004669D1">
            <w:pPr>
              <w:rPr>
                <w:lang w:val="ru-RU"/>
              </w:rPr>
            </w:pPr>
          </w:p>
        </w:tc>
      </w:tr>
    </w:tbl>
    <w:p w14:paraId="02093CF6" w14:textId="77777777" w:rsidR="00720EE7" w:rsidRPr="00E4093D" w:rsidRDefault="00720EE7" w:rsidP="004669D1">
      <w:pPr>
        <w:jc w:val="center"/>
        <w:rPr>
          <w:lang w:val="ru-RU"/>
        </w:rPr>
      </w:pPr>
    </w:p>
    <w:sectPr w:rsidR="00720EE7" w:rsidRPr="00E4093D"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FCD3E" w14:textId="77777777" w:rsidR="00176436" w:rsidRDefault="00176436" w:rsidP="004A504B">
      <w:r>
        <w:separator/>
      </w:r>
    </w:p>
  </w:endnote>
  <w:endnote w:type="continuationSeparator" w:id="0">
    <w:p w14:paraId="74F10363" w14:textId="77777777" w:rsidR="00176436" w:rsidRDefault="0017643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Bold">
    <w:altName w:val="Roboto"/>
    <w:charset w:val="00"/>
    <w:family w:val="auto"/>
    <w:pitch w:val="default"/>
  </w:font>
  <w:font w:name="TimesNewRomanPSMT">
    <w:altName w:val="Times New Roman"/>
    <w:panose1 w:val="00000000000000000000"/>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27322"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9F8F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7FC5C"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58192FB6" w14:textId="7CA56723" w:rsidR="004E7F9C" w:rsidRPr="001557BF" w:rsidRDefault="001557BF" w:rsidP="004E7F9C">
    <w:pPr>
      <w:pBdr>
        <w:top w:val="single" w:sz="4" w:space="1" w:color="auto"/>
        <w:left w:val="single" w:sz="4" w:space="4" w:color="auto"/>
        <w:bottom w:val="single" w:sz="4" w:space="1" w:color="auto"/>
        <w:right w:val="single" w:sz="4" w:space="4" w:color="auto"/>
      </w:pBdr>
      <w:jc w:val="center"/>
      <w:rPr>
        <w:sz w:val="16"/>
        <w:szCs w:val="16"/>
        <w:lang w:val="ru-RU"/>
      </w:rPr>
    </w:pPr>
    <w:r w:rsidRPr="001557BF">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59483BDF" w14:textId="77777777" w:rsidR="004E7F9C" w:rsidRPr="001557BF" w:rsidRDefault="004E7F9C" w:rsidP="004E7F9C">
    <w:pPr>
      <w:pBdr>
        <w:top w:val="single" w:sz="4" w:space="1" w:color="auto"/>
        <w:left w:val="single" w:sz="4" w:space="4" w:color="auto"/>
        <w:bottom w:val="single" w:sz="4" w:space="1" w:color="auto"/>
        <w:right w:val="single" w:sz="4" w:space="4" w:color="auto"/>
      </w:pBdr>
      <w:jc w:val="center"/>
      <w:rPr>
        <w:sz w:val="10"/>
        <w:szCs w:val="1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7DDE7" w14:textId="77777777" w:rsidR="00176436" w:rsidRDefault="00176436" w:rsidP="004A504B">
      <w:r>
        <w:separator/>
      </w:r>
    </w:p>
  </w:footnote>
  <w:footnote w:type="continuationSeparator" w:id="0">
    <w:p w14:paraId="03633430" w14:textId="77777777" w:rsidR="00176436" w:rsidRDefault="00176436" w:rsidP="004A504B">
      <w:r>
        <w:continuationSeparator/>
      </w:r>
    </w:p>
  </w:footnote>
  <w:footnote w:id="1">
    <w:p w14:paraId="50C9041B" w14:textId="313CBB4D" w:rsidR="00FF172D" w:rsidRPr="0074459F" w:rsidRDefault="00FF172D" w:rsidP="00FF172D">
      <w:pPr>
        <w:pStyle w:val="FootnoteText"/>
        <w:spacing w:after="120"/>
        <w:rPr>
          <w:lang w:val="ru-RU"/>
        </w:rPr>
      </w:pPr>
      <w:r>
        <w:rPr>
          <w:rStyle w:val="FootnoteReference"/>
        </w:rPr>
        <w:footnoteRef/>
      </w:r>
      <w:r w:rsidRPr="0074459F">
        <w:rPr>
          <w:lang w:val="ru-RU"/>
        </w:rPr>
        <w:t xml:space="preserve"> </w:t>
      </w:r>
      <w:r>
        <w:t>UNEP</w:t>
      </w:r>
      <w:r w:rsidRPr="0074459F">
        <w:rPr>
          <w:lang w:val="ru-RU"/>
        </w:rPr>
        <w:t>/</w:t>
      </w:r>
      <w:r>
        <w:t>OzL</w:t>
      </w:r>
      <w:r w:rsidRPr="0074459F">
        <w:rPr>
          <w:lang w:val="ru-RU"/>
        </w:rPr>
        <w:t>.</w:t>
      </w:r>
      <w:r>
        <w:t>Pro</w:t>
      </w:r>
      <w:r w:rsidRPr="0074459F">
        <w:rPr>
          <w:lang w:val="ru-RU"/>
        </w:rPr>
        <w:t>/</w:t>
      </w:r>
      <w:r>
        <w:t>ExCom</w:t>
      </w:r>
      <w:r w:rsidRPr="0074459F">
        <w:rPr>
          <w:lang w:val="ru-RU"/>
        </w:rPr>
        <w:t>/9</w:t>
      </w:r>
      <w:r w:rsidR="00422C39">
        <w:rPr>
          <w:lang w:val="ru-RU"/>
        </w:rPr>
        <w:t>9</w:t>
      </w:r>
      <w:r w:rsidRPr="0074459F">
        <w:rPr>
          <w:lang w:val="ru-RU"/>
        </w:rPr>
        <w:t>/1</w:t>
      </w:r>
    </w:p>
  </w:footnote>
  <w:footnote w:id="2">
    <w:p w14:paraId="132B9254" w14:textId="2510F246" w:rsidR="00FF172D" w:rsidRPr="001557BF" w:rsidRDefault="00FF172D" w:rsidP="00FF172D">
      <w:pPr>
        <w:pStyle w:val="FootnoteText"/>
        <w:rPr>
          <w:lang w:val="ru-RU"/>
        </w:rPr>
      </w:pPr>
      <w:r w:rsidRPr="00D12D67">
        <w:rPr>
          <w:rStyle w:val="FootnoteReference"/>
        </w:rPr>
        <w:footnoteRef/>
      </w:r>
      <w:r w:rsidRPr="001557BF">
        <w:rPr>
          <w:lang w:val="ru-RU"/>
        </w:rPr>
        <w:t xml:space="preserve"> </w:t>
      </w:r>
      <w:r w:rsidR="001557BF" w:rsidRPr="001557BF">
        <w:rPr>
          <w:lang w:val="ru-RU"/>
        </w:rPr>
        <w:t>Представленный документ соответствует решению</w:t>
      </w:r>
      <w:r w:rsidR="00C806F0">
        <w:rPr>
          <w:lang w:val="en-US"/>
        </w:rPr>
        <w:t> </w:t>
      </w:r>
      <w:r w:rsidR="001557BF" w:rsidRPr="001557BF">
        <w:rPr>
          <w:lang w:val="ru-RU"/>
        </w:rPr>
        <w:t>47/24, которым ежегодное увеличение бюджета Программы ЮНЕП по содействию соблюдению (ПСС) было ограничено 3 процентами</w:t>
      </w:r>
    </w:p>
  </w:footnote>
  <w:footnote w:id="3">
    <w:p w14:paraId="61B27421" w14:textId="77777777" w:rsidR="00C56443" w:rsidRPr="00C56443" w:rsidRDefault="00C56443" w:rsidP="00C56443">
      <w:pPr>
        <w:pStyle w:val="FootnoteText"/>
        <w:rPr>
          <w:lang w:val="ru-RU"/>
        </w:rPr>
      </w:pPr>
      <w:r>
        <w:rPr>
          <w:rStyle w:val="FootnoteReference"/>
        </w:rPr>
        <w:footnoteRef/>
      </w:r>
      <w:r w:rsidRPr="00C56443">
        <w:rPr>
          <w:lang w:val="ru-RU"/>
        </w:rPr>
        <w:t xml:space="preserve"> </w:t>
      </w:r>
      <w:r w:rsidRPr="00C56443">
        <w:rPr>
          <w:rFonts w:asciiTheme="majorBidi" w:hAnsiTheme="majorBidi" w:cstheme="majorBidi"/>
          <w:lang w:val="ru-RU"/>
        </w:rPr>
        <w:t xml:space="preserve">Сотрудничество по линии Юг </w:t>
      </w:r>
      <w:r>
        <w:rPr>
          <w:rFonts w:asciiTheme="majorBidi" w:hAnsiTheme="majorBidi" w:cstheme="majorBidi"/>
          <w:lang w:val="ru-RU"/>
        </w:rPr>
        <w:t>–</w:t>
      </w:r>
      <w:r w:rsidRPr="00C56443">
        <w:rPr>
          <w:rFonts w:asciiTheme="majorBidi" w:hAnsiTheme="majorBidi" w:cstheme="majorBidi"/>
          <w:lang w:val="ru-RU"/>
        </w:rPr>
        <w:t xml:space="preserve"> Юг и Север</w:t>
      </w:r>
      <w:r>
        <w:rPr>
          <w:rFonts w:asciiTheme="majorBidi" w:hAnsiTheme="majorBidi" w:cstheme="majorBidi"/>
          <w:lang w:val="ru-RU"/>
        </w:rPr>
        <w:t xml:space="preserve"> –</w:t>
      </w:r>
      <w:r w:rsidRPr="00C56443">
        <w:rPr>
          <w:rFonts w:asciiTheme="majorBidi" w:hAnsiTheme="majorBidi" w:cstheme="majorBidi"/>
          <w:lang w:val="ru-RU"/>
        </w:rPr>
        <w:t xml:space="preserve"> Юг.</w:t>
      </w:r>
    </w:p>
  </w:footnote>
  <w:footnote w:id="4">
    <w:p w14:paraId="2AFF2890" w14:textId="0E62F88F" w:rsidR="00AE577B" w:rsidRPr="00AE577B" w:rsidRDefault="00AE577B" w:rsidP="00AE577B">
      <w:pPr>
        <w:pStyle w:val="FootnoteText"/>
        <w:rPr>
          <w:lang w:val="ru-RU"/>
        </w:rPr>
      </w:pPr>
      <w:r>
        <w:rPr>
          <w:rStyle w:val="FootnoteReference"/>
        </w:rPr>
        <w:footnoteRef/>
      </w:r>
      <w:r w:rsidRPr="00AE577B">
        <w:rPr>
          <w:lang w:val="ru-RU"/>
        </w:rPr>
        <w:t xml:space="preserve"> ВТамО, Управление Организации Объединенных Наций по наркотикам и преступности, Агентство Европейского союза по сотрудничеству правоохранительных органов, Европейское бюро по борьбе с</w:t>
      </w:r>
      <w:r w:rsidR="0014221D">
        <w:rPr>
          <w:lang w:val="en-US"/>
        </w:rPr>
        <w:t> </w:t>
      </w:r>
      <w:r w:rsidRPr="00AE577B">
        <w:rPr>
          <w:lang w:val="ru-RU"/>
        </w:rPr>
        <w:t>мошенничеством и другие международные партнеры.</w:t>
      </w:r>
    </w:p>
  </w:footnote>
  <w:footnote w:id="5">
    <w:p w14:paraId="3FC09D3D" w14:textId="65EDCC03" w:rsidR="004E2752" w:rsidRPr="00AE577B" w:rsidRDefault="004E2752">
      <w:pPr>
        <w:pStyle w:val="FootnoteText"/>
        <w:rPr>
          <w:lang w:val="ru-RU"/>
        </w:rPr>
      </w:pPr>
      <w:r>
        <w:rPr>
          <w:rStyle w:val="FootnoteReference"/>
        </w:rPr>
        <w:footnoteRef/>
      </w:r>
      <w:r w:rsidRPr="00AE577B">
        <w:rPr>
          <w:lang w:val="ru-RU"/>
        </w:rPr>
        <w:t xml:space="preserve"> </w:t>
      </w:r>
      <w:r w:rsidR="00AE577B" w:rsidRPr="00AE577B">
        <w:rPr>
          <w:lang w:val="ru-RU"/>
        </w:rPr>
        <w:t>Одиннадцатый и двенадцатый этапы операции «ДЕМЕТРА»</w:t>
      </w:r>
      <w:r w:rsidR="00AE577B">
        <w:rPr>
          <w:lang w:val="ru-RU"/>
        </w:rPr>
        <w:t>,</w:t>
      </w:r>
      <w:r w:rsidR="00AE577B" w:rsidRPr="00AE577B">
        <w:rPr>
          <w:lang w:val="ru-RU"/>
        </w:rPr>
        <w:t xml:space="preserve"> глобальной таможенной операции ВТамО, направленной на борьбу с незаконной трансграничной торговлей отходами и экологически опасными веществами</w:t>
      </w:r>
      <w:r w:rsidRPr="00AE577B">
        <w:rPr>
          <w:lang w:val="ru-RU"/>
        </w:rPr>
        <w:t>.</w:t>
      </w:r>
    </w:p>
  </w:footnote>
  <w:footnote w:id="6">
    <w:p w14:paraId="4C346109" w14:textId="2FB94FDB" w:rsidR="00B531C1" w:rsidRPr="00B531C1" w:rsidRDefault="00B531C1" w:rsidP="00B531C1">
      <w:pPr>
        <w:pStyle w:val="FootnoteText"/>
        <w:rPr>
          <w:lang w:val="ru-RU"/>
        </w:rPr>
      </w:pPr>
      <w:r>
        <w:rPr>
          <w:rStyle w:val="FootnoteReference"/>
        </w:rPr>
        <w:footnoteRef/>
      </w:r>
      <w:r w:rsidRPr="00B531C1">
        <w:rPr>
          <w:lang w:val="ru-RU"/>
        </w:rPr>
        <w:t xml:space="preserve"> Американское общество инженеров по отоплению, холодильному оборудованию и кондиционированию воздуха</w:t>
      </w:r>
    </w:p>
  </w:footnote>
  <w:footnote w:id="7">
    <w:p w14:paraId="7529AC4C" w14:textId="254C572A" w:rsidR="00514645" w:rsidRPr="00937A22" w:rsidRDefault="00514645" w:rsidP="00514645">
      <w:pPr>
        <w:pStyle w:val="FootnoteText"/>
        <w:rPr>
          <w:lang w:val="ru-RU"/>
        </w:rPr>
      </w:pPr>
      <w:r>
        <w:rPr>
          <w:rStyle w:val="FootnoteReference"/>
        </w:rPr>
        <w:footnoteRef/>
      </w:r>
      <w:r w:rsidR="00675A98" w:rsidRPr="0074459F">
        <w:rPr>
          <w:lang w:val="ru-RU"/>
        </w:rPr>
        <w:t xml:space="preserve"> </w:t>
      </w:r>
      <w:r w:rsidR="00937A22" w:rsidRPr="0074459F">
        <w:rPr>
          <w:lang w:val="ru-RU"/>
        </w:rPr>
        <w:t xml:space="preserve">Решение 96/28. </w:t>
      </w:r>
      <w:r w:rsidR="00937A22">
        <w:rPr>
          <w:lang w:val="ru-RU"/>
        </w:rPr>
        <w:t>Э</w:t>
      </w:r>
      <w:r w:rsidR="00937A22" w:rsidRPr="00937A22">
        <w:rPr>
          <w:lang w:val="ru-RU"/>
        </w:rPr>
        <w:t xml:space="preserve">тап </w:t>
      </w:r>
      <w:r w:rsidR="00937A22">
        <w:rPr>
          <w:lang w:val="de-AT"/>
        </w:rPr>
        <w:t>I</w:t>
      </w:r>
      <w:r w:rsidR="00937A22" w:rsidRPr="00937A22">
        <w:rPr>
          <w:lang w:val="ru-RU"/>
        </w:rPr>
        <w:t xml:space="preserve"> проекта был утвержден на 91-м совещании (решение 91/42) для осуществления в</w:t>
      </w:r>
      <w:r w:rsidR="0014221D">
        <w:rPr>
          <w:lang w:val="en-US"/>
        </w:rPr>
        <w:t> </w:t>
      </w:r>
      <w:r w:rsidR="00937A22" w:rsidRPr="00937A22">
        <w:rPr>
          <w:lang w:val="ru-RU"/>
        </w:rPr>
        <w:t>период 2023–2024 годов</w:t>
      </w:r>
      <w:r>
        <w:rPr>
          <w:lang w:val="ru-RU"/>
        </w:rPr>
        <w:t>.</w:t>
      </w:r>
    </w:p>
  </w:footnote>
  <w:footnote w:id="8">
    <w:p w14:paraId="3650C0B1" w14:textId="5182B0A8" w:rsidR="00582316" w:rsidRPr="00FA73AB" w:rsidRDefault="00582316">
      <w:pPr>
        <w:pStyle w:val="FootnoteText"/>
        <w:rPr>
          <w:lang w:val="ru-RU"/>
        </w:rPr>
      </w:pPr>
      <w:r w:rsidRPr="00784F38">
        <w:rPr>
          <w:rStyle w:val="FootnoteReference"/>
        </w:rPr>
        <w:footnoteRef/>
      </w:r>
      <w:r w:rsidRPr="00FA73AB">
        <w:rPr>
          <w:lang w:val="ru-RU"/>
        </w:rPr>
        <w:t xml:space="preserve"> </w:t>
      </w:r>
      <w:r w:rsidR="00FA73AB" w:rsidRPr="00FA73AB">
        <w:rPr>
          <w:lang w:val="ru-RU"/>
        </w:rPr>
        <w:t>На настоящем совещании в рамках пункта 18 повестки дня (решение 93/95</w:t>
      </w:r>
      <w:r w:rsidR="00F10C9D">
        <w:rPr>
          <w:lang w:val="ru-RU"/>
        </w:rPr>
        <w:t> </w:t>
      </w:r>
      <w:r w:rsidR="00FA73AB" w:rsidRPr="00FA73AB">
        <w:rPr>
          <w:lang w:val="en-US"/>
        </w:rPr>
        <w:t>e</w:t>
      </w:r>
      <w:r w:rsidR="00FA73AB" w:rsidRPr="00FA73AB">
        <w:rPr>
          <w:lang w:val="ru-RU"/>
        </w:rPr>
        <w:t>))</w:t>
      </w:r>
      <w:r w:rsidR="00FA73AB">
        <w:rPr>
          <w:lang w:val="ru-RU"/>
        </w:rPr>
        <w:t xml:space="preserve"> </w:t>
      </w:r>
      <w:r w:rsidR="00FA73AB" w:rsidRPr="00FA73AB">
        <w:rPr>
          <w:lang w:val="ru-RU"/>
        </w:rPr>
        <w:t xml:space="preserve">будет рассмотрен обзор системы административных расходов Многостороннего фонда и бюджета финансирования его основных подразделений, содержащийся в документе </w:t>
      </w:r>
      <w:r w:rsidR="00FA73AB" w:rsidRPr="00FA73AB">
        <w:rPr>
          <w:lang w:val="en-US"/>
        </w:rPr>
        <w:t>UNEP</w:t>
      </w:r>
      <w:r w:rsidR="00FA73AB" w:rsidRPr="00FA73AB">
        <w:rPr>
          <w:lang w:val="ru-RU"/>
        </w:rPr>
        <w:t>/</w:t>
      </w:r>
      <w:r w:rsidR="00FA73AB" w:rsidRPr="00FA73AB">
        <w:rPr>
          <w:lang w:val="en-US"/>
        </w:rPr>
        <w:t>OzL</w:t>
      </w:r>
      <w:r w:rsidR="00FA73AB" w:rsidRPr="00FA73AB">
        <w:rPr>
          <w:lang w:val="ru-RU"/>
        </w:rPr>
        <w:t>.</w:t>
      </w:r>
      <w:r w:rsidR="00FA73AB" w:rsidRPr="00FA73AB">
        <w:rPr>
          <w:lang w:val="en-US"/>
        </w:rPr>
        <w:t>Pro</w:t>
      </w:r>
      <w:r w:rsidR="00FA73AB" w:rsidRPr="00FA73AB">
        <w:rPr>
          <w:lang w:val="ru-RU"/>
        </w:rPr>
        <w:t>/</w:t>
      </w:r>
      <w:r w:rsidR="00FA73AB" w:rsidRPr="00FA73AB">
        <w:rPr>
          <w:lang w:val="en-US"/>
        </w:rPr>
        <w:t>ExCom</w:t>
      </w:r>
      <w:r w:rsidR="00FA73AB" w:rsidRPr="00FA73AB">
        <w:rPr>
          <w:lang w:val="ru-RU"/>
        </w:rPr>
        <w:t>/99/87</w:t>
      </w:r>
      <w:r w:rsidR="002B64D6" w:rsidRPr="00FA73AB">
        <w:rPr>
          <w:lang w:val="ru-RU"/>
        </w:rPr>
        <w:t>.</w:t>
      </w:r>
    </w:p>
  </w:footnote>
  <w:footnote w:id="9">
    <w:p w14:paraId="698F8921" w14:textId="7D05CC85" w:rsidR="00091E16" w:rsidRPr="00FA73AB" w:rsidRDefault="00091E16" w:rsidP="00FA73AB">
      <w:pPr>
        <w:pStyle w:val="FootnoteText"/>
        <w:rPr>
          <w:lang w:val="ru-RU"/>
        </w:rPr>
      </w:pPr>
      <w:r w:rsidRPr="00784F38">
        <w:rPr>
          <w:rStyle w:val="FootnoteReference"/>
        </w:rPr>
        <w:footnoteRef/>
      </w:r>
      <w:r w:rsidR="00705C07" w:rsidRPr="00FA73AB">
        <w:rPr>
          <w:lang w:val="ru-RU"/>
        </w:rPr>
        <w:t xml:space="preserve"> </w:t>
      </w:r>
      <w:r w:rsidR="00FA73AB" w:rsidRPr="00FA73AB">
        <w:rPr>
          <w:lang w:val="ru-RU"/>
        </w:rPr>
        <w:t>1. Укрепление потенциала</w:t>
      </w:r>
      <w:r w:rsidR="00FA73AB">
        <w:rPr>
          <w:lang w:val="ru-RU"/>
        </w:rPr>
        <w:t xml:space="preserve"> </w:t>
      </w:r>
      <w:r w:rsidR="00D83B3C">
        <w:rPr>
          <w:lang w:val="ru-RU"/>
        </w:rPr>
        <w:t xml:space="preserve">стран </w:t>
      </w:r>
      <w:r w:rsidR="00FA73AB">
        <w:rPr>
          <w:lang w:val="ru-RU"/>
        </w:rPr>
        <w:t>НОП</w:t>
      </w:r>
      <w:r w:rsidR="00FA73AB" w:rsidRPr="00FA73AB">
        <w:rPr>
          <w:lang w:val="ru-RU"/>
        </w:rPr>
        <w:t xml:space="preserve"> в области внедрения систем лицензирования и квотирования ГФУ и сбора данных о тенденциях потребления ГФУ;</w:t>
      </w:r>
      <w:r w:rsidR="00FA73AB">
        <w:rPr>
          <w:lang w:val="ru-RU"/>
        </w:rPr>
        <w:t xml:space="preserve"> </w:t>
      </w:r>
      <w:r w:rsidR="00FA73AB" w:rsidRPr="00FA73AB">
        <w:rPr>
          <w:lang w:val="ru-RU"/>
        </w:rPr>
        <w:t xml:space="preserve">2. Оказание содействия </w:t>
      </w:r>
      <w:r w:rsidR="00FA73AB">
        <w:rPr>
          <w:lang w:val="ru-RU"/>
        </w:rPr>
        <w:t>НОО</w:t>
      </w:r>
      <w:r w:rsidR="00FA73AB" w:rsidRPr="00FA73AB">
        <w:rPr>
          <w:lang w:val="ru-RU"/>
        </w:rPr>
        <w:t xml:space="preserve"> в определении объемов потребления в подсекторе местного монтажа и сборки оборудования и переводе предприятий этого подсектора на альтернативные технологии с низким потенциалом глобального потепления (ПГП) посредством осуществления неинвестиционных мероприятий;</w:t>
      </w:r>
      <w:r w:rsidR="00FA73AB">
        <w:rPr>
          <w:lang w:val="ru-RU"/>
        </w:rPr>
        <w:t xml:space="preserve"> </w:t>
      </w:r>
      <w:r w:rsidR="00FA73AB" w:rsidRPr="00FA73AB">
        <w:rPr>
          <w:lang w:val="ru-RU"/>
        </w:rPr>
        <w:t>3. Подготовка сотрудников ПСС по вопросам энергоэффективности и СМЭЭ.</w:t>
      </w:r>
      <w:r w:rsidR="00FA73AB">
        <w:rPr>
          <w:lang w:val="ru-RU"/>
        </w:rPr>
        <w:t xml:space="preserve"> </w:t>
      </w:r>
    </w:p>
  </w:footnote>
  <w:footnote w:id="10">
    <w:p w14:paraId="07E597AF" w14:textId="42996A3F" w:rsidR="007204E0" w:rsidRPr="0074459F" w:rsidRDefault="007204E0">
      <w:pPr>
        <w:pStyle w:val="FootnoteText"/>
        <w:rPr>
          <w:lang w:val="ru-RU"/>
        </w:rPr>
      </w:pPr>
      <w:r>
        <w:rPr>
          <w:rStyle w:val="FootnoteReference"/>
        </w:rPr>
        <w:footnoteRef/>
      </w:r>
      <w:r w:rsidRPr="0074459F">
        <w:rPr>
          <w:lang w:val="ru-RU"/>
        </w:rPr>
        <w:t xml:space="preserve"> </w:t>
      </w:r>
      <w:r w:rsidR="0074459F" w:rsidRPr="0074459F">
        <w:rPr>
          <w:lang w:val="ru-RU"/>
        </w:rPr>
        <w:t xml:space="preserve">Как предусмотрено в пункте 3 </w:t>
      </w:r>
      <w:r w:rsidR="0074459F" w:rsidRPr="0074459F">
        <w:t>b</w:t>
      </w:r>
      <w:r w:rsidR="0074459F" w:rsidRPr="0074459F">
        <w:rPr>
          <w:lang w:val="ru-RU"/>
        </w:rPr>
        <w:t>) статьи 10 Монреальского протокола</w:t>
      </w:r>
      <w:r w:rsidRPr="0074459F">
        <w:rPr>
          <w:lang w:val="ru-RU"/>
        </w:rPr>
        <w:t>.</w:t>
      </w:r>
    </w:p>
  </w:footnote>
  <w:footnote w:id="11">
    <w:p w14:paraId="5AB03F80" w14:textId="34B86E49" w:rsidR="00E46E07" w:rsidRPr="001E1B48" w:rsidRDefault="00E46E07">
      <w:pPr>
        <w:pStyle w:val="FootnoteText"/>
        <w:rPr>
          <w:lang w:val="ru-RU"/>
        </w:rPr>
      </w:pPr>
      <w:r>
        <w:rPr>
          <w:rStyle w:val="FootnoteReference"/>
        </w:rPr>
        <w:footnoteRef/>
      </w:r>
      <w:r w:rsidRPr="001E1B48">
        <w:rPr>
          <w:lang w:val="ru-RU"/>
        </w:rPr>
        <w:t xml:space="preserve"> </w:t>
      </w:r>
      <w:r w:rsidR="001E1B48" w:rsidRPr="001E1B48">
        <w:rPr>
          <w:lang w:val="ru-RU"/>
        </w:rPr>
        <w:t>Запросы на увеличение бюджета ПСС в последующие годы должны ограничиваться 3 процентами, за</w:t>
      </w:r>
      <w:r w:rsidR="0014221D">
        <w:rPr>
          <w:lang w:val="en-US"/>
        </w:rPr>
        <w:t> </w:t>
      </w:r>
      <w:r w:rsidR="001E1B48" w:rsidRPr="001E1B48">
        <w:rPr>
          <w:lang w:val="ru-RU"/>
        </w:rPr>
        <w:t xml:space="preserve">исключением случаев, когда Исполнительному комитету представляются доказательства того, что </w:t>
      </w:r>
      <w:r w:rsidR="001E1B48">
        <w:rPr>
          <w:lang w:val="ru-RU"/>
        </w:rPr>
        <w:t>фактор инфляции</w:t>
      </w:r>
      <w:r w:rsidR="001E1B48" w:rsidRPr="001E1B48">
        <w:rPr>
          <w:lang w:val="ru-RU"/>
        </w:rPr>
        <w:t xml:space="preserve"> </w:t>
      </w:r>
      <w:r w:rsidR="001E1B48">
        <w:rPr>
          <w:lang w:val="ru-RU"/>
        </w:rPr>
        <w:t>требует</w:t>
      </w:r>
      <w:r w:rsidR="001E1B48" w:rsidRPr="001E1B48">
        <w:rPr>
          <w:lang w:val="ru-RU"/>
        </w:rPr>
        <w:t xml:space="preserve"> </w:t>
      </w:r>
      <w:r w:rsidR="001E1B48">
        <w:rPr>
          <w:lang w:val="ru-RU"/>
        </w:rPr>
        <w:t>иного</w:t>
      </w:r>
      <w:r w:rsidRPr="001E1B48">
        <w:rPr>
          <w:lang w:val="ru-RU"/>
        </w:rPr>
        <w:t>.</w:t>
      </w:r>
    </w:p>
  </w:footnote>
  <w:footnote w:id="12">
    <w:p w14:paraId="4A9AA609" w14:textId="7A07310D" w:rsidR="00A83C1B" w:rsidRPr="001E1B48" w:rsidRDefault="00A83C1B" w:rsidP="00A83C1B">
      <w:pPr>
        <w:pStyle w:val="FootnoteText"/>
        <w:rPr>
          <w:highlight w:val="yellow"/>
          <w:lang w:val="ru-RU"/>
        </w:rPr>
      </w:pPr>
      <w:r>
        <w:rPr>
          <w:rStyle w:val="FootnoteReference"/>
        </w:rPr>
        <w:footnoteRef/>
      </w:r>
      <w:r w:rsidRPr="001E1B48">
        <w:rPr>
          <w:lang w:val="ru-RU"/>
        </w:rPr>
        <w:t xml:space="preserve"> </w:t>
      </w:r>
      <w:r w:rsidR="001E1B48" w:rsidRPr="001E1B48">
        <w:rPr>
          <w:lang w:val="ru-RU"/>
        </w:rPr>
        <w:t>Решение</w:t>
      </w:r>
      <w:r w:rsidR="00F3130C">
        <w:rPr>
          <w:lang w:val="ru-RU"/>
        </w:rPr>
        <w:t> </w:t>
      </w:r>
      <w:r w:rsidR="001E1B48" w:rsidRPr="001E1B48">
        <w:rPr>
          <w:lang w:val="ru-RU"/>
        </w:rPr>
        <w:t>97/85</w:t>
      </w:r>
      <w:r w:rsidR="00F3130C">
        <w:rPr>
          <w:lang w:val="ru-RU"/>
        </w:rPr>
        <w:t> </w:t>
      </w:r>
      <w:r w:rsidR="001E1B48" w:rsidRPr="001E1B48">
        <w:rPr>
          <w:lang w:val="en-US"/>
        </w:rPr>
        <w:t>c</w:t>
      </w:r>
      <w:r w:rsidR="001E1B48" w:rsidRPr="001E1B48">
        <w:rPr>
          <w:lang w:val="ru-RU"/>
        </w:rPr>
        <w:t>)</w:t>
      </w:r>
      <w:r w:rsidR="00F3130C">
        <w:rPr>
          <w:lang w:val="ru-RU"/>
        </w:rPr>
        <w:t> </w:t>
      </w:r>
      <w:r w:rsidR="001E1B48" w:rsidRPr="001E1B48">
        <w:rPr>
          <w:lang w:val="en-US"/>
        </w:rPr>
        <w:t>ii</w:t>
      </w:r>
      <w:r w:rsidR="001E1B48" w:rsidRPr="001E1B48">
        <w:rPr>
          <w:lang w:val="ru-RU"/>
        </w:rPr>
        <w:t>): ЮНЕП было п</w:t>
      </w:r>
      <w:r w:rsidR="001E1B48">
        <w:rPr>
          <w:lang w:val="ru-RU"/>
        </w:rPr>
        <w:t>о</w:t>
      </w:r>
      <w:r w:rsidR="001E1B48" w:rsidRPr="001E1B48">
        <w:rPr>
          <w:lang w:val="ru-RU"/>
        </w:rPr>
        <w:t>р</w:t>
      </w:r>
      <w:r w:rsidR="001E1B48">
        <w:rPr>
          <w:lang w:val="ru-RU"/>
        </w:rPr>
        <w:t>уче</w:t>
      </w:r>
      <w:r w:rsidR="001E1B48" w:rsidRPr="001E1B48">
        <w:rPr>
          <w:lang w:val="ru-RU"/>
        </w:rPr>
        <w:t>но при представлении в будущем бюджетов ПСС продолжать перераспределять приоритеты финансирования между статьями бюджета ПСС с учетом меняющихся приоритетов и предоставлять подробную информацию о произведенном перераспределении средств в</w:t>
      </w:r>
      <w:r w:rsidR="0014221D">
        <w:rPr>
          <w:lang w:val="en-US"/>
        </w:rPr>
        <w:t> </w:t>
      </w:r>
      <w:r w:rsidR="001E1B48" w:rsidRPr="001E1B48">
        <w:rPr>
          <w:lang w:val="ru-RU"/>
        </w:rPr>
        <w:t>соответствии с решениями 47/24 и 50/26</w:t>
      </w:r>
      <w:r w:rsidRPr="001E1B48">
        <w:rPr>
          <w:lang w:val="ru-RU"/>
        </w:rPr>
        <w:t>.</w:t>
      </w:r>
    </w:p>
  </w:footnote>
  <w:footnote w:id="13">
    <w:p w14:paraId="2BE53E34" w14:textId="4D893F29" w:rsidR="008E1817" w:rsidRPr="008D0C34" w:rsidRDefault="008E1817">
      <w:pPr>
        <w:pStyle w:val="FootnoteText"/>
        <w:rPr>
          <w:lang w:val="ru-RU"/>
        </w:rPr>
      </w:pPr>
      <w:r>
        <w:rPr>
          <w:rStyle w:val="FootnoteReference"/>
        </w:rPr>
        <w:footnoteRef/>
      </w:r>
      <w:r w:rsidRPr="008D0C34">
        <w:rPr>
          <w:lang w:val="ru-RU"/>
        </w:rPr>
        <w:t xml:space="preserve"> </w:t>
      </w:r>
      <w:r w:rsidR="008D0C34" w:rsidRPr="008D0C34">
        <w:rPr>
          <w:lang w:val="ru-RU"/>
        </w:rPr>
        <w:t>Включены в бюджет на 2025 год; в бюджете на 2026 год соответствующие ассигнования равны нулю</w:t>
      </w:r>
      <w:r w:rsidR="00DE00E7" w:rsidRPr="008D0C34">
        <w:rPr>
          <w:lang w:val="ru-RU"/>
        </w:rPr>
        <w:t>.</w:t>
      </w:r>
    </w:p>
  </w:footnote>
  <w:footnote w:id="14">
    <w:p w14:paraId="29E085C1" w14:textId="24BE2FC1" w:rsidR="00A83C1B" w:rsidRPr="008D0C34" w:rsidRDefault="00A83C1B" w:rsidP="00A83C1B">
      <w:pPr>
        <w:pStyle w:val="FootnoteText"/>
        <w:rPr>
          <w:lang w:val="ru-RU"/>
        </w:rPr>
      </w:pPr>
      <w:r w:rsidRPr="00223FD4">
        <w:rPr>
          <w:rStyle w:val="FootnoteReference"/>
        </w:rPr>
        <w:footnoteRef/>
      </w:r>
      <w:r w:rsidRPr="008D0C34">
        <w:rPr>
          <w:lang w:val="ru-RU"/>
        </w:rPr>
        <w:t xml:space="preserve"> </w:t>
      </w:r>
      <w:r w:rsidR="008D0C34" w:rsidRPr="008D0C34">
        <w:rPr>
          <w:lang w:val="ru-RU"/>
        </w:rPr>
        <w:t>Решение</w:t>
      </w:r>
      <w:r w:rsidR="00F3130C">
        <w:rPr>
          <w:lang w:val="ru-RU"/>
        </w:rPr>
        <w:t> </w:t>
      </w:r>
      <w:r w:rsidR="008D0C34" w:rsidRPr="008D0C34">
        <w:rPr>
          <w:lang w:val="ru-RU"/>
        </w:rPr>
        <w:t>97/85</w:t>
      </w:r>
      <w:r w:rsidR="00F3130C">
        <w:rPr>
          <w:lang w:val="ru-RU"/>
        </w:rPr>
        <w:t> </w:t>
      </w:r>
      <w:r w:rsidR="008D0C34" w:rsidRPr="008D0C34">
        <w:rPr>
          <w:lang w:val="en-US"/>
        </w:rPr>
        <w:t>d</w:t>
      </w:r>
      <w:r w:rsidR="00F3130C">
        <w:rPr>
          <w:lang w:val="ru-RU"/>
        </w:rPr>
        <w:t>) </w:t>
      </w:r>
      <w:r w:rsidR="008D0C34" w:rsidRPr="008D0C34">
        <w:rPr>
          <w:lang w:val="en-US"/>
        </w:rPr>
        <w:t>iii</w:t>
      </w:r>
      <w:r w:rsidR="008D0C34" w:rsidRPr="008D0C34">
        <w:rPr>
          <w:lang w:val="ru-RU"/>
        </w:rPr>
        <w:t>): ЮНЕП было поручено при представлении в будущем бюджетов ПСС сообщать о</w:t>
      </w:r>
      <w:r w:rsidR="0014221D">
        <w:rPr>
          <w:lang w:val="en-US"/>
        </w:rPr>
        <w:t> </w:t>
      </w:r>
      <w:r w:rsidR="008D0C34" w:rsidRPr="008D0C34">
        <w:rPr>
          <w:lang w:val="ru-RU"/>
        </w:rPr>
        <w:t>существующих уровнях должностей сотрудников и информировать Исполнительный комитет о любых изменениях в этой связи, особенно в отношении любого увеличения бюджетных ассигнований</w:t>
      </w:r>
      <w:r w:rsidRPr="008D0C34">
        <w:rPr>
          <w:lang w:val="ru-RU"/>
        </w:rPr>
        <w:t>.</w:t>
      </w:r>
    </w:p>
  </w:footnote>
  <w:footnote w:id="15">
    <w:p w14:paraId="543CA973" w14:textId="0F472D69" w:rsidR="00EA05F3" w:rsidRPr="008D0C34" w:rsidRDefault="00EA05F3" w:rsidP="00EA05F3">
      <w:pPr>
        <w:pStyle w:val="FootnoteText"/>
        <w:rPr>
          <w:lang w:val="ru-RU"/>
        </w:rPr>
      </w:pPr>
      <w:r w:rsidRPr="00223FD4">
        <w:rPr>
          <w:rStyle w:val="FootnoteReference"/>
        </w:rPr>
        <w:footnoteRef/>
      </w:r>
      <w:r w:rsidRPr="008D0C34">
        <w:rPr>
          <w:lang w:val="ru-RU"/>
        </w:rPr>
        <w:t xml:space="preserve"> </w:t>
      </w:r>
      <w:r w:rsidR="008D0C34" w:rsidRPr="008D0C34">
        <w:rPr>
          <w:lang w:val="ru-RU"/>
        </w:rPr>
        <w:t>Эти корректировки также осуществляются в соответствии с решением</w:t>
      </w:r>
      <w:r w:rsidR="00F3130C">
        <w:rPr>
          <w:lang w:val="ru-RU"/>
        </w:rPr>
        <w:t> </w:t>
      </w:r>
      <w:r w:rsidR="008D0C34" w:rsidRPr="008D0C34">
        <w:rPr>
          <w:lang w:val="ru-RU"/>
        </w:rPr>
        <w:t>97/85</w:t>
      </w:r>
      <w:r w:rsidR="00F3130C">
        <w:rPr>
          <w:lang w:val="ru-RU"/>
        </w:rPr>
        <w:t> </w:t>
      </w:r>
      <w:r w:rsidR="008D0C34" w:rsidRPr="008D0C34">
        <w:rPr>
          <w:lang w:val="en-US"/>
        </w:rPr>
        <w:t>d</w:t>
      </w:r>
      <w:r w:rsidR="008D0C34" w:rsidRPr="008D0C34">
        <w:rPr>
          <w:lang w:val="ru-RU"/>
        </w:rPr>
        <w:t>), которое позволяет ЮНЕП перераспределять приоритеты финансирования между статьями бюджета ПСС с учетом меняющихся приоритетов</w:t>
      </w:r>
      <w:r w:rsidRPr="008D0C34">
        <w:rPr>
          <w:lang w:val="ru-RU"/>
        </w:rPr>
        <w:t>.</w:t>
      </w:r>
    </w:p>
  </w:footnote>
  <w:footnote w:id="16">
    <w:p w14:paraId="0B5D3D15" w14:textId="6A592352" w:rsidR="00A83C1B" w:rsidRPr="00106FFF" w:rsidRDefault="00A83C1B" w:rsidP="00A83C1B">
      <w:pPr>
        <w:pStyle w:val="FootnoteText"/>
        <w:rPr>
          <w:lang w:val="ru-RU"/>
        </w:rPr>
      </w:pPr>
      <w:r>
        <w:rPr>
          <w:rStyle w:val="FootnoteReference"/>
        </w:rPr>
        <w:footnoteRef/>
      </w:r>
      <w:r w:rsidRPr="00106FFF">
        <w:rPr>
          <w:lang w:val="ru-RU"/>
        </w:rPr>
        <w:t xml:space="preserve"> </w:t>
      </w:r>
      <w:r w:rsidR="00106FFF" w:rsidRPr="00106FFF">
        <w:rPr>
          <w:lang w:val="ru-RU"/>
        </w:rPr>
        <w:t xml:space="preserve">В решении 97/85 </w:t>
      </w:r>
      <w:r w:rsidR="00106FFF" w:rsidRPr="00106FFF">
        <w:t>d</w:t>
      </w:r>
      <w:r w:rsidR="00106FFF" w:rsidRPr="00106FFF">
        <w:rPr>
          <w:lang w:val="ru-RU"/>
        </w:rPr>
        <w:t xml:space="preserve">) </w:t>
      </w:r>
      <w:r w:rsidR="00106FFF" w:rsidRPr="00106FFF">
        <w:t>iv</w:t>
      </w:r>
      <w:r w:rsidR="00106FFF" w:rsidRPr="00106FFF">
        <w:rPr>
          <w:lang w:val="ru-RU"/>
        </w:rPr>
        <w:t xml:space="preserve">) ЮНЕП было поручено при представлении в будущем бюджетов ПСС продолжать представлять бюджет на соответствующий год и отчет о расходах, понесенных в году, предшествующем предыдущему году, с учетом подпунктов </w:t>
      </w:r>
      <w:r w:rsidR="00106FFF" w:rsidRPr="00106FFF">
        <w:t>d</w:t>
      </w:r>
      <w:r w:rsidR="00106FFF" w:rsidRPr="00106FFF">
        <w:rPr>
          <w:lang w:val="ru-RU"/>
        </w:rPr>
        <w:t>)</w:t>
      </w:r>
      <w:r w:rsidR="00F3130C">
        <w:rPr>
          <w:lang w:val="ru-RU"/>
        </w:rPr>
        <w:t> </w:t>
      </w:r>
      <w:r w:rsidR="00106FFF" w:rsidRPr="00106FFF">
        <w:t>ii</w:t>
      </w:r>
      <w:r w:rsidR="00106FFF" w:rsidRPr="00106FFF">
        <w:rPr>
          <w:lang w:val="ru-RU"/>
        </w:rPr>
        <w:t xml:space="preserve">) и </w:t>
      </w:r>
      <w:r w:rsidR="00106FFF" w:rsidRPr="00106FFF">
        <w:t>d</w:t>
      </w:r>
      <w:r w:rsidR="00106FFF" w:rsidRPr="00106FFF">
        <w:rPr>
          <w:lang w:val="ru-RU"/>
        </w:rPr>
        <w:t>)</w:t>
      </w:r>
      <w:r w:rsidR="00F3130C">
        <w:rPr>
          <w:lang w:val="ru-RU"/>
        </w:rPr>
        <w:t> </w:t>
      </w:r>
      <w:r w:rsidR="00106FFF" w:rsidRPr="00106FFF">
        <w:t>iii</w:t>
      </w:r>
      <w:r w:rsidR="00106FFF" w:rsidRPr="00106FFF">
        <w:rPr>
          <w:lang w:val="ru-RU"/>
        </w:rPr>
        <w:t>)</w:t>
      </w:r>
      <w:r w:rsidRPr="00106FFF">
        <w:rPr>
          <w:lang w:val="ru-RU"/>
        </w:rPr>
        <w:t xml:space="preserve">. </w:t>
      </w:r>
    </w:p>
  </w:footnote>
  <w:footnote w:id="17">
    <w:p w14:paraId="5F853F7C" w14:textId="77777777" w:rsidR="00F72C8E" w:rsidRPr="00B1606B" w:rsidRDefault="00F72C8E" w:rsidP="00F72C8E">
      <w:pPr>
        <w:pStyle w:val="FootnoteText"/>
        <w:rPr>
          <w:lang w:val="ru-RU"/>
        </w:rPr>
      </w:pPr>
      <w:r>
        <w:rPr>
          <w:rStyle w:val="FootnoteReference"/>
        </w:rPr>
        <w:footnoteRef/>
      </w:r>
      <w:r w:rsidRPr="00B1606B">
        <w:rPr>
          <w:lang w:val="ru-RU"/>
        </w:rPr>
        <w:t xml:space="preserve"> </w:t>
      </w:r>
      <w:r w:rsidRPr="00091E16">
        <w:t>UNEP</w:t>
      </w:r>
      <w:r w:rsidRPr="00B1606B">
        <w:rPr>
          <w:lang w:val="ru-RU"/>
        </w:rPr>
        <w:t>/</w:t>
      </w:r>
      <w:r w:rsidRPr="00091E16">
        <w:t>OzL</w:t>
      </w:r>
      <w:r w:rsidRPr="00B1606B">
        <w:rPr>
          <w:lang w:val="ru-RU"/>
        </w:rPr>
        <w:t>.</w:t>
      </w:r>
      <w:r w:rsidRPr="00091E16">
        <w:t>Pro</w:t>
      </w:r>
      <w:r w:rsidRPr="00B1606B">
        <w:rPr>
          <w:lang w:val="ru-RU"/>
        </w:rPr>
        <w:t>/</w:t>
      </w:r>
      <w:r w:rsidRPr="00091E16">
        <w:t>ExCom</w:t>
      </w:r>
      <w:r w:rsidRPr="00B1606B">
        <w:rPr>
          <w:lang w:val="ru-RU"/>
        </w:rPr>
        <w:t>/99/4</w:t>
      </w:r>
    </w:p>
  </w:footnote>
  <w:footnote w:id="18">
    <w:p w14:paraId="2184D1D9" w14:textId="4AF8AE71" w:rsidR="000E6489" w:rsidRPr="00877A5A" w:rsidRDefault="000E6489" w:rsidP="000E6489">
      <w:pPr>
        <w:pStyle w:val="FootnoteText"/>
        <w:rPr>
          <w:lang w:val="ru-RU"/>
        </w:rPr>
      </w:pPr>
      <w:r w:rsidRPr="001E05B0">
        <w:rPr>
          <w:rStyle w:val="FootnoteReference"/>
        </w:rPr>
        <w:footnoteRef/>
      </w:r>
      <w:r w:rsidRPr="00877A5A">
        <w:rPr>
          <w:lang w:val="ru-RU"/>
        </w:rPr>
        <w:t xml:space="preserve"> </w:t>
      </w:r>
      <w:r w:rsidR="00877A5A" w:rsidRPr="00877A5A">
        <w:rPr>
          <w:lang w:val="ru-RU"/>
        </w:rPr>
        <w:t>В решении 97/85</w:t>
      </w:r>
      <w:r w:rsidR="00877A5A" w:rsidRPr="00877A5A">
        <w:t> </w:t>
      </w:r>
      <w:r w:rsidR="00877A5A" w:rsidRPr="00877A5A">
        <w:rPr>
          <w:lang w:val="en-US"/>
        </w:rPr>
        <w:t>d</w:t>
      </w:r>
      <w:r w:rsidR="00877A5A" w:rsidRPr="00877A5A">
        <w:rPr>
          <w:lang w:val="ru-RU"/>
        </w:rPr>
        <w:t xml:space="preserve">) ЮНЕП было поручено при представлении в будущем бюджетов ПСС продолжать: </w:t>
      </w:r>
      <w:r w:rsidR="00877A5A" w:rsidRPr="00877A5A">
        <w:rPr>
          <w:lang w:val="en-US"/>
        </w:rPr>
        <w:t>i</w:t>
      </w:r>
      <w:r w:rsidR="00877A5A" w:rsidRPr="00877A5A">
        <w:rPr>
          <w:lang w:val="ru-RU"/>
        </w:rPr>
        <w:t xml:space="preserve">) предоставлять подробную информацию о мероприятиях, на которые будут использоваться средства, выделяемые на глобальном уровне; </w:t>
      </w:r>
      <w:r w:rsidR="00877A5A" w:rsidRPr="00877A5A">
        <w:rPr>
          <w:lang w:val="en-US"/>
        </w:rPr>
        <w:t>ii</w:t>
      </w:r>
      <w:r w:rsidR="00877A5A" w:rsidRPr="00877A5A">
        <w:rPr>
          <w:lang w:val="ru-RU"/>
        </w:rPr>
        <w:t xml:space="preserve">) перераспределять приоритеты финансирования между статьями бюджета ПСС с учетом меняющихся приоритетов и предоставлять подробную информацию о произведенном перераспределении средств в соответствии с </w:t>
      </w:r>
      <w:r w:rsidR="00877A5A" w:rsidRPr="00F3130C">
        <w:rPr>
          <w:lang w:val="ru-RU"/>
        </w:rPr>
        <w:t xml:space="preserve">решениями </w:t>
      </w:r>
      <w:hyperlink r:id="rId1" w:history="1">
        <w:r w:rsidR="00877A5A" w:rsidRPr="00F3130C">
          <w:rPr>
            <w:rStyle w:val="Hyperlink"/>
            <w:color w:val="auto"/>
            <w:u w:val="none"/>
            <w:lang w:val="ru-RU"/>
          </w:rPr>
          <w:t>47/24</w:t>
        </w:r>
      </w:hyperlink>
      <w:r w:rsidR="00877A5A" w:rsidRPr="00F3130C">
        <w:rPr>
          <w:lang w:val="ru-RU"/>
        </w:rPr>
        <w:t xml:space="preserve"> и </w:t>
      </w:r>
      <w:hyperlink r:id="rId2" w:history="1">
        <w:r w:rsidR="00877A5A" w:rsidRPr="00F3130C">
          <w:rPr>
            <w:rStyle w:val="Hyperlink"/>
            <w:color w:val="auto"/>
            <w:u w:val="none"/>
            <w:lang w:val="ru-RU"/>
          </w:rPr>
          <w:t>50/26</w:t>
        </w:r>
      </w:hyperlink>
      <w:r w:rsidR="00877A5A" w:rsidRPr="00877A5A">
        <w:rPr>
          <w:lang w:val="ru-RU"/>
        </w:rPr>
        <w:t xml:space="preserve">; </w:t>
      </w:r>
      <w:r w:rsidR="00877A5A" w:rsidRPr="00877A5A">
        <w:rPr>
          <w:lang w:val="en-US"/>
        </w:rPr>
        <w:t>iii</w:t>
      </w:r>
      <w:r w:rsidR="00877A5A" w:rsidRPr="00877A5A">
        <w:rPr>
          <w:lang w:val="ru-RU"/>
        </w:rPr>
        <w:t xml:space="preserve">) сообщать о существующих уровнях должностей сотрудников и информировать Исполнительный комитет о любых изменениях в этой связи, особенно в отношении любого увеличения бюджетных ассигнований; </w:t>
      </w:r>
      <w:r w:rsidR="00877A5A" w:rsidRPr="00877A5A">
        <w:rPr>
          <w:lang w:val="en-US"/>
        </w:rPr>
        <w:t>iv</w:t>
      </w:r>
      <w:r w:rsidR="00877A5A" w:rsidRPr="00877A5A">
        <w:rPr>
          <w:lang w:val="ru-RU"/>
        </w:rPr>
        <w:t>) представлять бюджет на соответствующий год и отчет о расходах, понесенных в году, предшествующем предыдущему году, с учетом подпунктов</w:t>
      </w:r>
      <w:r w:rsidR="00877A5A">
        <w:rPr>
          <w:lang w:val="ru-RU"/>
        </w:rPr>
        <w:t> </w:t>
      </w:r>
      <w:r w:rsidR="00877A5A" w:rsidRPr="00877A5A">
        <w:rPr>
          <w:lang w:val="en-US"/>
        </w:rPr>
        <w:t>d</w:t>
      </w:r>
      <w:r w:rsidR="00877A5A" w:rsidRPr="00877A5A">
        <w:rPr>
          <w:lang w:val="ru-RU"/>
        </w:rPr>
        <w:t>)</w:t>
      </w:r>
      <w:r w:rsidR="00877A5A">
        <w:rPr>
          <w:lang w:val="ru-RU"/>
        </w:rPr>
        <w:t> </w:t>
      </w:r>
      <w:r w:rsidR="00877A5A" w:rsidRPr="00877A5A">
        <w:rPr>
          <w:lang w:val="en-US"/>
        </w:rPr>
        <w:t>ii</w:t>
      </w:r>
      <w:r w:rsidR="00877A5A" w:rsidRPr="00877A5A">
        <w:rPr>
          <w:lang w:val="ru-RU"/>
        </w:rPr>
        <w:t xml:space="preserve">) и </w:t>
      </w:r>
      <w:r w:rsidR="00877A5A" w:rsidRPr="00877A5A">
        <w:rPr>
          <w:lang w:val="en-US"/>
        </w:rPr>
        <w:t>d</w:t>
      </w:r>
      <w:r w:rsidR="00877A5A" w:rsidRPr="00877A5A">
        <w:rPr>
          <w:lang w:val="ru-RU"/>
        </w:rPr>
        <w:t>)</w:t>
      </w:r>
      <w:r w:rsidR="00877A5A">
        <w:rPr>
          <w:lang w:val="ru-RU"/>
        </w:rPr>
        <w:t> </w:t>
      </w:r>
      <w:r w:rsidR="00877A5A" w:rsidRPr="00877A5A">
        <w:rPr>
          <w:lang w:val="en-US"/>
        </w:rPr>
        <w:t>iii</w:t>
      </w:r>
      <w:r w:rsidR="00877A5A" w:rsidRPr="00877A5A">
        <w:rPr>
          <w:lang w:val="ru-RU"/>
        </w:rPr>
        <w:t>)</w:t>
      </w:r>
      <w:r w:rsidR="001E05B0" w:rsidRPr="00877A5A">
        <w:rPr>
          <w:lang w:val="ru-RU"/>
        </w:rPr>
        <w:t>.</w:t>
      </w:r>
    </w:p>
  </w:footnote>
  <w:footnote w:id="19">
    <w:p w14:paraId="0F9A5D00" w14:textId="0551E981" w:rsidR="00641141" w:rsidRPr="00EA5A98" w:rsidRDefault="00641141">
      <w:pPr>
        <w:pStyle w:val="FootnoteText"/>
        <w:rPr>
          <w:lang w:val="ru-RU"/>
        </w:rPr>
      </w:pPr>
      <w:r>
        <w:rPr>
          <w:rStyle w:val="FootnoteReference"/>
        </w:rPr>
        <w:footnoteRef/>
      </w:r>
      <w:r w:rsidRPr="00EA5A98">
        <w:rPr>
          <w:lang w:val="ru-RU"/>
        </w:rPr>
        <w:t xml:space="preserve"> </w:t>
      </w:r>
      <w:r w:rsidR="00EA5A98" w:rsidRPr="00EA5A98">
        <w:rPr>
          <w:lang w:val="ru-RU"/>
        </w:rPr>
        <w:t>Таких как Инструментарий по национальным механизмам координации; Инструмент мониторинга и отслеживания национальной политики; а также Инструментарий по обеспечению соблюдения соответствия, маркировке и правоприменению</w:t>
      </w:r>
      <w:r w:rsidRPr="00EA5A98">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B357F" w14:textId="0671A5B0" w:rsidR="00DC6A10" w:rsidRPr="0033525D" w:rsidRDefault="00DD7952">
    <w:fldSimple w:instr=" DOCPROPERTY &quot;Document number&quot;  \* MERGEFORMAT ">
      <w:r>
        <w:t>UNEP/OzL.Pro/ExCom/99/77</w:t>
      </w:r>
    </w:fldSimple>
  </w:p>
  <w:p w14:paraId="409034A9" w14:textId="77777777" w:rsidR="00DC6A10" w:rsidRPr="0033525D" w:rsidRDefault="00DC6A10"/>
  <w:p w14:paraId="774103F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92A69" w14:textId="6A21F836" w:rsidR="00DC6A10" w:rsidRPr="0033525D" w:rsidRDefault="00DD7952">
    <w:pPr>
      <w:jc w:val="right"/>
    </w:pPr>
    <w:fldSimple w:instr=" DOCPROPERTY &quot;Document number&quot;  \* MERGEFORMAT ">
      <w:r>
        <w:t>UNEP/OzL.Pro/ExCom/99/77</w:t>
      </w:r>
    </w:fldSimple>
  </w:p>
  <w:p w14:paraId="3C9CDDC1" w14:textId="77777777" w:rsidR="00DC6A10" w:rsidRPr="0033525D" w:rsidRDefault="00DC6A10"/>
  <w:p w14:paraId="68F40642"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1E6D0D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23B4806"/>
    <w:multiLevelType w:val="multilevel"/>
    <w:tmpl w:val="866C6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080880"/>
    <w:multiLevelType w:val="hybridMultilevel"/>
    <w:tmpl w:val="7A16FDAE"/>
    <w:lvl w:ilvl="0" w:tplc="BC524B40">
      <w:start w:val="1"/>
      <w:numFmt w:val="lowerRoman"/>
      <w:lvlText w:val="%1)"/>
      <w:lvlJc w:val="right"/>
      <w:pPr>
        <w:ind w:left="720" w:hanging="360"/>
      </w:pPr>
    </w:lvl>
    <w:lvl w:ilvl="1" w:tplc="4906BA02">
      <w:start w:val="1"/>
      <w:numFmt w:val="lowerRoman"/>
      <w:lvlText w:val="%2)"/>
      <w:lvlJc w:val="right"/>
      <w:pPr>
        <w:ind w:left="720" w:hanging="360"/>
      </w:pPr>
    </w:lvl>
    <w:lvl w:ilvl="2" w:tplc="5630C1B8">
      <w:start w:val="1"/>
      <w:numFmt w:val="lowerRoman"/>
      <w:lvlText w:val="%3)"/>
      <w:lvlJc w:val="right"/>
      <w:pPr>
        <w:ind w:left="720" w:hanging="360"/>
      </w:pPr>
    </w:lvl>
    <w:lvl w:ilvl="3" w:tplc="2D104924">
      <w:start w:val="1"/>
      <w:numFmt w:val="lowerRoman"/>
      <w:lvlText w:val="%4)"/>
      <w:lvlJc w:val="right"/>
      <w:pPr>
        <w:ind w:left="720" w:hanging="360"/>
      </w:pPr>
    </w:lvl>
    <w:lvl w:ilvl="4" w:tplc="3BA0C8A4">
      <w:start w:val="1"/>
      <w:numFmt w:val="lowerRoman"/>
      <w:lvlText w:val="%5)"/>
      <w:lvlJc w:val="right"/>
      <w:pPr>
        <w:ind w:left="720" w:hanging="360"/>
      </w:pPr>
    </w:lvl>
    <w:lvl w:ilvl="5" w:tplc="DBE6873C">
      <w:start w:val="1"/>
      <w:numFmt w:val="lowerRoman"/>
      <w:lvlText w:val="%6)"/>
      <w:lvlJc w:val="right"/>
      <w:pPr>
        <w:ind w:left="720" w:hanging="360"/>
      </w:pPr>
    </w:lvl>
    <w:lvl w:ilvl="6" w:tplc="9940C0A8">
      <w:start w:val="1"/>
      <w:numFmt w:val="lowerRoman"/>
      <w:lvlText w:val="%7)"/>
      <w:lvlJc w:val="right"/>
      <w:pPr>
        <w:ind w:left="720" w:hanging="360"/>
      </w:pPr>
    </w:lvl>
    <w:lvl w:ilvl="7" w:tplc="64C42486">
      <w:start w:val="1"/>
      <w:numFmt w:val="lowerRoman"/>
      <w:lvlText w:val="%8)"/>
      <w:lvlJc w:val="right"/>
      <w:pPr>
        <w:ind w:left="720" w:hanging="360"/>
      </w:pPr>
    </w:lvl>
    <w:lvl w:ilvl="8" w:tplc="80D84882">
      <w:start w:val="1"/>
      <w:numFmt w:val="lowerRoman"/>
      <w:lvlText w:val="%9)"/>
      <w:lvlJc w:val="right"/>
      <w:pPr>
        <w:ind w:left="720" w:hanging="360"/>
      </w:pPr>
    </w:lvl>
  </w:abstractNum>
  <w:abstractNum w:abstractNumId="14" w15:restartNumberingAfterBreak="0">
    <w:nsid w:val="0B3F250B"/>
    <w:multiLevelType w:val="multilevel"/>
    <w:tmpl w:val="90DA9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7B75B5"/>
    <w:multiLevelType w:val="multilevel"/>
    <w:tmpl w:val="68E21824"/>
    <w:lvl w:ilvl="0">
      <w:start w:val="1"/>
      <w:numFmt w:val="decimal"/>
      <w:lvlText w:val="%1."/>
      <w:lvlJc w:val="left"/>
      <w:pPr>
        <w:tabs>
          <w:tab w:val="num" w:pos="0"/>
        </w:tabs>
        <w:ind w:left="0" w:firstLine="0"/>
      </w:pPr>
      <w:rPr>
        <w:rFonts w:hint="default"/>
      </w:rPr>
    </w:lvl>
    <w:lvl w:ilvl="1">
      <w:start w:val="1"/>
      <w:numFmt w:val="decimal"/>
      <w:lvlText w:val="%2)"/>
      <w:lvlJc w:val="left"/>
      <w:pPr>
        <w:ind w:left="1080" w:hanging="360"/>
      </w:p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2160"/>
        </w:tabs>
        <w:ind w:left="2880" w:hanging="720"/>
      </w:pPr>
      <w:rPr>
        <w:rFonts w:hint="default"/>
        <w:b w:val="0"/>
        <w:i w:val="0"/>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2B133608"/>
    <w:multiLevelType w:val="hybridMultilevel"/>
    <w:tmpl w:val="6156B47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1F6E4E"/>
    <w:multiLevelType w:val="hybridMultilevel"/>
    <w:tmpl w:val="E1DA05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F3253D8"/>
    <w:multiLevelType w:val="multilevel"/>
    <w:tmpl w:val="3C4214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heme="majorBidi" w:hAnsiTheme="majorBidi" w:cstheme="majorBidi"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40385AB7"/>
    <w:multiLevelType w:val="hybridMultilevel"/>
    <w:tmpl w:val="94EA5C46"/>
    <w:lvl w:ilvl="0" w:tplc="437EB1F0">
      <w:start w:val="1"/>
      <w:numFmt w:val="decimal"/>
      <w:lvlText w:val="%1."/>
      <w:lvlJc w:val="left"/>
      <w:pPr>
        <w:ind w:left="1170" w:hanging="360"/>
      </w:pPr>
      <w:rPr>
        <w:rFonts w:ascii="Times New Roman" w:hAnsi="Times New Roman" w:cs="Times New Roman" w:hint="default"/>
      </w:rPr>
    </w:lvl>
    <w:lvl w:ilvl="1" w:tplc="04090019">
      <w:start w:val="1"/>
      <w:numFmt w:val="lowerLetter"/>
      <w:lvlText w:val="%2."/>
      <w:lvlJc w:val="left"/>
      <w:pPr>
        <w:ind w:left="1080" w:hanging="360"/>
      </w:pPr>
    </w:lvl>
    <w:lvl w:ilvl="2" w:tplc="872E8D5C">
      <w:start w:val="2020"/>
      <w:numFmt w:val="bullet"/>
      <w:lvlText w:val="•"/>
      <w:lvlJc w:val="left"/>
      <w:pPr>
        <w:ind w:left="2340" w:hanging="720"/>
      </w:pPr>
      <w:rPr>
        <w:rFonts w:ascii="Roboto" w:eastAsiaTheme="minorHAnsi" w:hAnsi="Roboto" w:cstheme="minorBid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101733B"/>
    <w:multiLevelType w:val="hybridMultilevel"/>
    <w:tmpl w:val="F3327032"/>
    <w:lvl w:ilvl="0" w:tplc="AECC5B62">
      <w:start w:val="1"/>
      <w:numFmt w:val="lowerRoman"/>
      <w:lvlText w:val="%1)"/>
      <w:lvlJc w:val="right"/>
      <w:pPr>
        <w:ind w:left="1020" w:hanging="360"/>
      </w:pPr>
    </w:lvl>
    <w:lvl w:ilvl="1" w:tplc="56403756">
      <w:start w:val="1"/>
      <w:numFmt w:val="lowerRoman"/>
      <w:lvlText w:val="%2)"/>
      <w:lvlJc w:val="right"/>
      <w:pPr>
        <w:ind w:left="1020" w:hanging="360"/>
      </w:pPr>
    </w:lvl>
    <w:lvl w:ilvl="2" w:tplc="2EE0B9E0">
      <w:start w:val="1"/>
      <w:numFmt w:val="lowerRoman"/>
      <w:lvlText w:val="%3)"/>
      <w:lvlJc w:val="right"/>
      <w:pPr>
        <w:ind w:left="1020" w:hanging="360"/>
      </w:pPr>
    </w:lvl>
    <w:lvl w:ilvl="3" w:tplc="4B08F89E">
      <w:start w:val="1"/>
      <w:numFmt w:val="lowerRoman"/>
      <w:lvlText w:val="%4)"/>
      <w:lvlJc w:val="right"/>
      <w:pPr>
        <w:ind w:left="1020" w:hanging="360"/>
      </w:pPr>
    </w:lvl>
    <w:lvl w:ilvl="4" w:tplc="8E8635FE">
      <w:start w:val="1"/>
      <w:numFmt w:val="lowerRoman"/>
      <w:lvlText w:val="%5)"/>
      <w:lvlJc w:val="right"/>
      <w:pPr>
        <w:ind w:left="1020" w:hanging="360"/>
      </w:pPr>
    </w:lvl>
    <w:lvl w:ilvl="5" w:tplc="CF826F1E">
      <w:start w:val="1"/>
      <w:numFmt w:val="lowerRoman"/>
      <w:lvlText w:val="%6)"/>
      <w:lvlJc w:val="right"/>
      <w:pPr>
        <w:ind w:left="1020" w:hanging="360"/>
      </w:pPr>
    </w:lvl>
    <w:lvl w:ilvl="6" w:tplc="67F6D67C">
      <w:start w:val="1"/>
      <w:numFmt w:val="lowerRoman"/>
      <w:lvlText w:val="%7)"/>
      <w:lvlJc w:val="right"/>
      <w:pPr>
        <w:ind w:left="1020" w:hanging="360"/>
      </w:pPr>
    </w:lvl>
    <w:lvl w:ilvl="7" w:tplc="CAEC34BE">
      <w:start w:val="1"/>
      <w:numFmt w:val="lowerRoman"/>
      <w:lvlText w:val="%8)"/>
      <w:lvlJc w:val="right"/>
      <w:pPr>
        <w:ind w:left="1020" w:hanging="360"/>
      </w:pPr>
    </w:lvl>
    <w:lvl w:ilvl="8" w:tplc="B3323BEC">
      <w:start w:val="1"/>
      <w:numFmt w:val="lowerRoman"/>
      <w:lvlText w:val="%9)"/>
      <w:lvlJc w:val="right"/>
      <w:pPr>
        <w:ind w:left="1020" w:hanging="360"/>
      </w:pPr>
    </w:lvl>
  </w:abstractNum>
  <w:abstractNum w:abstractNumId="23" w15:restartNumberingAfterBreak="0">
    <w:nsid w:val="44BE7B53"/>
    <w:multiLevelType w:val="hybridMultilevel"/>
    <w:tmpl w:val="420C4CF8"/>
    <w:lvl w:ilvl="0" w:tplc="FEF6CB1C">
      <w:start w:val="1"/>
      <w:numFmt w:val="decimal"/>
      <w:lvlText w:val="%1."/>
      <w:lvlJc w:val="left"/>
      <w:pPr>
        <w:ind w:left="100" w:hanging="720"/>
      </w:pPr>
      <w:rPr>
        <w:rFonts w:hint="default"/>
        <w:w w:val="100"/>
        <w:lang w:val="en-US" w:eastAsia="en-US" w:bidi="ar-SA"/>
      </w:rPr>
    </w:lvl>
    <w:lvl w:ilvl="1" w:tplc="42E265BA">
      <w:numFmt w:val="bullet"/>
      <w:lvlText w:val=""/>
      <w:lvlJc w:val="left"/>
      <w:pPr>
        <w:ind w:left="820" w:hanging="360"/>
      </w:pPr>
      <w:rPr>
        <w:rFonts w:ascii="Symbol" w:eastAsia="Symbol" w:hAnsi="Symbol" w:cs="Symbol" w:hint="default"/>
        <w:b w:val="0"/>
        <w:bCs w:val="0"/>
        <w:i w:val="0"/>
        <w:iCs w:val="0"/>
        <w:color w:val="auto"/>
        <w:w w:val="100"/>
        <w:sz w:val="22"/>
        <w:szCs w:val="22"/>
        <w:lang w:val="en-US" w:eastAsia="en-US" w:bidi="ar-SA"/>
      </w:rPr>
    </w:lvl>
    <w:lvl w:ilvl="2" w:tplc="BAD87C7C">
      <w:numFmt w:val="bullet"/>
      <w:lvlText w:val="•"/>
      <w:lvlJc w:val="left"/>
      <w:pPr>
        <w:ind w:left="1756" w:hanging="360"/>
      </w:pPr>
      <w:rPr>
        <w:rFonts w:hint="default"/>
        <w:lang w:val="en-US" w:eastAsia="en-US" w:bidi="ar-SA"/>
      </w:rPr>
    </w:lvl>
    <w:lvl w:ilvl="3" w:tplc="433E13E6">
      <w:numFmt w:val="bullet"/>
      <w:lvlText w:val="•"/>
      <w:lvlJc w:val="left"/>
      <w:pPr>
        <w:ind w:left="2692" w:hanging="360"/>
      </w:pPr>
      <w:rPr>
        <w:rFonts w:hint="default"/>
        <w:lang w:val="en-US" w:eastAsia="en-US" w:bidi="ar-SA"/>
      </w:rPr>
    </w:lvl>
    <w:lvl w:ilvl="4" w:tplc="D89A1AB0">
      <w:numFmt w:val="bullet"/>
      <w:lvlText w:val="•"/>
      <w:lvlJc w:val="left"/>
      <w:pPr>
        <w:ind w:left="3628" w:hanging="360"/>
      </w:pPr>
      <w:rPr>
        <w:rFonts w:hint="default"/>
        <w:lang w:val="en-US" w:eastAsia="en-US" w:bidi="ar-SA"/>
      </w:rPr>
    </w:lvl>
    <w:lvl w:ilvl="5" w:tplc="4C20DC1E">
      <w:numFmt w:val="bullet"/>
      <w:lvlText w:val="•"/>
      <w:lvlJc w:val="left"/>
      <w:pPr>
        <w:ind w:left="4565" w:hanging="360"/>
      </w:pPr>
      <w:rPr>
        <w:rFonts w:hint="default"/>
        <w:lang w:val="en-US" w:eastAsia="en-US" w:bidi="ar-SA"/>
      </w:rPr>
    </w:lvl>
    <w:lvl w:ilvl="6" w:tplc="F9FE29A2">
      <w:numFmt w:val="bullet"/>
      <w:lvlText w:val="•"/>
      <w:lvlJc w:val="left"/>
      <w:pPr>
        <w:ind w:left="5501" w:hanging="360"/>
      </w:pPr>
      <w:rPr>
        <w:rFonts w:hint="default"/>
        <w:lang w:val="en-US" w:eastAsia="en-US" w:bidi="ar-SA"/>
      </w:rPr>
    </w:lvl>
    <w:lvl w:ilvl="7" w:tplc="B40CB696">
      <w:numFmt w:val="bullet"/>
      <w:lvlText w:val="•"/>
      <w:lvlJc w:val="left"/>
      <w:pPr>
        <w:ind w:left="6437" w:hanging="360"/>
      </w:pPr>
      <w:rPr>
        <w:rFonts w:hint="default"/>
        <w:lang w:val="en-US" w:eastAsia="en-US" w:bidi="ar-SA"/>
      </w:rPr>
    </w:lvl>
    <w:lvl w:ilvl="8" w:tplc="0C161B34">
      <w:numFmt w:val="bullet"/>
      <w:lvlText w:val="•"/>
      <w:lvlJc w:val="left"/>
      <w:pPr>
        <w:ind w:left="7373" w:hanging="360"/>
      </w:pPr>
      <w:rPr>
        <w:rFonts w:hint="default"/>
        <w:lang w:val="en-US" w:eastAsia="en-US" w:bidi="ar-SA"/>
      </w:rPr>
    </w:lvl>
  </w:abstractNum>
  <w:abstractNum w:abstractNumId="2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FF7A73"/>
    <w:multiLevelType w:val="hybridMultilevel"/>
    <w:tmpl w:val="B13025D2"/>
    <w:lvl w:ilvl="0" w:tplc="5694C390">
      <w:start w:val="1"/>
      <w:numFmt w:val="lowerRoman"/>
      <w:lvlText w:val="%1)"/>
      <w:lvlJc w:val="right"/>
      <w:pPr>
        <w:ind w:left="1020" w:hanging="360"/>
      </w:pPr>
    </w:lvl>
    <w:lvl w:ilvl="1" w:tplc="F1E0BAE2">
      <w:start w:val="1"/>
      <w:numFmt w:val="lowerRoman"/>
      <w:lvlText w:val="%2)"/>
      <w:lvlJc w:val="right"/>
      <w:pPr>
        <w:ind w:left="1020" w:hanging="360"/>
      </w:pPr>
    </w:lvl>
    <w:lvl w:ilvl="2" w:tplc="256C1BBC">
      <w:start w:val="1"/>
      <w:numFmt w:val="lowerRoman"/>
      <w:lvlText w:val="%3)"/>
      <w:lvlJc w:val="right"/>
      <w:pPr>
        <w:ind w:left="1020" w:hanging="360"/>
      </w:pPr>
    </w:lvl>
    <w:lvl w:ilvl="3" w:tplc="79D0841C">
      <w:start w:val="1"/>
      <w:numFmt w:val="lowerRoman"/>
      <w:lvlText w:val="%4)"/>
      <w:lvlJc w:val="right"/>
      <w:pPr>
        <w:ind w:left="1020" w:hanging="360"/>
      </w:pPr>
    </w:lvl>
    <w:lvl w:ilvl="4" w:tplc="AFE2F350">
      <w:start w:val="1"/>
      <w:numFmt w:val="lowerRoman"/>
      <w:lvlText w:val="%5)"/>
      <w:lvlJc w:val="right"/>
      <w:pPr>
        <w:ind w:left="1020" w:hanging="360"/>
      </w:pPr>
    </w:lvl>
    <w:lvl w:ilvl="5" w:tplc="0428F45C">
      <w:start w:val="1"/>
      <w:numFmt w:val="lowerRoman"/>
      <w:lvlText w:val="%6)"/>
      <w:lvlJc w:val="right"/>
      <w:pPr>
        <w:ind w:left="1020" w:hanging="360"/>
      </w:pPr>
    </w:lvl>
    <w:lvl w:ilvl="6" w:tplc="359C24CA">
      <w:start w:val="1"/>
      <w:numFmt w:val="lowerRoman"/>
      <w:lvlText w:val="%7)"/>
      <w:lvlJc w:val="right"/>
      <w:pPr>
        <w:ind w:left="1020" w:hanging="360"/>
      </w:pPr>
    </w:lvl>
    <w:lvl w:ilvl="7" w:tplc="D90E7844">
      <w:start w:val="1"/>
      <w:numFmt w:val="lowerRoman"/>
      <w:lvlText w:val="%8)"/>
      <w:lvlJc w:val="right"/>
      <w:pPr>
        <w:ind w:left="1020" w:hanging="360"/>
      </w:pPr>
    </w:lvl>
    <w:lvl w:ilvl="8" w:tplc="308E40B8">
      <w:start w:val="1"/>
      <w:numFmt w:val="lowerRoman"/>
      <w:lvlText w:val="%9)"/>
      <w:lvlJc w:val="right"/>
      <w:pPr>
        <w:ind w:left="1020" w:hanging="360"/>
      </w:pPr>
    </w:lvl>
  </w:abstractNum>
  <w:abstractNum w:abstractNumId="27"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A6513F5"/>
    <w:multiLevelType w:val="multilevel"/>
    <w:tmpl w:val="B926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40A123C"/>
    <w:multiLevelType w:val="hybridMultilevel"/>
    <w:tmpl w:val="9B5C93C0"/>
    <w:lvl w:ilvl="0" w:tplc="EF36A61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C8C730D"/>
    <w:multiLevelType w:val="multilevel"/>
    <w:tmpl w:val="FB26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E2619B"/>
    <w:multiLevelType w:val="multilevel"/>
    <w:tmpl w:val="78908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ED7BD7"/>
    <w:multiLevelType w:val="multilevel"/>
    <w:tmpl w:val="54A84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3675C1"/>
    <w:multiLevelType w:val="hybridMultilevel"/>
    <w:tmpl w:val="7B7E05E0"/>
    <w:lvl w:ilvl="0" w:tplc="E2BE2A3E">
      <w:start w:val="1"/>
      <w:numFmt w:val="lowerRoman"/>
      <w:lvlText w:val="%1)"/>
      <w:lvlJc w:val="right"/>
      <w:pPr>
        <w:ind w:left="1020" w:hanging="360"/>
      </w:pPr>
    </w:lvl>
    <w:lvl w:ilvl="1" w:tplc="E856D4EA">
      <w:start w:val="1"/>
      <w:numFmt w:val="lowerRoman"/>
      <w:lvlText w:val="%2)"/>
      <w:lvlJc w:val="right"/>
      <w:pPr>
        <w:ind w:left="1020" w:hanging="360"/>
      </w:pPr>
    </w:lvl>
    <w:lvl w:ilvl="2" w:tplc="B540D756">
      <w:start w:val="1"/>
      <w:numFmt w:val="lowerRoman"/>
      <w:lvlText w:val="%3)"/>
      <w:lvlJc w:val="right"/>
      <w:pPr>
        <w:ind w:left="1020" w:hanging="360"/>
      </w:pPr>
    </w:lvl>
    <w:lvl w:ilvl="3" w:tplc="88A0C5C4">
      <w:start w:val="1"/>
      <w:numFmt w:val="lowerRoman"/>
      <w:lvlText w:val="%4)"/>
      <w:lvlJc w:val="right"/>
      <w:pPr>
        <w:ind w:left="1020" w:hanging="360"/>
      </w:pPr>
    </w:lvl>
    <w:lvl w:ilvl="4" w:tplc="63C4E4CA">
      <w:start w:val="1"/>
      <w:numFmt w:val="lowerRoman"/>
      <w:lvlText w:val="%5)"/>
      <w:lvlJc w:val="right"/>
      <w:pPr>
        <w:ind w:left="1020" w:hanging="360"/>
      </w:pPr>
    </w:lvl>
    <w:lvl w:ilvl="5" w:tplc="C99E6E2A">
      <w:start w:val="1"/>
      <w:numFmt w:val="lowerRoman"/>
      <w:lvlText w:val="%6)"/>
      <w:lvlJc w:val="right"/>
      <w:pPr>
        <w:ind w:left="1020" w:hanging="360"/>
      </w:pPr>
    </w:lvl>
    <w:lvl w:ilvl="6" w:tplc="D700BD12">
      <w:start w:val="1"/>
      <w:numFmt w:val="lowerRoman"/>
      <w:lvlText w:val="%7)"/>
      <w:lvlJc w:val="right"/>
      <w:pPr>
        <w:ind w:left="1020" w:hanging="360"/>
      </w:pPr>
    </w:lvl>
    <w:lvl w:ilvl="7" w:tplc="EBBAC79E">
      <w:start w:val="1"/>
      <w:numFmt w:val="lowerRoman"/>
      <w:lvlText w:val="%8)"/>
      <w:lvlJc w:val="right"/>
      <w:pPr>
        <w:ind w:left="1020" w:hanging="360"/>
      </w:pPr>
    </w:lvl>
    <w:lvl w:ilvl="8" w:tplc="A50407DC">
      <w:start w:val="1"/>
      <w:numFmt w:val="lowerRoman"/>
      <w:lvlText w:val="%9)"/>
      <w:lvlJc w:val="right"/>
      <w:pPr>
        <w:ind w:left="1020" w:hanging="360"/>
      </w:p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9" w15:restartNumberingAfterBreak="0">
    <w:nsid w:val="7FC04B1A"/>
    <w:multiLevelType w:val="hybridMultilevel"/>
    <w:tmpl w:val="CB8C7050"/>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7"/>
  </w:num>
  <w:num w:numId="17" w16cid:durableId="1137381005">
    <w:abstractNumId w:val="28"/>
  </w:num>
  <w:num w:numId="18" w16cid:durableId="671107749">
    <w:abstractNumId w:val="29"/>
  </w:num>
  <w:num w:numId="19" w16cid:durableId="1526870837">
    <w:abstractNumId w:val="38"/>
  </w:num>
  <w:num w:numId="20" w16cid:durableId="1070348511">
    <w:abstractNumId w:val="20"/>
  </w:num>
  <w:num w:numId="21" w16cid:durableId="1201548317">
    <w:abstractNumId w:val="20"/>
    <w:lvlOverride w:ilvl="0">
      <w:startOverride w:val="1"/>
    </w:lvlOverride>
  </w:num>
  <w:num w:numId="22" w16cid:durableId="759643789">
    <w:abstractNumId w:val="31"/>
  </w:num>
  <w:num w:numId="23" w16cid:durableId="1397825505">
    <w:abstractNumId w:val="25"/>
  </w:num>
  <w:num w:numId="24" w16cid:durableId="1051735893">
    <w:abstractNumId w:val="32"/>
  </w:num>
  <w:num w:numId="25" w16cid:durableId="1791509857">
    <w:abstractNumId w:val="24"/>
  </w:num>
  <w:num w:numId="26" w16cid:durableId="2039770994">
    <w:abstractNumId w:val="27"/>
  </w:num>
  <w:num w:numId="27" w16cid:durableId="993341946">
    <w:abstractNumId w:val="11"/>
  </w:num>
  <w:num w:numId="28" w16cid:durableId="1168745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3293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32435786">
    <w:abstractNumId w:val="23"/>
  </w:num>
  <w:num w:numId="31" w16cid:durableId="1802186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43357338">
    <w:abstractNumId w:val="10"/>
  </w:num>
  <w:num w:numId="33" w16cid:durableId="1031416882">
    <w:abstractNumId w:val="10"/>
  </w:num>
  <w:num w:numId="34" w16cid:durableId="920675761">
    <w:abstractNumId w:val="10"/>
  </w:num>
  <w:num w:numId="35" w16cid:durableId="687368360">
    <w:abstractNumId w:val="10"/>
  </w:num>
  <w:num w:numId="36" w16cid:durableId="1498351388">
    <w:abstractNumId w:val="10"/>
  </w:num>
  <w:num w:numId="37" w16cid:durableId="806897708">
    <w:abstractNumId w:val="10"/>
  </w:num>
  <w:num w:numId="38" w16cid:durableId="1526480774">
    <w:abstractNumId w:val="18"/>
  </w:num>
  <w:num w:numId="39" w16cid:durableId="1701782562">
    <w:abstractNumId w:val="33"/>
  </w:num>
  <w:num w:numId="40" w16cid:durableId="852961110">
    <w:abstractNumId w:val="10"/>
  </w:num>
  <w:num w:numId="41" w16cid:durableId="939140005">
    <w:abstractNumId w:val="10"/>
  </w:num>
  <w:num w:numId="42" w16cid:durableId="507602705">
    <w:abstractNumId w:val="10"/>
  </w:num>
  <w:num w:numId="43" w16cid:durableId="700478752">
    <w:abstractNumId w:val="10"/>
  </w:num>
  <w:num w:numId="44" w16cid:durableId="713575249">
    <w:abstractNumId w:val="21"/>
  </w:num>
  <w:num w:numId="45" w16cid:durableId="777679322">
    <w:abstractNumId w:val="10"/>
  </w:num>
  <w:num w:numId="46" w16cid:durableId="695011415">
    <w:abstractNumId w:val="10"/>
  </w:num>
  <w:num w:numId="47" w16cid:durableId="2058964248">
    <w:abstractNumId w:val="19"/>
  </w:num>
  <w:num w:numId="48" w16cid:durableId="135484561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701282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51710397">
    <w:abstractNumId w:val="34"/>
  </w:num>
  <w:num w:numId="51" w16cid:durableId="2090692194">
    <w:abstractNumId w:val="30"/>
  </w:num>
  <w:num w:numId="52" w16cid:durableId="1640918696">
    <w:abstractNumId w:val="35"/>
  </w:num>
  <w:num w:numId="53" w16cid:durableId="833572565">
    <w:abstractNumId w:val="36"/>
  </w:num>
  <w:num w:numId="54" w16cid:durableId="2139566253">
    <w:abstractNumId w:val="12"/>
  </w:num>
  <w:num w:numId="55" w16cid:durableId="771127328">
    <w:abstractNumId w:val="14"/>
  </w:num>
  <w:num w:numId="56" w16cid:durableId="673462002">
    <w:abstractNumId w:val="10"/>
  </w:num>
  <w:num w:numId="57" w16cid:durableId="241455949">
    <w:abstractNumId w:val="10"/>
  </w:num>
  <w:num w:numId="58" w16cid:durableId="1730299946">
    <w:abstractNumId w:val="15"/>
  </w:num>
  <w:num w:numId="59" w16cid:durableId="1086340635">
    <w:abstractNumId w:val="10"/>
  </w:num>
  <w:num w:numId="60" w16cid:durableId="852304826">
    <w:abstractNumId w:val="10"/>
  </w:num>
  <w:num w:numId="61" w16cid:durableId="626399917">
    <w:abstractNumId w:val="26"/>
  </w:num>
  <w:num w:numId="62" w16cid:durableId="1976711268">
    <w:abstractNumId w:val="37"/>
  </w:num>
  <w:num w:numId="63" w16cid:durableId="386613021">
    <w:abstractNumId w:val="13"/>
  </w:num>
  <w:num w:numId="64" w16cid:durableId="431054789">
    <w:abstractNumId w:val="2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A83C1B"/>
    <w:rsid w:val="000001D8"/>
    <w:rsid w:val="000007E3"/>
    <w:rsid w:val="00000FED"/>
    <w:rsid w:val="00001E2D"/>
    <w:rsid w:val="00003174"/>
    <w:rsid w:val="0000434E"/>
    <w:rsid w:val="000043D2"/>
    <w:rsid w:val="0000642B"/>
    <w:rsid w:val="00006E7B"/>
    <w:rsid w:val="0000741D"/>
    <w:rsid w:val="00007901"/>
    <w:rsid w:val="00010857"/>
    <w:rsid w:val="00011A55"/>
    <w:rsid w:val="000159A3"/>
    <w:rsid w:val="00015F92"/>
    <w:rsid w:val="0001712E"/>
    <w:rsid w:val="00017AED"/>
    <w:rsid w:val="0002019C"/>
    <w:rsid w:val="000219FC"/>
    <w:rsid w:val="00023102"/>
    <w:rsid w:val="000237B8"/>
    <w:rsid w:val="00023BB5"/>
    <w:rsid w:val="00026CE3"/>
    <w:rsid w:val="00027178"/>
    <w:rsid w:val="00030C03"/>
    <w:rsid w:val="00031260"/>
    <w:rsid w:val="000314F1"/>
    <w:rsid w:val="00032FA1"/>
    <w:rsid w:val="00034652"/>
    <w:rsid w:val="0003681A"/>
    <w:rsid w:val="00036A14"/>
    <w:rsid w:val="00036C0B"/>
    <w:rsid w:val="00040956"/>
    <w:rsid w:val="00041E79"/>
    <w:rsid w:val="0004467E"/>
    <w:rsid w:val="00044B99"/>
    <w:rsid w:val="00045EFA"/>
    <w:rsid w:val="0004690E"/>
    <w:rsid w:val="00052D33"/>
    <w:rsid w:val="00052F99"/>
    <w:rsid w:val="000537B5"/>
    <w:rsid w:val="000552D5"/>
    <w:rsid w:val="000554FD"/>
    <w:rsid w:val="000565EB"/>
    <w:rsid w:val="00056D6E"/>
    <w:rsid w:val="00057856"/>
    <w:rsid w:val="0006113E"/>
    <w:rsid w:val="00062CD2"/>
    <w:rsid w:val="000634EC"/>
    <w:rsid w:val="00064621"/>
    <w:rsid w:val="0006548E"/>
    <w:rsid w:val="00065A41"/>
    <w:rsid w:val="00065D34"/>
    <w:rsid w:val="00072B13"/>
    <w:rsid w:val="000742A2"/>
    <w:rsid w:val="0007446C"/>
    <w:rsid w:val="000745BB"/>
    <w:rsid w:val="0007476C"/>
    <w:rsid w:val="00076CEE"/>
    <w:rsid w:val="00077E22"/>
    <w:rsid w:val="000800EE"/>
    <w:rsid w:val="00080ED0"/>
    <w:rsid w:val="0008145E"/>
    <w:rsid w:val="0008254B"/>
    <w:rsid w:val="00082614"/>
    <w:rsid w:val="00082F11"/>
    <w:rsid w:val="0008373A"/>
    <w:rsid w:val="00085B8F"/>
    <w:rsid w:val="00085BEC"/>
    <w:rsid w:val="00087AFC"/>
    <w:rsid w:val="00090082"/>
    <w:rsid w:val="00090481"/>
    <w:rsid w:val="00091A22"/>
    <w:rsid w:val="00091E16"/>
    <w:rsid w:val="00091F9D"/>
    <w:rsid w:val="00092DFB"/>
    <w:rsid w:val="00093E1A"/>
    <w:rsid w:val="00095369"/>
    <w:rsid w:val="00096627"/>
    <w:rsid w:val="000968F0"/>
    <w:rsid w:val="000A1904"/>
    <w:rsid w:val="000A2B8C"/>
    <w:rsid w:val="000A3358"/>
    <w:rsid w:val="000B324E"/>
    <w:rsid w:val="000B4646"/>
    <w:rsid w:val="000B5776"/>
    <w:rsid w:val="000C07BD"/>
    <w:rsid w:val="000C1868"/>
    <w:rsid w:val="000C19FD"/>
    <w:rsid w:val="000C2DB5"/>
    <w:rsid w:val="000C3780"/>
    <w:rsid w:val="000C37AF"/>
    <w:rsid w:val="000C5A72"/>
    <w:rsid w:val="000C5E3E"/>
    <w:rsid w:val="000C7048"/>
    <w:rsid w:val="000C7EF8"/>
    <w:rsid w:val="000E07BC"/>
    <w:rsid w:val="000E1B7D"/>
    <w:rsid w:val="000E2313"/>
    <w:rsid w:val="000E3086"/>
    <w:rsid w:val="000E45E1"/>
    <w:rsid w:val="000E6489"/>
    <w:rsid w:val="000E69C9"/>
    <w:rsid w:val="000E708F"/>
    <w:rsid w:val="000F03E5"/>
    <w:rsid w:val="000F0E77"/>
    <w:rsid w:val="000F1CD4"/>
    <w:rsid w:val="000F2159"/>
    <w:rsid w:val="000F23F3"/>
    <w:rsid w:val="000F4103"/>
    <w:rsid w:val="000F60D3"/>
    <w:rsid w:val="000F6329"/>
    <w:rsid w:val="000F70A7"/>
    <w:rsid w:val="001004B5"/>
    <w:rsid w:val="00103057"/>
    <w:rsid w:val="00104527"/>
    <w:rsid w:val="00104568"/>
    <w:rsid w:val="001049B8"/>
    <w:rsid w:val="00104EB7"/>
    <w:rsid w:val="001052A1"/>
    <w:rsid w:val="001061B8"/>
    <w:rsid w:val="00106FFF"/>
    <w:rsid w:val="001139D2"/>
    <w:rsid w:val="00114C1B"/>
    <w:rsid w:val="0012017A"/>
    <w:rsid w:val="001208AD"/>
    <w:rsid w:val="001228C5"/>
    <w:rsid w:val="00122E92"/>
    <w:rsid w:val="00123EA2"/>
    <w:rsid w:val="00126262"/>
    <w:rsid w:val="00126774"/>
    <w:rsid w:val="00130980"/>
    <w:rsid w:val="00132B07"/>
    <w:rsid w:val="00135980"/>
    <w:rsid w:val="00137B7D"/>
    <w:rsid w:val="001413D2"/>
    <w:rsid w:val="00141B80"/>
    <w:rsid w:val="0014221D"/>
    <w:rsid w:val="001429EC"/>
    <w:rsid w:val="00142BE2"/>
    <w:rsid w:val="00143640"/>
    <w:rsid w:val="00143DFB"/>
    <w:rsid w:val="0014437C"/>
    <w:rsid w:val="00146187"/>
    <w:rsid w:val="00147DB8"/>
    <w:rsid w:val="0015261A"/>
    <w:rsid w:val="00154227"/>
    <w:rsid w:val="00154357"/>
    <w:rsid w:val="00154D60"/>
    <w:rsid w:val="0015548A"/>
    <w:rsid w:val="001557BF"/>
    <w:rsid w:val="00156EB7"/>
    <w:rsid w:val="00161616"/>
    <w:rsid w:val="00164598"/>
    <w:rsid w:val="00164719"/>
    <w:rsid w:val="001648AA"/>
    <w:rsid w:val="001657CC"/>
    <w:rsid w:val="00165C62"/>
    <w:rsid w:val="00166085"/>
    <w:rsid w:val="00166FC4"/>
    <w:rsid w:val="001677AC"/>
    <w:rsid w:val="0017010D"/>
    <w:rsid w:val="00172F41"/>
    <w:rsid w:val="0017384E"/>
    <w:rsid w:val="00176436"/>
    <w:rsid w:val="0017787F"/>
    <w:rsid w:val="001806BB"/>
    <w:rsid w:val="00185C38"/>
    <w:rsid w:val="00186617"/>
    <w:rsid w:val="0018711F"/>
    <w:rsid w:val="0019070C"/>
    <w:rsid w:val="00190A61"/>
    <w:rsid w:val="0019179F"/>
    <w:rsid w:val="0019266B"/>
    <w:rsid w:val="00192AA0"/>
    <w:rsid w:val="001962F2"/>
    <w:rsid w:val="0019708C"/>
    <w:rsid w:val="001A113A"/>
    <w:rsid w:val="001A13FA"/>
    <w:rsid w:val="001A2FE3"/>
    <w:rsid w:val="001A3342"/>
    <w:rsid w:val="001A3AFF"/>
    <w:rsid w:val="001A3E3D"/>
    <w:rsid w:val="001A60E6"/>
    <w:rsid w:val="001A7B44"/>
    <w:rsid w:val="001B1E40"/>
    <w:rsid w:val="001B76FC"/>
    <w:rsid w:val="001C13AD"/>
    <w:rsid w:val="001C224F"/>
    <w:rsid w:val="001C359E"/>
    <w:rsid w:val="001C5C2C"/>
    <w:rsid w:val="001C764E"/>
    <w:rsid w:val="001C7B9B"/>
    <w:rsid w:val="001D041B"/>
    <w:rsid w:val="001D08BF"/>
    <w:rsid w:val="001D0B8E"/>
    <w:rsid w:val="001D356D"/>
    <w:rsid w:val="001D3AD4"/>
    <w:rsid w:val="001D4ADA"/>
    <w:rsid w:val="001D756F"/>
    <w:rsid w:val="001E05B0"/>
    <w:rsid w:val="001E1052"/>
    <w:rsid w:val="001E1B48"/>
    <w:rsid w:val="001E21B1"/>
    <w:rsid w:val="001E258A"/>
    <w:rsid w:val="001E2CEB"/>
    <w:rsid w:val="001E2F93"/>
    <w:rsid w:val="001E36C8"/>
    <w:rsid w:val="001E4797"/>
    <w:rsid w:val="001E525E"/>
    <w:rsid w:val="001E61E5"/>
    <w:rsid w:val="001F1E3A"/>
    <w:rsid w:val="001F2159"/>
    <w:rsid w:val="001F7711"/>
    <w:rsid w:val="0020056D"/>
    <w:rsid w:val="00200982"/>
    <w:rsid w:val="00200D34"/>
    <w:rsid w:val="00200FBF"/>
    <w:rsid w:val="00201B93"/>
    <w:rsid w:val="00203417"/>
    <w:rsid w:val="00203CA8"/>
    <w:rsid w:val="00204798"/>
    <w:rsid w:val="00204959"/>
    <w:rsid w:val="00206352"/>
    <w:rsid w:val="00211BAB"/>
    <w:rsid w:val="00213A9E"/>
    <w:rsid w:val="00213F14"/>
    <w:rsid w:val="00214944"/>
    <w:rsid w:val="00214AAE"/>
    <w:rsid w:val="0021556A"/>
    <w:rsid w:val="0021570A"/>
    <w:rsid w:val="00215956"/>
    <w:rsid w:val="00221563"/>
    <w:rsid w:val="002216B2"/>
    <w:rsid w:val="002226C2"/>
    <w:rsid w:val="00222802"/>
    <w:rsid w:val="00222C51"/>
    <w:rsid w:val="002235A8"/>
    <w:rsid w:val="00223AE2"/>
    <w:rsid w:val="00224448"/>
    <w:rsid w:val="00226A15"/>
    <w:rsid w:val="002273EF"/>
    <w:rsid w:val="00227F4F"/>
    <w:rsid w:val="00232F72"/>
    <w:rsid w:val="0023340D"/>
    <w:rsid w:val="00233E3C"/>
    <w:rsid w:val="00237BEC"/>
    <w:rsid w:val="00237EB8"/>
    <w:rsid w:val="0024191C"/>
    <w:rsid w:val="0024206E"/>
    <w:rsid w:val="00243C3C"/>
    <w:rsid w:val="002506F6"/>
    <w:rsid w:val="00251ADC"/>
    <w:rsid w:val="00251DFF"/>
    <w:rsid w:val="002524F2"/>
    <w:rsid w:val="00253222"/>
    <w:rsid w:val="00262E06"/>
    <w:rsid w:val="00262E7D"/>
    <w:rsid w:val="002644FD"/>
    <w:rsid w:val="00264B4E"/>
    <w:rsid w:val="0026650A"/>
    <w:rsid w:val="0026671D"/>
    <w:rsid w:val="00266A75"/>
    <w:rsid w:val="00266E15"/>
    <w:rsid w:val="0027015E"/>
    <w:rsid w:val="00271096"/>
    <w:rsid w:val="00272F25"/>
    <w:rsid w:val="002735D3"/>
    <w:rsid w:val="00273E29"/>
    <w:rsid w:val="00274822"/>
    <w:rsid w:val="0027567B"/>
    <w:rsid w:val="00276A88"/>
    <w:rsid w:val="0027716B"/>
    <w:rsid w:val="002805F2"/>
    <w:rsid w:val="002828C5"/>
    <w:rsid w:val="00283586"/>
    <w:rsid w:val="002861BE"/>
    <w:rsid w:val="002874F1"/>
    <w:rsid w:val="00291880"/>
    <w:rsid w:val="002A090F"/>
    <w:rsid w:val="002A2001"/>
    <w:rsid w:val="002A58C6"/>
    <w:rsid w:val="002A5C99"/>
    <w:rsid w:val="002A7A03"/>
    <w:rsid w:val="002B05DF"/>
    <w:rsid w:val="002B0720"/>
    <w:rsid w:val="002B64D6"/>
    <w:rsid w:val="002B72E9"/>
    <w:rsid w:val="002B7EC8"/>
    <w:rsid w:val="002C3917"/>
    <w:rsid w:val="002C66B9"/>
    <w:rsid w:val="002C6D2E"/>
    <w:rsid w:val="002C7A8C"/>
    <w:rsid w:val="002D05A1"/>
    <w:rsid w:val="002D0CCB"/>
    <w:rsid w:val="002D494D"/>
    <w:rsid w:val="002D5B2B"/>
    <w:rsid w:val="002D78D0"/>
    <w:rsid w:val="002E1D44"/>
    <w:rsid w:val="002E24AE"/>
    <w:rsid w:val="002E36BE"/>
    <w:rsid w:val="002E3935"/>
    <w:rsid w:val="002E395F"/>
    <w:rsid w:val="002E45F3"/>
    <w:rsid w:val="002E46E3"/>
    <w:rsid w:val="002E4721"/>
    <w:rsid w:val="002E50C2"/>
    <w:rsid w:val="002E5B06"/>
    <w:rsid w:val="002E5B31"/>
    <w:rsid w:val="002E68FE"/>
    <w:rsid w:val="002F01EA"/>
    <w:rsid w:val="002F02E5"/>
    <w:rsid w:val="002F0803"/>
    <w:rsid w:val="002F18F8"/>
    <w:rsid w:val="002F1A70"/>
    <w:rsid w:val="002F23A5"/>
    <w:rsid w:val="002F3281"/>
    <w:rsid w:val="002F380B"/>
    <w:rsid w:val="002F48CC"/>
    <w:rsid w:val="002F4AE8"/>
    <w:rsid w:val="002F6E3D"/>
    <w:rsid w:val="0030065C"/>
    <w:rsid w:val="0030087E"/>
    <w:rsid w:val="00301C02"/>
    <w:rsid w:val="003028AB"/>
    <w:rsid w:val="003046AC"/>
    <w:rsid w:val="00306F8D"/>
    <w:rsid w:val="003072B7"/>
    <w:rsid w:val="00311465"/>
    <w:rsid w:val="0031174D"/>
    <w:rsid w:val="00313493"/>
    <w:rsid w:val="00315D06"/>
    <w:rsid w:val="00315E0B"/>
    <w:rsid w:val="00320870"/>
    <w:rsid w:val="00321519"/>
    <w:rsid w:val="003217FB"/>
    <w:rsid w:val="00323D9B"/>
    <w:rsid w:val="00327A1C"/>
    <w:rsid w:val="003306E1"/>
    <w:rsid w:val="003320E4"/>
    <w:rsid w:val="003332F2"/>
    <w:rsid w:val="0033525D"/>
    <w:rsid w:val="003414F3"/>
    <w:rsid w:val="00343E58"/>
    <w:rsid w:val="00344B52"/>
    <w:rsid w:val="0035142E"/>
    <w:rsid w:val="003516FD"/>
    <w:rsid w:val="00352A9B"/>
    <w:rsid w:val="0035613E"/>
    <w:rsid w:val="0035623D"/>
    <w:rsid w:val="00356A89"/>
    <w:rsid w:val="003619AC"/>
    <w:rsid w:val="00361E36"/>
    <w:rsid w:val="00362009"/>
    <w:rsid w:val="00362D9E"/>
    <w:rsid w:val="00363EE9"/>
    <w:rsid w:val="0036404E"/>
    <w:rsid w:val="00364C31"/>
    <w:rsid w:val="00366A58"/>
    <w:rsid w:val="00367CAF"/>
    <w:rsid w:val="003706D0"/>
    <w:rsid w:val="00370E50"/>
    <w:rsid w:val="00373733"/>
    <w:rsid w:val="00375FE2"/>
    <w:rsid w:val="00376128"/>
    <w:rsid w:val="0037741D"/>
    <w:rsid w:val="0037742E"/>
    <w:rsid w:val="00380B49"/>
    <w:rsid w:val="00380C19"/>
    <w:rsid w:val="0038245A"/>
    <w:rsid w:val="003832E3"/>
    <w:rsid w:val="00383845"/>
    <w:rsid w:val="003843DB"/>
    <w:rsid w:val="0039198A"/>
    <w:rsid w:val="00392BAA"/>
    <w:rsid w:val="0039337A"/>
    <w:rsid w:val="00393992"/>
    <w:rsid w:val="00396605"/>
    <w:rsid w:val="003A040B"/>
    <w:rsid w:val="003A1753"/>
    <w:rsid w:val="003A1D17"/>
    <w:rsid w:val="003A3189"/>
    <w:rsid w:val="003A5BC7"/>
    <w:rsid w:val="003A5E12"/>
    <w:rsid w:val="003A68C6"/>
    <w:rsid w:val="003A7F13"/>
    <w:rsid w:val="003B0036"/>
    <w:rsid w:val="003B0899"/>
    <w:rsid w:val="003B3973"/>
    <w:rsid w:val="003B3AB8"/>
    <w:rsid w:val="003B55B0"/>
    <w:rsid w:val="003B569D"/>
    <w:rsid w:val="003B5945"/>
    <w:rsid w:val="003B6215"/>
    <w:rsid w:val="003B7ECB"/>
    <w:rsid w:val="003C1A07"/>
    <w:rsid w:val="003C3B47"/>
    <w:rsid w:val="003C3C0E"/>
    <w:rsid w:val="003C48F5"/>
    <w:rsid w:val="003C4D79"/>
    <w:rsid w:val="003C5330"/>
    <w:rsid w:val="003C5A15"/>
    <w:rsid w:val="003C72BC"/>
    <w:rsid w:val="003D00E1"/>
    <w:rsid w:val="003D0C07"/>
    <w:rsid w:val="003D0E96"/>
    <w:rsid w:val="003D13CC"/>
    <w:rsid w:val="003D3C70"/>
    <w:rsid w:val="003D4FAC"/>
    <w:rsid w:val="003D6CAD"/>
    <w:rsid w:val="003D6DA6"/>
    <w:rsid w:val="003D6F6F"/>
    <w:rsid w:val="003D744D"/>
    <w:rsid w:val="003E0643"/>
    <w:rsid w:val="003E1227"/>
    <w:rsid w:val="003E61E2"/>
    <w:rsid w:val="003E6E46"/>
    <w:rsid w:val="003E7906"/>
    <w:rsid w:val="003F207D"/>
    <w:rsid w:val="003F32C1"/>
    <w:rsid w:val="003F3C50"/>
    <w:rsid w:val="003F5A60"/>
    <w:rsid w:val="003F6796"/>
    <w:rsid w:val="003F77B9"/>
    <w:rsid w:val="0040042A"/>
    <w:rsid w:val="0040080C"/>
    <w:rsid w:val="00403BEE"/>
    <w:rsid w:val="004042CD"/>
    <w:rsid w:val="00404E55"/>
    <w:rsid w:val="00406A6A"/>
    <w:rsid w:val="00406B22"/>
    <w:rsid w:val="0041464D"/>
    <w:rsid w:val="004146E2"/>
    <w:rsid w:val="00415903"/>
    <w:rsid w:val="004175AA"/>
    <w:rsid w:val="00420F91"/>
    <w:rsid w:val="00422808"/>
    <w:rsid w:val="0042285F"/>
    <w:rsid w:val="00422C39"/>
    <w:rsid w:val="00423DBC"/>
    <w:rsid w:val="00423DD3"/>
    <w:rsid w:val="00424176"/>
    <w:rsid w:val="004242D2"/>
    <w:rsid w:val="00426A16"/>
    <w:rsid w:val="00430907"/>
    <w:rsid w:val="00431768"/>
    <w:rsid w:val="00432279"/>
    <w:rsid w:val="00432700"/>
    <w:rsid w:val="004328A7"/>
    <w:rsid w:val="0043403F"/>
    <w:rsid w:val="004342A0"/>
    <w:rsid w:val="00434304"/>
    <w:rsid w:val="00434C74"/>
    <w:rsid w:val="004375BF"/>
    <w:rsid w:val="00437729"/>
    <w:rsid w:val="00443559"/>
    <w:rsid w:val="004446AC"/>
    <w:rsid w:val="00445A74"/>
    <w:rsid w:val="00446426"/>
    <w:rsid w:val="004466DB"/>
    <w:rsid w:val="00447E76"/>
    <w:rsid w:val="00450AA6"/>
    <w:rsid w:val="00453733"/>
    <w:rsid w:val="004544B2"/>
    <w:rsid w:val="00454D7E"/>
    <w:rsid w:val="0045502B"/>
    <w:rsid w:val="004553F8"/>
    <w:rsid w:val="0045623A"/>
    <w:rsid w:val="00456915"/>
    <w:rsid w:val="00456EB4"/>
    <w:rsid w:val="0046208A"/>
    <w:rsid w:val="004638B4"/>
    <w:rsid w:val="004640EE"/>
    <w:rsid w:val="004669D1"/>
    <w:rsid w:val="00470584"/>
    <w:rsid w:val="004716B2"/>
    <w:rsid w:val="004718F3"/>
    <w:rsid w:val="004721C9"/>
    <w:rsid w:val="00472BF4"/>
    <w:rsid w:val="00473D68"/>
    <w:rsid w:val="00474D5C"/>
    <w:rsid w:val="00475040"/>
    <w:rsid w:val="00476C91"/>
    <w:rsid w:val="004777CC"/>
    <w:rsid w:val="00480E57"/>
    <w:rsid w:val="0048187F"/>
    <w:rsid w:val="00481CED"/>
    <w:rsid w:val="004857ED"/>
    <w:rsid w:val="00485A18"/>
    <w:rsid w:val="00485E06"/>
    <w:rsid w:val="0048686F"/>
    <w:rsid w:val="00487B9E"/>
    <w:rsid w:val="0049230A"/>
    <w:rsid w:val="00492D84"/>
    <w:rsid w:val="00493328"/>
    <w:rsid w:val="00493D40"/>
    <w:rsid w:val="004944A8"/>
    <w:rsid w:val="004954D2"/>
    <w:rsid w:val="00497217"/>
    <w:rsid w:val="004A067A"/>
    <w:rsid w:val="004A0A3D"/>
    <w:rsid w:val="004A2465"/>
    <w:rsid w:val="004A2614"/>
    <w:rsid w:val="004A504B"/>
    <w:rsid w:val="004A6580"/>
    <w:rsid w:val="004A6911"/>
    <w:rsid w:val="004B0E87"/>
    <w:rsid w:val="004B27E0"/>
    <w:rsid w:val="004B54E0"/>
    <w:rsid w:val="004B6230"/>
    <w:rsid w:val="004B6BFF"/>
    <w:rsid w:val="004B7384"/>
    <w:rsid w:val="004B74DC"/>
    <w:rsid w:val="004C0296"/>
    <w:rsid w:val="004C2791"/>
    <w:rsid w:val="004C365F"/>
    <w:rsid w:val="004C3C6D"/>
    <w:rsid w:val="004C4269"/>
    <w:rsid w:val="004C4B79"/>
    <w:rsid w:val="004C548F"/>
    <w:rsid w:val="004C5C83"/>
    <w:rsid w:val="004C70D5"/>
    <w:rsid w:val="004D0BCB"/>
    <w:rsid w:val="004D0C94"/>
    <w:rsid w:val="004D11E0"/>
    <w:rsid w:val="004D26FB"/>
    <w:rsid w:val="004D2DAD"/>
    <w:rsid w:val="004D38B9"/>
    <w:rsid w:val="004D46F5"/>
    <w:rsid w:val="004D4D70"/>
    <w:rsid w:val="004D6026"/>
    <w:rsid w:val="004D6236"/>
    <w:rsid w:val="004D7C74"/>
    <w:rsid w:val="004E1CD3"/>
    <w:rsid w:val="004E2752"/>
    <w:rsid w:val="004E2F62"/>
    <w:rsid w:val="004E4C07"/>
    <w:rsid w:val="004E4DBB"/>
    <w:rsid w:val="004E602B"/>
    <w:rsid w:val="004E7F9C"/>
    <w:rsid w:val="004F0AED"/>
    <w:rsid w:val="004F3493"/>
    <w:rsid w:val="004F35D5"/>
    <w:rsid w:val="004F41E8"/>
    <w:rsid w:val="004F479B"/>
    <w:rsid w:val="004F5B52"/>
    <w:rsid w:val="004F608E"/>
    <w:rsid w:val="004F768C"/>
    <w:rsid w:val="004F76E7"/>
    <w:rsid w:val="00502FD1"/>
    <w:rsid w:val="005038E9"/>
    <w:rsid w:val="005038EE"/>
    <w:rsid w:val="00503B5B"/>
    <w:rsid w:val="0050439B"/>
    <w:rsid w:val="00504518"/>
    <w:rsid w:val="00507F0E"/>
    <w:rsid w:val="005105A0"/>
    <w:rsid w:val="005112E6"/>
    <w:rsid w:val="00511524"/>
    <w:rsid w:val="00512B09"/>
    <w:rsid w:val="005130BD"/>
    <w:rsid w:val="00513FD5"/>
    <w:rsid w:val="00514645"/>
    <w:rsid w:val="005160BF"/>
    <w:rsid w:val="005166F4"/>
    <w:rsid w:val="0051679B"/>
    <w:rsid w:val="00516845"/>
    <w:rsid w:val="00516E3E"/>
    <w:rsid w:val="00521A49"/>
    <w:rsid w:val="0052246F"/>
    <w:rsid w:val="00522C75"/>
    <w:rsid w:val="005273BE"/>
    <w:rsid w:val="00527D4D"/>
    <w:rsid w:val="00530C3C"/>
    <w:rsid w:val="00530D2E"/>
    <w:rsid w:val="00531970"/>
    <w:rsid w:val="00531E60"/>
    <w:rsid w:val="00535D7F"/>
    <w:rsid w:val="005408CC"/>
    <w:rsid w:val="0054422E"/>
    <w:rsid w:val="00544C3E"/>
    <w:rsid w:val="0054593A"/>
    <w:rsid w:val="005467FC"/>
    <w:rsid w:val="0054696C"/>
    <w:rsid w:val="00551B1D"/>
    <w:rsid w:val="005524C7"/>
    <w:rsid w:val="00552AC6"/>
    <w:rsid w:val="00554B37"/>
    <w:rsid w:val="00555D75"/>
    <w:rsid w:val="00556DC8"/>
    <w:rsid w:val="0055787A"/>
    <w:rsid w:val="00560DF0"/>
    <w:rsid w:val="00570642"/>
    <w:rsid w:val="005727F9"/>
    <w:rsid w:val="00574427"/>
    <w:rsid w:val="00575A40"/>
    <w:rsid w:val="00575BD4"/>
    <w:rsid w:val="00576F74"/>
    <w:rsid w:val="00577DF4"/>
    <w:rsid w:val="005814EB"/>
    <w:rsid w:val="00581A44"/>
    <w:rsid w:val="00582316"/>
    <w:rsid w:val="005825EA"/>
    <w:rsid w:val="005830D3"/>
    <w:rsid w:val="00583817"/>
    <w:rsid w:val="00585920"/>
    <w:rsid w:val="005867D3"/>
    <w:rsid w:val="005869BB"/>
    <w:rsid w:val="005877BC"/>
    <w:rsid w:val="00587B1C"/>
    <w:rsid w:val="005906AD"/>
    <w:rsid w:val="005947FE"/>
    <w:rsid w:val="00594D08"/>
    <w:rsid w:val="0059587F"/>
    <w:rsid w:val="005966F9"/>
    <w:rsid w:val="00596752"/>
    <w:rsid w:val="0059685D"/>
    <w:rsid w:val="00597523"/>
    <w:rsid w:val="0059782B"/>
    <w:rsid w:val="00597A0D"/>
    <w:rsid w:val="005A1E12"/>
    <w:rsid w:val="005A2401"/>
    <w:rsid w:val="005A3FEC"/>
    <w:rsid w:val="005A57BF"/>
    <w:rsid w:val="005A5C3E"/>
    <w:rsid w:val="005A5EA2"/>
    <w:rsid w:val="005A60D7"/>
    <w:rsid w:val="005A68C5"/>
    <w:rsid w:val="005A7A3E"/>
    <w:rsid w:val="005B478C"/>
    <w:rsid w:val="005B48FF"/>
    <w:rsid w:val="005B4D9C"/>
    <w:rsid w:val="005B63C9"/>
    <w:rsid w:val="005B73D0"/>
    <w:rsid w:val="005C2AD6"/>
    <w:rsid w:val="005C37DC"/>
    <w:rsid w:val="005C446B"/>
    <w:rsid w:val="005C70F9"/>
    <w:rsid w:val="005C7764"/>
    <w:rsid w:val="005C7A40"/>
    <w:rsid w:val="005C7CB4"/>
    <w:rsid w:val="005D02A6"/>
    <w:rsid w:val="005D1A3F"/>
    <w:rsid w:val="005D1E4E"/>
    <w:rsid w:val="005D2504"/>
    <w:rsid w:val="005D6649"/>
    <w:rsid w:val="005E0C0A"/>
    <w:rsid w:val="005E2311"/>
    <w:rsid w:val="005E31D0"/>
    <w:rsid w:val="005E64A0"/>
    <w:rsid w:val="005E6C8B"/>
    <w:rsid w:val="005E7141"/>
    <w:rsid w:val="005E7276"/>
    <w:rsid w:val="005F0CC0"/>
    <w:rsid w:val="005F2256"/>
    <w:rsid w:val="005F7276"/>
    <w:rsid w:val="005F7427"/>
    <w:rsid w:val="005F78A0"/>
    <w:rsid w:val="00600A67"/>
    <w:rsid w:val="006012A7"/>
    <w:rsid w:val="00601634"/>
    <w:rsid w:val="00601B00"/>
    <w:rsid w:val="00601BFD"/>
    <w:rsid w:val="0060203E"/>
    <w:rsid w:val="006026E3"/>
    <w:rsid w:val="00602A07"/>
    <w:rsid w:val="00604BB2"/>
    <w:rsid w:val="00606EFA"/>
    <w:rsid w:val="00607E54"/>
    <w:rsid w:val="00612640"/>
    <w:rsid w:val="00613C25"/>
    <w:rsid w:val="006141C1"/>
    <w:rsid w:val="00614588"/>
    <w:rsid w:val="006158D5"/>
    <w:rsid w:val="00616773"/>
    <w:rsid w:val="006177A4"/>
    <w:rsid w:val="006179E7"/>
    <w:rsid w:val="00620C08"/>
    <w:rsid w:val="0062258B"/>
    <w:rsid w:val="00624A75"/>
    <w:rsid w:val="006256F1"/>
    <w:rsid w:val="00625D83"/>
    <w:rsid w:val="00631169"/>
    <w:rsid w:val="00641141"/>
    <w:rsid w:val="006421DF"/>
    <w:rsid w:val="00643292"/>
    <w:rsid w:val="00644B90"/>
    <w:rsid w:val="00645B8E"/>
    <w:rsid w:val="00645D3D"/>
    <w:rsid w:val="00645E65"/>
    <w:rsid w:val="006476B7"/>
    <w:rsid w:val="00647754"/>
    <w:rsid w:val="00647B05"/>
    <w:rsid w:val="006505E8"/>
    <w:rsid w:val="00650CE4"/>
    <w:rsid w:val="006514AC"/>
    <w:rsid w:val="006541CC"/>
    <w:rsid w:val="00654940"/>
    <w:rsid w:val="0065735D"/>
    <w:rsid w:val="006623E7"/>
    <w:rsid w:val="00662B80"/>
    <w:rsid w:val="00665CB2"/>
    <w:rsid w:val="00667BC4"/>
    <w:rsid w:val="00672616"/>
    <w:rsid w:val="006733E2"/>
    <w:rsid w:val="006745A4"/>
    <w:rsid w:val="00675A98"/>
    <w:rsid w:val="00677354"/>
    <w:rsid w:val="00677543"/>
    <w:rsid w:val="0068256C"/>
    <w:rsid w:val="00682720"/>
    <w:rsid w:val="006833F6"/>
    <w:rsid w:val="0068505F"/>
    <w:rsid w:val="006852C7"/>
    <w:rsid w:val="00685E9C"/>
    <w:rsid w:val="0068637B"/>
    <w:rsid w:val="00686DB3"/>
    <w:rsid w:val="00686EA5"/>
    <w:rsid w:val="00687328"/>
    <w:rsid w:val="00687613"/>
    <w:rsid w:val="00695264"/>
    <w:rsid w:val="006A1EF5"/>
    <w:rsid w:val="006A7948"/>
    <w:rsid w:val="006A7A65"/>
    <w:rsid w:val="006B2074"/>
    <w:rsid w:val="006B217C"/>
    <w:rsid w:val="006B23F8"/>
    <w:rsid w:val="006B5101"/>
    <w:rsid w:val="006B6B2B"/>
    <w:rsid w:val="006B7E2C"/>
    <w:rsid w:val="006B7FB3"/>
    <w:rsid w:val="006C1727"/>
    <w:rsid w:val="006C32FD"/>
    <w:rsid w:val="006C3749"/>
    <w:rsid w:val="006C40C2"/>
    <w:rsid w:val="006C6243"/>
    <w:rsid w:val="006C680D"/>
    <w:rsid w:val="006D0FCC"/>
    <w:rsid w:val="006D118A"/>
    <w:rsid w:val="006D2606"/>
    <w:rsid w:val="006D30F5"/>
    <w:rsid w:val="006D3E9B"/>
    <w:rsid w:val="006D4EE1"/>
    <w:rsid w:val="006D50C0"/>
    <w:rsid w:val="006D6862"/>
    <w:rsid w:val="006D6951"/>
    <w:rsid w:val="006D6E5C"/>
    <w:rsid w:val="006E0D57"/>
    <w:rsid w:val="006E21E2"/>
    <w:rsid w:val="006E2EF3"/>
    <w:rsid w:val="006E3561"/>
    <w:rsid w:val="006E3761"/>
    <w:rsid w:val="006E43E0"/>
    <w:rsid w:val="006E5DC1"/>
    <w:rsid w:val="006E5FDB"/>
    <w:rsid w:val="006F2604"/>
    <w:rsid w:val="006F2B67"/>
    <w:rsid w:val="006F36C1"/>
    <w:rsid w:val="006F4F54"/>
    <w:rsid w:val="006F6061"/>
    <w:rsid w:val="006F6A67"/>
    <w:rsid w:val="006F7E21"/>
    <w:rsid w:val="00701E63"/>
    <w:rsid w:val="007048E2"/>
    <w:rsid w:val="00704D0C"/>
    <w:rsid w:val="00705C07"/>
    <w:rsid w:val="00705C75"/>
    <w:rsid w:val="00705E1F"/>
    <w:rsid w:val="0070616B"/>
    <w:rsid w:val="00706FDA"/>
    <w:rsid w:val="007101AB"/>
    <w:rsid w:val="007109F6"/>
    <w:rsid w:val="00710DF5"/>
    <w:rsid w:val="00711F9A"/>
    <w:rsid w:val="00712DEA"/>
    <w:rsid w:val="00713222"/>
    <w:rsid w:val="007132EF"/>
    <w:rsid w:val="00713810"/>
    <w:rsid w:val="00716019"/>
    <w:rsid w:val="00716A17"/>
    <w:rsid w:val="007178CB"/>
    <w:rsid w:val="00717914"/>
    <w:rsid w:val="007204E0"/>
    <w:rsid w:val="00720EE7"/>
    <w:rsid w:val="00721B23"/>
    <w:rsid w:val="0072564C"/>
    <w:rsid w:val="00725720"/>
    <w:rsid w:val="00725BA6"/>
    <w:rsid w:val="00726E7F"/>
    <w:rsid w:val="00727F60"/>
    <w:rsid w:val="007303A5"/>
    <w:rsid w:val="00730A50"/>
    <w:rsid w:val="00730B3E"/>
    <w:rsid w:val="0073110F"/>
    <w:rsid w:val="007314C5"/>
    <w:rsid w:val="00732860"/>
    <w:rsid w:val="0073420B"/>
    <w:rsid w:val="007348CF"/>
    <w:rsid w:val="00735783"/>
    <w:rsid w:val="007357BE"/>
    <w:rsid w:val="00737929"/>
    <w:rsid w:val="00737C8B"/>
    <w:rsid w:val="0074086C"/>
    <w:rsid w:val="00741B70"/>
    <w:rsid w:val="00743E1A"/>
    <w:rsid w:val="0074402F"/>
    <w:rsid w:val="007441C1"/>
    <w:rsid w:val="007442AD"/>
    <w:rsid w:val="0074459F"/>
    <w:rsid w:val="00746513"/>
    <w:rsid w:val="0074760E"/>
    <w:rsid w:val="00747E71"/>
    <w:rsid w:val="00750336"/>
    <w:rsid w:val="007509B1"/>
    <w:rsid w:val="00752C36"/>
    <w:rsid w:val="00753076"/>
    <w:rsid w:val="00754ABA"/>
    <w:rsid w:val="00755237"/>
    <w:rsid w:val="007559E6"/>
    <w:rsid w:val="007575C9"/>
    <w:rsid w:val="00760F9F"/>
    <w:rsid w:val="0076303B"/>
    <w:rsid w:val="007648EA"/>
    <w:rsid w:val="007706FB"/>
    <w:rsid w:val="00770B71"/>
    <w:rsid w:val="007715DA"/>
    <w:rsid w:val="00772373"/>
    <w:rsid w:val="00772C82"/>
    <w:rsid w:val="007734A1"/>
    <w:rsid w:val="00773D16"/>
    <w:rsid w:val="007752BD"/>
    <w:rsid w:val="0077675C"/>
    <w:rsid w:val="0077714D"/>
    <w:rsid w:val="0077769C"/>
    <w:rsid w:val="00777D08"/>
    <w:rsid w:val="00780866"/>
    <w:rsid w:val="00781D97"/>
    <w:rsid w:val="007829C5"/>
    <w:rsid w:val="00782E0F"/>
    <w:rsid w:val="00783C10"/>
    <w:rsid w:val="007842F6"/>
    <w:rsid w:val="00784C1C"/>
    <w:rsid w:val="00784C97"/>
    <w:rsid w:val="00784F38"/>
    <w:rsid w:val="007850AF"/>
    <w:rsid w:val="00785829"/>
    <w:rsid w:val="00785B2D"/>
    <w:rsid w:val="00785EAC"/>
    <w:rsid w:val="0079093C"/>
    <w:rsid w:val="00790A3E"/>
    <w:rsid w:val="00791577"/>
    <w:rsid w:val="0079278E"/>
    <w:rsid w:val="00793DA5"/>
    <w:rsid w:val="0079416D"/>
    <w:rsid w:val="007A1546"/>
    <w:rsid w:val="007A20EC"/>
    <w:rsid w:val="007A228C"/>
    <w:rsid w:val="007A3249"/>
    <w:rsid w:val="007A3541"/>
    <w:rsid w:val="007A368E"/>
    <w:rsid w:val="007A4141"/>
    <w:rsid w:val="007A4350"/>
    <w:rsid w:val="007A517C"/>
    <w:rsid w:val="007A5868"/>
    <w:rsid w:val="007A60F4"/>
    <w:rsid w:val="007B04CE"/>
    <w:rsid w:val="007B0FFD"/>
    <w:rsid w:val="007B1CF3"/>
    <w:rsid w:val="007B2897"/>
    <w:rsid w:val="007B334C"/>
    <w:rsid w:val="007B3D87"/>
    <w:rsid w:val="007B4E21"/>
    <w:rsid w:val="007B598C"/>
    <w:rsid w:val="007B6871"/>
    <w:rsid w:val="007B7021"/>
    <w:rsid w:val="007C10A5"/>
    <w:rsid w:val="007C1C13"/>
    <w:rsid w:val="007C3D33"/>
    <w:rsid w:val="007C3EFD"/>
    <w:rsid w:val="007C4332"/>
    <w:rsid w:val="007C4E81"/>
    <w:rsid w:val="007C4EA9"/>
    <w:rsid w:val="007D0D3D"/>
    <w:rsid w:val="007D1010"/>
    <w:rsid w:val="007D28C3"/>
    <w:rsid w:val="007D294A"/>
    <w:rsid w:val="007D2F1D"/>
    <w:rsid w:val="007D3DA2"/>
    <w:rsid w:val="007D47D2"/>
    <w:rsid w:val="007D53DC"/>
    <w:rsid w:val="007D622A"/>
    <w:rsid w:val="007D6EC0"/>
    <w:rsid w:val="007D738A"/>
    <w:rsid w:val="007D7732"/>
    <w:rsid w:val="007D7E1D"/>
    <w:rsid w:val="007E31B7"/>
    <w:rsid w:val="007E4AD1"/>
    <w:rsid w:val="007E4AF2"/>
    <w:rsid w:val="007E56AF"/>
    <w:rsid w:val="007E7982"/>
    <w:rsid w:val="007F0DB8"/>
    <w:rsid w:val="007F2069"/>
    <w:rsid w:val="007F3F1F"/>
    <w:rsid w:val="007F4001"/>
    <w:rsid w:val="007F467A"/>
    <w:rsid w:val="007F4F03"/>
    <w:rsid w:val="007F616E"/>
    <w:rsid w:val="007F7442"/>
    <w:rsid w:val="00800D96"/>
    <w:rsid w:val="0080196B"/>
    <w:rsid w:val="0080343E"/>
    <w:rsid w:val="008047B7"/>
    <w:rsid w:val="008063BA"/>
    <w:rsid w:val="0081133E"/>
    <w:rsid w:val="00812835"/>
    <w:rsid w:val="00812B50"/>
    <w:rsid w:val="00813B1D"/>
    <w:rsid w:val="00814E55"/>
    <w:rsid w:val="008160CD"/>
    <w:rsid w:val="00816CD3"/>
    <w:rsid w:val="00821DFA"/>
    <w:rsid w:val="00822BD0"/>
    <w:rsid w:val="00822EB2"/>
    <w:rsid w:val="00823199"/>
    <w:rsid w:val="008237AD"/>
    <w:rsid w:val="008242EA"/>
    <w:rsid w:val="00824649"/>
    <w:rsid w:val="008254B9"/>
    <w:rsid w:val="00825D77"/>
    <w:rsid w:val="008260B5"/>
    <w:rsid w:val="00826FEB"/>
    <w:rsid w:val="008312FB"/>
    <w:rsid w:val="00831E6B"/>
    <w:rsid w:val="0083292A"/>
    <w:rsid w:val="00834C1D"/>
    <w:rsid w:val="008356D5"/>
    <w:rsid w:val="00836E4B"/>
    <w:rsid w:val="00842890"/>
    <w:rsid w:val="00843664"/>
    <w:rsid w:val="00845986"/>
    <w:rsid w:val="00845E55"/>
    <w:rsid w:val="00846DD2"/>
    <w:rsid w:val="00847412"/>
    <w:rsid w:val="0085265B"/>
    <w:rsid w:val="00854DA7"/>
    <w:rsid w:val="008554CF"/>
    <w:rsid w:val="00855815"/>
    <w:rsid w:val="00855C09"/>
    <w:rsid w:val="00856475"/>
    <w:rsid w:val="008567AD"/>
    <w:rsid w:val="0086218C"/>
    <w:rsid w:val="00863230"/>
    <w:rsid w:val="008638D3"/>
    <w:rsid w:val="0086391E"/>
    <w:rsid w:val="008640BA"/>
    <w:rsid w:val="0086418B"/>
    <w:rsid w:val="00866F41"/>
    <w:rsid w:val="008677F2"/>
    <w:rsid w:val="0087007C"/>
    <w:rsid w:val="00870688"/>
    <w:rsid w:val="008706BA"/>
    <w:rsid w:val="00870A6E"/>
    <w:rsid w:val="008717D8"/>
    <w:rsid w:val="0087215C"/>
    <w:rsid w:val="008733BF"/>
    <w:rsid w:val="008735AB"/>
    <w:rsid w:val="00875C9B"/>
    <w:rsid w:val="00877820"/>
    <w:rsid w:val="00877A5A"/>
    <w:rsid w:val="00880FE1"/>
    <w:rsid w:val="008817D1"/>
    <w:rsid w:val="008875FE"/>
    <w:rsid w:val="00887F8E"/>
    <w:rsid w:val="00890195"/>
    <w:rsid w:val="008917AE"/>
    <w:rsid w:val="008924D0"/>
    <w:rsid w:val="00892696"/>
    <w:rsid w:val="008934AF"/>
    <w:rsid w:val="008937E7"/>
    <w:rsid w:val="00894EE7"/>
    <w:rsid w:val="008958E8"/>
    <w:rsid w:val="00896234"/>
    <w:rsid w:val="00897E43"/>
    <w:rsid w:val="008A06E9"/>
    <w:rsid w:val="008A170B"/>
    <w:rsid w:val="008A1EE4"/>
    <w:rsid w:val="008A1F64"/>
    <w:rsid w:val="008A5091"/>
    <w:rsid w:val="008A677A"/>
    <w:rsid w:val="008B26A5"/>
    <w:rsid w:val="008B2ED4"/>
    <w:rsid w:val="008B5BAB"/>
    <w:rsid w:val="008B6735"/>
    <w:rsid w:val="008B6C04"/>
    <w:rsid w:val="008C236B"/>
    <w:rsid w:val="008C2559"/>
    <w:rsid w:val="008C2F50"/>
    <w:rsid w:val="008C3961"/>
    <w:rsid w:val="008C4731"/>
    <w:rsid w:val="008C4812"/>
    <w:rsid w:val="008C5495"/>
    <w:rsid w:val="008C5738"/>
    <w:rsid w:val="008C5D84"/>
    <w:rsid w:val="008C6372"/>
    <w:rsid w:val="008C7099"/>
    <w:rsid w:val="008C736A"/>
    <w:rsid w:val="008C7EAD"/>
    <w:rsid w:val="008D0C34"/>
    <w:rsid w:val="008D14D5"/>
    <w:rsid w:val="008D35C7"/>
    <w:rsid w:val="008D5BB8"/>
    <w:rsid w:val="008D6152"/>
    <w:rsid w:val="008D67CB"/>
    <w:rsid w:val="008E1817"/>
    <w:rsid w:val="008E35E0"/>
    <w:rsid w:val="008E448F"/>
    <w:rsid w:val="008E5015"/>
    <w:rsid w:val="008E634D"/>
    <w:rsid w:val="008E66BF"/>
    <w:rsid w:val="008E7A18"/>
    <w:rsid w:val="008F0F81"/>
    <w:rsid w:val="008F2720"/>
    <w:rsid w:val="008F2C13"/>
    <w:rsid w:val="008F72F5"/>
    <w:rsid w:val="00902D69"/>
    <w:rsid w:val="0090565C"/>
    <w:rsid w:val="009063E3"/>
    <w:rsid w:val="00912AA5"/>
    <w:rsid w:val="00913CB7"/>
    <w:rsid w:val="009153F1"/>
    <w:rsid w:val="00915677"/>
    <w:rsid w:val="00915DD5"/>
    <w:rsid w:val="0091621C"/>
    <w:rsid w:val="00920E09"/>
    <w:rsid w:val="00922CE2"/>
    <w:rsid w:val="00923540"/>
    <w:rsid w:val="00926279"/>
    <w:rsid w:val="00926767"/>
    <w:rsid w:val="0092778B"/>
    <w:rsid w:val="00927D25"/>
    <w:rsid w:val="00927DDD"/>
    <w:rsid w:val="00927EB1"/>
    <w:rsid w:val="00931B30"/>
    <w:rsid w:val="00931D86"/>
    <w:rsid w:val="00931EBD"/>
    <w:rsid w:val="00933DF1"/>
    <w:rsid w:val="00934837"/>
    <w:rsid w:val="00934948"/>
    <w:rsid w:val="00935023"/>
    <w:rsid w:val="009361D5"/>
    <w:rsid w:val="00937A22"/>
    <w:rsid w:val="00942BE0"/>
    <w:rsid w:val="00943014"/>
    <w:rsid w:val="0094377F"/>
    <w:rsid w:val="009461E9"/>
    <w:rsid w:val="00947229"/>
    <w:rsid w:val="00950918"/>
    <w:rsid w:val="0095219A"/>
    <w:rsid w:val="00952A41"/>
    <w:rsid w:val="00953003"/>
    <w:rsid w:val="00954097"/>
    <w:rsid w:val="00954AF2"/>
    <w:rsid w:val="009612B4"/>
    <w:rsid w:val="00961F15"/>
    <w:rsid w:val="00962233"/>
    <w:rsid w:val="00963668"/>
    <w:rsid w:val="009659F4"/>
    <w:rsid w:val="00965A36"/>
    <w:rsid w:val="00966173"/>
    <w:rsid w:val="0096677D"/>
    <w:rsid w:val="00966FA7"/>
    <w:rsid w:val="00967514"/>
    <w:rsid w:val="0096765A"/>
    <w:rsid w:val="009677E9"/>
    <w:rsid w:val="00970D60"/>
    <w:rsid w:val="00980FE1"/>
    <w:rsid w:val="00982542"/>
    <w:rsid w:val="009834FE"/>
    <w:rsid w:val="0098474A"/>
    <w:rsid w:val="00984EF2"/>
    <w:rsid w:val="00985C77"/>
    <w:rsid w:val="0098608C"/>
    <w:rsid w:val="0098613C"/>
    <w:rsid w:val="00986564"/>
    <w:rsid w:val="00986F27"/>
    <w:rsid w:val="0098774A"/>
    <w:rsid w:val="00991014"/>
    <w:rsid w:val="00991408"/>
    <w:rsid w:val="00991CC2"/>
    <w:rsid w:val="00994D31"/>
    <w:rsid w:val="009951EA"/>
    <w:rsid w:val="00995C28"/>
    <w:rsid w:val="00996163"/>
    <w:rsid w:val="009A11C1"/>
    <w:rsid w:val="009A32F0"/>
    <w:rsid w:val="009A556D"/>
    <w:rsid w:val="009A5D35"/>
    <w:rsid w:val="009A7ADC"/>
    <w:rsid w:val="009B0EF9"/>
    <w:rsid w:val="009B1CB9"/>
    <w:rsid w:val="009B2181"/>
    <w:rsid w:val="009B2BEB"/>
    <w:rsid w:val="009B5187"/>
    <w:rsid w:val="009B568A"/>
    <w:rsid w:val="009B61F7"/>
    <w:rsid w:val="009B65CD"/>
    <w:rsid w:val="009B68F1"/>
    <w:rsid w:val="009B6FC2"/>
    <w:rsid w:val="009B747B"/>
    <w:rsid w:val="009C1087"/>
    <w:rsid w:val="009C19B7"/>
    <w:rsid w:val="009C2073"/>
    <w:rsid w:val="009C331A"/>
    <w:rsid w:val="009C3935"/>
    <w:rsid w:val="009C401F"/>
    <w:rsid w:val="009C6CC8"/>
    <w:rsid w:val="009D0AEB"/>
    <w:rsid w:val="009D184D"/>
    <w:rsid w:val="009D1AFF"/>
    <w:rsid w:val="009D22B0"/>
    <w:rsid w:val="009D48C6"/>
    <w:rsid w:val="009D53F2"/>
    <w:rsid w:val="009D7C51"/>
    <w:rsid w:val="009E1FBC"/>
    <w:rsid w:val="009E2EB0"/>
    <w:rsid w:val="009E33D8"/>
    <w:rsid w:val="009E6766"/>
    <w:rsid w:val="009E67D6"/>
    <w:rsid w:val="009E6944"/>
    <w:rsid w:val="009F0809"/>
    <w:rsid w:val="009F1C3E"/>
    <w:rsid w:val="009F2884"/>
    <w:rsid w:val="009F36BF"/>
    <w:rsid w:val="009F3980"/>
    <w:rsid w:val="009F5700"/>
    <w:rsid w:val="009F7963"/>
    <w:rsid w:val="00A0320A"/>
    <w:rsid w:val="00A07020"/>
    <w:rsid w:val="00A10C91"/>
    <w:rsid w:val="00A10D29"/>
    <w:rsid w:val="00A111B6"/>
    <w:rsid w:val="00A12152"/>
    <w:rsid w:val="00A13290"/>
    <w:rsid w:val="00A158C5"/>
    <w:rsid w:val="00A16498"/>
    <w:rsid w:val="00A16D0F"/>
    <w:rsid w:val="00A209AB"/>
    <w:rsid w:val="00A22B32"/>
    <w:rsid w:val="00A22C27"/>
    <w:rsid w:val="00A23632"/>
    <w:rsid w:val="00A24ADD"/>
    <w:rsid w:val="00A25BA4"/>
    <w:rsid w:val="00A25D95"/>
    <w:rsid w:val="00A30E2D"/>
    <w:rsid w:val="00A315ED"/>
    <w:rsid w:val="00A318B3"/>
    <w:rsid w:val="00A32A7A"/>
    <w:rsid w:val="00A332AA"/>
    <w:rsid w:val="00A336C2"/>
    <w:rsid w:val="00A34E7E"/>
    <w:rsid w:val="00A407FF"/>
    <w:rsid w:val="00A41C99"/>
    <w:rsid w:val="00A42A99"/>
    <w:rsid w:val="00A4489A"/>
    <w:rsid w:val="00A47530"/>
    <w:rsid w:val="00A509C8"/>
    <w:rsid w:val="00A5151A"/>
    <w:rsid w:val="00A54737"/>
    <w:rsid w:val="00A55C23"/>
    <w:rsid w:val="00A56C5B"/>
    <w:rsid w:val="00A57DC3"/>
    <w:rsid w:val="00A6121E"/>
    <w:rsid w:val="00A617B3"/>
    <w:rsid w:val="00A65DCF"/>
    <w:rsid w:val="00A6632B"/>
    <w:rsid w:val="00A66C82"/>
    <w:rsid w:val="00A72D4F"/>
    <w:rsid w:val="00A73808"/>
    <w:rsid w:val="00A73A67"/>
    <w:rsid w:val="00A73EB5"/>
    <w:rsid w:val="00A755F2"/>
    <w:rsid w:val="00A7653C"/>
    <w:rsid w:val="00A7754A"/>
    <w:rsid w:val="00A800EB"/>
    <w:rsid w:val="00A80BF2"/>
    <w:rsid w:val="00A80DF0"/>
    <w:rsid w:val="00A81CA7"/>
    <w:rsid w:val="00A823F6"/>
    <w:rsid w:val="00A833DF"/>
    <w:rsid w:val="00A83C1B"/>
    <w:rsid w:val="00A852F9"/>
    <w:rsid w:val="00A85F5D"/>
    <w:rsid w:val="00A8690E"/>
    <w:rsid w:val="00A86B25"/>
    <w:rsid w:val="00A86EBD"/>
    <w:rsid w:val="00A873E9"/>
    <w:rsid w:val="00A8764B"/>
    <w:rsid w:val="00A91A3E"/>
    <w:rsid w:val="00A91AA2"/>
    <w:rsid w:val="00A92477"/>
    <w:rsid w:val="00A924D8"/>
    <w:rsid w:val="00A92663"/>
    <w:rsid w:val="00A94328"/>
    <w:rsid w:val="00A95859"/>
    <w:rsid w:val="00AA0A89"/>
    <w:rsid w:val="00AA4AD1"/>
    <w:rsid w:val="00AA4DAB"/>
    <w:rsid w:val="00AA6506"/>
    <w:rsid w:val="00AB1E7E"/>
    <w:rsid w:val="00AB2227"/>
    <w:rsid w:val="00AB3857"/>
    <w:rsid w:val="00AB4FEC"/>
    <w:rsid w:val="00AB7364"/>
    <w:rsid w:val="00AC01AA"/>
    <w:rsid w:val="00AC10E4"/>
    <w:rsid w:val="00AC2D30"/>
    <w:rsid w:val="00AC3935"/>
    <w:rsid w:val="00AC4F72"/>
    <w:rsid w:val="00AC5A50"/>
    <w:rsid w:val="00AC79A5"/>
    <w:rsid w:val="00AD50AA"/>
    <w:rsid w:val="00AD56BF"/>
    <w:rsid w:val="00AD620A"/>
    <w:rsid w:val="00AD74D4"/>
    <w:rsid w:val="00AE0599"/>
    <w:rsid w:val="00AE1DA4"/>
    <w:rsid w:val="00AE36A0"/>
    <w:rsid w:val="00AE577B"/>
    <w:rsid w:val="00AE655C"/>
    <w:rsid w:val="00AF051E"/>
    <w:rsid w:val="00AF158A"/>
    <w:rsid w:val="00AF36DC"/>
    <w:rsid w:val="00AF4727"/>
    <w:rsid w:val="00AF4D6B"/>
    <w:rsid w:val="00AF5905"/>
    <w:rsid w:val="00AF741A"/>
    <w:rsid w:val="00B024EF"/>
    <w:rsid w:val="00B02532"/>
    <w:rsid w:val="00B03603"/>
    <w:rsid w:val="00B03BEE"/>
    <w:rsid w:val="00B04161"/>
    <w:rsid w:val="00B056F9"/>
    <w:rsid w:val="00B058F3"/>
    <w:rsid w:val="00B074F4"/>
    <w:rsid w:val="00B07707"/>
    <w:rsid w:val="00B10BA2"/>
    <w:rsid w:val="00B11A12"/>
    <w:rsid w:val="00B11E3D"/>
    <w:rsid w:val="00B13355"/>
    <w:rsid w:val="00B13452"/>
    <w:rsid w:val="00B13D67"/>
    <w:rsid w:val="00B140CE"/>
    <w:rsid w:val="00B14135"/>
    <w:rsid w:val="00B14575"/>
    <w:rsid w:val="00B14AE4"/>
    <w:rsid w:val="00B1606B"/>
    <w:rsid w:val="00B1647A"/>
    <w:rsid w:val="00B16AAC"/>
    <w:rsid w:val="00B17E82"/>
    <w:rsid w:val="00B207C7"/>
    <w:rsid w:val="00B23FDA"/>
    <w:rsid w:val="00B244A3"/>
    <w:rsid w:val="00B24C9C"/>
    <w:rsid w:val="00B26A8E"/>
    <w:rsid w:val="00B26A93"/>
    <w:rsid w:val="00B315E6"/>
    <w:rsid w:val="00B3335F"/>
    <w:rsid w:val="00B37631"/>
    <w:rsid w:val="00B40021"/>
    <w:rsid w:val="00B407EE"/>
    <w:rsid w:val="00B454C4"/>
    <w:rsid w:val="00B47012"/>
    <w:rsid w:val="00B507E9"/>
    <w:rsid w:val="00B51FAE"/>
    <w:rsid w:val="00B5302E"/>
    <w:rsid w:val="00B531C1"/>
    <w:rsid w:val="00B55263"/>
    <w:rsid w:val="00B56C5B"/>
    <w:rsid w:val="00B575BA"/>
    <w:rsid w:val="00B57734"/>
    <w:rsid w:val="00B57D22"/>
    <w:rsid w:val="00B62BA6"/>
    <w:rsid w:val="00B62C6D"/>
    <w:rsid w:val="00B643F2"/>
    <w:rsid w:val="00B64B35"/>
    <w:rsid w:val="00B656CD"/>
    <w:rsid w:val="00B6765A"/>
    <w:rsid w:val="00B67711"/>
    <w:rsid w:val="00B6775F"/>
    <w:rsid w:val="00B709A5"/>
    <w:rsid w:val="00B711AF"/>
    <w:rsid w:val="00B73C05"/>
    <w:rsid w:val="00B74F57"/>
    <w:rsid w:val="00B758AB"/>
    <w:rsid w:val="00B76429"/>
    <w:rsid w:val="00B76589"/>
    <w:rsid w:val="00B767D8"/>
    <w:rsid w:val="00B770B4"/>
    <w:rsid w:val="00B84E8E"/>
    <w:rsid w:val="00B85A6D"/>
    <w:rsid w:val="00B85DEF"/>
    <w:rsid w:val="00B866A9"/>
    <w:rsid w:val="00B86702"/>
    <w:rsid w:val="00B87F83"/>
    <w:rsid w:val="00B87FD8"/>
    <w:rsid w:val="00B902DB"/>
    <w:rsid w:val="00B93438"/>
    <w:rsid w:val="00B9454B"/>
    <w:rsid w:val="00B956D4"/>
    <w:rsid w:val="00B95A1B"/>
    <w:rsid w:val="00B97616"/>
    <w:rsid w:val="00BA0175"/>
    <w:rsid w:val="00BA0D38"/>
    <w:rsid w:val="00BA10E4"/>
    <w:rsid w:val="00BA1221"/>
    <w:rsid w:val="00BA2014"/>
    <w:rsid w:val="00BA4857"/>
    <w:rsid w:val="00BA55D3"/>
    <w:rsid w:val="00BA7432"/>
    <w:rsid w:val="00BA7BEF"/>
    <w:rsid w:val="00BB1ED5"/>
    <w:rsid w:val="00BB2802"/>
    <w:rsid w:val="00BB43F6"/>
    <w:rsid w:val="00BB5639"/>
    <w:rsid w:val="00BB7C1F"/>
    <w:rsid w:val="00BC1AA0"/>
    <w:rsid w:val="00BC35C2"/>
    <w:rsid w:val="00BC3835"/>
    <w:rsid w:val="00BC409E"/>
    <w:rsid w:val="00BC53BF"/>
    <w:rsid w:val="00BC6BBB"/>
    <w:rsid w:val="00BC7EB9"/>
    <w:rsid w:val="00BD12A3"/>
    <w:rsid w:val="00BD181D"/>
    <w:rsid w:val="00BD2643"/>
    <w:rsid w:val="00BD42C2"/>
    <w:rsid w:val="00BD615B"/>
    <w:rsid w:val="00BD6464"/>
    <w:rsid w:val="00BD6558"/>
    <w:rsid w:val="00BE04F5"/>
    <w:rsid w:val="00BE08A9"/>
    <w:rsid w:val="00BE08BF"/>
    <w:rsid w:val="00BE0AEE"/>
    <w:rsid w:val="00BE0DCF"/>
    <w:rsid w:val="00BE22F7"/>
    <w:rsid w:val="00BE2E9D"/>
    <w:rsid w:val="00BE3C0E"/>
    <w:rsid w:val="00BE46DE"/>
    <w:rsid w:val="00BF0064"/>
    <w:rsid w:val="00BF00F4"/>
    <w:rsid w:val="00BF19C4"/>
    <w:rsid w:val="00BF1BDA"/>
    <w:rsid w:val="00BF3214"/>
    <w:rsid w:val="00BF332A"/>
    <w:rsid w:val="00BF57AF"/>
    <w:rsid w:val="00BF71DE"/>
    <w:rsid w:val="00BF7DDA"/>
    <w:rsid w:val="00BF7E5F"/>
    <w:rsid w:val="00C004BF"/>
    <w:rsid w:val="00C00DB1"/>
    <w:rsid w:val="00C010C1"/>
    <w:rsid w:val="00C020E2"/>
    <w:rsid w:val="00C03C67"/>
    <w:rsid w:val="00C15771"/>
    <w:rsid w:val="00C15867"/>
    <w:rsid w:val="00C17226"/>
    <w:rsid w:val="00C17B09"/>
    <w:rsid w:val="00C17CBE"/>
    <w:rsid w:val="00C20BDE"/>
    <w:rsid w:val="00C2296D"/>
    <w:rsid w:val="00C22FE5"/>
    <w:rsid w:val="00C23155"/>
    <w:rsid w:val="00C2321D"/>
    <w:rsid w:val="00C2435F"/>
    <w:rsid w:val="00C248C5"/>
    <w:rsid w:val="00C26D5C"/>
    <w:rsid w:val="00C27808"/>
    <w:rsid w:val="00C27A89"/>
    <w:rsid w:val="00C3051F"/>
    <w:rsid w:val="00C30999"/>
    <w:rsid w:val="00C31B21"/>
    <w:rsid w:val="00C3358E"/>
    <w:rsid w:val="00C3472A"/>
    <w:rsid w:val="00C34868"/>
    <w:rsid w:val="00C378A3"/>
    <w:rsid w:val="00C37AC5"/>
    <w:rsid w:val="00C37C07"/>
    <w:rsid w:val="00C40C41"/>
    <w:rsid w:val="00C41355"/>
    <w:rsid w:val="00C4301C"/>
    <w:rsid w:val="00C43175"/>
    <w:rsid w:val="00C44034"/>
    <w:rsid w:val="00C45739"/>
    <w:rsid w:val="00C45885"/>
    <w:rsid w:val="00C45BE2"/>
    <w:rsid w:val="00C4641F"/>
    <w:rsid w:val="00C468C9"/>
    <w:rsid w:val="00C46DC7"/>
    <w:rsid w:val="00C47EC5"/>
    <w:rsid w:val="00C50A1F"/>
    <w:rsid w:val="00C50F22"/>
    <w:rsid w:val="00C53391"/>
    <w:rsid w:val="00C56443"/>
    <w:rsid w:val="00C56854"/>
    <w:rsid w:val="00C57971"/>
    <w:rsid w:val="00C579E5"/>
    <w:rsid w:val="00C65B78"/>
    <w:rsid w:val="00C66040"/>
    <w:rsid w:val="00C66767"/>
    <w:rsid w:val="00C67A87"/>
    <w:rsid w:val="00C717C0"/>
    <w:rsid w:val="00C72639"/>
    <w:rsid w:val="00C730F9"/>
    <w:rsid w:val="00C73EFF"/>
    <w:rsid w:val="00C75CB3"/>
    <w:rsid w:val="00C76BA4"/>
    <w:rsid w:val="00C77CFD"/>
    <w:rsid w:val="00C806F0"/>
    <w:rsid w:val="00C808C1"/>
    <w:rsid w:val="00C83A48"/>
    <w:rsid w:val="00C85865"/>
    <w:rsid w:val="00C85E85"/>
    <w:rsid w:val="00C87632"/>
    <w:rsid w:val="00C93822"/>
    <w:rsid w:val="00C954B1"/>
    <w:rsid w:val="00C95A7D"/>
    <w:rsid w:val="00C95ED7"/>
    <w:rsid w:val="00CA0868"/>
    <w:rsid w:val="00CA164E"/>
    <w:rsid w:val="00CA2EAE"/>
    <w:rsid w:val="00CA3B0B"/>
    <w:rsid w:val="00CA4AC1"/>
    <w:rsid w:val="00CA6215"/>
    <w:rsid w:val="00CA6399"/>
    <w:rsid w:val="00CB0316"/>
    <w:rsid w:val="00CB0317"/>
    <w:rsid w:val="00CB0B11"/>
    <w:rsid w:val="00CB107D"/>
    <w:rsid w:val="00CB4C7D"/>
    <w:rsid w:val="00CB5354"/>
    <w:rsid w:val="00CB6B20"/>
    <w:rsid w:val="00CB7CF6"/>
    <w:rsid w:val="00CC1041"/>
    <w:rsid w:val="00CC14A1"/>
    <w:rsid w:val="00CC4AE5"/>
    <w:rsid w:val="00CC4B1E"/>
    <w:rsid w:val="00CC4B93"/>
    <w:rsid w:val="00CC6A14"/>
    <w:rsid w:val="00CC6E10"/>
    <w:rsid w:val="00CC70A3"/>
    <w:rsid w:val="00CC7611"/>
    <w:rsid w:val="00CC7EB7"/>
    <w:rsid w:val="00CC7F83"/>
    <w:rsid w:val="00CD08B7"/>
    <w:rsid w:val="00CD2986"/>
    <w:rsid w:val="00CD3846"/>
    <w:rsid w:val="00CD3DC7"/>
    <w:rsid w:val="00CD3E48"/>
    <w:rsid w:val="00CD53C3"/>
    <w:rsid w:val="00CD55DA"/>
    <w:rsid w:val="00CD574E"/>
    <w:rsid w:val="00CD608E"/>
    <w:rsid w:val="00CE0019"/>
    <w:rsid w:val="00CE15CE"/>
    <w:rsid w:val="00CE1DA6"/>
    <w:rsid w:val="00CE1DE8"/>
    <w:rsid w:val="00CE2BEC"/>
    <w:rsid w:val="00CE33A6"/>
    <w:rsid w:val="00CE38C8"/>
    <w:rsid w:val="00CE4609"/>
    <w:rsid w:val="00CE4775"/>
    <w:rsid w:val="00CE4C22"/>
    <w:rsid w:val="00CE63CC"/>
    <w:rsid w:val="00CE7381"/>
    <w:rsid w:val="00CF0CC1"/>
    <w:rsid w:val="00CF2563"/>
    <w:rsid w:val="00CF41EC"/>
    <w:rsid w:val="00CF54BD"/>
    <w:rsid w:val="00CF5D04"/>
    <w:rsid w:val="00CF613E"/>
    <w:rsid w:val="00CF6181"/>
    <w:rsid w:val="00CF6240"/>
    <w:rsid w:val="00D01B32"/>
    <w:rsid w:val="00D02361"/>
    <w:rsid w:val="00D030E7"/>
    <w:rsid w:val="00D039B1"/>
    <w:rsid w:val="00D04434"/>
    <w:rsid w:val="00D04DE4"/>
    <w:rsid w:val="00D063F1"/>
    <w:rsid w:val="00D1024C"/>
    <w:rsid w:val="00D12020"/>
    <w:rsid w:val="00D12D67"/>
    <w:rsid w:val="00D14F22"/>
    <w:rsid w:val="00D15D9A"/>
    <w:rsid w:val="00D15E7F"/>
    <w:rsid w:val="00D1797D"/>
    <w:rsid w:val="00D24723"/>
    <w:rsid w:val="00D249AE"/>
    <w:rsid w:val="00D249C4"/>
    <w:rsid w:val="00D33228"/>
    <w:rsid w:val="00D42237"/>
    <w:rsid w:val="00D42B9D"/>
    <w:rsid w:val="00D45F2C"/>
    <w:rsid w:val="00D4668D"/>
    <w:rsid w:val="00D4718A"/>
    <w:rsid w:val="00D47E81"/>
    <w:rsid w:val="00D5065D"/>
    <w:rsid w:val="00D50A8E"/>
    <w:rsid w:val="00D50D20"/>
    <w:rsid w:val="00D51118"/>
    <w:rsid w:val="00D56A51"/>
    <w:rsid w:val="00D57918"/>
    <w:rsid w:val="00D60B74"/>
    <w:rsid w:val="00D61430"/>
    <w:rsid w:val="00D61CFC"/>
    <w:rsid w:val="00D620FF"/>
    <w:rsid w:val="00D647F9"/>
    <w:rsid w:val="00D67AFB"/>
    <w:rsid w:val="00D67DC7"/>
    <w:rsid w:val="00D67F5C"/>
    <w:rsid w:val="00D70273"/>
    <w:rsid w:val="00D70643"/>
    <w:rsid w:val="00D71BB9"/>
    <w:rsid w:val="00D730DC"/>
    <w:rsid w:val="00D731B5"/>
    <w:rsid w:val="00D73DC6"/>
    <w:rsid w:val="00D74C1A"/>
    <w:rsid w:val="00D75205"/>
    <w:rsid w:val="00D752F6"/>
    <w:rsid w:val="00D754C1"/>
    <w:rsid w:val="00D77A35"/>
    <w:rsid w:val="00D80843"/>
    <w:rsid w:val="00D81B3E"/>
    <w:rsid w:val="00D83B3C"/>
    <w:rsid w:val="00D84E2B"/>
    <w:rsid w:val="00D90120"/>
    <w:rsid w:val="00D901F5"/>
    <w:rsid w:val="00D90C70"/>
    <w:rsid w:val="00D90E49"/>
    <w:rsid w:val="00D9204A"/>
    <w:rsid w:val="00D93F4F"/>
    <w:rsid w:val="00D9428C"/>
    <w:rsid w:val="00D946C5"/>
    <w:rsid w:val="00D94E8D"/>
    <w:rsid w:val="00D97420"/>
    <w:rsid w:val="00D97AD3"/>
    <w:rsid w:val="00DA010B"/>
    <w:rsid w:val="00DA0B1C"/>
    <w:rsid w:val="00DA166F"/>
    <w:rsid w:val="00DA223D"/>
    <w:rsid w:val="00DA3803"/>
    <w:rsid w:val="00DB07B4"/>
    <w:rsid w:val="00DB3FC7"/>
    <w:rsid w:val="00DB6D37"/>
    <w:rsid w:val="00DB78A1"/>
    <w:rsid w:val="00DC2498"/>
    <w:rsid w:val="00DC2A72"/>
    <w:rsid w:val="00DC4147"/>
    <w:rsid w:val="00DC432B"/>
    <w:rsid w:val="00DC692A"/>
    <w:rsid w:val="00DC6A10"/>
    <w:rsid w:val="00DC6D65"/>
    <w:rsid w:val="00DD4B96"/>
    <w:rsid w:val="00DD502B"/>
    <w:rsid w:val="00DD52C0"/>
    <w:rsid w:val="00DD5C3D"/>
    <w:rsid w:val="00DD5E78"/>
    <w:rsid w:val="00DD6C89"/>
    <w:rsid w:val="00DD7952"/>
    <w:rsid w:val="00DE00E7"/>
    <w:rsid w:val="00DE13F5"/>
    <w:rsid w:val="00DE1D5E"/>
    <w:rsid w:val="00DE2DD2"/>
    <w:rsid w:val="00DE3F39"/>
    <w:rsid w:val="00DE4025"/>
    <w:rsid w:val="00DE4256"/>
    <w:rsid w:val="00DE657E"/>
    <w:rsid w:val="00DF1017"/>
    <w:rsid w:val="00DF1123"/>
    <w:rsid w:val="00DF1D98"/>
    <w:rsid w:val="00DF1EA3"/>
    <w:rsid w:val="00DF276F"/>
    <w:rsid w:val="00DF3F24"/>
    <w:rsid w:val="00DF4704"/>
    <w:rsid w:val="00DF491C"/>
    <w:rsid w:val="00DF5150"/>
    <w:rsid w:val="00DF5A63"/>
    <w:rsid w:val="00DF5AE1"/>
    <w:rsid w:val="00DF6528"/>
    <w:rsid w:val="00DF75DB"/>
    <w:rsid w:val="00DF7E23"/>
    <w:rsid w:val="00E00A9C"/>
    <w:rsid w:val="00E013D5"/>
    <w:rsid w:val="00E024AA"/>
    <w:rsid w:val="00E03C7E"/>
    <w:rsid w:val="00E06673"/>
    <w:rsid w:val="00E06A13"/>
    <w:rsid w:val="00E125FB"/>
    <w:rsid w:val="00E1384B"/>
    <w:rsid w:val="00E152B2"/>
    <w:rsid w:val="00E15CFC"/>
    <w:rsid w:val="00E1693E"/>
    <w:rsid w:val="00E16D12"/>
    <w:rsid w:val="00E17EF8"/>
    <w:rsid w:val="00E20078"/>
    <w:rsid w:val="00E20584"/>
    <w:rsid w:val="00E20988"/>
    <w:rsid w:val="00E224B0"/>
    <w:rsid w:val="00E22C28"/>
    <w:rsid w:val="00E249AC"/>
    <w:rsid w:val="00E250F1"/>
    <w:rsid w:val="00E25A7A"/>
    <w:rsid w:val="00E26878"/>
    <w:rsid w:val="00E26B1A"/>
    <w:rsid w:val="00E27752"/>
    <w:rsid w:val="00E30E0F"/>
    <w:rsid w:val="00E30FAA"/>
    <w:rsid w:val="00E327B8"/>
    <w:rsid w:val="00E32E6B"/>
    <w:rsid w:val="00E33106"/>
    <w:rsid w:val="00E33A5B"/>
    <w:rsid w:val="00E3550D"/>
    <w:rsid w:val="00E3662E"/>
    <w:rsid w:val="00E4093D"/>
    <w:rsid w:val="00E40DDB"/>
    <w:rsid w:val="00E41588"/>
    <w:rsid w:val="00E416BB"/>
    <w:rsid w:val="00E425A2"/>
    <w:rsid w:val="00E444CA"/>
    <w:rsid w:val="00E446C6"/>
    <w:rsid w:val="00E46E07"/>
    <w:rsid w:val="00E50035"/>
    <w:rsid w:val="00E50239"/>
    <w:rsid w:val="00E51029"/>
    <w:rsid w:val="00E536D7"/>
    <w:rsid w:val="00E5607D"/>
    <w:rsid w:val="00E572F9"/>
    <w:rsid w:val="00E57306"/>
    <w:rsid w:val="00E574BE"/>
    <w:rsid w:val="00E614E0"/>
    <w:rsid w:val="00E61D88"/>
    <w:rsid w:val="00E62350"/>
    <w:rsid w:val="00E624BC"/>
    <w:rsid w:val="00E62540"/>
    <w:rsid w:val="00E667DA"/>
    <w:rsid w:val="00E67CA7"/>
    <w:rsid w:val="00E73F7F"/>
    <w:rsid w:val="00E746D5"/>
    <w:rsid w:val="00E767BB"/>
    <w:rsid w:val="00E7695E"/>
    <w:rsid w:val="00E84B22"/>
    <w:rsid w:val="00E8570A"/>
    <w:rsid w:val="00E86B11"/>
    <w:rsid w:val="00E87572"/>
    <w:rsid w:val="00E87C86"/>
    <w:rsid w:val="00E90B96"/>
    <w:rsid w:val="00E92905"/>
    <w:rsid w:val="00E92C77"/>
    <w:rsid w:val="00E939E6"/>
    <w:rsid w:val="00E941A6"/>
    <w:rsid w:val="00E954F6"/>
    <w:rsid w:val="00E971CB"/>
    <w:rsid w:val="00E9759F"/>
    <w:rsid w:val="00E9767E"/>
    <w:rsid w:val="00EA05F3"/>
    <w:rsid w:val="00EA1002"/>
    <w:rsid w:val="00EA1E61"/>
    <w:rsid w:val="00EA2887"/>
    <w:rsid w:val="00EA408E"/>
    <w:rsid w:val="00EA429F"/>
    <w:rsid w:val="00EA4F9E"/>
    <w:rsid w:val="00EA5A98"/>
    <w:rsid w:val="00EA5C46"/>
    <w:rsid w:val="00EA6B62"/>
    <w:rsid w:val="00EA6D3B"/>
    <w:rsid w:val="00EA742A"/>
    <w:rsid w:val="00EB00AD"/>
    <w:rsid w:val="00EB011B"/>
    <w:rsid w:val="00EB015A"/>
    <w:rsid w:val="00EB03E7"/>
    <w:rsid w:val="00EB136C"/>
    <w:rsid w:val="00EB1FB9"/>
    <w:rsid w:val="00EB2FB9"/>
    <w:rsid w:val="00EB480E"/>
    <w:rsid w:val="00EB5EC6"/>
    <w:rsid w:val="00EB7FC9"/>
    <w:rsid w:val="00EC12ED"/>
    <w:rsid w:val="00EC2D78"/>
    <w:rsid w:val="00EC3B2A"/>
    <w:rsid w:val="00EC6397"/>
    <w:rsid w:val="00EC6C8A"/>
    <w:rsid w:val="00EC7AA8"/>
    <w:rsid w:val="00ED0B59"/>
    <w:rsid w:val="00ED123D"/>
    <w:rsid w:val="00ED19FF"/>
    <w:rsid w:val="00ED307C"/>
    <w:rsid w:val="00ED3180"/>
    <w:rsid w:val="00ED408D"/>
    <w:rsid w:val="00ED4823"/>
    <w:rsid w:val="00ED483F"/>
    <w:rsid w:val="00ED5E09"/>
    <w:rsid w:val="00ED7137"/>
    <w:rsid w:val="00ED7D17"/>
    <w:rsid w:val="00EE0E19"/>
    <w:rsid w:val="00EE191C"/>
    <w:rsid w:val="00EE3504"/>
    <w:rsid w:val="00EE3AB7"/>
    <w:rsid w:val="00EE47FF"/>
    <w:rsid w:val="00EE5EEE"/>
    <w:rsid w:val="00EE636E"/>
    <w:rsid w:val="00EF1916"/>
    <w:rsid w:val="00EF2849"/>
    <w:rsid w:val="00EF4A07"/>
    <w:rsid w:val="00EF627C"/>
    <w:rsid w:val="00EF65CE"/>
    <w:rsid w:val="00F00D97"/>
    <w:rsid w:val="00F035D0"/>
    <w:rsid w:val="00F036EB"/>
    <w:rsid w:val="00F036FF"/>
    <w:rsid w:val="00F0445E"/>
    <w:rsid w:val="00F04EEC"/>
    <w:rsid w:val="00F10C9D"/>
    <w:rsid w:val="00F1115F"/>
    <w:rsid w:val="00F1248E"/>
    <w:rsid w:val="00F13740"/>
    <w:rsid w:val="00F13881"/>
    <w:rsid w:val="00F14041"/>
    <w:rsid w:val="00F15561"/>
    <w:rsid w:val="00F172E3"/>
    <w:rsid w:val="00F21088"/>
    <w:rsid w:val="00F21360"/>
    <w:rsid w:val="00F219BC"/>
    <w:rsid w:val="00F21C1E"/>
    <w:rsid w:val="00F22A91"/>
    <w:rsid w:val="00F2351E"/>
    <w:rsid w:val="00F2501F"/>
    <w:rsid w:val="00F25519"/>
    <w:rsid w:val="00F30855"/>
    <w:rsid w:val="00F3130C"/>
    <w:rsid w:val="00F327E7"/>
    <w:rsid w:val="00F32A5F"/>
    <w:rsid w:val="00F3370D"/>
    <w:rsid w:val="00F34966"/>
    <w:rsid w:val="00F349CC"/>
    <w:rsid w:val="00F35284"/>
    <w:rsid w:val="00F35746"/>
    <w:rsid w:val="00F36371"/>
    <w:rsid w:val="00F369F2"/>
    <w:rsid w:val="00F4098B"/>
    <w:rsid w:val="00F411AE"/>
    <w:rsid w:val="00F42624"/>
    <w:rsid w:val="00F42924"/>
    <w:rsid w:val="00F435B3"/>
    <w:rsid w:val="00F44044"/>
    <w:rsid w:val="00F447C7"/>
    <w:rsid w:val="00F46B12"/>
    <w:rsid w:val="00F47460"/>
    <w:rsid w:val="00F50FE4"/>
    <w:rsid w:val="00F513A0"/>
    <w:rsid w:val="00F54B1C"/>
    <w:rsid w:val="00F554A9"/>
    <w:rsid w:val="00F55F08"/>
    <w:rsid w:val="00F60966"/>
    <w:rsid w:val="00F60CC4"/>
    <w:rsid w:val="00F61C9C"/>
    <w:rsid w:val="00F63A0B"/>
    <w:rsid w:val="00F63DC1"/>
    <w:rsid w:val="00F66035"/>
    <w:rsid w:val="00F70DF8"/>
    <w:rsid w:val="00F716FD"/>
    <w:rsid w:val="00F721B6"/>
    <w:rsid w:val="00F72C8E"/>
    <w:rsid w:val="00F730D0"/>
    <w:rsid w:val="00F75ACC"/>
    <w:rsid w:val="00F75C5F"/>
    <w:rsid w:val="00F80355"/>
    <w:rsid w:val="00F80496"/>
    <w:rsid w:val="00F80C51"/>
    <w:rsid w:val="00F82C6D"/>
    <w:rsid w:val="00F852B0"/>
    <w:rsid w:val="00F903D9"/>
    <w:rsid w:val="00F924A5"/>
    <w:rsid w:val="00F92613"/>
    <w:rsid w:val="00F9314E"/>
    <w:rsid w:val="00F95C11"/>
    <w:rsid w:val="00F97C38"/>
    <w:rsid w:val="00FA0B10"/>
    <w:rsid w:val="00FA2652"/>
    <w:rsid w:val="00FA29B3"/>
    <w:rsid w:val="00FA31C1"/>
    <w:rsid w:val="00FA6349"/>
    <w:rsid w:val="00FA73AB"/>
    <w:rsid w:val="00FA7CFF"/>
    <w:rsid w:val="00FB0C81"/>
    <w:rsid w:val="00FB0E76"/>
    <w:rsid w:val="00FB1FC2"/>
    <w:rsid w:val="00FB71C3"/>
    <w:rsid w:val="00FB77CB"/>
    <w:rsid w:val="00FC2200"/>
    <w:rsid w:val="00FC2540"/>
    <w:rsid w:val="00FC35FD"/>
    <w:rsid w:val="00FC38E9"/>
    <w:rsid w:val="00FC48A0"/>
    <w:rsid w:val="00FC493A"/>
    <w:rsid w:val="00FC70F4"/>
    <w:rsid w:val="00FD1BF9"/>
    <w:rsid w:val="00FD2500"/>
    <w:rsid w:val="00FD3DCC"/>
    <w:rsid w:val="00FD4CCC"/>
    <w:rsid w:val="00FD6952"/>
    <w:rsid w:val="00FD6EF1"/>
    <w:rsid w:val="00FE0FBD"/>
    <w:rsid w:val="00FE1144"/>
    <w:rsid w:val="00FE3364"/>
    <w:rsid w:val="00FE6AF2"/>
    <w:rsid w:val="00FF0204"/>
    <w:rsid w:val="00FF0B73"/>
    <w:rsid w:val="00FF172D"/>
    <w:rsid w:val="00FF1B8E"/>
    <w:rsid w:val="00FF2E4E"/>
    <w:rsid w:val="00FF3627"/>
    <w:rsid w:val="00FF3AED"/>
    <w:rsid w:val="00FF4676"/>
    <w:rsid w:val="00FF49BB"/>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CE44F"/>
  <w15:chartTrackingRefBased/>
  <w15:docId w15:val="{79DCE0ED-F3BF-41E3-86DC-FA63AB673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Bullet 1"/>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fontstyle01">
    <w:name w:val="fontstyle01"/>
    <w:basedOn w:val="DefaultParagraphFont"/>
    <w:rsid w:val="00A83C1B"/>
    <w:rPr>
      <w:rFonts w:ascii="Roboto-Bold" w:hAnsi="Roboto-Bold" w:hint="default"/>
      <w:b/>
      <w:bCs/>
      <w:i w:val="0"/>
      <w:iCs w:val="0"/>
      <w:color w:val="1E1E1E"/>
      <w:sz w:val="30"/>
      <w:szCs w:val="30"/>
    </w:rPr>
  </w:style>
  <w:style w:type="character" w:customStyle="1" w:styleId="ui-provider">
    <w:name w:val="ui-provider"/>
    <w:basedOn w:val="DefaultParagraphFont"/>
    <w:rsid w:val="00A83C1B"/>
  </w:style>
  <w:style w:type="character" w:customStyle="1" w:styleId="fontstyle21">
    <w:name w:val="fontstyle21"/>
    <w:basedOn w:val="DefaultParagraphFont"/>
    <w:rsid w:val="002F1A70"/>
    <w:rPr>
      <w:rFonts w:ascii="TimesNewRomanPSMT" w:hAnsi="TimesNewRomanPSMT" w:hint="default"/>
      <w:b w:val="0"/>
      <w:bCs w:val="0"/>
      <w:i w:val="0"/>
      <w:iCs w:val="0"/>
      <w:color w:val="000000"/>
      <w:sz w:val="18"/>
      <w:szCs w:val="18"/>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Dot pt Char"/>
    <w:basedOn w:val="DefaultParagraphFont"/>
    <w:link w:val="ListParagraph"/>
    <w:uiPriority w:val="34"/>
    <w:qFormat/>
    <w:locked/>
    <w:rsid w:val="00EC12ED"/>
    <w:rPr>
      <w:rFonts w:eastAsia="Times New Roman"/>
      <w:sz w:val="22"/>
      <w:szCs w:val="22"/>
      <w:lang w:val="en-GB" w:eastAsia="en-US"/>
    </w:rPr>
  </w:style>
  <w:style w:type="paragraph" w:customStyle="1" w:styleId="TableParagraph">
    <w:name w:val="Table Paragraph"/>
    <w:basedOn w:val="Normal"/>
    <w:uiPriority w:val="1"/>
    <w:qFormat/>
    <w:rsid w:val="008A1EE4"/>
    <w:pPr>
      <w:widowControl w:val="0"/>
      <w:autoSpaceDE w:val="0"/>
      <w:autoSpaceDN w:val="0"/>
      <w:jc w:val="left"/>
    </w:pPr>
    <w:rPr>
      <w:rFonts w:eastAsia="Times New Roman"/>
      <w:lang w:val="en-US" w:eastAsia="en-US"/>
    </w:rPr>
  </w:style>
  <w:style w:type="paragraph" w:customStyle="1" w:styleId="Subpara1special">
    <w:name w:val="Subpara 1) special"/>
    <w:basedOn w:val="Heading2"/>
    <w:link w:val="Subpara1specialChar"/>
    <w:qFormat/>
    <w:rsid w:val="0031174D"/>
    <w:pPr>
      <w:spacing w:before="240"/>
    </w:pPr>
  </w:style>
  <w:style w:type="character" w:customStyle="1" w:styleId="Subpara1specialChar">
    <w:name w:val="Subpara 1) special Char"/>
    <w:basedOn w:val="Heading2Char"/>
    <w:link w:val="Subpara1special"/>
    <w:rsid w:val="0031174D"/>
    <w:rPr>
      <w:sz w:val="22"/>
      <w:szCs w:val="22"/>
      <w:lang w:val="en-CA"/>
    </w:rPr>
  </w:style>
  <w:style w:type="character" w:styleId="Hyperlink">
    <w:name w:val="Hyperlink"/>
    <w:basedOn w:val="DefaultParagraphFont"/>
    <w:uiPriority w:val="99"/>
    <w:unhideWhenUsed/>
    <w:rsid w:val="00E03C7E"/>
    <w:rPr>
      <w:color w:val="0000FF" w:themeColor="hyperlink"/>
      <w:u w:val="single"/>
    </w:rPr>
  </w:style>
  <w:style w:type="character" w:styleId="UnresolvedMention">
    <w:name w:val="Unresolved Mention"/>
    <w:basedOn w:val="DefaultParagraphFont"/>
    <w:uiPriority w:val="99"/>
    <w:semiHidden/>
    <w:unhideWhenUsed/>
    <w:rsid w:val="00E03C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multilateralfund.org/resources/decisions/decision-5026" TargetMode="External"/><Relationship Id="rId1" Type="http://schemas.openxmlformats.org/officeDocument/2006/relationships/hyperlink" Target="https://multilateralfund.org/resources/decisions/decision-47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9th\Templates\Eec9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274D4911-D857-49AF-9980-4F03FAA62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Eec99G</Template>
  <TotalTime>2</TotalTime>
  <Pages>19</Pages>
  <Words>8453</Words>
  <Characters>48183</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UNEP’s compliance assistance programme budget for 2027</vt:lpstr>
    </vt:vector>
  </TitlesOfParts>
  <Company>UNMFS</Company>
  <LinksUpToDate>false</LinksUpToDate>
  <CharactersWithSpaces>56523</CharactersWithSpaces>
  <SharedDoc>false</SharedDoc>
  <HLinks>
    <vt:vector size="12" baseType="variant">
      <vt:variant>
        <vt:i4>3342380</vt:i4>
      </vt:variant>
      <vt:variant>
        <vt:i4>3</vt:i4>
      </vt:variant>
      <vt:variant>
        <vt:i4>0</vt:i4>
      </vt:variant>
      <vt:variant>
        <vt:i4>5</vt:i4>
      </vt:variant>
      <vt:variant>
        <vt:lpwstr>https://multilateralfund.org/resources/decisions/decision-5026</vt:lpwstr>
      </vt:variant>
      <vt:variant>
        <vt:lpwstr/>
      </vt:variant>
      <vt:variant>
        <vt:i4>3538989</vt:i4>
      </vt:variant>
      <vt:variant>
        <vt:i4>0</vt:i4>
      </vt:variant>
      <vt:variant>
        <vt:i4>0</vt:i4>
      </vt:variant>
      <vt:variant>
        <vt:i4>5</vt:i4>
      </vt:variant>
      <vt:variant>
        <vt:lpwstr>https://multilateralfund.org/resources/decisions/decision-4724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compliance assistance programme budget for 2027</dc:title>
  <dc:creator>RSR KM</dc:creator>
  <dc:description>UNEP’s compliance assistance programme budget for 2027</dc:description>
  <cp:lastModifiedBy>Angela Xue He Yan</cp:lastModifiedBy>
  <cp:revision>11</cp:revision>
  <cp:lastPrinted>2001-05-26T16:40:00Z</cp:lastPrinted>
  <dcterms:created xsi:type="dcterms:W3CDTF">2026-10-28T20:52:00Z</dcterms:created>
  <dcterms:modified xsi:type="dcterms:W3CDTF">2026-10-30T18:48:00Z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UNEP/OzL.Pro/ExCom/99/77</vt:lpwstr>
  </property>
  <property fmtid="{D5CDD505-2E9C-101B-9397-08002B2CF9AE}" pid="3" name="Revision date">
    <vt:lpwstr>10/28/2026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