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412"/>
        <w:gridCol w:w="3945"/>
        <w:gridCol w:w="3885"/>
      </w:tblGrid>
      <w:tr w:rsidR="00C15867" w:rsidRPr="009B0D30" w14:paraId="53937445" w14:textId="77777777" w:rsidTr="004B52D9">
        <w:trPr>
          <w:trHeight w:val="720"/>
        </w:trPr>
        <w:tc>
          <w:tcPr>
            <w:tcW w:w="6357"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3885" w:type="dxa"/>
            <w:tcBorders>
              <w:bottom w:val="single" w:sz="18" w:space="0" w:color="auto"/>
            </w:tcBorders>
          </w:tcPr>
          <w:p w14:paraId="34E1C01A" w14:textId="77777777" w:rsidR="00C15867" w:rsidRPr="009B0D30" w:rsidRDefault="00C15867" w:rsidP="002E0E5F">
            <w:pPr>
              <w:jc w:val="right"/>
              <w:rPr>
                <w:sz w:val="52"/>
                <w:szCs w:val="52"/>
              </w:rPr>
            </w:pPr>
            <w:r>
              <w:rPr>
                <w:rFonts w:ascii="Univers Bold" w:hAnsi="Univers Bold"/>
                <w:b/>
                <w:sz w:val="72"/>
              </w:rPr>
              <w:t>EP</w:t>
            </w:r>
          </w:p>
        </w:tc>
      </w:tr>
      <w:tr w:rsidR="00C15867" w:rsidRPr="009B0D30" w14:paraId="0753586E" w14:textId="77777777" w:rsidTr="004B5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412"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6A89BF25">
                      <wp:simplePos x="0" y="0"/>
                      <wp:positionH relativeFrom="column">
                        <wp:posOffset>5722</wp:posOffset>
                      </wp:positionH>
                      <wp:positionV relativeFrom="paragraph">
                        <wp:posOffset>71755</wp:posOffset>
                      </wp:positionV>
                      <wp:extent cx="854803" cy="1543050"/>
                      <wp:effectExtent l="0" t="0" r="2540" b="0"/>
                      <wp:wrapNone/>
                      <wp:docPr id="1" name="Group 1"/>
                      <wp:cNvGraphicFramePr/>
                      <a:graphic xmlns:a="http://schemas.openxmlformats.org/drawingml/2006/main">
                        <a:graphicData uri="http://schemas.microsoft.com/office/word/2010/wordprocessingGroup">
                          <wpg:wgp>
                            <wpg:cNvGrpSpPr/>
                            <wpg:grpSpPr>
                              <a:xfrm>
                                <a:off x="0" y="0"/>
                                <a:ext cx="854803" cy="1543050"/>
                                <a:chOff x="-5" y="0"/>
                                <a:chExt cx="854803" cy="154305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4230" y="759916"/>
                                  <a:ext cx="830468" cy="78313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5" y="0"/>
                                  <a:ext cx="854803" cy="760021"/>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9877A0B" id="Group 1" o:spid="_x0000_s1026" style="position:absolute;margin-left:.45pt;margin-top:5.65pt;width:67.3pt;height:121.5pt;z-index:251658240;mso-width-relative:margin;mso-height-relative:margin" coordorigin="" coordsize="8548,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fEZ2mAIAALIHAAAOAAAAZHJzL2Uyb0RvYy54bWzUVdtu2zAMfR+wfxD0&#10;3tqJkzQ1mhTDesGArg229QMUWbaFWhdQSpz+/SjZSZN02IYCw9CHOLqRPDw8lC4uN6ohawFOGj2j&#10;g9OUEqG5KaSuZvTxx83JlBLnmS5YY7SY0Wfh6OX844eL1uZiaGrTFAIIOtEub+2M1t7bPEkcr4Vi&#10;7tRYoXGzNKCYxylUSQGsRe+qSYZpOklaA4UFw4VzuHrVbdJ59F+WgvuHsnTCk2ZGEZuPX4jfZfgm&#10;8wuWV8BsLXkPg70BhWJSY9CdqyvmGVmBfOVKSQ7GmdKfcqMSU5aSi5gDZjNIj7K5BbOyMZcqbyu7&#10;owmpPeLpzW75/foW7He7AGSitRVyEWchl00JKvwjSrKJlD3vKBMbTzguTsejaZpRwnFrMB5l6bjn&#10;lNdIfDA7GVPyYsfr699bJtu4yQEaK3mOv54CHL2i4M9SQSu/AkF7J+qvfCgGTyt7gtWyzMulbKR/&#10;jsrDugRQer2QfAHdBNlcAJHFjA4p0Uyh4HE3BCW4UAjHUXqP99eLoLtgHQw6cxbSuzP8yRFtPtdM&#10;V+KTs6hf5DWcTg6Px+lB7GUj7Y1smlCxMO6zxIBHWvkFUZ0OrwxfKaF911ggGkzYaFdL6yiBXKil&#10;wMzgSzHAemNTe0zPgtS+6yIH/BvijR3lPAjP64ClREz9OtZ2txETeMEcsnOoQrJsv5oCHbOVN7Gj&#10;jlQ4HA0zbGRU1Nn4/Hww6WLv5JilowleOUGOZ9NskI0id1tNIcng/K0wioQBJoOAYxS2vnMBOkLc&#10;HgngtQmUbukPAPtKIN6ugjh4N6LEPj0UZRbYORTWe9Ih9tR/0+HhtbbT3951eDZJ02HXu/9If/GK&#10;xIchyrZ/xMLLsz/H8f5TO/8J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HDa1WrdAAAABwEAAA8AAABkcnMvZG93bnJldi54bWxMjs1Kw0AUhfeC7zBcwZ2dpDFiYyalFHVV&#10;hLaCdHebuU1CM3dCZpqkb+90pcvzwzlfvpxMKwbqXWNZQTyLQBCXVjdcKfjefzy9gnAeWWNrmRRc&#10;ycGyuL/LMdN25C0NO1+JMMIuQwW1910mpStrMuhmtiMO2cn2Bn2QfSV1j2MYN62cR9GLNNhweKix&#10;o3VN5Xl3MQo+RxxXSfw+bM6n9fWwT79+NjEp9fgwrd5AeJr8Xxlu+AEdisB0tBfWTrQKFqEX3DgB&#10;cUuTNAVxVDBPnxOQRS7/8xe/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Od8RnaYAgAAsgcAAA4AAAAAAAAAAAAAAAAAOgIAAGRycy9lMm9Eb2Mu&#10;eG1sUEsBAi0ACgAAAAAAAAAhAH4VrL8SBgAAEgYAABQAAAAAAAAAAAAAAAAA/gQAAGRycy9tZWRp&#10;YS9pbWFnZTEucG5nUEsBAi0ACgAAAAAAAAAhAOCJ3RxtCQAAbQkAABQAAAAAAAAAAAAAAAAAQgsA&#10;AGRycy9tZWRpYS9pbWFnZTIucG5nUEsBAi0AFAAGAAgAAAAhAHDa1Wr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42;top:7599;width:8304;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547;height:7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5" w:type="dxa"/>
            <w:tcBorders>
              <w:top w:val="nil"/>
              <w:left w:val="nil"/>
              <w:bottom w:val="single" w:sz="36" w:space="0" w:color="auto"/>
              <w:right w:val="nil"/>
            </w:tcBorders>
          </w:tcPr>
          <w:p w14:paraId="0EF48181" w14:textId="77777777" w:rsidR="00763771" w:rsidRDefault="00763771"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p>
          <w:p w14:paraId="6BA49443" w14:textId="5EE193EB"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Pr>
                <w:rFonts w:ascii="Univers" w:hAnsi="Univers"/>
                <w:b/>
                <w:sz w:val="32"/>
              </w:rPr>
              <w:t>Programme des</w:t>
            </w:r>
          </w:p>
          <w:p w14:paraId="23D8B239" w14:textId="77777777" w:rsidR="00C15867" w:rsidRPr="007071FE" w:rsidRDefault="00C15867" w:rsidP="002E0E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Pr>
                <w:rFonts w:ascii="Univers" w:hAnsi="Univers"/>
                <w:b/>
                <w:sz w:val="32"/>
                <w:szCs w:val="32"/>
              </w:rPr>
              <w:t>Nations Unies pour</w:t>
            </w:r>
          </w:p>
          <w:p w14:paraId="084ADC37" w14:textId="11643307" w:rsidR="00C15867" w:rsidRPr="008A72EE" w:rsidRDefault="00C15867" w:rsidP="008A72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tc>
        <w:tc>
          <w:tcPr>
            <w:tcW w:w="3885" w:type="dxa"/>
            <w:tcBorders>
              <w:top w:val="nil"/>
              <w:left w:val="nil"/>
              <w:bottom w:val="single" w:sz="36" w:space="0" w:color="auto"/>
              <w:right w:val="nil"/>
            </w:tcBorders>
          </w:tcPr>
          <w:p w14:paraId="3AEED990" w14:textId="5CDA671A" w:rsidR="00C15867" w:rsidRPr="009B0D30" w:rsidRDefault="00C15867" w:rsidP="008A72EE">
            <w:pPr>
              <w:spacing w:before="240"/>
            </w:pPr>
            <w:r>
              <w:t>Distr.</w:t>
            </w:r>
          </w:p>
          <w:p w14:paraId="781D29E6" w14:textId="77777777" w:rsidR="00923540" w:rsidRPr="009B0D30" w:rsidRDefault="00923540" w:rsidP="00923540">
            <w:r>
              <w:t>GÉNÉRALE</w:t>
            </w:r>
          </w:p>
          <w:p w14:paraId="11DD4C6D" w14:textId="77777777" w:rsidR="00C15867" w:rsidRPr="009B0D30" w:rsidRDefault="00C15867" w:rsidP="002E0E5F"/>
          <w:p w14:paraId="60E84EE6" w14:textId="38EC17B7" w:rsidR="00C15867" w:rsidRPr="003E2C76" w:rsidRDefault="00004150" w:rsidP="002E0E5F">
            <w:fldSimple w:instr=" DOCPROPERTY &quot;Document number&quot;  \* MERGEFORMAT ">
              <w:r w:rsidR="00763771">
                <w:t>UNEP/OzL.Pro/ExCom/97/80</w:t>
              </w:r>
            </w:fldSimple>
          </w:p>
          <w:p w14:paraId="4B27B914" w14:textId="56D4C7BE" w:rsidR="00C15867" w:rsidRPr="009B0D30" w:rsidRDefault="00BC2495" w:rsidP="002E0E5F">
            <w:r w:rsidRPr="003E2C76">
              <w:fldChar w:fldCharType="begin"/>
            </w:r>
            <w:r w:rsidR="00851352" w:rsidRPr="003E2C76">
              <w:instrText xml:space="preserve"> DOCPROPERTY "Revision date" \@ "d MMMM YYYY"  \* MERGEFORMAT </w:instrText>
            </w:r>
            <w:r w:rsidRPr="003E2C76">
              <w:fldChar w:fldCharType="separate"/>
            </w:r>
            <w:r w:rsidR="00E72273">
              <w:t xml:space="preserve">5 </w:t>
            </w:r>
            <w:r w:rsidR="007E5C10">
              <w:t>novembre</w:t>
            </w:r>
            <w:r w:rsidR="00E72273">
              <w:t xml:space="preserve"> 2025</w:t>
            </w:r>
            <w:r w:rsidRPr="003E2C76">
              <w:fldChar w:fldCharType="end"/>
            </w:r>
          </w:p>
          <w:p w14:paraId="4DF400D8" w14:textId="77777777" w:rsidR="00C15867" w:rsidRPr="009B0D30" w:rsidRDefault="00C15867" w:rsidP="002E0E5F">
            <w:pPr>
              <w:rPr>
                <w:caps/>
              </w:rPr>
            </w:pPr>
          </w:p>
          <w:p w14:paraId="24D12A60" w14:textId="77777777" w:rsidR="00C15867" w:rsidRPr="009B0D30" w:rsidRDefault="00C15867" w:rsidP="002E0E5F">
            <w:r>
              <w:t xml:space="preserve">FRANÇAIS </w:t>
            </w:r>
            <w:r>
              <w:br/>
              <w:t>ORIGINAL : ANGLAIS</w:t>
            </w:r>
          </w:p>
        </w:tc>
      </w:tr>
    </w:tbl>
    <w:p w14:paraId="2374263D" w14:textId="5419C1FE" w:rsidR="00CA59FB" w:rsidRDefault="00C15867" w:rsidP="007071FE">
      <w:pPr>
        <w:spacing w:before="120"/>
        <w:jc w:val="left"/>
      </w:pPr>
      <w:r>
        <w:t>COMITÉ EXÉCUTIF</w:t>
      </w:r>
      <w:r>
        <w:br/>
        <w:t xml:space="preserve">  DU FONDS MULTILATÉRAL AUX FINS</w:t>
      </w:r>
      <w:r>
        <w:br/>
        <w:t xml:space="preserve">  D'APPLICATION DU PROTOCOLE DE MONTRÉAL</w:t>
      </w:r>
      <w:r>
        <w:br/>
        <w:t>Quatre-vingt-dix-septième réunion</w:t>
      </w:r>
    </w:p>
    <w:p w14:paraId="39EBC76E" w14:textId="6D0E249F" w:rsidR="00CA59FB" w:rsidRDefault="00CA59FB" w:rsidP="00CA59FB">
      <w:pPr>
        <w:jc w:val="left"/>
      </w:pPr>
      <w:r>
        <w:t>Montréal, 1-5 décembre 2025</w:t>
      </w:r>
    </w:p>
    <w:p w14:paraId="254E9590" w14:textId="0D8428CC" w:rsidR="0079781A" w:rsidRDefault="0079781A" w:rsidP="0079781A">
      <w:pPr>
        <w:jc w:val="left"/>
      </w:pPr>
      <w:r>
        <w:t>Point 9 c) et d) de l'ordre du jour provisoire</w:t>
      </w:r>
      <w:r>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0E19DFB7" w14:textId="77777777" w:rsidR="004E7F9C" w:rsidRPr="00763771" w:rsidRDefault="004E7F9C" w:rsidP="005C670D">
      <w:pPr>
        <w:pStyle w:val="Title1"/>
        <w:jc w:val="right"/>
        <w:rPr>
          <w:b w:val="0"/>
          <w:lang w:val="fr-FR"/>
        </w:rPr>
      </w:pPr>
    </w:p>
    <w:p w14:paraId="01455F1D" w14:textId="77777777" w:rsidR="00E9063C" w:rsidRPr="00E9063C" w:rsidRDefault="00E9063C" w:rsidP="00E9063C"/>
    <w:p w14:paraId="5D5E90A8" w14:textId="17F9A2A7" w:rsidR="00E9063C" w:rsidRPr="00E9063C" w:rsidRDefault="00763771" w:rsidP="00E9063C">
      <w:pPr>
        <w:jc w:val="center"/>
        <w:rPr>
          <w:b/>
        </w:rPr>
      </w:pPr>
      <w:r>
        <w:rPr>
          <w:b/>
        </w:rPr>
        <w:t>PROPOSITIONS DE PROJET : TUNISIE</w:t>
      </w:r>
    </w:p>
    <w:p w14:paraId="0FE074EC" w14:textId="77777777" w:rsidR="00E9063C" w:rsidRPr="00E9063C" w:rsidRDefault="00E9063C" w:rsidP="00E9063C"/>
    <w:p w14:paraId="30F2324A" w14:textId="77777777" w:rsidR="00E9063C" w:rsidRPr="00E9063C" w:rsidRDefault="00E9063C" w:rsidP="00E9063C"/>
    <w:p w14:paraId="56800F55" w14:textId="7B173FD4" w:rsidR="00E9063C" w:rsidRPr="00E9063C" w:rsidRDefault="00E9063C" w:rsidP="00E9063C">
      <w:pPr>
        <w:ind w:firstLine="720"/>
      </w:pPr>
      <w:r>
        <w:t>Ce document présente les commentaires et la recommandation du secrétariat sur les propositions de projet suivantes :</w:t>
      </w:r>
    </w:p>
    <w:p w14:paraId="09D9108A" w14:textId="77777777" w:rsidR="00E9063C" w:rsidRPr="00E9063C" w:rsidRDefault="00E9063C" w:rsidP="00E9063C"/>
    <w:p w14:paraId="675C3DBF" w14:textId="77777777" w:rsidR="00E9063C" w:rsidRPr="00E9063C" w:rsidRDefault="00E9063C" w:rsidP="00E9063C">
      <w:pPr>
        <w:rPr>
          <w:u w:val="single"/>
        </w:rPr>
      </w:pPr>
      <w:r>
        <w:rPr>
          <w:u w:val="single"/>
        </w:rPr>
        <w:t>Élimination</w:t>
      </w:r>
    </w:p>
    <w:p w14:paraId="58B9AA64" w14:textId="77777777" w:rsidR="00E9063C" w:rsidRPr="00E9063C" w:rsidRDefault="00E9063C" w:rsidP="00E9063C"/>
    <w:tbl>
      <w:tblPr>
        <w:tblStyle w:val="TableGrid"/>
        <w:tblW w:w="0" w:type="auto"/>
        <w:tblLook w:val="04A0" w:firstRow="1" w:lastRow="0" w:firstColumn="1" w:lastColumn="0" w:noHBand="0" w:noVBand="1"/>
      </w:tblPr>
      <w:tblGrid>
        <w:gridCol w:w="4536"/>
        <w:gridCol w:w="1843"/>
        <w:gridCol w:w="2552"/>
      </w:tblGrid>
      <w:tr w:rsidR="00E9063C" w:rsidRPr="00E9063C" w14:paraId="66E2C945" w14:textId="77777777" w:rsidTr="00AA6C04">
        <w:tc>
          <w:tcPr>
            <w:tcW w:w="4536" w:type="dxa"/>
          </w:tcPr>
          <w:p w14:paraId="65CAAEA5" w14:textId="6A21776D" w:rsidR="00E9063C" w:rsidRPr="00DC52B0" w:rsidRDefault="00E9063C" w:rsidP="00A110D0">
            <w:pPr>
              <w:numPr>
                <w:ilvl w:val="0"/>
                <w:numId w:val="22"/>
              </w:numPr>
              <w:ind w:hanging="830"/>
              <w:contextualSpacing/>
              <w:jc w:val="left"/>
            </w:pPr>
            <w:r>
              <w:t>Plan de gestion de l'élimination des HCFC (phase II, troisième tranche)</w:t>
            </w:r>
          </w:p>
        </w:tc>
        <w:tc>
          <w:tcPr>
            <w:tcW w:w="1843" w:type="dxa"/>
          </w:tcPr>
          <w:p w14:paraId="2B9AD47F" w14:textId="3ED89E4C" w:rsidR="00E9063C" w:rsidRPr="00E9063C" w:rsidRDefault="000750C6" w:rsidP="00E9063C">
            <w:pPr>
              <w:jc w:val="center"/>
              <w:rPr>
                <w:highlight w:val="cyan"/>
              </w:rPr>
            </w:pPr>
            <w:r>
              <w:t>ONUDI et PNUE</w:t>
            </w:r>
          </w:p>
        </w:tc>
        <w:tc>
          <w:tcPr>
            <w:tcW w:w="2552" w:type="dxa"/>
          </w:tcPr>
          <w:p w14:paraId="6DD6DCD5" w14:textId="5715789F" w:rsidR="00E9063C" w:rsidRPr="00E9063C" w:rsidRDefault="00E9063C" w:rsidP="00E9063C">
            <w:pPr>
              <w:jc w:val="right"/>
              <w:rPr>
                <w:highlight w:val="cyan"/>
              </w:rPr>
            </w:pPr>
            <w:r>
              <w:t>Approbation générale</w:t>
            </w:r>
          </w:p>
        </w:tc>
      </w:tr>
    </w:tbl>
    <w:p w14:paraId="25503981" w14:textId="77777777" w:rsidR="00E9063C" w:rsidRPr="00E9063C" w:rsidRDefault="00E9063C" w:rsidP="00E9063C"/>
    <w:p w14:paraId="45873BA4" w14:textId="4F4A16FD" w:rsidR="00141B82" w:rsidRPr="00E9063C" w:rsidRDefault="00141B82" w:rsidP="006A16FF">
      <w:pPr>
        <w:spacing w:after="240"/>
        <w:rPr>
          <w:u w:val="single"/>
        </w:rPr>
      </w:pPr>
      <w:r>
        <w:rPr>
          <w:u w:val="single"/>
        </w:rPr>
        <w:t>Rendement énergétique</w:t>
      </w:r>
    </w:p>
    <w:tbl>
      <w:tblPr>
        <w:tblStyle w:val="TableGrid"/>
        <w:tblW w:w="0" w:type="auto"/>
        <w:tblLook w:val="04A0" w:firstRow="1" w:lastRow="0" w:firstColumn="1" w:lastColumn="0" w:noHBand="0" w:noVBand="1"/>
      </w:tblPr>
      <w:tblGrid>
        <w:gridCol w:w="4395"/>
        <w:gridCol w:w="2126"/>
        <w:gridCol w:w="2484"/>
      </w:tblGrid>
      <w:tr w:rsidR="00141B82" w:rsidRPr="00E9063C" w14:paraId="7DF9C480" w14:textId="77777777" w:rsidTr="00AA6C04">
        <w:trPr>
          <w:trHeight w:val="598"/>
        </w:trPr>
        <w:tc>
          <w:tcPr>
            <w:tcW w:w="4395" w:type="dxa"/>
          </w:tcPr>
          <w:p w14:paraId="2359287B" w14:textId="05D833A9" w:rsidR="00141B82" w:rsidRPr="008607BB" w:rsidRDefault="00BC777D" w:rsidP="008607BB">
            <w:pPr>
              <w:numPr>
                <w:ilvl w:val="0"/>
                <w:numId w:val="22"/>
              </w:numPr>
              <w:ind w:hanging="830"/>
              <w:contextualSpacing/>
            </w:pPr>
            <w:r>
              <w:t>Projet pilote visant à améliorer le rendement énergétique dans le secteur de la fabrication de climatiseurs résidentiels en Tunisie dans le cadre de la réduction des HFC</w:t>
            </w:r>
          </w:p>
        </w:tc>
        <w:tc>
          <w:tcPr>
            <w:tcW w:w="2126" w:type="dxa"/>
          </w:tcPr>
          <w:p w14:paraId="2E72A9DC" w14:textId="5D81043A" w:rsidR="00141B82" w:rsidRPr="00E9063C" w:rsidRDefault="00774BD0" w:rsidP="002E0E5F">
            <w:pPr>
              <w:jc w:val="center"/>
              <w:rPr>
                <w:highlight w:val="cyan"/>
              </w:rPr>
            </w:pPr>
            <w:r>
              <w:t>ONUDI</w:t>
            </w:r>
          </w:p>
        </w:tc>
        <w:tc>
          <w:tcPr>
            <w:tcW w:w="2484" w:type="dxa"/>
          </w:tcPr>
          <w:p w14:paraId="7FEB3915" w14:textId="6E448E56" w:rsidR="00141B82" w:rsidRPr="00E9063C" w:rsidRDefault="00141B82" w:rsidP="002E0E5F">
            <w:pPr>
              <w:jc w:val="right"/>
              <w:rPr>
                <w:highlight w:val="cyan"/>
              </w:rPr>
            </w:pPr>
            <w:r>
              <w:t>Examen individuel</w:t>
            </w:r>
          </w:p>
        </w:tc>
      </w:tr>
    </w:tbl>
    <w:p w14:paraId="276292DE" w14:textId="77777777" w:rsidR="00E9063C" w:rsidRDefault="00E9063C" w:rsidP="00E9063C">
      <w:r w:rsidRPr="00E9063C">
        <w:br w:type="page"/>
      </w:r>
    </w:p>
    <w:p w14:paraId="0BA90AD2" w14:textId="77777777" w:rsidR="00E9063C" w:rsidRPr="00E9063C" w:rsidRDefault="00E9063C" w:rsidP="00E9063C">
      <w:pPr>
        <w:spacing w:after="120"/>
        <w:jc w:val="center"/>
        <w:rPr>
          <w:b/>
        </w:rPr>
      </w:pPr>
      <w:r>
        <w:rPr>
          <w:b/>
        </w:rPr>
        <w:lastRenderedPageBreak/>
        <w:t>FICHE D'ÉVALUATION DU PROJET – PROJETS PLURIANNUELS</w:t>
      </w:r>
    </w:p>
    <w:p w14:paraId="6F10C84B" w14:textId="7DE478E4" w:rsidR="00E9063C" w:rsidRPr="004E7A97" w:rsidRDefault="006415C3" w:rsidP="004E7A97">
      <w:pPr>
        <w:tabs>
          <w:tab w:val="left" w:pos="2472"/>
          <w:tab w:val="center" w:pos="4680"/>
        </w:tabs>
        <w:spacing w:after="200"/>
        <w:jc w:val="left"/>
        <w:rPr>
          <w:b/>
          <w:bCs/>
        </w:rPr>
      </w:pPr>
      <w:r>
        <w:rPr>
          <w:b/>
          <w:bCs/>
        </w:rPr>
        <w:tab/>
      </w:r>
      <w:r>
        <w:rPr>
          <w:b/>
          <w:bCs/>
        </w:rPr>
        <w:tab/>
        <w:t>Tunisie</w:t>
      </w:r>
    </w:p>
    <w:tbl>
      <w:tblPr>
        <w:tblStyle w:val="TableGrid"/>
        <w:tblW w:w="10992"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2"/>
        <w:gridCol w:w="2202"/>
        <w:gridCol w:w="2494"/>
        <w:gridCol w:w="2734"/>
      </w:tblGrid>
      <w:tr w:rsidR="00E9063C" w:rsidRPr="00E9063C" w14:paraId="72A80961" w14:textId="77777777" w:rsidTr="00757F6D">
        <w:trPr>
          <w:trHeight w:val="240"/>
        </w:trPr>
        <w:tc>
          <w:tcPr>
            <w:tcW w:w="3562" w:type="dxa"/>
            <w:hideMark/>
          </w:tcPr>
          <w:p w14:paraId="71E0D350" w14:textId="77777777" w:rsidR="00E9063C" w:rsidRPr="00E9063C" w:rsidRDefault="00E9063C" w:rsidP="00E9063C">
            <w:pPr>
              <w:jc w:val="left"/>
              <w:rPr>
                <w:b/>
                <w:sz w:val="20"/>
                <w:szCs w:val="20"/>
                <w:lang w:val="en-US"/>
              </w:rPr>
            </w:pPr>
            <w:r>
              <w:rPr>
                <w:b/>
                <w:sz w:val="20"/>
                <w:szCs w:val="20"/>
              </w:rPr>
              <w:t>(I) TITRE DU PROJET</w:t>
            </w:r>
          </w:p>
        </w:tc>
        <w:tc>
          <w:tcPr>
            <w:tcW w:w="2202" w:type="dxa"/>
            <w:hideMark/>
          </w:tcPr>
          <w:p w14:paraId="59179DD2" w14:textId="77777777" w:rsidR="00E9063C" w:rsidRPr="00E9063C" w:rsidRDefault="00E9063C" w:rsidP="00E9063C">
            <w:pPr>
              <w:jc w:val="center"/>
              <w:rPr>
                <w:b/>
                <w:sz w:val="20"/>
                <w:szCs w:val="20"/>
                <w:lang w:val="en-US"/>
              </w:rPr>
            </w:pPr>
            <w:r>
              <w:rPr>
                <w:b/>
                <w:sz w:val="20"/>
                <w:szCs w:val="20"/>
              </w:rPr>
              <w:t>AGENCE</w:t>
            </w:r>
          </w:p>
        </w:tc>
        <w:tc>
          <w:tcPr>
            <w:tcW w:w="2494" w:type="dxa"/>
            <w:hideMark/>
          </w:tcPr>
          <w:p w14:paraId="7A0E6192" w14:textId="77777777" w:rsidR="00E9063C" w:rsidRPr="00E9063C" w:rsidRDefault="00E9063C" w:rsidP="00E9063C">
            <w:pPr>
              <w:jc w:val="center"/>
              <w:rPr>
                <w:b/>
                <w:sz w:val="20"/>
                <w:szCs w:val="20"/>
                <w:lang w:val="en-US"/>
              </w:rPr>
            </w:pPr>
            <w:r>
              <w:rPr>
                <w:b/>
                <w:sz w:val="20"/>
                <w:szCs w:val="20"/>
              </w:rPr>
              <w:t>RÉUNION APPROUVÉE</w:t>
            </w:r>
          </w:p>
        </w:tc>
        <w:tc>
          <w:tcPr>
            <w:tcW w:w="2734" w:type="dxa"/>
            <w:hideMark/>
          </w:tcPr>
          <w:p w14:paraId="14C2078B" w14:textId="77777777" w:rsidR="00E9063C" w:rsidRPr="00E9063C" w:rsidRDefault="00E9063C" w:rsidP="00E9063C">
            <w:pPr>
              <w:jc w:val="center"/>
              <w:rPr>
                <w:b/>
                <w:sz w:val="20"/>
                <w:szCs w:val="20"/>
                <w:lang w:val="en-US"/>
              </w:rPr>
            </w:pPr>
            <w:r>
              <w:rPr>
                <w:b/>
                <w:sz w:val="20"/>
                <w:szCs w:val="20"/>
              </w:rPr>
              <w:t>MESURE DE RÉGLEMENTATION</w:t>
            </w:r>
          </w:p>
        </w:tc>
      </w:tr>
      <w:tr w:rsidR="00E9063C" w:rsidRPr="00E9063C" w14:paraId="62998DE7" w14:textId="77777777" w:rsidTr="00757F6D">
        <w:trPr>
          <w:trHeight w:val="240"/>
        </w:trPr>
        <w:tc>
          <w:tcPr>
            <w:tcW w:w="3562" w:type="dxa"/>
            <w:vAlign w:val="center"/>
            <w:hideMark/>
          </w:tcPr>
          <w:p w14:paraId="337CBCAF" w14:textId="2BAFCA58" w:rsidR="00E9063C" w:rsidRPr="00763771" w:rsidRDefault="00E9063C" w:rsidP="00E9063C">
            <w:pPr>
              <w:jc w:val="center"/>
              <w:rPr>
                <w:sz w:val="20"/>
                <w:szCs w:val="20"/>
                <w:lang w:val="fr-FR"/>
              </w:rPr>
            </w:pPr>
            <w:r>
              <w:rPr>
                <w:sz w:val="20"/>
                <w:szCs w:val="20"/>
              </w:rPr>
              <w:t>Plan d'élimination des HCFC (phase II)</w:t>
            </w:r>
          </w:p>
        </w:tc>
        <w:tc>
          <w:tcPr>
            <w:tcW w:w="2202" w:type="dxa"/>
            <w:vAlign w:val="center"/>
          </w:tcPr>
          <w:p w14:paraId="535F5586" w14:textId="2B8D7B00" w:rsidR="00E9063C" w:rsidRPr="00763771" w:rsidRDefault="000750C6" w:rsidP="00E9063C">
            <w:pPr>
              <w:jc w:val="center"/>
              <w:rPr>
                <w:sz w:val="20"/>
                <w:szCs w:val="20"/>
                <w:lang w:val="fr-FR"/>
              </w:rPr>
            </w:pPr>
            <w:r>
              <w:rPr>
                <w:color w:val="000000" w:themeColor="text1"/>
                <w:sz w:val="20"/>
                <w:szCs w:val="20"/>
              </w:rPr>
              <w:t>ONUDI (chef de file), PNUE</w:t>
            </w:r>
          </w:p>
        </w:tc>
        <w:tc>
          <w:tcPr>
            <w:tcW w:w="2494" w:type="dxa"/>
            <w:vAlign w:val="center"/>
          </w:tcPr>
          <w:p w14:paraId="0B60C841" w14:textId="75F2327D" w:rsidR="00E9063C" w:rsidRPr="00E9063C" w:rsidRDefault="007B7F5C" w:rsidP="00E9063C">
            <w:pPr>
              <w:jc w:val="center"/>
              <w:rPr>
                <w:sz w:val="20"/>
                <w:szCs w:val="20"/>
                <w:lang w:val="en-US"/>
              </w:rPr>
            </w:pPr>
            <w:r>
              <w:rPr>
                <w:sz w:val="20"/>
                <w:szCs w:val="20"/>
              </w:rPr>
              <w:t>86</w:t>
            </w:r>
            <w:r>
              <w:rPr>
                <w:sz w:val="20"/>
                <w:szCs w:val="20"/>
                <w:vertAlign w:val="superscript"/>
              </w:rPr>
              <w:t>e</w:t>
            </w:r>
            <w:r>
              <w:rPr>
                <w:sz w:val="20"/>
                <w:szCs w:val="20"/>
              </w:rPr>
              <w:t xml:space="preserve"> </w:t>
            </w:r>
          </w:p>
        </w:tc>
        <w:tc>
          <w:tcPr>
            <w:tcW w:w="2734" w:type="dxa"/>
            <w:vAlign w:val="center"/>
          </w:tcPr>
          <w:p w14:paraId="1AEF1F89" w14:textId="18ADFCA3" w:rsidR="00E9063C" w:rsidRPr="00E9063C" w:rsidRDefault="007B7F5C" w:rsidP="00E9063C">
            <w:pPr>
              <w:jc w:val="center"/>
              <w:rPr>
                <w:sz w:val="20"/>
                <w:szCs w:val="20"/>
                <w:lang w:val="en-US"/>
              </w:rPr>
            </w:pPr>
            <w:r>
              <w:rPr>
                <w:sz w:val="20"/>
                <w:szCs w:val="20"/>
              </w:rPr>
              <w:t>Élimination de 67,5 % d'ici à 2025</w:t>
            </w:r>
          </w:p>
        </w:tc>
      </w:tr>
    </w:tbl>
    <w:p w14:paraId="37E5CD88" w14:textId="77777777" w:rsidR="00E9063C" w:rsidRPr="00E9063C" w:rsidRDefault="00E9063C" w:rsidP="00E9063C">
      <w:pPr>
        <w:jc w:val="center"/>
        <w:rPr>
          <w:sz w:val="18"/>
          <w:szCs w:val="18"/>
        </w:rPr>
      </w:pPr>
    </w:p>
    <w:tbl>
      <w:tblPr>
        <w:tblStyle w:val="TableGrid"/>
        <w:tblW w:w="11015"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0"/>
        <w:gridCol w:w="1620"/>
        <w:gridCol w:w="2015"/>
      </w:tblGrid>
      <w:tr w:rsidR="00E9063C" w:rsidRPr="00E9063C" w14:paraId="477AB8C6" w14:textId="77777777" w:rsidTr="00757F6D">
        <w:trPr>
          <w:trHeight w:val="44"/>
        </w:trPr>
        <w:tc>
          <w:tcPr>
            <w:tcW w:w="7380" w:type="dxa"/>
            <w:hideMark/>
          </w:tcPr>
          <w:p w14:paraId="060AA27E" w14:textId="77777777" w:rsidR="00E9063C" w:rsidRPr="00763771" w:rsidRDefault="00E9063C" w:rsidP="00E9063C">
            <w:pPr>
              <w:jc w:val="left"/>
              <w:rPr>
                <w:b/>
                <w:sz w:val="20"/>
                <w:szCs w:val="20"/>
                <w:lang w:val="fr-FR"/>
              </w:rPr>
            </w:pPr>
            <w:r>
              <w:rPr>
                <w:b/>
                <w:sz w:val="20"/>
                <w:szCs w:val="20"/>
              </w:rPr>
              <w:t>(II) DONNÉES DE L'ARTICLE 7 LES PLUS RÉCENTES (Annexe C, Groupe I)</w:t>
            </w:r>
          </w:p>
        </w:tc>
        <w:tc>
          <w:tcPr>
            <w:tcW w:w="1620" w:type="dxa"/>
            <w:hideMark/>
          </w:tcPr>
          <w:p w14:paraId="61086535" w14:textId="18B0A52F" w:rsidR="00E9063C" w:rsidRPr="00E9063C" w:rsidRDefault="00E9063C" w:rsidP="00E9063C">
            <w:pPr>
              <w:jc w:val="center"/>
              <w:rPr>
                <w:sz w:val="20"/>
                <w:szCs w:val="20"/>
                <w:lang w:val="en-US"/>
              </w:rPr>
            </w:pPr>
            <w:r>
              <w:rPr>
                <w:sz w:val="20"/>
                <w:szCs w:val="20"/>
              </w:rPr>
              <w:t>Année : 2024</w:t>
            </w:r>
          </w:p>
        </w:tc>
        <w:tc>
          <w:tcPr>
            <w:tcW w:w="2015" w:type="dxa"/>
            <w:hideMark/>
          </w:tcPr>
          <w:p w14:paraId="1A1F8D41" w14:textId="4E57FCBA" w:rsidR="00E9063C" w:rsidRPr="00E9063C" w:rsidRDefault="007B7F5C" w:rsidP="00E9063C">
            <w:pPr>
              <w:jc w:val="right"/>
              <w:rPr>
                <w:sz w:val="20"/>
                <w:szCs w:val="20"/>
                <w:lang w:val="en-US"/>
              </w:rPr>
            </w:pPr>
            <w:r>
              <w:rPr>
                <w:sz w:val="20"/>
                <w:szCs w:val="20"/>
              </w:rPr>
              <w:t>14,98 tonnes PAO</w:t>
            </w:r>
          </w:p>
        </w:tc>
      </w:tr>
    </w:tbl>
    <w:p w14:paraId="4A0F6CAE" w14:textId="77777777" w:rsidR="00E9063C" w:rsidRPr="00E9063C" w:rsidRDefault="00E9063C" w:rsidP="00E9063C">
      <w:pPr>
        <w:jc w:val="center"/>
        <w:rPr>
          <w:sz w:val="18"/>
          <w:szCs w:val="18"/>
        </w:rPr>
      </w:pPr>
    </w:p>
    <w:tbl>
      <w:tblPr>
        <w:tblStyle w:val="TableGrid"/>
        <w:tblW w:w="10991"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44"/>
        <w:gridCol w:w="877"/>
        <w:gridCol w:w="731"/>
        <w:gridCol w:w="881"/>
        <w:gridCol w:w="1240"/>
        <w:gridCol w:w="1026"/>
        <w:gridCol w:w="1025"/>
        <w:gridCol w:w="881"/>
        <w:gridCol w:w="951"/>
        <w:gridCol w:w="1235"/>
      </w:tblGrid>
      <w:tr w:rsidR="00E9063C" w:rsidRPr="00E9063C" w14:paraId="5F6D50CC" w14:textId="77777777" w:rsidTr="00757F6D">
        <w:trPr>
          <w:trHeight w:val="257"/>
        </w:trPr>
        <w:tc>
          <w:tcPr>
            <w:tcW w:w="8805" w:type="dxa"/>
            <w:gridSpan w:val="8"/>
            <w:hideMark/>
          </w:tcPr>
          <w:p w14:paraId="4CC92680" w14:textId="77777777" w:rsidR="00E9063C" w:rsidRPr="00763771" w:rsidRDefault="00E9063C" w:rsidP="00E9063C">
            <w:pPr>
              <w:jc w:val="left"/>
              <w:rPr>
                <w:b/>
                <w:sz w:val="20"/>
                <w:szCs w:val="20"/>
                <w:lang w:val="fr-FR"/>
              </w:rPr>
            </w:pPr>
            <w:r>
              <w:rPr>
                <w:b/>
                <w:sz w:val="20"/>
                <w:szCs w:val="20"/>
              </w:rPr>
              <w:t>(III) DONNÉES SECTORIELLES DU PROGRAMME DE PAYS LES PLUS RÉCENTES (tonnes PAO)</w:t>
            </w:r>
          </w:p>
        </w:tc>
        <w:tc>
          <w:tcPr>
            <w:tcW w:w="2186" w:type="dxa"/>
            <w:gridSpan w:val="2"/>
            <w:hideMark/>
          </w:tcPr>
          <w:p w14:paraId="5BD6EDCA" w14:textId="77777777" w:rsidR="00E9063C" w:rsidRPr="00E9063C" w:rsidRDefault="00E9063C" w:rsidP="00E9063C">
            <w:pPr>
              <w:jc w:val="right"/>
              <w:rPr>
                <w:b/>
                <w:sz w:val="20"/>
                <w:szCs w:val="20"/>
                <w:lang w:val="en-US"/>
              </w:rPr>
            </w:pPr>
            <w:r>
              <w:rPr>
                <w:b/>
                <w:sz w:val="20"/>
                <w:szCs w:val="20"/>
              </w:rPr>
              <w:t xml:space="preserve">Année : </w:t>
            </w:r>
            <w:r>
              <w:rPr>
                <w:b/>
                <w:bCs/>
                <w:sz w:val="20"/>
                <w:szCs w:val="20"/>
              </w:rPr>
              <w:t>2024</w:t>
            </w:r>
          </w:p>
        </w:tc>
      </w:tr>
      <w:tr w:rsidR="00580299" w:rsidRPr="00E9063C" w14:paraId="59200385" w14:textId="77777777" w:rsidTr="00757F6D">
        <w:trPr>
          <w:trHeight w:val="257"/>
        </w:trPr>
        <w:tc>
          <w:tcPr>
            <w:tcW w:w="2144" w:type="dxa"/>
            <w:vAlign w:val="center"/>
            <w:hideMark/>
          </w:tcPr>
          <w:p w14:paraId="7FC189F5" w14:textId="77777777" w:rsidR="00E9063C" w:rsidRPr="00E9063C" w:rsidRDefault="00E9063C" w:rsidP="00E9063C">
            <w:pPr>
              <w:jc w:val="center"/>
              <w:rPr>
                <w:sz w:val="20"/>
                <w:szCs w:val="20"/>
                <w:lang w:val="en-US"/>
              </w:rPr>
            </w:pPr>
            <w:r>
              <w:rPr>
                <w:sz w:val="20"/>
                <w:szCs w:val="20"/>
              </w:rPr>
              <w:t>Produit chimique</w:t>
            </w:r>
          </w:p>
        </w:tc>
        <w:tc>
          <w:tcPr>
            <w:tcW w:w="877" w:type="dxa"/>
            <w:vAlign w:val="center"/>
            <w:hideMark/>
          </w:tcPr>
          <w:p w14:paraId="3ED672C4" w14:textId="77777777" w:rsidR="00E9063C" w:rsidRPr="00E9063C" w:rsidRDefault="00E9063C" w:rsidP="00E9063C">
            <w:pPr>
              <w:jc w:val="center"/>
              <w:rPr>
                <w:sz w:val="20"/>
                <w:szCs w:val="20"/>
                <w:lang w:val="en-US"/>
              </w:rPr>
            </w:pPr>
            <w:r>
              <w:rPr>
                <w:sz w:val="20"/>
                <w:szCs w:val="20"/>
              </w:rPr>
              <w:t>Aérosol</w:t>
            </w:r>
          </w:p>
        </w:tc>
        <w:tc>
          <w:tcPr>
            <w:tcW w:w="731" w:type="dxa"/>
            <w:vAlign w:val="center"/>
            <w:hideMark/>
          </w:tcPr>
          <w:p w14:paraId="43FD9F4C" w14:textId="21C08A4A" w:rsidR="00E9063C" w:rsidRPr="00E9063C" w:rsidRDefault="00E9063C" w:rsidP="00E9063C">
            <w:pPr>
              <w:jc w:val="center"/>
              <w:rPr>
                <w:sz w:val="20"/>
                <w:szCs w:val="20"/>
                <w:lang w:val="en-US"/>
              </w:rPr>
            </w:pPr>
            <w:r>
              <w:rPr>
                <w:sz w:val="20"/>
                <w:szCs w:val="20"/>
              </w:rPr>
              <w:t>Mous</w:t>
            </w:r>
            <w:r w:rsidR="00D06D55">
              <w:rPr>
                <w:sz w:val="20"/>
                <w:szCs w:val="20"/>
              </w:rPr>
              <w:t>-</w:t>
            </w:r>
            <w:r>
              <w:rPr>
                <w:sz w:val="20"/>
                <w:szCs w:val="20"/>
              </w:rPr>
              <w:t>se</w:t>
            </w:r>
          </w:p>
        </w:tc>
        <w:tc>
          <w:tcPr>
            <w:tcW w:w="879" w:type="dxa"/>
            <w:vAlign w:val="center"/>
            <w:hideMark/>
          </w:tcPr>
          <w:p w14:paraId="73D4F522" w14:textId="0FC4BE6E" w:rsidR="00E9063C" w:rsidRPr="00763771" w:rsidRDefault="00E9063C" w:rsidP="00E9063C">
            <w:pPr>
              <w:jc w:val="center"/>
              <w:rPr>
                <w:sz w:val="20"/>
                <w:szCs w:val="20"/>
                <w:lang w:val="fr-FR"/>
              </w:rPr>
            </w:pPr>
            <w:r>
              <w:rPr>
                <w:sz w:val="20"/>
                <w:szCs w:val="20"/>
              </w:rPr>
              <w:t>Lutte contre les incen</w:t>
            </w:r>
            <w:r w:rsidR="0022592E">
              <w:rPr>
                <w:sz w:val="20"/>
                <w:szCs w:val="20"/>
              </w:rPr>
              <w:t>-</w:t>
            </w:r>
            <w:r>
              <w:rPr>
                <w:sz w:val="20"/>
                <w:szCs w:val="20"/>
              </w:rPr>
              <w:t>dies</w:t>
            </w:r>
          </w:p>
        </w:tc>
        <w:tc>
          <w:tcPr>
            <w:tcW w:w="2266" w:type="dxa"/>
            <w:gridSpan w:val="2"/>
            <w:vAlign w:val="center"/>
            <w:hideMark/>
          </w:tcPr>
          <w:p w14:paraId="4BCD00FA" w14:textId="77777777" w:rsidR="00E9063C" w:rsidRPr="00E9063C" w:rsidRDefault="00E9063C" w:rsidP="00E9063C">
            <w:pPr>
              <w:jc w:val="center"/>
              <w:rPr>
                <w:sz w:val="20"/>
                <w:szCs w:val="20"/>
                <w:lang w:val="en-US"/>
              </w:rPr>
            </w:pPr>
            <w:r>
              <w:rPr>
                <w:sz w:val="20"/>
                <w:szCs w:val="20"/>
              </w:rPr>
              <w:t>Réfrigération</w:t>
            </w:r>
          </w:p>
        </w:tc>
        <w:tc>
          <w:tcPr>
            <w:tcW w:w="1025" w:type="dxa"/>
            <w:vAlign w:val="center"/>
            <w:hideMark/>
          </w:tcPr>
          <w:p w14:paraId="12AB58C1" w14:textId="77777777" w:rsidR="00E9063C" w:rsidRPr="00E9063C" w:rsidRDefault="00E9063C" w:rsidP="00E9063C">
            <w:pPr>
              <w:jc w:val="center"/>
              <w:rPr>
                <w:sz w:val="20"/>
                <w:szCs w:val="20"/>
                <w:lang w:val="en-US"/>
              </w:rPr>
            </w:pPr>
            <w:r>
              <w:rPr>
                <w:sz w:val="20"/>
                <w:szCs w:val="20"/>
              </w:rPr>
              <w:t>Solvant</w:t>
            </w:r>
          </w:p>
        </w:tc>
        <w:tc>
          <w:tcPr>
            <w:tcW w:w="879" w:type="dxa"/>
            <w:vAlign w:val="center"/>
            <w:hideMark/>
          </w:tcPr>
          <w:p w14:paraId="5278A719" w14:textId="77777777" w:rsidR="00E9063C" w:rsidRPr="00E9063C" w:rsidRDefault="00E9063C" w:rsidP="00E9063C">
            <w:pPr>
              <w:jc w:val="center"/>
              <w:rPr>
                <w:sz w:val="20"/>
                <w:szCs w:val="20"/>
                <w:lang w:val="en-US"/>
              </w:rPr>
            </w:pPr>
            <w:r>
              <w:rPr>
                <w:sz w:val="20"/>
                <w:szCs w:val="20"/>
              </w:rPr>
              <w:t>Agent de transformation</w:t>
            </w:r>
          </w:p>
        </w:tc>
        <w:tc>
          <w:tcPr>
            <w:tcW w:w="951" w:type="dxa"/>
            <w:vAlign w:val="center"/>
            <w:hideMark/>
          </w:tcPr>
          <w:p w14:paraId="79AF52C1" w14:textId="56821E7F" w:rsidR="00E9063C" w:rsidRPr="00763771" w:rsidRDefault="00E9063C" w:rsidP="00E9063C">
            <w:pPr>
              <w:jc w:val="center"/>
              <w:rPr>
                <w:sz w:val="20"/>
                <w:szCs w:val="20"/>
                <w:lang w:val="fr-FR"/>
              </w:rPr>
            </w:pPr>
            <w:r>
              <w:rPr>
                <w:sz w:val="20"/>
                <w:szCs w:val="20"/>
              </w:rPr>
              <w:t>Utilisa</w:t>
            </w:r>
            <w:r w:rsidR="00980CB4">
              <w:rPr>
                <w:sz w:val="20"/>
                <w:szCs w:val="20"/>
              </w:rPr>
              <w:t>-</w:t>
            </w:r>
            <w:r>
              <w:rPr>
                <w:sz w:val="20"/>
                <w:szCs w:val="20"/>
              </w:rPr>
              <w:t>tion en labora</w:t>
            </w:r>
            <w:r w:rsidR="00980CB4">
              <w:rPr>
                <w:sz w:val="20"/>
                <w:szCs w:val="20"/>
              </w:rPr>
              <w:t>-</w:t>
            </w:r>
            <w:r>
              <w:rPr>
                <w:sz w:val="20"/>
                <w:szCs w:val="20"/>
              </w:rPr>
              <w:t>toire</w:t>
            </w:r>
          </w:p>
        </w:tc>
        <w:tc>
          <w:tcPr>
            <w:tcW w:w="1235" w:type="dxa"/>
            <w:vAlign w:val="center"/>
            <w:hideMark/>
          </w:tcPr>
          <w:p w14:paraId="5606ACCC" w14:textId="09CA4B78" w:rsidR="00E9063C" w:rsidRPr="00E9063C" w:rsidRDefault="00E9063C" w:rsidP="00E9063C">
            <w:pPr>
              <w:jc w:val="center"/>
              <w:rPr>
                <w:sz w:val="20"/>
                <w:szCs w:val="20"/>
                <w:lang w:val="en-US"/>
              </w:rPr>
            </w:pPr>
            <w:r>
              <w:rPr>
                <w:sz w:val="20"/>
                <w:szCs w:val="20"/>
              </w:rPr>
              <w:t>Consomma</w:t>
            </w:r>
            <w:r w:rsidR="0022592E">
              <w:rPr>
                <w:sz w:val="20"/>
                <w:szCs w:val="20"/>
              </w:rPr>
              <w:t>-</w:t>
            </w:r>
            <w:r>
              <w:rPr>
                <w:sz w:val="20"/>
                <w:szCs w:val="20"/>
              </w:rPr>
              <w:t>tion sectorielle totale</w:t>
            </w:r>
          </w:p>
        </w:tc>
      </w:tr>
      <w:tr w:rsidR="00580299" w:rsidRPr="00E9063C" w14:paraId="3B66528A" w14:textId="77777777" w:rsidTr="00757F6D">
        <w:trPr>
          <w:trHeight w:val="257"/>
        </w:trPr>
        <w:tc>
          <w:tcPr>
            <w:tcW w:w="4633" w:type="dxa"/>
            <w:gridSpan w:val="4"/>
            <w:hideMark/>
          </w:tcPr>
          <w:p w14:paraId="3C33F75C" w14:textId="77777777" w:rsidR="00E9063C" w:rsidRPr="00E9063C" w:rsidRDefault="00E9063C" w:rsidP="00E9063C">
            <w:pPr>
              <w:jc w:val="center"/>
              <w:rPr>
                <w:sz w:val="20"/>
                <w:szCs w:val="20"/>
                <w:lang w:val="en-US"/>
              </w:rPr>
            </w:pPr>
          </w:p>
        </w:tc>
        <w:tc>
          <w:tcPr>
            <w:tcW w:w="1240" w:type="dxa"/>
            <w:hideMark/>
          </w:tcPr>
          <w:p w14:paraId="30A5496F" w14:textId="77777777" w:rsidR="00E9063C" w:rsidRPr="00E9063C" w:rsidRDefault="00E9063C" w:rsidP="00E9063C">
            <w:pPr>
              <w:jc w:val="center"/>
              <w:rPr>
                <w:sz w:val="20"/>
                <w:szCs w:val="20"/>
                <w:lang w:val="en-US"/>
              </w:rPr>
            </w:pPr>
            <w:r>
              <w:rPr>
                <w:sz w:val="20"/>
                <w:szCs w:val="20"/>
              </w:rPr>
              <w:t>Fabrication</w:t>
            </w:r>
          </w:p>
        </w:tc>
        <w:tc>
          <w:tcPr>
            <w:tcW w:w="1025" w:type="dxa"/>
            <w:hideMark/>
          </w:tcPr>
          <w:p w14:paraId="4FFEE5F7" w14:textId="3A45425B" w:rsidR="00E9063C" w:rsidRPr="00E9063C" w:rsidRDefault="00E9063C" w:rsidP="00E9063C">
            <w:pPr>
              <w:jc w:val="center"/>
              <w:rPr>
                <w:sz w:val="20"/>
                <w:szCs w:val="20"/>
                <w:lang w:val="en-US"/>
              </w:rPr>
            </w:pPr>
            <w:r>
              <w:rPr>
                <w:sz w:val="20"/>
                <w:szCs w:val="20"/>
              </w:rPr>
              <w:t>Entretien</w:t>
            </w:r>
          </w:p>
        </w:tc>
        <w:tc>
          <w:tcPr>
            <w:tcW w:w="4091" w:type="dxa"/>
            <w:gridSpan w:val="4"/>
          </w:tcPr>
          <w:p w14:paraId="00C908E1" w14:textId="77777777" w:rsidR="00E9063C" w:rsidRPr="00E9063C" w:rsidRDefault="00E9063C" w:rsidP="00E9063C">
            <w:pPr>
              <w:jc w:val="center"/>
              <w:rPr>
                <w:sz w:val="20"/>
                <w:szCs w:val="20"/>
                <w:lang w:val="en-US"/>
              </w:rPr>
            </w:pPr>
          </w:p>
        </w:tc>
      </w:tr>
      <w:tr w:rsidR="00580299" w:rsidRPr="00E9063C" w14:paraId="4168E6F2" w14:textId="77777777" w:rsidTr="00757F6D">
        <w:trPr>
          <w:trHeight w:val="257"/>
        </w:trPr>
        <w:tc>
          <w:tcPr>
            <w:tcW w:w="2144" w:type="dxa"/>
            <w:hideMark/>
          </w:tcPr>
          <w:p w14:paraId="5F7957D1" w14:textId="77777777" w:rsidR="00E9063C" w:rsidRPr="00E9063C" w:rsidRDefault="00E9063C" w:rsidP="00E9063C">
            <w:pPr>
              <w:ind w:left="32"/>
              <w:jc w:val="left"/>
              <w:rPr>
                <w:sz w:val="20"/>
                <w:szCs w:val="20"/>
                <w:lang w:val="en-US"/>
              </w:rPr>
            </w:pPr>
            <w:r>
              <w:rPr>
                <w:sz w:val="20"/>
                <w:szCs w:val="20"/>
              </w:rPr>
              <w:t>HCFC-22</w:t>
            </w:r>
          </w:p>
        </w:tc>
        <w:tc>
          <w:tcPr>
            <w:tcW w:w="877" w:type="dxa"/>
          </w:tcPr>
          <w:p w14:paraId="4D2AD081" w14:textId="77777777" w:rsidR="00E9063C" w:rsidRPr="00E9063C" w:rsidRDefault="00E9063C" w:rsidP="00E9063C">
            <w:pPr>
              <w:jc w:val="right"/>
              <w:rPr>
                <w:sz w:val="20"/>
                <w:szCs w:val="20"/>
                <w:lang w:val="en-US"/>
              </w:rPr>
            </w:pPr>
          </w:p>
        </w:tc>
        <w:tc>
          <w:tcPr>
            <w:tcW w:w="731" w:type="dxa"/>
          </w:tcPr>
          <w:p w14:paraId="7E8DCE0F" w14:textId="77777777" w:rsidR="00E9063C" w:rsidRPr="00E9063C" w:rsidRDefault="00E9063C" w:rsidP="00E9063C">
            <w:pPr>
              <w:jc w:val="right"/>
              <w:rPr>
                <w:sz w:val="20"/>
                <w:szCs w:val="20"/>
                <w:lang w:val="en-US"/>
              </w:rPr>
            </w:pPr>
          </w:p>
        </w:tc>
        <w:tc>
          <w:tcPr>
            <w:tcW w:w="879" w:type="dxa"/>
          </w:tcPr>
          <w:p w14:paraId="2127168E" w14:textId="77777777" w:rsidR="00E9063C" w:rsidRPr="00E9063C" w:rsidRDefault="00E9063C" w:rsidP="00E9063C">
            <w:pPr>
              <w:jc w:val="right"/>
              <w:rPr>
                <w:sz w:val="20"/>
                <w:szCs w:val="20"/>
                <w:lang w:val="en-US"/>
              </w:rPr>
            </w:pPr>
          </w:p>
        </w:tc>
        <w:tc>
          <w:tcPr>
            <w:tcW w:w="1240" w:type="dxa"/>
          </w:tcPr>
          <w:p w14:paraId="7398F7DC" w14:textId="77777777" w:rsidR="00E9063C" w:rsidRPr="00E9063C" w:rsidRDefault="00E9063C" w:rsidP="00E9063C">
            <w:pPr>
              <w:jc w:val="right"/>
              <w:rPr>
                <w:sz w:val="20"/>
                <w:szCs w:val="20"/>
                <w:lang w:val="en-US"/>
              </w:rPr>
            </w:pPr>
          </w:p>
        </w:tc>
        <w:tc>
          <w:tcPr>
            <w:tcW w:w="1025" w:type="dxa"/>
          </w:tcPr>
          <w:p w14:paraId="4E69AE8E" w14:textId="65548594" w:rsidR="00E9063C" w:rsidRPr="00E9063C" w:rsidRDefault="007B7F5C" w:rsidP="00E9063C">
            <w:pPr>
              <w:jc w:val="right"/>
              <w:rPr>
                <w:sz w:val="20"/>
                <w:szCs w:val="20"/>
                <w:lang w:val="en-US"/>
              </w:rPr>
            </w:pPr>
            <w:r>
              <w:rPr>
                <w:sz w:val="20"/>
                <w:szCs w:val="20"/>
              </w:rPr>
              <w:t>14,98</w:t>
            </w:r>
          </w:p>
        </w:tc>
        <w:tc>
          <w:tcPr>
            <w:tcW w:w="1025" w:type="dxa"/>
          </w:tcPr>
          <w:p w14:paraId="475A4C56" w14:textId="77777777" w:rsidR="00E9063C" w:rsidRPr="00E9063C" w:rsidRDefault="00E9063C" w:rsidP="00E9063C">
            <w:pPr>
              <w:jc w:val="right"/>
              <w:rPr>
                <w:sz w:val="20"/>
                <w:szCs w:val="20"/>
                <w:lang w:val="en-US"/>
              </w:rPr>
            </w:pPr>
          </w:p>
        </w:tc>
        <w:tc>
          <w:tcPr>
            <w:tcW w:w="879" w:type="dxa"/>
          </w:tcPr>
          <w:p w14:paraId="6E2F5568" w14:textId="77777777" w:rsidR="00E9063C" w:rsidRPr="00E9063C" w:rsidRDefault="00E9063C" w:rsidP="00E9063C">
            <w:pPr>
              <w:jc w:val="right"/>
              <w:rPr>
                <w:sz w:val="20"/>
                <w:szCs w:val="20"/>
                <w:lang w:val="en-US"/>
              </w:rPr>
            </w:pPr>
          </w:p>
        </w:tc>
        <w:tc>
          <w:tcPr>
            <w:tcW w:w="951" w:type="dxa"/>
          </w:tcPr>
          <w:p w14:paraId="28EC72A4" w14:textId="77777777" w:rsidR="00E9063C" w:rsidRPr="00E9063C" w:rsidRDefault="00E9063C" w:rsidP="00E9063C">
            <w:pPr>
              <w:jc w:val="right"/>
              <w:rPr>
                <w:sz w:val="20"/>
                <w:szCs w:val="20"/>
                <w:lang w:val="en-US"/>
              </w:rPr>
            </w:pPr>
          </w:p>
        </w:tc>
        <w:tc>
          <w:tcPr>
            <w:tcW w:w="1235" w:type="dxa"/>
          </w:tcPr>
          <w:p w14:paraId="11F6BACC" w14:textId="644E7FE7" w:rsidR="00E9063C" w:rsidRPr="00E9063C" w:rsidRDefault="007B7F5C" w:rsidP="00E9063C">
            <w:pPr>
              <w:jc w:val="right"/>
              <w:rPr>
                <w:sz w:val="20"/>
                <w:szCs w:val="20"/>
                <w:lang w:val="en-US"/>
              </w:rPr>
            </w:pPr>
            <w:r>
              <w:rPr>
                <w:sz w:val="20"/>
                <w:szCs w:val="20"/>
              </w:rPr>
              <w:t>14,98</w:t>
            </w:r>
          </w:p>
        </w:tc>
      </w:tr>
      <w:tr w:rsidR="00580299" w:rsidRPr="00E9063C" w14:paraId="669BE7AA" w14:textId="77777777" w:rsidTr="00757F6D">
        <w:trPr>
          <w:trHeight w:val="257"/>
        </w:trPr>
        <w:tc>
          <w:tcPr>
            <w:tcW w:w="2144" w:type="dxa"/>
            <w:hideMark/>
          </w:tcPr>
          <w:p w14:paraId="7070ACA6" w14:textId="77777777" w:rsidR="00E9063C" w:rsidRPr="00E9063C" w:rsidRDefault="00E9063C" w:rsidP="00E9063C">
            <w:pPr>
              <w:ind w:left="32"/>
              <w:jc w:val="left"/>
              <w:rPr>
                <w:sz w:val="20"/>
                <w:szCs w:val="20"/>
                <w:lang w:val="en-US"/>
              </w:rPr>
            </w:pPr>
            <w:r>
              <w:rPr>
                <w:sz w:val="20"/>
                <w:szCs w:val="20"/>
              </w:rPr>
              <w:t>HCFC-123</w:t>
            </w:r>
          </w:p>
        </w:tc>
        <w:tc>
          <w:tcPr>
            <w:tcW w:w="877" w:type="dxa"/>
          </w:tcPr>
          <w:p w14:paraId="2D9C5B3C" w14:textId="77777777" w:rsidR="00E9063C" w:rsidRPr="00E9063C" w:rsidRDefault="00E9063C" w:rsidP="00E9063C">
            <w:pPr>
              <w:jc w:val="right"/>
              <w:rPr>
                <w:sz w:val="20"/>
                <w:szCs w:val="20"/>
                <w:lang w:val="en-US"/>
              </w:rPr>
            </w:pPr>
          </w:p>
        </w:tc>
        <w:tc>
          <w:tcPr>
            <w:tcW w:w="731" w:type="dxa"/>
          </w:tcPr>
          <w:p w14:paraId="6264DB3F" w14:textId="77777777" w:rsidR="00E9063C" w:rsidRPr="00E9063C" w:rsidRDefault="00E9063C" w:rsidP="00E9063C">
            <w:pPr>
              <w:jc w:val="right"/>
              <w:rPr>
                <w:sz w:val="20"/>
                <w:szCs w:val="20"/>
                <w:lang w:val="en-US"/>
              </w:rPr>
            </w:pPr>
          </w:p>
        </w:tc>
        <w:tc>
          <w:tcPr>
            <w:tcW w:w="879" w:type="dxa"/>
          </w:tcPr>
          <w:p w14:paraId="523BE08B" w14:textId="77777777" w:rsidR="00E9063C" w:rsidRPr="00E9063C" w:rsidRDefault="00E9063C" w:rsidP="00E9063C">
            <w:pPr>
              <w:jc w:val="right"/>
              <w:rPr>
                <w:sz w:val="20"/>
                <w:szCs w:val="20"/>
                <w:lang w:val="en-US"/>
              </w:rPr>
            </w:pPr>
          </w:p>
        </w:tc>
        <w:tc>
          <w:tcPr>
            <w:tcW w:w="1240" w:type="dxa"/>
          </w:tcPr>
          <w:p w14:paraId="5E221A79" w14:textId="77777777" w:rsidR="00E9063C" w:rsidRPr="00E9063C" w:rsidRDefault="00E9063C" w:rsidP="00E9063C">
            <w:pPr>
              <w:jc w:val="right"/>
              <w:rPr>
                <w:sz w:val="20"/>
                <w:szCs w:val="20"/>
                <w:lang w:val="en-US"/>
              </w:rPr>
            </w:pPr>
          </w:p>
        </w:tc>
        <w:tc>
          <w:tcPr>
            <w:tcW w:w="1025" w:type="dxa"/>
          </w:tcPr>
          <w:p w14:paraId="5D5E75F6" w14:textId="77777777" w:rsidR="00E9063C" w:rsidRPr="00E9063C" w:rsidRDefault="00E9063C" w:rsidP="00E9063C">
            <w:pPr>
              <w:jc w:val="right"/>
              <w:rPr>
                <w:sz w:val="20"/>
                <w:szCs w:val="20"/>
                <w:lang w:val="en-US"/>
              </w:rPr>
            </w:pPr>
          </w:p>
        </w:tc>
        <w:tc>
          <w:tcPr>
            <w:tcW w:w="1025" w:type="dxa"/>
          </w:tcPr>
          <w:p w14:paraId="0BE04EB0" w14:textId="77777777" w:rsidR="00E9063C" w:rsidRPr="00E9063C" w:rsidRDefault="00E9063C" w:rsidP="00E9063C">
            <w:pPr>
              <w:jc w:val="right"/>
              <w:rPr>
                <w:sz w:val="20"/>
                <w:szCs w:val="20"/>
                <w:lang w:val="en-US"/>
              </w:rPr>
            </w:pPr>
          </w:p>
        </w:tc>
        <w:tc>
          <w:tcPr>
            <w:tcW w:w="879" w:type="dxa"/>
          </w:tcPr>
          <w:p w14:paraId="37377421" w14:textId="77777777" w:rsidR="00E9063C" w:rsidRPr="00E9063C" w:rsidRDefault="00E9063C" w:rsidP="00E9063C">
            <w:pPr>
              <w:jc w:val="right"/>
              <w:rPr>
                <w:sz w:val="20"/>
                <w:szCs w:val="20"/>
                <w:lang w:val="en-US"/>
              </w:rPr>
            </w:pPr>
          </w:p>
        </w:tc>
        <w:tc>
          <w:tcPr>
            <w:tcW w:w="951" w:type="dxa"/>
          </w:tcPr>
          <w:p w14:paraId="656EE6AF" w14:textId="77777777" w:rsidR="00E9063C" w:rsidRPr="00E9063C" w:rsidRDefault="00E9063C" w:rsidP="00E9063C">
            <w:pPr>
              <w:jc w:val="right"/>
              <w:rPr>
                <w:sz w:val="20"/>
                <w:szCs w:val="20"/>
                <w:lang w:val="en-US"/>
              </w:rPr>
            </w:pPr>
          </w:p>
        </w:tc>
        <w:tc>
          <w:tcPr>
            <w:tcW w:w="1235" w:type="dxa"/>
          </w:tcPr>
          <w:p w14:paraId="6A94B977" w14:textId="5C1E70D7" w:rsidR="00E9063C" w:rsidRPr="00E9063C" w:rsidRDefault="00E9063C" w:rsidP="00E9063C">
            <w:pPr>
              <w:jc w:val="right"/>
              <w:rPr>
                <w:sz w:val="20"/>
                <w:szCs w:val="20"/>
                <w:lang w:val="en-US"/>
              </w:rPr>
            </w:pPr>
          </w:p>
        </w:tc>
      </w:tr>
      <w:tr w:rsidR="00580299" w:rsidRPr="00E9063C" w14:paraId="4A5A2E5B" w14:textId="77777777" w:rsidTr="00757F6D">
        <w:trPr>
          <w:trHeight w:val="257"/>
        </w:trPr>
        <w:tc>
          <w:tcPr>
            <w:tcW w:w="2144" w:type="dxa"/>
            <w:hideMark/>
          </w:tcPr>
          <w:p w14:paraId="06135202" w14:textId="77777777" w:rsidR="00E9063C" w:rsidRPr="00E9063C" w:rsidRDefault="00E9063C" w:rsidP="00E9063C">
            <w:pPr>
              <w:ind w:left="32"/>
              <w:jc w:val="left"/>
              <w:rPr>
                <w:sz w:val="20"/>
                <w:szCs w:val="20"/>
                <w:lang w:val="en-US"/>
              </w:rPr>
            </w:pPr>
            <w:r>
              <w:rPr>
                <w:sz w:val="20"/>
                <w:szCs w:val="20"/>
              </w:rPr>
              <w:t>HCFC-141b</w:t>
            </w:r>
          </w:p>
        </w:tc>
        <w:tc>
          <w:tcPr>
            <w:tcW w:w="877" w:type="dxa"/>
          </w:tcPr>
          <w:p w14:paraId="2E3DC3C3" w14:textId="77777777" w:rsidR="00E9063C" w:rsidRPr="00E9063C" w:rsidRDefault="00E9063C" w:rsidP="00E9063C">
            <w:pPr>
              <w:jc w:val="right"/>
              <w:rPr>
                <w:sz w:val="20"/>
                <w:szCs w:val="20"/>
                <w:lang w:val="en-US"/>
              </w:rPr>
            </w:pPr>
          </w:p>
        </w:tc>
        <w:tc>
          <w:tcPr>
            <w:tcW w:w="731" w:type="dxa"/>
          </w:tcPr>
          <w:p w14:paraId="128BC9B0" w14:textId="77777777" w:rsidR="00E9063C" w:rsidRPr="00E9063C" w:rsidRDefault="00E9063C" w:rsidP="00E9063C">
            <w:pPr>
              <w:jc w:val="right"/>
              <w:rPr>
                <w:sz w:val="20"/>
                <w:szCs w:val="20"/>
                <w:lang w:val="en-US"/>
              </w:rPr>
            </w:pPr>
          </w:p>
        </w:tc>
        <w:tc>
          <w:tcPr>
            <w:tcW w:w="879" w:type="dxa"/>
          </w:tcPr>
          <w:p w14:paraId="17C5211C" w14:textId="77777777" w:rsidR="00E9063C" w:rsidRPr="00E9063C" w:rsidRDefault="00E9063C" w:rsidP="00E9063C">
            <w:pPr>
              <w:jc w:val="right"/>
              <w:rPr>
                <w:sz w:val="20"/>
                <w:szCs w:val="20"/>
                <w:lang w:val="en-US"/>
              </w:rPr>
            </w:pPr>
          </w:p>
        </w:tc>
        <w:tc>
          <w:tcPr>
            <w:tcW w:w="1240" w:type="dxa"/>
          </w:tcPr>
          <w:p w14:paraId="0093DD2F" w14:textId="77777777" w:rsidR="00E9063C" w:rsidRPr="00E9063C" w:rsidRDefault="00E9063C" w:rsidP="00E9063C">
            <w:pPr>
              <w:jc w:val="right"/>
              <w:rPr>
                <w:sz w:val="20"/>
                <w:szCs w:val="20"/>
                <w:lang w:val="en-US"/>
              </w:rPr>
            </w:pPr>
          </w:p>
        </w:tc>
        <w:tc>
          <w:tcPr>
            <w:tcW w:w="1025" w:type="dxa"/>
          </w:tcPr>
          <w:p w14:paraId="4398F56B" w14:textId="77777777" w:rsidR="00E9063C" w:rsidRPr="00E9063C" w:rsidRDefault="00E9063C" w:rsidP="00E9063C">
            <w:pPr>
              <w:jc w:val="right"/>
              <w:rPr>
                <w:sz w:val="20"/>
                <w:szCs w:val="20"/>
                <w:lang w:val="en-US"/>
              </w:rPr>
            </w:pPr>
          </w:p>
        </w:tc>
        <w:tc>
          <w:tcPr>
            <w:tcW w:w="1025" w:type="dxa"/>
          </w:tcPr>
          <w:p w14:paraId="5E0BDD31" w14:textId="77777777" w:rsidR="00E9063C" w:rsidRPr="00E9063C" w:rsidRDefault="00E9063C" w:rsidP="00E9063C">
            <w:pPr>
              <w:jc w:val="right"/>
              <w:rPr>
                <w:sz w:val="20"/>
                <w:szCs w:val="20"/>
                <w:lang w:val="en-US"/>
              </w:rPr>
            </w:pPr>
          </w:p>
        </w:tc>
        <w:tc>
          <w:tcPr>
            <w:tcW w:w="879" w:type="dxa"/>
          </w:tcPr>
          <w:p w14:paraId="08318582" w14:textId="77777777" w:rsidR="00E9063C" w:rsidRPr="00E9063C" w:rsidRDefault="00E9063C" w:rsidP="00E9063C">
            <w:pPr>
              <w:jc w:val="right"/>
              <w:rPr>
                <w:sz w:val="20"/>
                <w:szCs w:val="20"/>
                <w:lang w:val="en-US"/>
              </w:rPr>
            </w:pPr>
          </w:p>
        </w:tc>
        <w:tc>
          <w:tcPr>
            <w:tcW w:w="951" w:type="dxa"/>
          </w:tcPr>
          <w:p w14:paraId="6EDB847F" w14:textId="77777777" w:rsidR="00E9063C" w:rsidRPr="00E9063C" w:rsidRDefault="00E9063C" w:rsidP="00E9063C">
            <w:pPr>
              <w:jc w:val="right"/>
              <w:rPr>
                <w:sz w:val="20"/>
                <w:szCs w:val="20"/>
                <w:lang w:val="en-US"/>
              </w:rPr>
            </w:pPr>
          </w:p>
        </w:tc>
        <w:tc>
          <w:tcPr>
            <w:tcW w:w="1235" w:type="dxa"/>
          </w:tcPr>
          <w:p w14:paraId="7676E5C8" w14:textId="16DBC58B" w:rsidR="00E9063C" w:rsidRPr="00E9063C" w:rsidRDefault="00E9063C" w:rsidP="00E9063C">
            <w:pPr>
              <w:jc w:val="right"/>
              <w:rPr>
                <w:sz w:val="20"/>
                <w:szCs w:val="20"/>
                <w:lang w:val="en-US"/>
              </w:rPr>
            </w:pPr>
          </w:p>
        </w:tc>
      </w:tr>
      <w:tr w:rsidR="00580299" w:rsidRPr="00E9063C" w14:paraId="394EF847" w14:textId="77777777" w:rsidTr="00757F6D">
        <w:trPr>
          <w:trHeight w:val="257"/>
        </w:trPr>
        <w:tc>
          <w:tcPr>
            <w:tcW w:w="2144" w:type="dxa"/>
          </w:tcPr>
          <w:p w14:paraId="1052F08F" w14:textId="23CB5A26" w:rsidR="007B7F5C" w:rsidRPr="007B7F5C" w:rsidRDefault="007B7F5C" w:rsidP="007B7F5C">
            <w:pPr>
              <w:jc w:val="left"/>
              <w:rPr>
                <w:sz w:val="20"/>
                <w:szCs w:val="20"/>
              </w:rPr>
            </w:pPr>
            <w:r>
              <w:rPr>
                <w:color w:val="000000"/>
                <w:sz w:val="20"/>
                <w:szCs w:val="20"/>
              </w:rPr>
              <w:t>HCFC-141b contenu dans le polyol pré-mélangé importé</w:t>
            </w:r>
          </w:p>
        </w:tc>
        <w:tc>
          <w:tcPr>
            <w:tcW w:w="877" w:type="dxa"/>
          </w:tcPr>
          <w:p w14:paraId="58E35F83" w14:textId="77777777" w:rsidR="007B7F5C" w:rsidRPr="00763771" w:rsidRDefault="007B7F5C" w:rsidP="00E9063C">
            <w:pPr>
              <w:jc w:val="right"/>
              <w:rPr>
                <w:sz w:val="20"/>
                <w:szCs w:val="20"/>
                <w:lang w:val="fr-FR"/>
              </w:rPr>
            </w:pPr>
          </w:p>
        </w:tc>
        <w:tc>
          <w:tcPr>
            <w:tcW w:w="731" w:type="dxa"/>
          </w:tcPr>
          <w:p w14:paraId="25D3FBF5" w14:textId="7DB947E0" w:rsidR="007B7F5C" w:rsidRPr="00E9063C" w:rsidRDefault="007B7F5C" w:rsidP="00E9063C">
            <w:pPr>
              <w:jc w:val="right"/>
              <w:rPr>
                <w:sz w:val="20"/>
                <w:szCs w:val="20"/>
                <w:lang w:val="en-US"/>
              </w:rPr>
            </w:pPr>
            <w:r>
              <w:rPr>
                <w:sz w:val="20"/>
                <w:szCs w:val="20"/>
              </w:rPr>
              <w:t>1,60</w:t>
            </w:r>
          </w:p>
        </w:tc>
        <w:tc>
          <w:tcPr>
            <w:tcW w:w="879" w:type="dxa"/>
          </w:tcPr>
          <w:p w14:paraId="5075B7E6" w14:textId="77777777" w:rsidR="007B7F5C" w:rsidRPr="00E9063C" w:rsidRDefault="007B7F5C" w:rsidP="00E9063C">
            <w:pPr>
              <w:jc w:val="right"/>
              <w:rPr>
                <w:sz w:val="20"/>
                <w:szCs w:val="20"/>
                <w:lang w:val="en-US"/>
              </w:rPr>
            </w:pPr>
          </w:p>
        </w:tc>
        <w:tc>
          <w:tcPr>
            <w:tcW w:w="1240" w:type="dxa"/>
          </w:tcPr>
          <w:p w14:paraId="4F1CE0D9" w14:textId="77777777" w:rsidR="007B7F5C" w:rsidRPr="00E9063C" w:rsidRDefault="007B7F5C" w:rsidP="00E9063C">
            <w:pPr>
              <w:jc w:val="right"/>
              <w:rPr>
                <w:sz w:val="20"/>
                <w:szCs w:val="20"/>
                <w:lang w:val="en-US"/>
              </w:rPr>
            </w:pPr>
          </w:p>
        </w:tc>
        <w:tc>
          <w:tcPr>
            <w:tcW w:w="1025" w:type="dxa"/>
          </w:tcPr>
          <w:p w14:paraId="21EACD0F" w14:textId="77777777" w:rsidR="007B7F5C" w:rsidRPr="00E9063C" w:rsidRDefault="007B7F5C" w:rsidP="00E9063C">
            <w:pPr>
              <w:jc w:val="right"/>
              <w:rPr>
                <w:sz w:val="20"/>
                <w:szCs w:val="20"/>
                <w:lang w:val="en-US"/>
              </w:rPr>
            </w:pPr>
          </w:p>
        </w:tc>
        <w:tc>
          <w:tcPr>
            <w:tcW w:w="1025" w:type="dxa"/>
          </w:tcPr>
          <w:p w14:paraId="47C98553" w14:textId="77777777" w:rsidR="007B7F5C" w:rsidRPr="00E9063C" w:rsidRDefault="007B7F5C" w:rsidP="00E9063C">
            <w:pPr>
              <w:jc w:val="right"/>
              <w:rPr>
                <w:sz w:val="20"/>
                <w:szCs w:val="20"/>
                <w:lang w:val="en-US"/>
              </w:rPr>
            </w:pPr>
          </w:p>
        </w:tc>
        <w:tc>
          <w:tcPr>
            <w:tcW w:w="879" w:type="dxa"/>
          </w:tcPr>
          <w:p w14:paraId="190CA8EE" w14:textId="77777777" w:rsidR="007B7F5C" w:rsidRPr="00E9063C" w:rsidRDefault="007B7F5C" w:rsidP="00E9063C">
            <w:pPr>
              <w:jc w:val="right"/>
              <w:rPr>
                <w:sz w:val="20"/>
                <w:szCs w:val="20"/>
                <w:lang w:val="en-US"/>
              </w:rPr>
            </w:pPr>
          </w:p>
        </w:tc>
        <w:tc>
          <w:tcPr>
            <w:tcW w:w="951" w:type="dxa"/>
          </w:tcPr>
          <w:p w14:paraId="15B97BE5" w14:textId="77777777" w:rsidR="007B7F5C" w:rsidRPr="00E9063C" w:rsidRDefault="007B7F5C" w:rsidP="00E9063C">
            <w:pPr>
              <w:jc w:val="right"/>
              <w:rPr>
                <w:sz w:val="20"/>
                <w:szCs w:val="20"/>
                <w:lang w:val="en-US"/>
              </w:rPr>
            </w:pPr>
          </w:p>
        </w:tc>
        <w:tc>
          <w:tcPr>
            <w:tcW w:w="1235" w:type="dxa"/>
          </w:tcPr>
          <w:p w14:paraId="07D2B3F8" w14:textId="24FF07B4" w:rsidR="007B7F5C" w:rsidRPr="00E9063C" w:rsidRDefault="007B7F5C" w:rsidP="00E9063C">
            <w:pPr>
              <w:jc w:val="right"/>
              <w:rPr>
                <w:sz w:val="20"/>
                <w:szCs w:val="20"/>
                <w:lang w:val="en-US"/>
              </w:rPr>
            </w:pPr>
            <w:r>
              <w:rPr>
                <w:sz w:val="20"/>
                <w:szCs w:val="20"/>
              </w:rPr>
              <w:t>1,60</w:t>
            </w:r>
          </w:p>
        </w:tc>
      </w:tr>
    </w:tbl>
    <w:p w14:paraId="00B126EA" w14:textId="77777777" w:rsidR="00E9063C" w:rsidRDefault="00E9063C" w:rsidP="00E9063C">
      <w:pPr>
        <w:jc w:val="center"/>
        <w:rPr>
          <w:sz w:val="18"/>
          <w:szCs w:val="18"/>
        </w:rPr>
      </w:pPr>
    </w:p>
    <w:tbl>
      <w:tblPr>
        <w:tblStyle w:val="TableGrid"/>
        <w:tblW w:w="110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1766"/>
        <w:gridCol w:w="4562"/>
        <w:gridCol w:w="1540"/>
      </w:tblGrid>
      <w:tr w:rsidR="00E9063C" w:rsidRPr="00E9063C" w14:paraId="3F2122F5" w14:textId="77777777" w:rsidTr="00757F6D">
        <w:trPr>
          <w:trHeight w:val="269"/>
        </w:trPr>
        <w:tc>
          <w:tcPr>
            <w:tcW w:w="11000" w:type="dxa"/>
            <w:gridSpan w:val="4"/>
            <w:hideMark/>
          </w:tcPr>
          <w:p w14:paraId="272E87EC" w14:textId="77777777" w:rsidR="00E9063C" w:rsidRPr="00763771" w:rsidRDefault="00E9063C" w:rsidP="00E9063C">
            <w:pPr>
              <w:jc w:val="left"/>
              <w:rPr>
                <w:b/>
                <w:sz w:val="20"/>
                <w:szCs w:val="20"/>
                <w:lang w:val="fr-FR"/>
              </w:rPr>
            </w:pPr>
            <w:r>
              <w:rPr>
                <w:b/>
                <w:sz w:val="20"/>
                <w:szCs w:val="20"/>
              </w:rPr>
              <w:t>(IV) DONNÉES DE CONSOMMATION (tonnes PAO)</w:t>
            </w:r>
          </w:p>
        </w:tc>
      </w:tr>
      <w:tr w:rsidR="00E9063C" w:rsidRPr="00E9063C" w14:paraId="0ABA0F67" w14:textId="77777777" w:rsidTr="00757F6D">
        <w:trPr>
          <w:trHeight w:val="269"/>
        </w:trPr>
        <w:tc>
          <w:tcPr>
            <w:tcW w:w="3132" w:type="dxa"/>
            <w:hideMark/>
          </w:tcPr>
          <w:p w14:paraId="7546D526" w14:textId="77777777" w:rsidR="00E9063C" w:rsidRPr="00E9063C" w:rsidRDefault="00E9063C" w:rsidP="00E9063C">
            <w:pPr>
              <w:jc w:val="center"/>
              <w:rPr>
                <w:sz w:val="20"/>
                <w:szCs w:val="20"/>
                <w:lang w:val="en-US"/>
              </w:rPr>
            </w:pPr>
            <w:r>
              <w:rPr>
                <w:sz w:val="20"/>
                <w:szCs w:val="20"/>
              </w:rPr>
              <w:t>Données de référence 2009–2010 :</w:t>
            </w:r>
          </w:p>
        </w:tc>
        <w:tc>
          <w:tcPr>
            <w:tcW w:w="1766" w:type="dxa"/>
            <w:hideMark/>
          </w:tcPr>
          <w:p w14:paraId="396C078B" w14:textId="4273DEDA" w:rsidR="00E9063C" w:rsidRPr="00E9063C" w:rsidRDefault="007B7F5C" w:rsidP="00E9063C">
            <w:pPr>
              <w:jc w:val="right"/>
              <w:rPr>
                <w:sz w:val="20"/>
                <w:szCs w:val="20"/>
                <w:lang w:val="en-US"/>
              </w:rPr>
            </w:pPr>
            <w:r>
              <w:rPr>
                <w:sz w:val="20"/>
                <w:szCs w:val="20"/>
              </w:rPr>
              <w:t>40,7</w:t>
            </w:r>
          </w:p>
        </w:tc>
        <w:tc>
          <w:tcPr>
            <w:tcW w:w="4562" w:type="dxa"/>
            <w:hideMark/>
          </w:tcPr>
          <w:p w14:paraId="006A3957" w14:textId="77777777" w:rsidR="00E9063C" w:rsidRPr="00763771" w:rsidRDefault="00E9063C" w:rsidP="00E9063C">
            <w:pPr>
              <w:jc w:val="center"/>
              <w:rPr>
                <w:sz w:val="20"/>
                <w:szCs w:val="20"/>
                <w:lang w:val="fr-FR"/>
              </w:rPr>
            </w:pPr>
            <w:r>
              <w:rPr>
                <w:sz w:val="20"/>
                <w:szCs w:val="20"/>
              </w:rPr>
              <w:t>Point de départ pour des réductions globales durables :</w:t>
            </w:r>
          </w:p>
        </w:tc>
        <w:tc>
          <w:tcPr>
            <w:tcW w:w="1539" w:type="dxa"/>
            <w:hideMark/>
          </w:tcPr>
          <w:p w14:paraId="062669EB" w14:textId="181EF5DB" w:rsidR="00E9063C" w:rsidRPr="00E9063C" w:rsidRDefault="00C156F4" w:rsidP="00E9063C">
            <w:pPr>
              <w:jc w:val="right"/>
              <w:rPr>
                <w:sz w:val="20"/>
                <w:szCs w:val="20"/>
                <w:lang w:val="en-US"/>
              </w:rPr>
            </w:pPr>
            <w:r>
              <w:rPr>
                <w:sz w:val="20"/>
                <w:szCs w:val="20"/>
              </w:rPr>
              <w:t>45,68</w:t>
            </w:r>
          </w:p>
        </w:tc>
      </w:tr>
      <w:tr w:rsidR="00E9063C" w:rsidRPr="00E9063C" w14:paraId="1B97C613" w14:textId="77777777" w:rsidTr="00757F6D">
        <w:trPr>
          <w:trHeight w:val="269"/>
        </w:trPr>
        <w:tc>
          <w:tcPr>
            <w:tcW w:w="11000" w:type="dxa"/>
            <w:gridSpan w:val="4"/>
            <w:hideMark/>
          </w:tcPr>
          <w:p w14:paraId="1EED95C7" w14:textId="77777777" w:rsidR="00E9063C" w:rsidRPr="00E9063C" w:rsidRDefault="00E9063C" w:rsidP="00E9063C">
            <w:pPr>
              <w:ind w:left="316"/>
              <w:rPr>
                <w:b/>
                <w:sz w:val="20"/>
                <w:szCs w:val="20"/>
                <w:lang w:val="en-US"/>
              </w:rPr>
            </w:pPr>
            <w:r>
              <w:rPr>
                <w:b/>
                <w:sz w:val="20"/>
                <w:szCs w:val="20"/>
              </w:rPr>
              <w:t>CONSOMMATION ADMISSIBLE AU FINANCEMENT</w:t>
            </w:r>
          </w:p>
        </w:tc>
      </w:tr>
      <w:tr w:rsidR="00E9063C" w:rsidRPr="00E9063C" w14:paraId="4CA7E964" w14:textId="77777777" w:rsidTr="00757F6D">
        <w:trPr>
          <w:trHeight w:val="269"/>
        </w:trPr>
        <w:tc>
          <w:tcPr>
            <w:tcW w:w="3132" w:type="dxa"/>
            <w:hideMark/>
          </w:tcPr>
          <w:p w14:paraId="2896773C" w14:textId="77777777" w:rsidR="00E9063C" w:rsidRPr="00E9063C" w:rsidRDefault="00E9063C" w:rsidP="00E9063C">
            <w:pPr>
              <w:jc w:val="center"/>
              <w:rPr>
                <w:sz w:val="20"/>
                <w:szCs w:val="20"/>
                <w:lang w:val="en-US"/>
              </w:rPr>
            </w:pPr>
            <w:r>
              <w:rPr>
                <w:sz w:val="20"/>
                <w:szCs w:val="20"/>
              </w:rPr>
              <w:t>Déjà approuvée :</w:t>
            </w:r>
          </w:p>
        </w:tc>
        <w:tc>
          <w:tcPr>
            <w:tcW w:w="1766" w:type="dxa"/>
            <w:hideMark/>
          </w:tcPr>
          <w:p w14:paraId="2F68F258" w14:textId="64C598AA" w:rsidR="00E9063C" w:rsidRPr="00A70D1C" w:rsidRDefault="007F6629" w:rsidP="00E9063C">
            <w:pPr>
              <w:jc w:val="right"/>
              <w:rPr>
                <w:sz w:val="20"/>
                <w:szCs w:val="20"/>
                <w:lang w:val="en-US"/>
              </w:rPr>
            </w:pPr>
            <w:r>
              <w:rPr>
                <w:sz w:val="20"/>
                <w:szCs w:val="20"/>
              </w:rPr>
              <w:t>32,49</w:t>
            </w:r>
          </w:p>
        </w:tc>
        <w:tc>
          <w:tcPr>
            <w:tcW w:w="4562" w:type="dxa"/>
            <w:hideMark/>
          </w:tcPr>
          <w:p w14:paraId="6825E0A0" w14:textId="77777777" w:rsidR="00E9063C" w:rsidRPr="00A70D1C" w:rsidRDefault="00E9063C" w:rsidP="00E9063C">
            <w:pPr>
              <w:jc w:val="center"/>
              <w:rPr>
                <w:i/>
                <w:sz w:val="20"/>
                <w:szCs w:val="20"/>
                <w:lang w:val="en-US"/>
              </w:rPr>
            </w:pPr>
            <w:r>
              <w:rPr>
                <w:sz w:val="20"/>
                <w:szCs w:val="20"/>
              </w:rPr>
              <w:t>Restante :</w:t>
            </w:r>
          </w:p>
        </w:tc>
        <w:tc>
          <w:tcPr>
            <w:tcW w:w="1539" w:type="dxa"/>
            <w:hideMark/>
          </w:tcPr>
          <w:p w14:paraId="10273EFB" w14:textId="0B7E9D22" w:rsidR="00E9063C" w:rsidRPr="00A70D1C" w:rsidRDefault="007F6629" w:rsidP="00E9063C">
            <w:pPr>
              <w:jc w:val="right"/>
              <w:rPr>
                <w:sz w:val="20"/>
                <w:szCs w:val="20"/>
                <w:lang w:val="en-US"/>
              </w:rPr>
            </w:pPr>
            <w:r>
              <w:rPr>
                <w:sz w:val="20"/>
                <w:szCs w:val="20"/>
              </w:rPr>
              <w:t>12,88*</w:t>
            </w:r>
          </w:p>
        </w:tc>
      </w:tr>
    </w:tbl>
    <w:p w14:paraId="60B182BC" w14:textId="64EEF7C1" w:rsidR="00E9063C" w:rsidRDefault="005331A8" w:rsidP="00757F6D">
      <w:pPr>
        <w:spacing w:after="120"/>
        <w:ind w:left="-720"/>
        <w:jc w:val="left"/>
        <w:rPr>
          <w:sz w:val="18"/>
          <w:szCs w:val="18"/>
        </w:rPr>
      </w:pPr>
      <w:r>
        <w:rPr>
          <w:sz w:val="18"/>
          <w:szCs w:val="18"/>
        </w:rPr>
        <w:t>* Sans la quantité de 0,31 tonne PAO de HCFC-141b et HCFC-142b, car ils ne sont plus consommés dans le pays</w:t>
      </w:r>
    </w:p>
    <w:tbl>
      <w:tblPr>
        <w:tblStyle w:val="TableGrid"/>
        <w:tblW w:w="5902"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3240"/>
        <w:gridCol w:w="1406"/>
        <w:gridCol w:w="1406"/>
        <w:gridCol w:w="1406"/>
        <w:gridCol w:w="2263"/>
      </w:tblGrid>
      <w:tr w:rsidR="00E9063C" w:rsidRPr="00E9063C" w14:paraId="21C1CF0C" w14:textId="77777777" w:rsidTr="00757F6D">
        <w:trPr>
          <w:trHeight w:val="279"/>
        </w:trPr>
        <w:tc>
          <w:tcPr>
            <w:tcW w:w="2064" w:type="pct"/>
            <w:gridSpan w:val="2"/>
            <w:hideMark/>
          </w:tcPr>
          <w:p w14:paraId="14F1453C" w14:textId="77777777" w:rsidR="00E9063C" w:rsidRPr="00E9063C" w:rsidRDefault="00E9063C" w:rsidP="00E9063C">
            <w:pPr>
              <w:jc w:val="left"/>
              <w:rPr>
                <w:b/>
                <w:sz w:val="20"/>
                <w:szCs w:val="20"/>
                <w:lang w:val="en-US"/>
              </w:rPr>
            </w:pPr>
            <w:r>
              <w:rPr>
                <w:b/>
                <w:sz w:val="20"/>
                <w:szCs w:val="20"/>
              </w:rPr>
              <w:t>(V) PLAN D'ACTIVITÉS SOUTENU</w:t>
            </w:r>
          </w:p>
        </w:tc>
        <w:tc>
          <w:tcPr>
            <w:tcW w:w="637" w:type="pct"/>
            <w:vAlign w:val="center"/>
            <w:hideMark/>
          </w:tcPr>
          <w:p w14:paraId="06F9C799" w14:textId="77777777" w:rsidR="00E9063C" w:rsidRPr="00E9063C" w:rsidRDefault="00E9063C" w:rsidP="00E9063C">
            <w:pPr>
              <w:jc w:val="center"/>
              <w:rPr>
                <w:b/>
                <w:sz w:val="20"/>
                <w:szCs w:val="20"/>
                <w:lang w:val="en-US"/>
              </w:rPr>
            </w:pPr>
            <w:r>
              <w:rPr>
                <w:b/>
                <w:sz w:val="20"/>
                <w:szCs w:val="20"/>
              </w:rPr>
              <w:t>2025</w:t>
            </w:r>
          </w:p>
        </w:tc>
        <w:tc>
          <w:tcPr>
            <w:tcW w:w="637" w:type="pct"/>
            <w:vAlign w:val="center"/>
            <w:hideMark/>
          </w:tcPr>
          <w:p w14:paraId="376ADFEC" w14:textId="77777777" w:rsidR="00E9063C" w:rsidRPr="00E9063C" w:rsidRDefault="00E9063C" w:rsidP="00E9063C">
            <w:pPr>
              <w:jc w:val="center"/>
              <w:rPr>
                <w:b/>
                <w:sz w:val="20"/>
                <w:szCs w:val="20"/>
                <w:lang w:val="en-US"/>
              </w:rPr>
            </w:pPr>
            <w:r>
              <w:rPr>
                <w:b/>
                <w:sz w:val="20"/>
                <w:szCs w:val="20"/>
              </w:rPr>
              <w:t>2026</w:t>
            </w:r>
          </w:p>
        </w:tc>
        <w:tc>
          <w:tcPr>
            <w:tcW w:w="637" w:type="pct"/>
            <w:vAlign w:val="center"/>
            <w:hideMark/>
          </w:tcPr>
          <w:p w14:paraId="1A1D2213" w14:textId="77777777" w:rsidR="00E9063C" w:rsidRPr="00E9063C" w:rsidRDefault="00E9063C" w:rsidP="00E9063C">
            <w:pPr>
              <w:jc w:val="center"/>
              <w:rPr>
                <w:b/>
                <w:sz w:val="20"/>
                <w:szCs w:val="20"/>
                <w:lang w:val="en-US"/>
              </w:rPr>
            </w:pPr>
            <w:r>
              <w:rPr>
                <w:b/>
                <w:sz w:val="20"/>
                <w:szCs w:val="20"/>
              </w:rPr>
              <w:t>2027</w:t>
            </w:r>
          </w:p>
        </w:tc>
        <w:tc>
          <w:tcPr>
            <w:tcW w:w="1025" w:type="pct"/>
            <w:vAlign w:val="center"/>
            <w:hideMark/>
          </w:tcPr>
          <w:p w14:paraId="6AB0F55D" w14:textId="77777777" w:rsidR="00E9063C" w:rsidRPr="00E9063C" w:rsidRDefault="00E9063C" w:rsidP="00E9063C">
            <w:pPr>
              <w:jc w:val="center"/>
              <w:rPr>
                <w:b/>
                <w:sz w:val="20"/>
                <w:szCs w:val="20"/>
                <w:lang w:val="en-US"/>
              </w:rPr>
            </w:pPr>
            <w:r>
              <w:rPr>
                <w:b/>
                <w:sz w:val="20"/>
                <w:szCs w:val="20"/>
              </w:rPr>
              <w:t>Total</w:t>
            </w:r>
          </w:p>
        </w:tc>
      </w:tr>
      <w:tr w:rsidR="00834588" w:rsidRPr="00E9063C" w14:paraId="28FA06FF" w14:textId="77777777" w:rsidTr="00757F6D">
        <w:trPr>
          <w:trHeight w:val="197"/>
        </w:trPr>
        <w:tc>
          <w:tcPr>
            <w:tcW w:w="596" w:type="pct"/>
            <w:vMerge w:val="restart"/>
            <w:vAlign w:val="center"/>
            <w:hideMark/>
          </w:tcPr>
          <w:p w14:paraId="2330C62B" w14:textId="5EE338E1" w:rsidR="00834588" w:rsidRPr="00E9063C" w:rsidRDefault="00834588" w:rsidP="00834588">
            <w:pPr>
              <w:jc w:val="center"/>
              <w:rPr>
                <w:sz w:val="20"/>
                <w:szCs w:val="20"/>
                <w:lang w:val="en-US"/>
              </w:rPr>
            </w:pPr>
            <w:r>
              <w:rPr>
                <w:color w:val="000000" w:themeColor="text1"/>
                <w:sz w:val="20"/>
                <w:szCs w:val="20"/>
              </w:rPr>
              <w:t>ONUDI</w:t>
            </w:r>
          </w:p>
        </w:tc>
        <w:tc>
          <w:tcPr>
            <w:tcW w:w="1468" w:type="pct"/>
            <w:hideMark/>
          </w:tcPr>
          <w:p w14:paraId="212F2C0D" w14:textId="77777777" w:rsidR="00834588" w:rsidRPr="00763771" w:rsidRDefault="00834588" w:rsidP="00834588">
            <w:pPr>
              <w:jc w:val="left"/>
              <w:rPr>
                <w:sz w:val="20"/>
                <w:szCs w:val="20"/>
                <w:lang w:val="fr-FR"/>
              </w:rPr>
            </w:pPr>
            <w:r>
              <w:rPr>
                <w:sz w:val="20"/>
                <w:szCs w:val="20"/>
              </w:rPr>
              <w:t>Élimination des SAO (tonnes PAO)</w:t>
            </w:r>
          </w:p>
        </w:tc>
        <w:tc>
          <w:tcPr>
            <w:tcW w:w="637" w:type="pct"/>
          </w:tcPr>
          <w:p w14:paraId="29B9ACB1" w14:textId="4B4E273D" w:rsidR="00834588" w:rsidRPr="00E9063C" w:rsidRDefault="00651548" w:rsidP="00834588">
            <w:pPr>
              <w:jc w:val="right"/>
              <w:rPr>
                <w:sz w:val="20"/>
                <w:szCs w:val="20"/>
                <w:lang w:val="en-US"/>
              </w:rPr>
            </w:pPr>
            <w:r>
              <w:rPr>
                <w:sz w:val="20"/>
                <w:szCs w:val="20"/>
              </w:rPr>
              <w:t>1,68</w:t>
            </w:r>
          </w:p>
        </w:tc>
        <w:tc>
          <w:tcPr>
            <w:tcW w:w="637" w:type="pct"/>
          </w:tcPr>
          <w:p w14:paraId="5322BE18" w14:textId="69C6DCAF" w:rsidR="00834588" w:rsidRPr="00E9063C" w:rsidRDefault="00834588" w:rsidP="00834588">
            <w:pPr>
              <w:jc w:val="right"/>
              <w:rPr>
                <w:sz w:val="20"/>
                <w:szCs w:val="20"/>
                <w:lang w:val="en-US"/>
              </w:rPr>
            </w:pPr>
            <w:r>
              <w:rPr>
                <w:sz w:val="20"/>
                <w:szCs w:val="20"/>
              </w:rPr>
              <w:t>0,00</w:t>
            </w:r>
          </w:p>
        </w:tc>
        <w:tc>
          <w:tcPr>
            <w:tcW w:w="637" w:type="pct"/>
          </w:tcPr>
          <w:p w14:paraId="76E3769B" w14:textId="1D7CFE2F" w:rsidR="00834588" w:rsidRPr="00E9063C" w:rsidRDefault="00834588" w:rsidP="00834588">
            <w:pPr>
              <w:jc w:val="right"/>
              <w:rPr>
                <w:sz w:val="20"/>
                <w:szCs w:val="20"/>
                <w:lang w:val="en-US"/>
              </w:rPr>
            </w:pPr>
            <w:r>
              <w:rPr>
                <w:sz w:val="20"/>
                <w:szCs w:val="20"/>
              </w:rPr>
              <w:t>0,00</w:t>
            </w:r>
          </w:p>
        </w:tc>
        <w:tc>
          <w:tcPr>
            <w:tcW w:w="1025" w:type="pct"/>
          </w:tcPr>
          <w:p w14:paraId="0F4A1AFD" w14:textId="10443B49" w:rsidR="00834588" w:rsidRPr="00E9063C" w:rsidRDefault="00651548" w:rsidP="00834588">
            <w:pPr>
              <w:jc w:val="right"/>
              <w:rPr>
                <w:sz w:val="20"/>
                <w:szCs w:val="20"/>
                <w:lang w:val="en-US"/>
              </w:rPr>
            </w:pPr>
            <w:r>
              <w:rPr>
                <w:sz w:val="20"/>
                <w:szCs w:val="20"/>
              </w:rPr>
              <w:t>1,68</w:t>
            </w:r>
          </w:p>
        </w:tc>
      </w:tr>
      <w:tr w:rsidR="00834588" w:rsidRPr="00E9063C" w14:paraId="16D75624" w14:textId="77777777" w:rsidTr="00757F6D">
        <w:trPr>
          <w:trHeight w:val="55"/>
        </w:trPr>
        <w:tc>
          <w:tcPr>
            <w:tcW w:w="596" w:type="pct"/>
            <w:vMerge/>
            <w:vAlign w:val="center"/>
            <w:hideMark/>
          </w:tcPr>
          <w:p w14:paraId="1AEB2920" w14:textId="77777777" w:rsidR="00834588" w:rsidRPr="00E9063C" w:rsidRDefault="00834588" w:rsidP="00834588">
            <w:pPr>
              <w:rPr>
                <w:sz w:val="20"/>
                <w:szCs w:val="20"/>
                <w:lang w:val="en-US"/>
              </w:rPr>
            </w:pPr>
          </w:p>
        </w:tc>
        <w:tc>
          <w:tcPr>
            <w:tcW w:w="1468" w:type="pct"/>
            <w:hideMark/>
          </w:tcPr>
          <w:p w14:paraId="4A9564DA" w14:textId="77777777" w:rsidR="00834588" w:rsidRPr="00E9063C" w:rsidRDefault="00834588" w:rsidP="00834588">
            <w:pPr>
              <w:jc w:val="left"/>
              <w:rPr>
                <w:sz w:val="20"/>
                <w:szCs w:val="20"/>
                <w:lang w:val="en-US"/>
              </w:rPr>
            </w:pPr>
            <w:r>
              <w:rPr>
                <w:sz w:val="20"/>
                <w:szCs w:val="20"/>
              </w:rPr>
              <w:t>Financement (en $US)</w:t>
            </w:r>
          </w:p>
        </w:tc>
        <w:tc>
          <w:tcPr>
            <w:tcW w:w="637" w:type="pct"/>
          </w:tcPr>
          <w:p w14:paraId="604AC9D2" w14:textId="095F22A3" w:rsidR="00834588" w:rsidRPr="00E9063C" w:rsidRDefault="00834588" w:rsidP="00834588">
            <w:pPr>
              <w:jc w:val="right"/>
              <w:rPr>
                <w:sz w:val="20"/>
                <w:szCs w:val="20"/>
                <w:lang w:val="en-US"/>
              </w:rPr>
            </w:pPr>
            <w:r>
              <w:rPr>
                <w:sz w:val="20"/>
                <w:szCs w:val="20"/>
              </w:rPr>
              <w:t>128 400</w:t>
            </w:r>
          </w:p>
        </w:tc>
        <w:tc>
          <w:tcPr>
            <w:tcW w:w="637" w:type="pct"/>
          </w:tcPr>
          <w:p w14:paraId="302D7A32" w14:textId="3A10E027" w:rsidR="00834588" w:rsidRPr="00E9063C" w:rsidRDefault="00834588" w:rsidP="00834588">
            <w:pPr>
              <w:jc w:val="right"/>
              <w:rPr>
                <w:sz w:val="20"/>
                <w:szCs w:val="20"/>
                <w:lang w:val="en-US"/>
              </w:rPr>
            </w:pPr>
            <w:r>
              <w:rPr>
                <w:sz w:val="20"/>
                <w:szCs w:val="20"/>
              </w:rPr>
              <w:t>0</w:t>
            </w:r>
          </w:p>
        </w:tc>
        <w:tc>
          <w:tcPr>
            <w:tcW w:w="637" w:type="pct"/>
          </w:tcPr>
          <w:p w14:paraId="5BB5A222" w14:textId="6428A54B" w:rsidR="00834588" w:rsidRPr="00E9063C" w:rsidRDefault="00834588" w:rsidP="00834588">
            <w:pPr>
              <w:jc w:val="right"/>
              <w:rPr>
                <w:sz w:val="20"/>
                <w:szCs w:val="20"/>
                <w:lang w:val="en-US"/>
              </w:rPr>
            </w:pPr>
            <w:r>
              <w:rPr>
                <w:sz w:val="20"/>
                <w:szCs w:val="20"/>
              </w:rPr>
              <w:t>0</w:t>
            </w:r>
          </w:p>
        </w:tc>
        <w:tc>
          <w:tcPr>
            <w:tcW w:w="1025" w:type="pct"/>
          </w:tcPr>
          <w:p w14:paraId="6219E79D" w14:textId="669B6198" w:rsidR="00834588" w:rsidRPr="00E9063C" w:rsidRDefault="00834588" w:rsidP="00834588">
            <w:pPr>
              <w:jc w:val="right"/>
              <w:rPr>
                <w:sz w:val="20"/>
                <w:szCs w:val="20"/>
                <w:lang w:val="en-US"/>
              </w:rPr>
            </w:pPr>
            <w:r>
              <w:rPr>
                <w:sz w:val="20"/>
                <w:szCs w:val="20"/>
              </w:rPr>
              <w:t>128 400</w:t>
            </w:r>
          </w:p>
        </w:tc>
      </w:tr>
      <w:tr w:rsidR="00834588" w:rsidRPr="00E9063C" w14:paraId="2567113F" w14:textId="77777777" w:rsidTr="00757F6D">
        <w:trPr>
          <w:trHeight w:val="279"/>
        </w:trPr>
        <w:tc>
          <w:tcPr>
            <w:tcW w:w="596" w:type="pct"/>
            <w:vMerge w:val="restart"/>
            <w:vAlign w:val="center"/>
            <w:hideMark/>
          </w:tcPr>
          <w:p w14:paraId="5E107054" w14:textId="412EFA92" w:rsidR="00834588" w:rsidRPr="00E9063C" w:rsidRDefault="00834588" w:rsidP="00834588">
            <w:pPr>
              <w:jc w:val="center"/>
              <w:rPr>
                <w:sz w:val="20"/>
                <w:szCs w:val="20"/>
                <w:lang w:val="en-US"/>
              </w:rPr>
            </w:pPr>
            <w:r>
              <w:rPr>
                <w:color w:val="000000" w:themeColor="text1"/>
                <w:sz w:val="20"/>
                <w:szCs w:val="20"/>
              </w:rPr>
              <w:t>PNUE</w:t>
            </w:r>
          </w:p>
        </w:tc>
        <w:tc>
          <w:tcPr>
            <w:tcW w:w="1468" w:type="pct"/>
            <w:hideMark/>
          </w:tcPr>
          <w:p w14:paraId="37B22AC5" w14:textId="77777777" w:rsidR="00834588" w:rsidRPr="00763771" w:rsidRDefault="00834588" w:rsidP="00834588">
            <w:pPr>
              <w:jc w:val="left"/>
              <w:rPr>
                <w:sz w:val="20"/>
                <w:szCs w:val="20"/>
                <w:lang w:val="fr-FR"/>
              </w:rPr>
            </w:pPr>
            <w:r>
              <w:rPr>
                <w:sz w:val="20"/>
                <w:szCs w:val="20"/>
              </w:rPr>
              <w:t>Élimination des SAO (tonnes PAO)</w:t>
            </w:r>
          </w:p>
        </w:tc>
        <w:tc>
          <w:tcPr>
            <w:tcW w:w="637" w:type="pct"/>
          </w:tcPr>
          <w:p w14:paraId="491FA2C1" w14:textId="24A3171E" w:rsidR="00834588" w:rsidRPr="00E9063C" w:rsidRDefault="00651548" w:rsidP="00834588">
            <w:pPr>
              <w:jc w:val="right"/>
              <w:rPr>
                <w:sz w:val="20"/>
                <w:szCs w:val="20"/>
                <w:lang w:val="en-US"/>
              </w:rPr>
            </w:pPr>
            <w:r>
              <w:rPr>
                <w:sz w:val="20"/>
                <w:szCs w:val="20"/>
              </w:rPr>
              <w:t>0,34</w:t>
            </w:r>
          </w:p>
        </w:tc>
        <w:tc>
          <w:tcPr>
            <w:tcW w:w="637" w:type="pct"/>
          </w:tcPr>
          <w:p w14:paraId="5DB3A220" w14:textId="66D41CE7" w:rsidR="00834588" w:rsidRPr="00E9063C" w:rsidRDefault="00834588" w:rsidP="00834588">
            <w:pPr>
              <w:jc w:val="right"/>
              <w:rPr>
                <w:sz w:val="20"/>
                <w:szCs w:val="20"/>
                <w:lang w:val="en-US"/>
              </w:rPr>
            </w:pPr>
            <w:r>
              <w:rPr>
                <w:sz w:val="20"/>
                <w:szCs w:val="20"/>
              </w:rPr>
              <w:t>0,00</w:t>
            </w:r>
          </w:p>
        </w:tc>
        <w:tc>
          <w:tcPr>
            <w:tcW w:w="637" w:type="pct"/>
          </w:tcPr>
          <w:p w14:paraId="4F5F8190" w14:textId="7265B80F" w:rsidR="00834588" w:rsidRPr="00E9063C" w:rsidRDefault="00834588" w:rsidP="00834588">
            <w:pPr>
              <w:jc w:val="right"/>
              <w:rPr>
                <w:sz w:val="20"/>
                <w:szCs w:val="20"/>
                <w:lang w:val="en-US"/>
              </w:rPr>
            </w:pPr>
            <w:r>
              <w:rPr>
                <w:sz w:val="20"/>
                <w:szCs w:val="20"/>
              </w:rPr>
              <w:t>0,00</w:t>
            </w:r>
          </w:p>
        </w:tc>
        <w:tc>
          <w:tcPr>
            <w:tcW w:w="1025" w:type="pct"/>
          </w:tcPr>
          <w:p w14:paraId="1DFA4649" w14:textId="1FBAAB33" w:rsidR="00834588" w:rsidRPr="00E9063C" w:rsidRDefault="00651548" w:rsidP="00834588">
            <w:pPr>
              <w:jc w:val="right"/>
              <w:rPr>
                <w:sz w:val="20"/>
                <w:szCs w:val="20"/>
                <w:lang w:val="en-US"/>
              </w:rPr>
            </w:pPr>
            <w:r>
              <w:rPr>
                <w:sz w:val="20"/>
                <w:szCs w:val="20"/>
              </w:rPr>
              <w:t>0,34</w:t>
            </w:r>
          </w:p>
        </w:tc>
      </w:tr>
      <w:tr w:rsidR="00834588" w:rsidRPr="00E9063C" w14:paraId="28766E77" w14:textId="77777777" w:rsidTr="00757F6D">
        <w:trPr>
          <w:trHeight w:val="279"/>
        </w:trPr>
        <w:tc>
          <w:tcPr>
            <w:tcW w:w="596" w:type="pct"/>
            <w:vMerge/>
            <w:vAlign w:val="center"/>
            <w:hideMark/>
          </w:tcPr>
          <w:p w14:paraId="7E0D7699" w14:textId="77777777" w:rsidR="00834588" w:rsidRPr="00E9063C" w:rsidRDefault="00834588" w:rsidP="00834588">
            <w:pPr>
              <w:rPr>
                <w:sz w:val="20"/>
                <w:szCs w:val="20"/>
                <w:lang w:val="en-US"/>
              </w:rPr>
            </w:pPr>
          </w:p>
        </w:tc>
        <w:tc>
          <w:tcPr>
            <w:tcW w:w="1468" w:type="pct"/>
            <w:hideMark/>
          </w:tcPr>
          <w:p w14:paraId="658BCE2E" w14:textId="77777777" w:rsidR="00834588" w:rsidRPr="00E9063C" w:rsidRDefault="00834588" w:rsidP="00834588">
            <w:pPr>
              <w:jc w:val="left"/>
              <w:rPr>
                <w:sz w:val="20"/>
                <w:szCs w:val="20"/>
                <w:lang w:val="en-US"/>
              </w:rPr>
            </w:pPr>
            <w:r>
              <w:rPr>
                <w:sz w:val="20"/>
                <w:szCs w:val="20"/>
              </w:rPr>
              <w:t>Financement (en $US)</w:t>
            </w:r>
          </w:p>
        </w:tc>
        <w:tc>
          <w:tcPr>
            <w:tcW w:w="637" w:type="pct"/>
          </w:tcPr>
          <w:p w14:paraId="3F71ABA1" w14:textId="4F9F87C0" w:rsidR="00834588" w:rsidRPr="00E9063C" w:rsidRDefault="00834588" w:rsidP="00834588">
            <w:pPr>
              <w:jc w:val="right"/>
              <w:rPr>
                <w:sz w:val="20"/>
                <w:szCs w:val="20"/>
                <w:lang w:val="en-US"/>
              </w:rPr>
            </w:pPr>
            <w:r>
              <w:rPr>
                <w:sz w:val="20"/>
                <w:szCs w:val="20"/>
              </w:rPr>
              <w:t>27 120</w:t>
            </w:r>
          </w:p>
        </w:tc>
        <w:tc>
          <w:tcPr>
            <w:tcW w:w="637" w:type="pct"/>
          </w:tcPr>
          <w:p w14:paraId="06D20F11" w14:textId="347413CE" w:rsidR="00834588" w:rsidRPr="00E9063C" w:rsidRDefault="00834588" w:rsidP="00834588">
            <w:pPr>
              <w:jc w:val="right"/>
              <w:rPr>
                <w:sz w:val="20"/>
                <w:szCs w:val="20"/>
                <w:lang w:val="en-US"/>
              </w:rPr>
            </w:pPr>
            <w:r>
              <w:rPr>
                <w:sz w:val="20"/>
                <w:szCs w:val="20"/>
              </w:rPr>
              <w:t>0</w:t>
            </w:r>
          </w:p>
        </w:tc>
        <w:tc>
          <w:tcPr>
            <w:tcW w:w="637" w:type="pct"/>
          </w:tcPr>
          <w:p w14:paraId="4398AEE8" w14:textId="065A17D3" w:rsidR="00834588" w:rsidRPr="00E9063C" w:rsidRDefault="00834588" w:rsidP="00834588">
            <w:pPr>
              <w:jc w:val="right"/>
              <w:rPr>
                <w:sz w:val="20"/>
                <w:szCs w:val="20"/>
                <w:lang w:val="en-US"/>
              </w:rPr>
            </w:pPr>
            <w:r>
              <w:rPr>
                <w:sz w:val="20"/>
                <w:szCs w:val="20"/>
              </w:rPr>
              <w:t>0</w:t>
            </w:r>
          </w:p>
        </w:tc>
        <w:tc>
          <w:tcPr>
            <w:tcW w:w="1025" w:type="pct"/>
          </w:tcPr>
          <w:p w14:paraId="537AC8CE" w14:textId="6A42CBED" w:rsidR="00834588" w:rsidRPr="00E9063C" w:rsidRDefault="00834588" w:rsidP="00834588">
            <w:pPr>
              <w:jc w:val="right"/>
              <w:rPr>
                <w:sz w:val="20"/>
                <w:szCs w:val="20"/>
                <w:lang w:val="en-US"/>
              </w:rPr>
            </w:pPr>
            <w:r>
              <w:rPr>
                <w:sz w:val="20"/>
                <w:szCs w:val="20"/>
              </w:rPr>
              <w:t>27 120</w:t>
            </w:r>
          </w:p>
        </w:tc>
      </w:tr>
    </w:tbl>
    <w:p w14:paraId="44D54997" w14:textId="77777777" w:rsidR="00E9063C" w:rsidRDefault="00E9063C" w:rsidP="00A110D0">
      <w:pPr>
        <w:jc w:val="center"/>
        <w:rPr>
          <w:sz w:val="18"/>
          <w:szCs w:val="18"/>
        </w:rPr>
      </w:pPr>
    </w:p>
    <w:tbl>
      <w:tblPr>
        <w:tblStyle w:val="TableGrid"/>
        <w:tblW w:w="11032"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313"/>
        <w:gridCol w:w="1407"/>
        <w:gridCol w:w="1692"/>
        <w:gridCol w:w="970"/>
        <w:gridCol w:w="806"/>
        <w:gridCol w:w="937"/>
        <w:gridCol w:w="938"/>
        <w:gridCol w:w="937"/>
        <w:gridCol w:w="924"/>
        <w:gridCol w:w="1108"/>
      </w:tblGrid>
      <w:tr w:rsidR="004A226B" w:rsidRPr="00580299" w14:paraId="14E17221" w14:textId="77777777" w:rsidTr="00757F6D">
        <w:trPr>
          <w:trHeight w:val="280"/>
        </w:trPr>
        <w:tc>
          <w:tcPr>
            <w:tcW w:w="4412" w:type="dxa"/>
            <w:gridSpan w:val="3"/>
            <w:tcBorders>
              <w:top w:val="single" w:sz="2" w:space="0" w:color="auto"/>
              <w:left w:val="single" w:sz="2" w:space="0" w:color="auto"/>
              <w:bottom w:val="single" w:sz="2" w:space="0" w:color="auto"/>
              <w:right w:val="single" w:sz="2" w:space="0" w:color="auto"/>
            </w:tcBorders>
            <w:hideMark/>
          </w:tcPr>
          <w:p w14:paraId="4574EC4A" w14:textId="33885B3E" w:rsidR="004A226B" w:rsidRPr="00580299" w:rsidRDefault="004A226B" w:rsidP="00E9063C">
            <w:pPr>
              <w:spacing w:before="20" w:after="20"/>
              <w:ind w:left="38"/>
              <w:jc w:val="left"/>
              <w:rPr>
                <w:b/>
                <w:sz w:val="20"/>
                <w:szCs w:val="20"/>
                <w:lang w:val="en-US"/>
              </w:rPr>
            </w:pPr>
            <w:r>
              <w:rPr>
                <w:b/>
                <w:sz w:val="20"/>
                <w:szCs w:val="20"/>
              </w:rPr>
              <w:t xml:space="preserve">(VI) DONNÉES DE PROJET </w:t>
            </w:r>
          </w:p>
        </w:tc>
        <w:tc>
          <w:tcPr>
            <w:tcW w:w="970" w:type="dxa"/>
            <w:tcBorders>
              <w:top w:val="single" w:sz="2" w:space="0" w:color="auto"/>
              <w:left w:val="single" w:sz="2" w:space="0" w:color="auto"/>
              <w:bottom w:val="single" w:sz="2" w:space="0" w:color="auto"/>
              <w:right w:val="single" w:sz="2" w:space="0" w:color="auto"/>
            </w:tcBorders>
            <w:hideMark/>
          </w:tcPr>
          <w:p w14:paraId="3199A2D5" w14:textId="6A645E49" w:rsidR="004A226B" w:rsidRPr="00580299" w:rsidRDefault="004A226B" w:rsidP="00E9063C">
            <w:pPr>
              <w:spacing w:before="20" w:after="20"/>
              <w:ind w:left="38"/>
              <w:jc w:val="center"/>
              <w:rPr>
                <w:b/>
                <w:sz w:val="20"/>
                <w:szCs w:val="20"/>
                <w:lang w:val="en-US"/>
              </w:rPr>
            </w:pPr>
            <w:r>
              <w:rPr>
                <w:b/>
                <w:sz w:val="20"/>
                <w:szCs w:val="20"/>
              </w:rPr>
              <w:t>2019</w:t>
            </w:r>
          </w:p>
        </w:tc>
        <w:tc>
          <w:tcPr>
            <w:tcW w:w="806" w:type="dxa"/>
            <w:tcBorders>
              <w:top w:val="single" w:sz="2" w:space="0" w:color="auto"/>
              <w:left w:val="single" w:sz="2" w:space="0" w:color="auto"/>
              <w:bottom w:val="single" w:sz="2" w:space="0" w:color="auto"/>
              <w:right w:val="single" w:sz="2" w:space="0" w:color="auto"/>
            </w:tcBorders>
            <w:hideMark/>
          </w:tcPr>
          <w:p w14:paraId="6E0897F3" w14:textId="69A31392" w:rsidR="004A226B" w:rsidRPr="00580299" w:rsidRDefault="004A226B" w:rsidP="00E9063C">
            <w:pPr>
              <w:spacing w:before="20" w:after="20"/>
              <w:jc w:val="center"/>
              <w:rPr>
                <w:b/>
                <w:sz w:val="20"/>
                <w:szCs w:val="20"/>
                <w:lang w:val="en-US"/>
              </w:rPr>
            </w:pPr>
            <w:r>
              <w:rPr>
                <w:b/>
                <w:sz w:val="20"/>
                <w:szCs w:val="20"/>
              </w:rPr>
              <w:t>2020-2021</w:t>
            </w:r>
          </w:p>
        </w:tc>
        <w:tc>
          <w:tcPr>
            <w:tcW w:w="937" w:type="dxa"/>
            <w:tcBorders>
              <w:top w:val="single" w:sz="2" w:space="0" w:color="auto"/>
              <w:left w:val="single" w:sz="2" w:space="0" w:color="auto"/>
              <w:bottom w:val="single" w:sz="2" w:space="0" w:color="auto"/>
              <w:right w:val="single" w:sz="2" w:space="0" w:color="auto"/>
            </w:tcBorders>
            <w:hideMark/>
          </w:tcPr>
          <w:p w14:paraId="323FC886" w14:textId="57467A13" w:rsidR="004A226B" w:rsidRPr="00580299" w:rsidRDefault="004A226B" w:rsidP="00E9063C">
            <w:pPr>
              <w:spacing w:before="20" w:after="20"/>
              <w:jc w:val="center"/>
              <w:rPr>
                <w:b/>
                <w:sz w:val="20"/>
                <w:szCs w:val="20"/>
                <w:lang w:val="en-US"/>
              </w:rPr>
            </w:pPr>
            <w:r>
              <w:rPr>
                <w:b/>
                <w:sz w:val="20"/>
                <w:szCs w:val="20"/>
              </w:rPr>
              <w:t>2022</w:t>
            </w:r>
          </w:p>
        </w:tc>
        <w:tc>
          <w:tcPr>
            <w:tcW w:w="938" w:type="dxa"/>
            <w:tcBorders>
              <w:top w:val="single" w:sz="2" w:space="0" w:color="auto"/>
              <w:left w:val="single" w:sz="2" w:space="0" w:color="auto"/>
              <w:bottom w:val="single" w:sz="2" w:space="0" w:color="auto"/>
              <w:right w:val="single" w:sz="2" w:space="0" w:color="auto"/>
            </w:tcBorders>
            <w:hideMark/>
          </w:tcPr>
          <w:p w14:paraId="53FC93E5" w14:textId="0B4158B7" w:rsidR="004A226B" w:rsidRPr="00580299" w:rsidRDefault="004A226B" w:rsidP="00E9063C">
            <w:pPr>
              <w:spacing w:before="20" w:after="20"/>
              <w:jc w:val="center"/>
              <w:rPr>
                <w:b/>
                <w:sz w:val="20"/>
                <w:szCs w:val="20"/>
                <w:lang w:val="en-US"/>
              </w:rPr>
            </w:pPr>
            <w:r>
              <w:rPr>
                <w:b/>
                <w:sz w:val="20"/>
                <w:szCs w:val="20"/>
              </w:rPr>
              <w:t>2023</w:t>
            </w:r>
          </w:p>
        </w:tc>
        <w:tc>
          <w:tcPr>
            <w:tcW w:w="937" w:type="dxa"/>
            <w:tcBorders>
              <w:top w:val="single" w:sz="2" w:space="0" w:color="auto"/>
              <w:left w:val="single" w:sz="2" w:space="0" w:color="auto"/>
              <w:bottom w:val="single" w:sz="2" w:space="0" w:color="auto"/>
              <w:right w:val="single" w:sz="2" w:space="0" w:color="auto"/>
            </w:tcBorders>
          </w:tcPr>
          <w:p w14:paraId="6187C9FC" w14:textId="1F266822" w:rsidR="004A226B" w:rsidRPr="00580299" w:rsidRDefault="004A226B" w:rsidP="00E9063C">
            <w:pPr>
              <w:spacing w:before="20" w:after="20"/>
              <w:jc w:val="center"/>
              <w:rPr>
                <w:b/>
                <w:sz w:val="20"/>
                <w:szCs w:val="20"/>
                <w:lang w:val="en-US"/>
              </w:rPr>
            </w:pPr>
            <w:r>
              <w:rPr>
                <w:b/>
                <w:sz w:val="20"/>
                <w:szCs w:val="20"/>
              </w:rPr>
              <w:t>2024</w:t>
            </w:r>
          </w:p>
        </w:tc>
        <w:tc>
          <w:tcPr>
            <w:tcW w:w="924" w:type="dxa"/>
            <w:tcBorders>
              <w:top w:val="single" w:sz="2" w:space="0" w:color="auto"/>
              <w:left w:val="single" w:sz="2" w:space="0" w:color="auto"/>
              <w:bottom w:val="single" w:sz="2" w:space="0" w:color="auto"/>
              <w:right w:val="single" w:sz="2" w:space="0" w:color="auto"/>
            </w:tcBorders>
          </w:tcPr>
          <w:p w14:paraId="1D2A6F22" w14:textId="7C250487" w:rsidR="004A226B" w:rsidRPr="00580299" w:rsidRDefault="004A226B" w:rsidP="00E9063C">
            <w:pPr>
              <w:spacing w:before="20" w:after="20"/>
              <w:jc w:val="center"/>
              <w:rPr>
                <w:b/>
                <w:sz w:val="20"/>
                <w:szCs w:val="20"/>
                <w:lang w:val="en-US"/>
              </w:rPr>
            </w:pPr>
            <w:r>
              <w:rPr>
                <w:b/>
                <w:sz w:val="20"/>
                <w:szCs w:val="20"/>
              </w:rPr>
              <w:t>2025</w:t>
            </w:r>
          </w:p>
        </w:tc>
        <w:tc>
          <w:tcPr>
            <w:tcW w:w="1108" w:type="dxa"/>
            <w:tcBorders>
              <w:top w:val="single" w:sz="2" w:space="0" w:color="auto"/>
              <w:left w:val="single" w:sz="2" w:space="0" w:color="auto"/>
              <w:bottom w:val="single" w:sz="2" w:space="0" w:color="auto"/>
              <w:right w:val="single" w:sz="2" w:space="0" w:color="auto"/>
            </w:tcBorders>
            <w:hideMark/>
          </w:tcPr>
          <w:p w14:paraId="1BC2A284" w14:textId="539884C6" w:rsidR="004A226B" w:rsidRPr="00580299" w:rsidRDefault="004A226B" w:rsidP="00E9063C">
            <w:pPr>
              <w:spacing w:before="20" w:after="20"/>
              <w:jc w:val="center"/>
              <w:rPr>
                <w:b/>
                <w:sz w:val="20"/>
                <w:szCs w:val="20"/>
                <w:lang w:val="en-US"/>
              </w:rPr>
            </w:pPr>
            <w:r>
              <w:rPr>
                <w:b/>
                <w:sz w:val="20"/>
                <w:szCs w:val="20"/>
              </w:rPr>
              <w:t>Total</w:t>
            </w:r>
          </w:p>
        </w:tc>
      </w:tr>
      <w:tr w:rsidR="004A226B" w:rsidRPr="00580299" w14:paraId="0B40A632" w14:textId="77777777" w:rsidTr="00757F6D">
        <w:trPr>
          <w:trHeight w:val="231"/>
        </w:trPr>
        <w:tc>
          <w:tcPr>
            <w:tcW w:w="4412" w:type="dxa"/>
            <w:gridSpan w:val="3"/>
            <w:tcBorders>
              <w:top w:val="single" w:sz="2" w:space="0" w:color="auto"/>
              <w:left w:val="single" w:sz="2" w:space="0" w:color="auto"/>
              <w:bottom w:val="single" w:sz="2" w:space="0" w:color="auto"/>
              <w:right w:val="single" w:sz="2" w:space="0" w:color="auto"/>
            </w:tcBorders>
            <w:hideMark/>
          </w:tcPr>
          <w:p w14:paraId="27E41D1A" w14:textId="77777777" w:rsidR="004A226B" w:rsidRPr="00763771" w:rsidRDefault="004A226B" w:rsidP="004C09A4">
            <w:pPr>
              <w:spacing w:before="20" w:after="20"/>
              <w:ind w:left="38"/>
              <w:jc w:val="left"/>
              <w:rPr>
                <w:sz w:val="20"/>
                <w:szCs w:val="20"/>
                <w:lang w:val="fr-FR"/>
              </w:rPr>
            </w:pPr>
            <w:r>
              <w:rPr>
                <w:sz w:val="20"/>
                <w:szCs w:val="20"/>
              </w:rPr>
              <w:t>Limites de consommation fixées par le Protocole de Montréal (tonnes PAO)</w:t>
            </w:r>
          </w:p>
        </w:tc>
        <w:tc>
          <w:tcPr>
            <w:tcW w:w="970" w:type="dxa"/>
            <w:tcBorders>
              <w:top w:val="single" w:sz="2" w:space="0" w:color="auto"/>
              <w:left w:val="single" w:sz="2" w:space="0" w:color="auto"/>
              <w:bottom w:val="single" w:sz="2" w:space="0" w:color="auto"/>
              <w:right w:val="single" w:sz="2" w:space="0" w:color="auto"/>
            </w:tcBorders>
          </w:tcPr>
          <w:p w14:paraId="753D425D" w14:textId="3837551E" w:rsidR="004A226B" w:rsidRPr="00580299" w:rsidRDefault="004A226B" w:rsidP="004C09A4">
            <w:pPr>
              <w:spacing w:before="20" w:after="20"/>
              <w:ind w:left="38"/>
              <w:jc w:val="right"/>
              <w:rPr>
                <w:sz w:val="20"/>
                <w:szCs w:val="20"/>
                <w:lang w:val="en-US"/>
              </w:rPr>
            </w:pPr>
            <w:r>
              <w:rPr>
                <w:color w:val="000000"/>
                <w:sz w:val="20"/>
                <w:szCs w:val="20"/>
              </w:rPr>
              <w:t>36,63</w:t>
            </w:r>
          </w:p>
        </w:tc>
        <w:tc>
          <w:tcPr>
            <w:tcW w:w="806" w:type="dxa"/>
            <w:tcBorders>
              <w:top w:val="single" w:sz="2" w:space="0" w:color="auto"/>
              <w:left w:val="single" w:sz="2" w:space="0" w:color="auto"/>
              <w:bottom w:val="single" w:sz="2" w:space="0" w:color="auto"/>
              <w:right w:val="single" w:sz="2" w:space="0" w:color="auto"/>
            </w:tcBorders>
          </w:tcPr>
          <w:p w14:paraId="4A27D468" w14:textId="3DC9304C" w:rsidR="004A226B" w:rsidRPr="00580299" w:rsidRDefault="004A226B" w:rsidP="004C09A4">
            <w:pPr>
              <w:spacing w:before="20" w:after="20"/>
              <w:jc w:val="right"/>
              <w:rPr>
                <w:sz w:val="20"/>
                <w:szCs w:val="20"/>
                <w:lang w:val="en-US"/>
              </w:rPr>
            </w:pPr>
            <w:r>
              <w:rPr>
                <w:color w:val="000000"/>
                <w:sz w:val="20"/>
                <w:szCs w:val="20"/>
              </w:rPr>
              <w:t>26,46</w:t>
            </w:r>
          </w:p>
        </w:tc>
        <w:tc>
          <w:tcPr>
            <w:tcW w:w="937" w:type="dxa"/>
            <w:tcBorders>
              <w:top w:val="single" w:sz="2" w:space="0" w:color="auto"/>
              <w:left w:val="single" w:sz="2" w:space="0" w:color="auto"/>
              <w:bottom w:val="single" w:sz="2" w:space="0" w:color="auto"/>
              <w:right w:val="single" w:sz="2" w:space="0" w:color="auto"/>
            </w:tcBorders>
          </w:tcPr>
          <w:p w14:paraId="7C79CCE0" w14:textId="66CE4D0B" w:rsidR="004A226B" w:rsidRPr="00580299" w:rsidRDefault="004A226B" w:rsidP="004C09A4">
            <w:pPr>
              <w:spacing w:before="20" w:after="20"/>
              <w:jc w:val="right"/>
              <w:rPr>
                <w:sz w:val="20"/>
                <w:szCs w:val="20"/>
                <w:lang w:val="en-US"/>
              </w:rPr>
            </w:pPr>
            <w:r>
              <w:rPr>
                <w:color w:val="000000"/>
                <w:sz w:val="20"/>
                <w:szCs w:val="20"/>
              </w:rPr>
              <w:t>26,46</w:t>
            </w:r>
          </w:p>
        </w:tc>
        <w:tc>
          <w:tcPr>
            <w:tcW w:w="938" w:type="dxa"/>
            <w:tcBorders>
              <w:top w:val="single" w:sz="2" w:space="0" w:color="auto"/>
              <w:left w:val="single" w:sz="2" w:space="0" w:color="auto"/>
              <w:bottom w:val="single" w:sz="2" w:space="0" w:color="auto"/>
              <w:right w:val="single" w:sz="2" w:space="0" w:color="auto"/>
            </w:tcBorders>
          </w:tcPr>
          <w:p w14:paraId="67B5A52F" w14:textId="136E8ABF" w:rsidR="004A226B" w:rsidRPr="00580299" w:rsidRDefault="004A226B" w:rsidP="004C09A4">
            <w:pPr>
              <w:spacing w:before="20" w:after="20"/>
              <w:jc w:val="right"/>
              <w:rPr>
                <w:sz w:val="20"/>
                <w:szCs w:val="20"/>
                <w:lang w:val="en-US"/>
              </w:rPr>
            </w:pPr>
            <w:r>
              <w:rPr>
                <w:color w:val="000000"/>
                <w:sz w:val="20"/>
                <w:szCs w:val="20"/>
              </w:rPr>
              <w:t>26,46</w:t>
            </w:r>
          </w:p>
        </w:tc>
        <w:tc>
          <w:tcPr>
            <w:tcW w:w="937" w:type="dxa"/>
            <w:tcBorders>
              <w:top w:val="single" w:sz="2" w:space="0" w:color="auto"/>
              <w:left w:val="single" w:sz="2" w:space="0" w:color="auto"/>
              <w:bottom w:val="single" w:sz="2" w:space="0" w:color="auto"/>
              <w:right w:val="single" w:sz="2" w:space="0" w:color="auto"/>
            </w:tcBorders>
          </w:tcPr>
          <w:p w14:paraId="460B8FD9" w14:textId="12CD7C82" w:rsidR="004A226B" w:rsidRPr="00580299" w:rsidRDefault="004A226B" w:rsidP="004C09A4">
            <w:pPr>
              <w:spacing w:before="20" w:after="20"/>
              <w:jc w:val="right"/>
              <w:rPr>
                <w:sz w:val="20"/>
                <w:szCs w:val="20"/>
                <w:lang w:val="en-US"/>
              </w:rPr>
            </w:pPr>
            <w:r>
              <w:rPr>
                <w:color w:val="000000"/>
                <w:sz w:val="20"/>
                <w:szCs w:val="20"/>
              </w:rPr>
              <w:t>26,46</w:t>
            </w:r>
          </w:p>
        </w:tc>
        <w:tc>
          <w:tcPr>
            <w:tcW w:w="924" w:type="dxa"/>
            <w:tcBorders>
              <w:top w:val="single" w:sz="2" w:space="0" w:color="auto"/>
              <w:left w:val="single" w:sz="2" w:space="0" w:color="auto"/>
              <w:bottom w:val="single" w:sz="2" w:space="0" w:color="auto"/>
              <w:right w:val="single" w:sz="2" w:space="0" w:color="auto"/>
            </w:tcBorders>
          </w:tcPr>
          <w:p w14:paraId="6CEB6500" w14:textId="702E46C3" w:rsidR="004A226B" w:rsidRPr="00580299" w:rsidRDefault="004A226B" w:rsidP="004C09A4">
            <w:pPr>
              <w:spacing w:before="20" w:after="20"/>
              <w:jc w:val="right"/>
              <w:rPr>
                <w:sz w:val="20"/>
                <w:szCs w:val="20"/>
                <w:lang w:val="en-US"/>
              </w:rPr>
            </w:pPr>
            <w:r>
              <w:rPr>
                <w:color w:val="000000"/>
                <w:sz w:val="20"/>
                <w:szCs w:val="20"/>
              </w:rPr>
              <w:t>13,19</w:t>
            </w:r>
          </w:p>
        </w:tc>
        <w:tc>
          <w:tcPr>
            <w:tcW w:w="1108" w:type="dxa"/>
            <w:tcBorders>
              <w:top w:val="single" w:sz="2" w:space="0" w:color="auto"/>
              <w:left w:val="single" w:sz="2" w:space="0" w:color="auto"/>
              <w:bottom w:val="single" w:sz="2" w:space="0" w:color="auto"/>
              <w:right w:val="single" w:sz="2" w:space="0" w:color="auto"/>
            </w:tcBorders>
            <w:hideMark/>
          </w:tcPr>
          <w:p w14:paraId="3E8EE6FF" w14:textId="360C20AD" w:rsidR="004A226B" w:rsidRPr="00580299" w:rsidRDefault="004A226B" w:rsidP="004C09A4">
            <w:pPr>
              <w:spacing w:before="20" w:after="20"/>
              <w:jc w:val="right"/>
              <w:rPr>
                <w:sz w:val="20"/>
                <w:szCs w:val="20"/>
                <w:lang w:val="en-US"/>
              </w:rPr>
            </w:pPr>
            <w:r>
              <w:rPr>
                <w:color w:val="000000"/>
                <w:sz w:val="20"/>
                <w:szCs w:val="20"/>
              </w:rPr>
              <w:t>s.o.</w:t>
            </w:r>
          </w:p>
        </w:tc>
      </w:tr>
      <w:tr w:rsidR="004A226B" w:rsidRPr="00580299" w14:paraId="21763E38" w14:textId="77777777" w:rsidTr="00757F6D">
        <w:trPr>
          <w:trHeight w:val="267"/>
        </w:trPr>
        <w:tc>
          <w:tcPr>
            <w:tcW w:w="4412" w:type="dxa"/>
            <w:gridSpan w:val="3"/>
            <w:tcBorders>
              <w:top w:val="single" w:sz="2" w:space="0" w:color="auto"/>
              <w:left w:val="single" w:sz="2" w:space="0" w:color="auto"/>
              <w:bottom w:val="single" w:sz="2" w:space="0" w:color="auto"/>
              <w:right w:val="single" w:sz="2" w:space="0" w:color="auto"/>
            </w:tcBorders>
            <w:hideMark/>
          </w:tcPr>
          <w:p w14:paraId="4A3492AC" w14:textId="77777777" w:rsidR="004A226B" w:rsidRPr="00763771" w:rsidRDefault="004A226B" w:rsidP="004C09A4">
            <w:pPr>
              <w:spacing w:before="20" w:after="20"/>
              <w:ind w:left="38"/>
              <w:jc w:val="left"/>
              <w:rPr>
                <w:sz w:val="20"/>
                <w:szCs w:val="20"/>
                <w:lang w:val="fr-FR"/>
              </w:rPr>
            </w:pPr>
            <w:r>
              <w:rPr>
                <w:sz w:val="20"/>
                <w:szCs w:val="20"/>
              </w:rPr>
              <w:t>Consommation maximale admissible (tonnes PAO)</w:t>
            </w:r>
          </w:p>
        </w:tc>
        <w:tc>
          <w:tcPr>
            <w:tcW w:w="970" w:type="dxa"/>
            <w:tcBorders>
              <w:top w:val="single" w:sz="2" w:space="0" w:color="auto"/>
              <w:left w:val="single" w:sz="2" w:space="0" w:color="auto"/>
              <w:bottom w:val="single" w:sz="2" w:space="0" w:color="auto"/>
              <w:right w:val="single" w:sz="2" w:space="0" w:color="auto"/>
            </w:tcBorders>
          </w:tcPr>
          <w:p w14:paraId="5DEBA766" w14:textId="7E5076DC" w:rsidR="004A226B" w:rsidRPr="00580299" w:rsidRDefault="004A226B" w:rsidP="004C09A4">
            <w:pPr>
              <w:spacing w:before="20" w:after="20"/>
              <w:ind w:left="38"/>
              <w:jc w:val="right"/>
              <w:rPr>
                <w:sz w:val="20"/>
                <w:szCs w:val="20"/>
                <w:lang w:val="en-US"/>
              </w:rPr>
            </w:pPr>
            <w:r>
              <w:rPr>
                <w:color w:val="000000"/>
                <w:sz w:val="20"/>
                <w:szCs w:val="20"/>
              </w:rPr>
              <w:t>34,60</w:t>
            </w:r>
          </w:p>
        </w:tc>
        <w:tc>
          <w:tcPr>
            <w:tcW w:w="806" w:type="dxa"/>
            <w:tcBorders>
              <w:top w:val="single" w:sz="2" w:space="0" w:color="auto"/>
              <w:left w:val="single" w:sz="2" w:space="0" w:color="auto"/>
              <w:bottom w:val="single" w:sz="2" w:space="0" w:color="auto"/>
              <w:right w:val="single" w:sz="2" w:space="0" w:color="auto"/>
            </w:tcBorders>
          </w:tcPr>
          <w:p w14:paraId="3481E8DE" w14:textId="799E83F2" w:rsidR="004A226B" w:rsidRPr="00580299" w:rsidRDefault="004A226B" w:rsidP="004C09A4">
            <w:pPr>
              <w:spacing w:before="20" w:after="20"/>
              <w:jc w:val="right"/>
              <w:rPr>
                <w:sz w:val="20"/>
                <w:szCs w:val="20"/>
                <w:lang w:val="en-US"/>
              </w:rPr>
            </w:pPr>
            <w:r>
              <w:rPr>
                <w:color w:val="000000"/>
                <w:sz w:val="20"/>
                <w:szCs w:val="20"/>
              </w:rPr>
              <w:t>25,91</w:t>
            </w:r>
          </w:p>
        </w:tc>
        <w:tc>
          <w:tcPr>
            <w:tcW w:w="937" w:type="dxa"/>
            <w:tcBorders>
              <w:top w:val="single" w:sz="2" w:space="0" w:color="auto"/>
              <w:left w:val="single" w:sz="2" w:space="0" w:color="auto"/>
              <w:bottom w:val="single" w:sz="2" w:space="0" w:color="auto"/>
              <w:right w:val="single" w:sz="2" w:space="0" w:color="auto"/>
            </w:tcBorders>
          </w:tcPr>
          <w:p w14:paraId="0EA12F51" w14:textId="0E3AB410" w:rsidR="004A226B" w:rsidRPr="00580299" w:rsidRDefault="004A226B" w:rsidP="004C09A4">
            <w:pPr>
              <w:spacing w:before="20" w:after="20"/>
              <w:jc w:val="right"/>
              <w:rPr>
                <w:sz w:val="20"/>
                <w:szCs w:val="20"/>
                <w:lang w:val="en-US"/>
              </w:rPr>
            </w:pPr>
            <w:r>
              <w:rPr>
                <w:color w:val="000000"/>
                <w:sz w:val="20"/>
                <w:szCs w:val="20"/>
              </w:rPr>
              <w:t>25,91</w:t>
            </w:r>
          </w:p>
        </w:tc>
        <w:tc>
          <w:tcPr>
            <w:tcW w:w="938" w:type="dxa"/>
            <w:tcBorders>
              <w:top w:val="single" w:sz="2" w:space="0" w:color="auto"/>
              <w:left w:val="single" w:sz="2" w:space="0" w:color="auto"/>
              <w:bottom w:val="single" w:sz="2" w:space="0" w:color="auto"/>
              <w:right w:val="single" w:sz="2" w:space="0" w:color="auto"/>
            </w:tcBorders>
          </w:tcPr>
          <w:p w14:paraId="58A0F224" w14:textId="7D1A8DB2" w:rsidR="004A226B" w:rsidRPr="00580299" w:rsidRDefault="004A226B" w:rsidP="004C09A4">
            <w:pPr>
              <w:spacing w:before="20" w:after="20"/>
              <w:jc w:val="right"/>
              <w:rPr>
                <w:sz w:val="20"/>
                <w:szCs w:val="20"/>
                <w:lang w:val="en-US"/>
              </w:rPr>
            </w:pPr>
            <w:r>
              <w:rPr>
                <w:color w:val="000000"/>
                <w:sz w:val="20"/>
                <w:szCs w:val="20"/>
              </w:rPr>
              <w:t>25,91</w:t>
            </w:r>
          </w:p>
        </w:tc>
        <w:tc>
          <w:tcPr>
            <w:tcW w:w="937" w:type="dxa"/>
            <w:tcBorders>
              <w:top w:val="single" w:sz="2" w:space="0" w:color="auto"/>
              <w:left w:val="single" w:sz="2" w:space="0" w:color="auto"/>
              <w:bottom w:val="single" w:sz="2" w:space="0" w:color="auto"/>
              <w:right w:val="single" w:sz="2" w:space="0" w:color="auto"/>
            </w:tcBorders>
          </w:tcPr>
          <w:p w14:paraId="4F3BE700" w14:textId="7EBAD53B" w:rsidR="004A226B" w:rsidRPr="00580299" w:rsidRDefault="004A226B" w:rsidP="004C09A4">
            <w:pPr>
              <w:spacing w:before="20" w:after="20"/>
              <w:jc w:val="right"/>
              <w:rPr>
                <w:sz w:val="20"/>
                <w:szCs w:val="20"/>
                <w:lang w:val="en-US"/>
              </w:rPr>
            </w:pPr>
            <w:r>
              <w:rPr>
                <w:color w:val="000000"/>
                <w:sz w:val="20"/>
                <w:szCs w:val="20"/>
              </w:rPr>
              <w:t>25,91</w:t>
            </w:r>
          </w:p>
        </w:tc>
        <w:tc>
          <w:tcPr>
            <w:tcW w:w="924" w:type="dxa"/>
            <w:tcBorders>
              <w:top w:val="single" w:sz="2" w:space="0" w:color="auto"/>
              <w:left w:val="single" w:sz="2" w:space="0" w:color="auto"/>
              <w:bottom w:val="single" w:sz="2" w:space="0" w:color="auto"/>
              <w:right w:val="single" w:sz="2" w:space="0" w:color="auto"/>
            </w:tcBorders>
          </w:tcPr>
          <w:p w14:paraId="0021C6D4" w14:textId="6093241B" w:rsidR="004A226B" w:rsidRPr="00580299" w:rsidRDefault="004A226B" w:rsidP="004C09A4">
            <w:pPr>
              <w:spacing w:before="20" w:after="20"/>
              <w:jc w:val="right"/>
              <w:rPr>
                <w:sz w:val="20"/>
                <w:szCs w:val="20"/>
                <w:lang w:val="en-US"/>
              </w:rPr>
            </w:pPr>
            <w:r>
              <w:rPr>
                <w:color w:val="000000"/>
                <w:sz w:val="20"/>
                <w:szCs w:val="20"/>
              </w:rPr>
              <w:t>12,88</w:t>
            </w:r>
          </w:p>
        </w:tc>
        <w:tc>
          <w:tcPr>
            <w:tcW w:w="1108" w:type="dxa"/>
            <w:tcBorders>
              <w:top w:val="single" w:sz="2" w:space="0" w:color="auto"/>
              <w:left w:val="single" w:sz="2" w:space="0" w:color="auto"/>
              <w:bottom w:val="single" w:sz="2" w:space="0" w:color="auto"/>
              <w:right w:val="single" w:sz="2" w:space="0" w:color="auto"/>
            </w:tcBorders>
            <w:hideMark/>
          </w:tcPr>
          <w:p w14:paraId="3176465D" w14:textId="437EE5AF" w:rsidR="004A226B" w:rsidRPr="00580299" w:rsidRDefault="004A226B" w:rsidP="004C09A4">
            <w:pPr>
              <w:spacing w:before="20" w:after="20"/>
              <w:jc w:val="right"/>
              <w:rPr>
                <w:sz w:val="20"/>
                <w:szCs w:val="20"/>
                <w:lang w:val="en-US"/>
              </w:rPr>
            </w:pPr>
            <w:r>
              <w:rPr>
                <w:color w:val="000000"/>
                <w:sz w:val="20"/>
                <w:szCs w:val="20"/>
              </w:rPr>
              <w:t>s.o.</w:t>
            </w:r>
          </w:p>
        </w:tc>
      </w:tr>
      <w:tr w:rsidR="00A81BF7" w:rsidRPr="00580299" w14:paraId="30DFE435" w14:textId="77777777" w:rsidTr="00757F6D">
        <w:trPr>
          <w:trHeight w:val="231"/>
        </w:trPr>
        <w:tc>
          <w:tcPr>
            <w:tcW w:w="1313" w:type="dxa"/>
            <w:vMerge w:val="restart"/>
            <w:tcBorders>
              <w:top w:val="single" w:sz="2" w:space="0" w:color="auto"/>
              <w:left w:val="single" w:sz="4" w:space="0" w:color="auto"/>
              <w:bottom w:val="single" w:sz="4" w:space="0" w:color="auto"/>
              <w:right w:val="single" w:sz="4" w:space="0" w:color="auto"/>
            </w:tcBorders>
            <w:vAlign w:val="center"/>
            <w:hideMark/>
          </w:tcPr>
          <w:p w14:paraId="503DBB6A" w14:textId="77777777" w:rsidR="00A81BF7" w:rsidRPr="00763771" w:rsidRDefault="00A81BF7" w:rsidP="00A81BF7">
            <w:pPr>
              <w:spacing w:before="20" w:after="20"/>
              <w:ind w:left="38" w:right="-82"/>
              <w:jc w:val="left"/>
              <w:rPr>
                <w:sz w:val="20"/>
                <w:szCs w:val="20"/>
                <w:lang w:val="fr-FR"/>
              </w:rPr>
            </w:pPr>
            <w:r>
              <w:rPr>
                <w:sz w:val="20"/>
                <w:szCs w:val="20"/>
              </w:rPr>
              <w:t>Financement approuvé en principe (en $US)</w:t>
            </w:r>
          </w:p>
        </w:tc>
        <w:tc>
          <w:tcPr>
            <w:tcW w:w="1407" w:type="dxa"/>
            <w:vMerge w:val="restart"/>
            <w:tcBorders>
              <w:top w:val="single" w:sz="2" w:space="0" w:color="auto"/>
              <w:left w:val="single" w:sz="4" w:space="0" w:color="auto"/>
              <w:bottom w:val="single" w:sz="4" w:space="0" w:color="auto"/>
              <w:right w:val="single" w:sz="4" w:space="0" w:color="auto"/>
            </w:tcBorders>
            <w:vAlign w:val="center"/>
            <w:hideMark/>
          </w:tcPr>
          <w:p w14:paraId="6B4BBFE0" w14:textId="098791D2" w:rsidR="00A81BF7" w:rsidRPr="00580299" w:rsidRDefault="00A81BF7" w:rsidP="00A81BF7">
            <w:pPr>
              <w:spacing w:before="20" w:after="20"/>
              <w:ind w:left="38"/>
              <w:jc w:val="center"/>
              <w:rPr>
                <w:sz w:val="20"/>
                <w:szCs w:val="20"/>
                <w:lang w:val="en-US"/>
              </w:rPr>
            </w:pPr>
            <w:r>
              <w:rPr>
                <w:color w:val="000000" w:themeColor="text1"/>
                <w:sz w:val="20"/>
                <w:szCs w:val="20"/>
              </w:rPr>
              <w:t>ONUDI</w:t>
            </w:r>
          </w:p>
        </w:tc>
        <w:tc>
          <w:tcPr>
            <w:tcW w:w="1691" w:type="dxa"/>
            <w:tcBorders>
              <w:top w:val="single" w:sz="2" w:space="0" w:color="auto"/>
              <w:left w:val="single" w:sz="4" w:space="0" w:color="auto"/>
              <w:bottom w:val="single" w:sz="4" w:space="0" w:color="auto"/>
              <w:right w:val="single" w:sz="4" w:space="0" w:color="auto"/>
            </w:tcBorders>
            <w:hideMark/>
          </w:tcPr>
          <w:p w14:paraId="540CE391" w14:textId="77777777" w:rsidR="00A81BF7" w:rsidRPr="00580299" w:rsidRDefault="00A81BF7" w:rsidP="00A81BF7">
            <w:pPr>
              <w:spacing w:before="20" w:after="20"/>
              <w:ind w:left="38"/>
              <w:jc w:val="left"/>
              <w:rPr>
                <w:sz w:val="20"/>
                <w:szCs w:val="20"/>
                <w:lang w:val="en-US"/>
              </w:rPr>
            </w:pPr>
            <w:r>
              <w:rPr>
                <w:sz w:val="20"/>
                <w:szCs w:val="20"/>
              </w:rPr>
              <w:t>Coûts du projet</w:t>
            </w:r>
          </w:p>
        </w:tc>
        <w:tc>
          <w:tcPr>
            <w:tcW w:w="970" w:type="dxa"/>
            <w:tcBorders>
              <w:top w:val="single" w:sz="2" w:space="0" w:color="auto"/>
              <w:left w:val="single" w:sz="4" w:space="0" w:color="auto"/>
              <w:bottom w:val="single" w:sz="4" w:space="0" w:color="auto"/>
              <w:right w:val="single" w:sz="4" w:space="0" w:color="auto"/>
            </w:tcBorders>
          </w:tcPr>
          <w:p w14:paraId="0D8320CC" w14:textId="7A34CC2F" w:rsidR="00A81BF7" w:rsidRPr="00580299" w:rsidRDefault="00A81BF7" w:rsidP="00A81BF7">
            <w:pPr>
              <w:spacing w:before="20" w:after="20"/>
              <w:ind w:left="38"/>
              <w:jc w:val="right"/>
              <w:rPr>
                <w:color w:val="000000"/>
                <w:sz w:val="20"/>
                <w:szCs w:val="20"/>
                <w:lang w:val="en-US" w:eastAsia="en-CA"/>
              </w:rPr>
            </w:pPr>
            <w:r>
              <w:rPr>
                <w:sz w:val="20"/>
                <w:szCs w:val="20"/>
              </w:rPr>
              <w:t>858 306</w:t>
            </w:r>
          </w:p>
        </w:tc>
        <w:tc>
          <w:tcPr>
            <w:tcW w:w="806" w:type="dxa"/>
            <w:tcBorders>
              <w:top w:val="single" w:sz="2" w:space="0" w:color="auto"/>
              <w:left w:val="single" w:sz="4" w:space="0" w:color="auto"/>
              <w:bottom w:val="single" w:sz="4" w:space="0" w:color="auto"/>
              <w:right w:val="single" w:sz="4" w:space="0" w:color="auto"/>
            </w:tcBorders>
          </w:tcPr>
          <w:p w14:paraId="7A8DF3E5" w14:textId="1CB22BE2"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37" w:type="dxa"/>
            <w:tcBorders>
              <w:top w:val="single" w:sz="2" w:space="0" w:color="auto"/>
              <w:left w:val="single" w:sz="4" w:space="0" w:color="auto"/>
              <w:bottom w:val="single" w:sz="4" w:space="0" w:color="auto"/>
              <w:right w:val="single" w:sz="4" w:space="0" w:color="auto"/>
            </w:tcBorders>
          </w:tcPr>
          <w:p w14:paraId="51308ED7" w14:textId="1F1F88DE" w:rsidR="00A81BF7" w:rsidRPr="00580299" w:rsidRDefault="00A81BF7" w:rsidP="00A81BF7">
            <w:pPr>
              <w:spacing w:before="20" w:after="20"/>
              <w:jc w:val="right"/>
              <w:rPr>
                <w:color w:val="000000"/>
                <w:sz w:val="20"/>
                <w:szCs w:val="20"/>
                <w:lang w:val="en-US" w:eastAsia="en-CA"/>
              </w:rPr>
            </w:pPr>
            <w:r>
              <w:rPr>
                <w:color w:val="000000"/>
                <w:sz w:val="20"/>
                <w:szCs w:val="20"/>
              </w:rPr>
              <w:t>386 640</w:t>
            </w:r>
          </w:p>
        </w:tc>
        <w:tc>
          <w:tcPr>
            <w:tcW w:w="938" w:type="dxa"/>
            <w:tcBorders>
              <w:top w:val="single" w:sz="2" w:space="0" w:color="auto"/>
              <w:left w:val="single" w:sz="4" w:space="0" w:color="auto"/>
              <w:bottom w:val="single" w:sz="4" w:space="0" w:color="auto"/>
              <w:right w:val="single" w:sz="4" w:space="0" w:color="auto"/>
            </w:tcBorders>
          </w:tcPr>
          <w:p w14:paraId="4EE49E21" w14:textId="37BD6CB2"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37" w:type="dxa"/>
            <w:tcBorders>
              <w:top w:val="single" w:sz="2" w:space="0" w:color="auto"/>
              <w:left w:val="single" w:sz="4" w:space="0" w:color="auto"/>
              <w:bottom w:val="single" w:sz="4" w:space="0" w:color="auto"/>
              <w:right w:val="single" w:sz="4" w:space="0" w:color="auto"/>
            </w:tcBorders>
          </w:tcPr>
          <w:p w14:paraId="61B8165C" w14:textId="0D94084E"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24" w:type="dxa"/>
            <w:tcBorders>
              <w:top w:val="single" w:sz="2" w:space="0" w:color="auto"/>
              <w:left w:val="single" w:sz="4" w:space="0" w:color="auto"/>
              <w:bottom w:val="single" w:sz="4" w:space="0" w:color="auto"/>
              <w:right w:val="single" w:sz="4" w:space="0" w:color="auto"/>
            </w:tcBorders>
          </w:tcPr>
          <w:p w14:paraId="525183D7" w14:textId="24F01735" w:rsidR="00A81BF7" w:rsidRPr="00580299" w:rsidRDefault="00A81BF7" w:rsidP="00A81BF7">
            <w:pPr>
              <w:spacing w:before="20" w:after="20"/>
              <w:jc w:val="right"/>
              <w:rPr>
                <w:color w:val="000000"/>
                <w:sz w:val="20"/>
                <w:szCs w:val="20"/>
                <w:lang w:val="en-US" w:eastAsia="en-CA"/>
              </w:rPr>
            </w:pPr>
            <w:r>
              <w:rPr>
                <w:color w:val="000000"/>
                <w:sz w:val="20"/>
                <w:szCs w:val="20"/>
              </w:rPr>
              <w:t>120 000</w:t>
            </w:r>
          </w:p>
        </w:tc>
        <w:tc>
          <w:tcPr>
            <w:tcW w:w="1108" w:type="dxa"/>
            <w:tcBorders>
              <w:top w:val="single" w:sz="2" w:space="0" w:color="auto"/>
              <w:left w:val="single" w:sz="4" w:space="0" w:color="auto"/>
              <w:bottom w:val="single" w:sz="4" w:space="0" w:color="auto"/>
              <w:right w:val="single" w:sz="4" w:space="0" w:color="auto"/>
            </w:tcBorders>
          </w:tcPr>
          <w:p w14:paraId="33933187" w14:textId="1EBB1B96" w:rsidR="00A81BF7" w:rsidRPr="00580299" w:rsidRDefault="00A81BF7" w:rsidP="00A81BF7">
            <w:pPr>
              <w:spacing w:before="20" w:after="20"/>
              <w:jc w:val="right"/>
              <w:rPr>
                <w:color w:val="000000"/>
                <w:sz w:val="20"/>
                <w:szCs w:val="20"/>
                <w:lang w:val="en-US" w:eastAsia="en-CA"/>
              </w:rPr>
            </w:pPr>
            <w:r>
              <w:rPr>
                <w:sz w:val="20"/>
                <w:szCs w:val="20"/>
              </w:rPr>
              <w:t>1 364 946</w:t>
            </w:r>
          </w:p>
        </w:tc>
      </w:tr>
      <w:tr w:rsidR="00A81BF7" w:rsidRPr="00580299" w14:paraId="57483DB9" w14:textId="77777777" w:rsidTr="00757F6D">
        <w:trPr>
          <w:trHeight w:val="48"/>
        </w:trPr>
        <w:tc>
          <w:tcPr>
            <w:tcW w:w="1313" w:type="dxa"/>
            <w:vMerge/>
            <w:tcBorders>
              <w:top w:val="single" w:sz="4" w:space="0" w:color="auto"/>
              <w:left w:val="single" w:sz="4" w:space="0" w:color="auto"/>
              <w:bottom w:val="single" w:sz="4" w:space="0" w:color="auto"/>
              <w:right w:val="single" w:sz="4" w:space="0" w:color="auto"/>
            </w:tcBorders>
            <w:vAlign w:val="center"/>
            <w:hideMark/>
          </w:tcPr>
          <w:p w14:paraId="184288C4" w14:textId="77777777" w:rsidR="00A81BF7" w:rsidRPr="00580299" w:rsidRDefault="00A81BF7" w:rsidP="00A81BF7">
            <w:pPr>
              <w:spacing w:before="20" w:after="20"/>
              <w:ind w:left="38"/>
              <w:rPr>
                <w:sz w:val="20"/>
                <w:szCs w:val="20"/>
                <w:lang w:val="en-US"/>
              </w:rPr>
            </w:pPr>
          </w:p>
        </w:tc>
        <w:tc>
          <w:tcPr>
            <w:tcW w:w="1407" w:type="dxa"/>
            <w:vMerge/>
            <w:tcBorders>
              <w:top w:val="single" w:sz="4" w:space="0" w:color="auto"/>
              <w:left w:val="single" w:sz="4" w:space="0" w:color="auto"/>
              <w:bottom w:val="single" w:sz="4" w:space="0" w:color="auto"/>
              <w:right w:val="single" w:sz="4" w:space="0" w:color="auto"/>
            </w:tcBorders>
            <w:vAlign w:val="center"/>
            <w:hideMark/>
          </w:tcPr>
          <w:p w14:paraId="4B8593EE" w14:textId="77777777" w:rsidR="00A81BF7" w:rsidRPr="00580299" w:rsidRDefault="00A81BF7" w:rsidP="00A81BF7">
            <w:pPr>
              <w:spacing w:before="20" w:after="20"/>
              <w:ind w:left="38"/>
              <w:jc w:val="center"/>
              <w:rPr>
                <w:sz w:val="20"/>
                <w:szCs w:val="20"/>
                <w:lang w:val="en-US"/>
              </w:rPr>
            </w:pPr>
          </w:p>
        </w:tc>
        <w:tc>
          <w:tcPr>
            <w:tcW w:w="1691" w:type="dxa"/>
            <w:tcBorders>
              <w:top w:val="single" w:sz="4" w:space="0" w:color="auto"/>
              <w:left w:val="single" w:sz="4" w:space="0" w:color="auto"/>
              <w:bottom w:val="single" w:sz="4" w:space="0" w:color="auto"/>
              <w:right w:val="single" w:sz="4" w:space="0" w:color="auto"/>
            </w:tcBorders>
            <w:hideMark/>
          </w:tcPr>
          <w:p w14:paraId="5E88EB4C" w14:textId="77777777" w:rsidR="00A81BF7" w:rsidRPr="00580299" w:rsidRDefault="00A81BF7" w:rsidP="00A81BF7">
            <w:pPr>
              <w:spacing w:before="20" w:after="20"/>
              <w:ind w:left="38"/>
              <w:jc w:val="left"/>
              <w:rPr>
                <w:sz w:val="20"/>
                <w:szCs w:val="20"/>
                <w:lang w:val="en-US"/>
              </w:rPr>
            </w:pPr>
            <w:r>
              <w:rPr>
                <w:sz w:val="20"/>
                <w:szCs w:val="20"/>
              </w:rPr>
              <w:t>Coûts d'appui</w:t>
            </w:r>
          </w:p>
        </w:tc>
        <w:tc>
          <w:tcPr>
            <w:tcW w:w="970" w:type="dxa"/>
            <w:tcBorders>
              <w:top w:val="single" w:sz="4" w:space="0" w:color="auto"/>
              <w:left w:val="single" w:sz="4" w:space="0" w:color="auto"/>
              <w:bottom w:val="single" w:sz="4" w:space="0" w:color="auto"/>
              <w:right w:val="single" w:sz="4" w:space="0" w:color="auto"/>
            </w:tcBorders>
          </w:tcPr>
          <w:p w14:paraId="45B7BAA5" w14:textId="568A1F55" w:rsidR="00A81BF7" w:rsidRPr="00580299" w:rsidRDefault="00A81BF7" w:rsidP="00A81BF7">
            <w:pPr>
              <w:spacing w:before="20" w:after="20"/>
              <w:ind w:left="38"/>
              <w:jc w:val="right"/>
              <w:rPr>
                <w:color w:val="000000"/>
                <w:sz w:val="20"/>
                <w:szCs w:val="20"/>
                <w:lang w:val="en-US" w:eastAsia="en-CA"/>
              </w:rPr>
            </w:pPr>
            <w:r>
              <w:rPr>
                <w:sz w:val="20"/>
                <w:szCs w:val="20"/>
              </w:rPr>
              <w:t>60 081</w:t>
            </w:r>
          </w:p>
        </w:tc>
        <w:tc>
          <w:tcPr>
            <w:tcW w:w="806" w:type="dxa"/>
            <w:tcBorders>
              <w:top w:val="single" w:sz="4" w:space="0" w:color="auto"/>
              <w:left w:val="single" w:sz="4" w:space="0" w:color="auto"/>
              <w:bottom w:val="single" w:sz="4" w:space="0" w:color="auto"/>
              <w:right w:val="single" w:sz="4" w:space="0" w:color="auto"/>
            </w:tcBorders>
          </w:tcPr>
          <w:p w14:paraId="34802555" w14:textId="7A4A4DB9"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37" w:type="dxa"/>
            <w:tcBorders>
              <w:top w:val="single" w:sz="4" w:space="0" w:color="auto"/>
              <w:left w:val="single" w:sz="4" w:space="0" w:color="auto"/>
              <w:bottom w:val="single" w:sz="4" w:space="0" w:color="auto"/>
              <w:right w:val="single" w:sz="4" w:space="0" w:color="auto"/>
            </w:tcBorders>
          </w:tcPr>
          <w:p w14:paraId="2CE86390" w14:textId="17D26C31" w:rsidR="00A81BF7" w:rsidRPr="00580299" w:rsidRDefault="00A81BF7" w:rsidP="00A81BF7">
            <w:pPr>
              <w:spacing w:before="20" w:after="20"/>
              <w:jc w:val="right"/>
              <w:rPr>
                <w:color w:val="000000"/>
                <w:sz w:val="20"/>
                <w:szCs w:val="20"/>
                <w:lang w:val="en-US" w:eastAsia="en-CA"/>
              </w:rPr>
            </w:pPr>
            <w:r>
              <w:rPr>
                <w:color w:val="000000"/>
                <w:sz w:val="20"/>
                <w:szCs w:val="20"/>
              </w:rPr>
              <w:t>27 065</w:t>
            </w:r>
          </w:p>
        </w:tc>
        <w:tc>
          <w:tcPr>
            <w:tcW w:w="938" w:type="dxa"/>
            <w:tcBorders>
              <w:top w:val="single" w:sz="4" w:space="0" w:color="auto"/>
              <w:left w:val="single" w:sz="4" w:space="0" w:color="auto"/>
              <w:bottom w:val="single" w:sz="4" w:space="0" w:color="auto"/>
              <w:right w:val="single" w:sz="4" w:space="0" w:color="auto"/>
            </w:tcBorders>
          </w:tcPr>
          <w:p w14:paraId="6A40574A" w14:textId="78FFC665"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37" w:type="dxa"/>
            <w:tcBorders>
              <w:top w:val="single" w:sz="4" w:space="0" w:color="auto"/>
              <w:left w:val="single" w:sz="4" w:space="0" w:color="auto"/>
              <w:bottom w:val="single" w:sz="4" w:space="0" w:color="auto"/>
              <w:right w:val="single" w:sz="4" w:space="0" w:color="auto"/>
            </w:tcBorders>
          </w:tcPr>
          <w:p w14:paraId="7EA338FC" w14:textId="030F5389"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24" w:type="dxa"/>
            <w:tcBorders>
              <w:top w:val="single" w:sz="4" w:space="0" w:color="auto"/>
              <w:left w:val="single" w:sz="4" w:space="0" w:color="auto"/>
              <w:bottom w:val="single" w:sz="4" w:space="0" w:color="auto"/>
              <w:right w:val="single" w:sz="4" w:space="0" w:color="auto"/>
            </w:tcBorders>
          </w:tcPr>
          <w:p w14:paraId="52F3AC8C" w14:textId="29B70BA5" w:rsidR="00A81BF7" w:rsidRPr="00580299" w:rsidRDefault="00A81BF7" w:rsidP="00A81BF7">
            <w:pPr>
              <w:spacing w:before="20" w:after="20"/>
              <w:jc w:val="right"/>
              <w:rPr>
                <w:color w:val="000000"/>
                <w:sz w:val="20"/>
                <w:szCs w:val="20"/>
                <w:lang w:val="en-US" w:eastAsia="en-CA"/>
              </w:rPr>
            </w:pPr>
            <w:r>
              <w:rPr>
                <w:color w:val="000000"/>
                <w:sz w:val="20"/>
                <w:szCs w:val="20"/>
              </w:rPr>
              <w:t>8 400</w:t>
            </w:r>
          </w:p>
        </w:tc>
        <w:tc>
          <w:tcPr>
            <w:tcW w:w="1108" w:type="dxa"/>
            <w:tcBorders>
              <w:top w:val="single" w:sz="4" w:space="0" w:color="auto"/>
              <w:left w:val="single" w:sz="4" w:space="0" w:color="auto"/>
              <w:bottom w:val="single" w:sz="4" w:space="0" w:color="auto"/>
              <w:right w:val="single" w:sz="4" w:space="0" w:color="auto"/>
            </w:tcBorders>
          </w:tcPr>
          <w:p w14:paraId="416192C4" w14:textId="0B1DFCD2" w:rsidR="00A81BF7" w:rsidRPr="00580299" w:rsidRDefault="00A81BF7" w:rsidP="00A81BF7">
            <w:pPr>
              <w:spacing w:before="20" w:after="20"/>
              <w:jc w:val="right"/>
              <w:rPr>
                <w:color w:val="000000"/>
                <w:sz w:val="20"/>
                <w:szCs w:val="20"/>
                <w:lang w:val="en-US" w:eastAsia="en-CA"/>
              </w:rPr>
            </w:pPr>
            <w:r>
              <w:rPr>
                <w:sz w:val="20"/>
                <w:szCs w:val="20"/>
              </w:rPr>
              <w:t>95 546</w:t>
            </w:r>
          </w:p>
        </w:tc>
      </w:tr>
      <w:tr w:rsidR="00A81BF7" w:rsidRPr="00580299" w14:paraId="0D348BEA" w14:textId="77777777" w:rsidTr="00757F6D">
        <w:trPr>
          <w:trHeight w:val="138"/>
        </w:trPr>
        <w:tc>
          <w:tcPr>
            <w:tcW w:w="1313" w:type="dxa"/>
            <w:vMerge/>
            <w:tcBorders>
              <w:top w:val="single" w:sz="4" w:space="0" w:color="auto"/>
              <w:left w:val="single" w:sz="4" w:space="0" w:color="auto"/>
              <w:bottom w:val="single" w:sz="4" w:space="0" w:color="auto"/>
              <w:right w:val="single" w:sz="4" w:space="0" w:color="auto"/>
            </w:tcBorders>
            <w:vAlign w:val="center"/>
            <w:hideMark/>
          </w:tcPr>
          <w:p w14:paraId="0974B7DB" w14:textId="77777777" w:rsidR="00A81BF7" w:rsidRPr="00580299" w:rsidRDefault="00A81BF7" w:rsidP="00A81BF7">
            <w:pPr>
              <w:spacing w:before="20" w:after="20"/>
              <w:ind w:left="38"/>
              <w:rPr>
                <w:sz w:val="20"/>
                <w:szCs w:val="20"/>
                <w:lang w:val="en-US"/>
              </w:rPr>
            </w:pPr>
          </w:p>
        </w:tc>
        <w:tc>
          <w:tcPr>
            <w:tcW w:w="1407" w:type="dxa"/>
            <w:vMerge w:val="restart"/>
            <w:tcBorders>
              <w:top w:val="single" w:sz="4" w:space="0" w:color="auto"/>
              <w:left w:val="single" w:sz="4" w:space="0" w:color="auto"/>
              <w:bottom w:val="single" w:sz="4" w:space="0" w:color="auto"/>
              <w:right w:val="single" w:sz="4" w:space="0" w:color="auto"/>
            </w:tcBorders>
            <w:vAlign w:val="center"/>
            <w:hideMark/>
          </w:tcPr>
          <w:p w14:paraId="5DBDF146" w14:textId="668D62D1" w:rsidR="00A81BF7" w:rsidRPr="00580299" w:rsidRDefault="00A81BF7" w:rsidP="00A81BF7">
            <w:pPr>
              <w:spacing w:before="20" w:after="20"/>
              <w:ind w:left="-61" w:right="-86"/>
              <w:jc w:val="center"/>
              <w:rPr>
                <w:caps/>
                <w:sz w:val="20"/>
                <w:szCs w:val="20"/>
                <w:lang w:val="en-US"/>
              </w:rPr>
            </w:pPr>
            <w:r>
              <w:rPr>
                <w:color w:val="000000" w:themeColor="text1"/>
                <w:sz w:val="20"/>
                <w:szCs w:val="20"/>
              </w:rPr>
              <w:t>PNUE</w:t>
            </w:r>
          </w:p>
        </w:tc>
        <w:tc>
          <w:tcPr>
            <w:tcW w:w="1691" w:type="dxa"/>
            <w:tcBorders>
              <w:top w:val="single" w:sz="4" w:space="0" w:color="auto"/>
              <w:left w:val="single" w:sz="4" w:space="0" w:color="auto"/>
              <w:bottom w:val="single" w:sz="4" w:space="0" w:color="auto"/>
              <w:right w:val="single" w:sz="4" w:space="0" w:color="auto"/>
            </w:tcBorders>
            <w:hideMark/>
          </w:tcPr>
          <w:p w14:paraId="5ADDE46B" w14:textId="77777777" w:rsidR="00A81BF7" w:rsidRPr="00580299" w:rsidRDefault="00A81BF7" w:rsidP="00A81BF7">
            <w:pPr>
              <w:spacing w:before="20" w:after="20"/>
              <w:ind w:left="38"/>
              <w:jc w:val="left"/>
              <w:rPr>
                <w:sz w:val="20"/>
                <w:szCs w:val="20"/>
                <w:lang w:val="en-US"/>
              </w:rPr>
            </w:pPr>
            <w:r>
              <w:rPr>
                <w:sz w:val="20"/>
                <w:szCs w:val="20"/>
              </w:rPr>
              <w:t>Coûts du projet</w:t>
            </w:r>
          </w:p>
        </w:tc>
        <w:tc>
          <w:tcPr>
            <w:tcW w:w="970" w:type="dxa"/>
            <w:tcBorders>
              <w:top w:val="single" w:sz="4" w:space="0" w:color="auto"/>
              <w:left w:val="single" w:sz="4" w:space="0" w:color="auto"/>
              <w:bottom w:val="single" w:sz="4" w:space="0" w:color="auto"/>
              <w:right w:val="single" w:sz="4" w:space="0" w:color="auto"/>
            </w:tcBorders>
          </w:tcPr>
          <w:p w14:paraId="0D90BC7C" w14:textId="0BE0EE40" w:rsidR="00A81BF7" w:rsidRPr="00580299" w:rsidRDefault="00A81BF7" w:rsidP="00A81BF7">
            <w:pPr>
              <w:spacing w:before="20" w:after="20"/>
              <w:ind w:left="38"/>
              <w:jc w:val="right"/>
              <w:rPr>
                <w:color w:val="000000"/>
                <w:sz w:val="20"/>
                <w:szCs w:val="20"/>
                <w:lang w:val="en-US" w:eastAsia="en-CA"/>
              </w:rPr>
            </w:pPr>
            <w:r>
              <w:rPr>
                <w:sz w:val="20"/>
                <w:szCs w:val="20"/>
              </w:rPr>
              <w:t>76 000</w:t>
            </w:r>
          </w:p>
        </w:tc>
        <w:tc>
          <w:tcPr>
            <w:tcW w:w="806" w:type="dxa"/>
            <w:tcBorders>
              <w:top w:val="single" w:sz="4" w:space="0" w:color="auto"/>
              <w:left w:val="single" w:sz="4" w:space="0" w:color="auto"/>
              <w:bottom w:val="single" w:sz="4" w:space="0" w:color="auto"/>
              <w:right w:val="single" w:sz="4" w:space="0" w:color="auto"/>
            </w:tcBorders>
          </w:tcPr>
          <w:p w14:paraId="049B8BD6" w14:textId="0F949D22"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37" w:type="dxa"/>
            <w:tcBorders>
              <w:top w:val="single" w:sz="4" w:space="0" w:color="auto"/>
              <w:left w:val="single" w:sz="4" w:space="0" w:color="auto"/>
              <w:bottom w:val="single" w:sz="4" w:space="0" w:color="auto"/>
              <w:right w:val="single" w:sz="4" w:space="0" w:color="auto"/>
            </w:tcBorders>
          </w:tcPr>
          <w:p w14:paraId="46B51CC5" w14:textId="7E8D4879" w:rsidR="00A81BF7" w:rsidRPr="00580299" w:rsidRDefault="00A81BF7" w:rsidP="00A81BF7">
            <w:pPr>
              <w:spacing w:before="20" w:after="20"/>
              <w:jc w:val="right"/>
              <w:rPr>
                <w:color w:val="000000"/>
                <w:sz w:val="20"/>
                <w:szCs w:val="20"/>
                <w:lang w:val="en-US" w:eastAsia="en-CA"/>
              </w:rPr>
            </w:pPr>
            <w:r>
              <w:rPr>
                <w:color w:val="000000"/>
                <w:sz w:val="20"/>
                <w:szCs w:val="20"/>
              </w:rPr>
              <w:t>100 000</w:t>
            </w:r>
          </w:p>
        </w:tc>
        <w:tc>
          <w:tcPr>
            <w:tcW w:w="938" w:type="dxa"/>
            <w:tcBorders>
              <w:top w:val="single" w:sz="4" w:space="0" w:color="auto"/>
              <w:left w:val="single" w:sz="4" w:space="0" w:color="auto"/>
              <w:bottom w:val="single" w:sz="4" w:space="0" w:color="auto"/>
              <w:right w:val="single" w:sz="4" w:space="0" w:color="auto"/>
            </w:tcBorders>
          </w:tcPr>
          <w:p w14:paraId="2D1D7AB3" w14:textId="076B19D0"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37" w:type="dxa"/>
            <w:tcBorders>
              <w:top w:val="single" w:sz="4" w:space="0" w:color="auto"/>
              <w:left w:val="single" w:sz="4" w:space="0" w:color="auto"/>
              <w:bottom w:val="single" w:sz="4" w:space="0" w:color="auto"/>
              <w:right w:val="single" w:sz="4" w:space="0" w:color="auto"/>
            </w:tcBorders>
          </w:tcPr>
          <w:p w14:paraId="046C05E1" w14:textId="7E044EE9"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24" w:type="dxa"/>
            <w:tcBorders>
              <w:top w:val="single" w:sz="4" w:space="0" w:color="auto"/>
              <w:left w:val="single" w:sz="4" w:space="0" w:color="auto"/>
              <w:bottom w:val="single" w:sz="4" w:space="0" w:color="auto"/>
              <w:right w:val="single" w:sz="4" w:space="0" w:color="auto"/>
            </w:tcBorders>
          </w:tcPr>
          <w:p w14:paraId="23942CCB" w14:textId="6E46860A" w:rsidR="00A81BF7" w:rsidRPr="00580299" w:rsidRDefault="00A81BF7" w:rsidP="00A81BF7">
            <w:pPr>
              <w:spacing w:before="20" w:after="20"/>
              <w:jc w:val="right"/>
              <w:rPr>
                <w:color w:val="000000"/>
                <w:sz w:val="20"/>
                <w:szCs w:val="20"/>
                <w:lang w:val="en-US" w:eastAsia="en-CA"/>
              </w:rPr>
            </w:pPr>
            <w:r>
              <w:rPr>
                <w:color w:val="000000"/>
                <w:sz w:val="20"/>
                <w:szCs w:val="20"/>
              </w:rPr>
              <w:t>24 000</w:t>
            </w:r>
          </w:p>
        </w:tc>
        <w:tc>
          <w:tcPr>
            <w:tcW w:w="1108" w:type="dxa"/>
            <w:tcBorders>
              <w:top w:val="single" w:sz="4" w:space="0" w:color="auto"/>
              <w:left w:val="single" w:sz="4" w:space="0" w:color="auto"/>
              <w:bottom w:val="single" w:sz="4" w:space="0" w:color="auto"/>
              <w:right w:val="single" w:sz="4" w:space="0" w:color="auto"/>
            </w:tcBorders>
          </w:tcPr>
          <w:p w14:paraId="5EF8E34B" w14:textId="1878C807" w:rsidR="00A81BF7" w:rsidRPr="00580299" w:rsidRDefault="00A81BF7" w:rsidP="00A81BF7">
            <w:pPr>
              <w:spacing w:before="20" w:after="20"/>
              <w:jc w:val="right"/>
              <w:rPr>
                <w:color w:val="000000"/>
                <w:sz w:val="20"/>
                <w:szCs w:val="20"/>
                <w:lang w:val="en-US" w:eastAsia="en-CA"/>
              </w:rPr>
            </w:pPr>
            <w:r>
              <w:rPr>
                <w:sz w:val="20"/>
                <w:szCs w:val="20"/>
              </w:rPr>
              <w:t>200 000</w:t>
            </w:r>
          </w:p>
        </w:tc>
      </w:tr>
      <w:tr w:rsidR="00A81BF7" w:rsidRPr="00580299" w14:paraId="0210CBA3" w14:textId="77777777" w:rsidTr="00757F6D">
        <w:trPr>
          <w:trHeight w:val="130"/>
        </w:trPr>
        <w:tc>
          <w:tcPr>
            <w:tcW w:w="1313" w:type="dxa"/>
            <w:vMerge/>
            <w:tcBorders>
              <w:top w:val="single" w:sz="4" w:space="0" w:color="auto"/>
              <w:left w:val="single" w:sz="4" w:space="0" w:color="auto"/>
              <w:bottom w:val="single" w:sz="4" w:space="0" w:color="auto"/>
              <w:right w:val="single" w:sz="4" w:space="0" w:color="auto"/>
            </w:tcBorders>
            <w:vAlign w:val="center"/>
            <w:hideMark/>
          </w:tcPr>
          <w:p w14:paraId="33E8576A" w14:textId="77777777" w:rsidR="00A81BF7" w:rsidRPr="00580299" w:rsidRDefault="00A81BF7" w:rsidP="00A81BF7">
            <w:pPr>
              <w:spacing w:before="20" w:after="20"/>
              <w:ind w:left="38"/>
              <w:rPr>
                <w:sz w:val="20"/>
                <w:szCs w:val="20"/>
                <w:lang w:val="en-US"/>
              </w:rPr>
            </w:pPr>
          </w:p>
        </w:tc>
        <w:tc>
          <w:tcPr>
            <w:tcW w:w="1407" w:type="dxa"/>
            <w:vMerge/>
            <w:tcBorders>
              <w:top w:val="single" w:sz="4" w:space="0" w:color="auto"/>
              <w:left w:val="single" w:sz="4" w:space="0" w:color="auto"/>
              <w:bottom w:val="single" w:sz="4" w:space="0" w:color="auto"/>
              <w:right w:val="single" w:sz="4" w:space="0" w:color="auto"/>
            </w:tcBorders>
            <w:hideMark/>
          </w:tcPr>
          <w:p w14:paraId="736E5B51" w14:textId="77777777" w:rsidR="00A81BF7" w:rsidRPr="00580299" w:rsidRDefault="00A81BF7" w:rsidP="00A81BF7">
            <w:pPr>
              <w:spacing w:before="20" w:after="20"/>
              <w:ind w:left="38"/>
              <w:rPr>
                <w:sz w:val="20"/>
                <w:szCs w:val="20"/>
                <w:lang w:val="en-US"/>
              </w:rPr>
            </w:pPr>
          </w:p>
        </w:tc>
        <w:tc>
          <w:tcPr>
            <w:tcW w:w="1691" w:type="dxa"/>
            <w:tcBorders>
              <w:top w:val="single" w:sz="4" w:space="0" w:color="auto"/>
              <w:left w:val="single" w:sz="4" w:space="0" w:color="auto"/>
              <w:bottom w:val="single" w:sz="4" w:space="0" w:color="auto"/>
              <w:right w:val="single" w:sz="4" w:space="0" w:color="auto"/>
            </w:tcBorders>
            <w:hideMark/>
          </w:tcPr>
          <w:p w14:paraId="6BB21C26" w14:textId="77777777" w:rsidR="00A81BF7" w:rsidRPr="00580299" w:rsidRDefault="00A81BF7" w:rsidP="00A81BF7">
            <w:pPr>
              <w:spacing w:before="20" w:after="20"/>
              <w:ind w:left="38"/>
              <w:jc w:val="left"/>
              <w:rPr>
                <w:sz w:val="20"/>
                <w:szCs w:val="20"/>
                <w:lang w:val="en-US"/>
              </w:rPr>
            </w:pPr>
            <w:r>
              <w:rPr>
                <w:sz w:val="20"/>
                <w:szCs w:val="20"/>
              </w:rPr>
              <w:t>Coûts d'appui</w:t>
            </w:r>
          </w:p>
        </w:tc>
        <w:tc>
          <w:tcPr>
            <w:tcW w:w="970" w:type="dxa"/>
            <w:tcBorders>
              <w:top w:val="single" w:sz="4" w:space="0" w:color="auto"/>
              <w:left w:val="single" w:sz="4" w:space="0" w:color="auto"/>
              <w:bottom w:val="single" w:sz="4" w:space="0" w:color="auto"/>
              <w:right w:val="single" w:sz="4" w:space="0" w:color="auto"/>
            </w:tcBorders>
          </w:tcPr>
          <w:p w14:paraId="2AEEC309" w14:textId="4F20D614" w:rsidR="00A81BF7" w:rsidRPr="00580299" w:rsidRDefault="00A81BF7" w:rsidP="00A81BF7">
            <w:pPr>
              <w:spacing w:before="20" w:after="20"/>
              <w:ind w:left="38"/>
              <w:jc w:val="right"/>
              <w:rPr>
                <w:color w:val="000000"/>
                <w:sz w:val="20"/>
                <w:szCs w:val="20"/>
                <w:lang w:val="en-US" w:eastAsia="en-CA"/>
              </w:rPr>
            </w:pPr>
            <w:r>
              <w:rPr>
                <w:sz w:val="20"/>
                <w:szCs w:val="20"/>
              </w:rPr>
              <w:t>9 880</w:t>
            </w:r>
          </w:p>
        </w:tc>
        <w:tc>
          <w:tcPr>
            <w:tcW w:w="806" w:type="dxa"/>
            <w:tcBorders>
              <w:top w:val="single" w:sz="4" w:space="0" w:color="auto"/>
              <w:left w:val="single" w:sz="4" w:space="0" w:color="auto"/>
              <w:bottom w:val="single" w:sz="4" w:space="0" w:color="auto"/>
              <w:right w:val="single" w:sz="4" w:space="0" w:color="auto"/>
            </w:tcBorders>
          </w:tcPr>
          <w:p w14:paraId="24BCF308" w14:textId="535CDC9E"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37" w:type="dxa"/>
            <w:tcBorders>
              <w:top w:val="single" w:sz="4" w:space="0" w:color="auto"/>
              <w:left w:val="single" w:sz="4" w:space="0" w:color="auto"/>
              <w:bottom w:val="single" w:sz="4" w:space="0" w:color="auto"/>
              <w:right w:val="single" w:sz="4" w:space="0" w:color="auto"/>
            </w:tcBorders>
          </w:tcPr>
          <w:p w14:paraId="28E4C289" w14:textId="0D223E66" w:rsidR="00A81BF7" w:rsidRPr="00580299" w:rsidRDefault="00A81BF7" w:rsidP="00A81BF7">
            <w:pPr>
              <w:spacing w:before="20" w:after="20"/>
              <w:jc w:val="right"/>
              <w:rPr>
                <w:color w:val="000000"/>
                <w:sz w:val="20"/>
                <w:szCs w:val="20"/>
                <w:lang w:val="en-US" w:eastAsia="en-CA"/>
              </w:rPr>
            </w:pPr>
            <w:r>
              <w:rPr>
                <w:color w:val="000000"/>
                <w:sz w:val="20"/>
                <w:szCs w:val="20"/>
              </w:rPr>
              <w:t>13 000</w:t>
            </w:r>
          </w:p>
        </w:tc>
        <w:tc>
          <w:tcPr>
            <w:tcW w:w="938" w:type="dxa"/>
            <w:tcBorders>
              <w:top w:val="single" w:sz="4" w:space="0" w:color="auto"/>
              <w:left w:val="single" w:sz="4" w:space="0" w:color="auto"/>
              <w:bottom w:val="single" w:sz="4" w:space="0" w:color="auto"/>
              <w:right w:val="single" w:sz="4" w:space="0" w:color="auto"/>
            </w:tcBorders>
          </w:tcPr>
          <w:p w14:paraId="6B07CFC5" w14:textId="32CA03A0"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37" w:type="dxa"/>
            <w:tcBorders>
              <w:top w:val="single" w:sz="4" w:space="0" w:color="auto"/>
              <w:left w:val="single" w:sz="4" w:space="0" w:color="auto"/>
              <w:bottom w:val="single" w:sz="4" w:space="0" w:color="auto"/>
              <w:right w:val="single" w:sz="4" w:space="0" w:color="auto"/>
            </w:tcBorders>
          </w:tcPr>
          <w:p w14:paraId="01490515" w14:textId="06543DEE" w:rsidR="00A81BF7" w:rsidRPr="00580299" w:rsidRDefault="00A81BF7" w:rsidP="00A81BF7">
            <w:pPr>
              <w:spacing w:before="20" w:after="20"/>
              <w:jc w:val="right"/>
              <w:rPr>
                <w:color w:val="000000"/>
                <w:sz w:val="20"/>
                <w:szCs w:val="20"/>
                <w:lang w:val="en-US" w:eastAsia="en-CA"/>
              </w:rPr>
            </w:pPr>
            <w:r>
              <w:rPr>
                <w:color w:val="000000"/>
                <w:sz w:val="20"/>
                <w:szCs w:val="20"/>
              </w:rPr>
              <w:t>0</w:t>
            </w:r>
          </w:p>
        </w:tc>
        <w:tc>
          <w:tcPr>
            <w:tcW w:w="924" w:type="dxa"/>
            <w:tcBorders>
              <w:top w:val="single" w:sz="4" w:space="0" w:color="auto"/>
              <w:left w:val="single" w:sz="4" w:space="0" w:color="auto"/>
              <w:bottom w:val="single" w:sz="4" w:space="0" w:color="auto"/>
              <w:right w:val="single" w:sz="4" w:space="0" w:color="auto"/>
            </w:tcBorders>
          </w:tcPr>
          <w:p w14:paraId="78C64FDC" w14:textId="22912A51" w:rsidR="00A81BF7" w:rsidRPr="00580299" w:rsidRDefault="00A81BF7" w:rsidP="00A81BF7">
            <w:pPr>
              <w:spacing w:before="20" w:after="20"/>
              <w:jc w:val="right"/>
              <w:rPr>
                <w:color w:val="000000"/>
                <w:sz w:val="20"/>
                <w:szCs w:val="20"/>
                <w:lang w:val="en-US" w:eastAsia="en-CA"/>
              </w:rPr>
            </w:pPr>
            <w:r>
              <w:rPr>
                <w:color w:val="000000"/>
                <w:sz w:val="20"/>
                <w:szCs w:val="20"/>
              </w:rPr>
              <w:t>3 120</w:t>
            </w:r>
          </w:p>
        </w:tc>
        <w:tc>
          <w:tcPr>
            <w:tcW w:w="1108" w:type="dxa"/>
            <w:tcBorders>
              <w:top w:val="single" w:sz="4" w:space="0" w:color="auto"/>
              <w:left w:val="single" w:sz="4" w:space="0" w:color="auto"/>
              <w:bottom w:val="single" w:sz="4" w:space="0" w:color="auto"/>
              <w:right w:val="single" w:sz="4" w:space="0" w:color="auto"/>
            </w:tcBorders>
          </w:tcPr>
          <w:p w14:paraId="25BA95C7" w14:textId="6C9E6FCF" w:rsidR="00A81BF7" w:rsidRPr="00580299" w:rsidRDefault="00A81BF7" w:rsidP="00A81BF7">
            <w:pPr>
              <w:spacing w:before="20" w:after="20"/>
              <w:jc w:val="right"/>
              <w:rPr>
                <w:color w:val="000000"/>
                <w:sz w:val="20"/>
                <w:szCs w:val="20"/>
                <w:lang w:val="en-US" w:eastAsia="en-CA"/>
              </w:rPr>
            </w:pPr>
            <w:r>
              <w:rPr>
                <w:sz w:val="20"/>
                <w:szCs w:val="20"/>
              </w:rPr>
              <w:t>26 000</w:t>
            </w:r>
          </w:p>
        </w:tc>
      </w:tr>
      <w:tr w:rsidR="00580299" w:rsidRPr="00580299" w14:paraId="01CFC73F" w14:textId="77777777" w:rsidTr="00757F6D">
        <w:trPr>
          <w:trHeight w:val="212"/>
        </w:trPr>
        <w:tc>
          <w:tcPr>
            <w:tcW w:w="2720" w:type="dxa"/>
            <w:gridSpan w:val="2"/>
            <w:vMerge w:val="restart"/>
            <w:tcBorders>
              <w:top w:val="single" w:sz="4" w:space="0" w:color="auto"/>
              <w:left w:val="single" w:sz="4" w:space="0" w:color="auto"/>
              <w:bottom w:val="single" w:sz="4" w:space="0" w:color="auto"/>
              <w:right w:val="single" w:sz="4" w:space="0" w:color="auto"/>
            </w:tcBorders>
            <w:hideMark/>
          </w:tcPr>
          <w:p w14:paraId="5960E59C" w14:textId="77777777" w:rsidR="00580299" w:rsidRPr="00763771" w:rsidRDefault="00580299" w:rsidP="00580299">
            <w:pPr>
              <w:spacing w:before="20" w:after="20"/>
              <w:ind w:left="38"/>
              <w:jc w:val="left"/>
              <w:rPr>
                <w:sz w:val="20"/>
                <w:szCs w:val="20"/>
                <w:lang w:val="fr-FR"/>
              </w:rPr>
            </w:pPr>
            <w:r>
              <w:rPr>
                <w:sz w:val="20"/>
                <w:szCs w:val="20"/>
              </w:rPr>
              <w:t>Fonds approuvés par ExCom (en $US)</w:t>
            </w:r>
          </w:p>
        </w:tc>
        <w:tc>
          <w:tcPr>
            <w:tcW w:w="1691" w:type="dxa"/>
            <w:tcBorders>
              <w:top w:val="single" w:sz="4" w:space="0" w:color="auto"/>
              <w:left w:val="single" w:sz="4" w:space="0" w:color="auto"/>
              <w:bottom w:val="single" w:sz="4" w:space="0" w:color="auto"/>
              <w:right w:val="single" w:sz="4" w:space="0" w:color="auto"/>
            </w:tcBorders>
            <w:hideMark/>
          </w:tcPr>
          <w:p w14:paraId="755570C1" w14:textId="77777777" w:rsidR="00580299" w:rsidRPr="00580299" w:rsidRDefault="00580299" w:rsidP="00580299">
            <w:pPr>
              <w:spacing w:before="20" w:after="20"/>
              <w:ind w:left="38"/>
              <w:jc w:val="left"/>
              <w:rPr>
                <w:sz w:val="20"/>
                <w:szCs w:val="20"/>
                <w:lang w:val="en-US"/>
              </w:rPr>
            </w:pPr>
            <w:r>
              <w:rPr>
                <w:sz w:val="20"/>
                <w:szCs w:val="20"/>
              </w:rPr>
              <w:t>Coûts du projet</w:t>
            </w:r>
          </w:p>
        </w:tc>
        <w:tc>
          <w:tcPr>
            <w:tcW w:w="970" w:type="dxa"/>
            <w:tcBorders>
              <w:top w:val="single" w:sz="4" w:space="0" w:color="auto"/>
              <w:left w:val="single" w:sz="4" w:space="0" w:color="auto"/>
              <w:bottom w:val="single" w:sz="4" w:space="0" w:color="auto"/>
              <w:right w:val="single" w:sz="4" w:space="0" w:color="auto"/>
            </w:tcBorders>
          </w:tcPr>
          <w:p w14:paraId="69D3A036" w14:textId="78DB512D" w:rsidR="00580299" w:rsidRPr="00580299" w:rsidRDefault="00580299" w:rsidP="00580299">
            <w:pPr>
              <w:spacing w:before="20" w:after="20"/>
              <w:ind w:left="38"/>
              <w:jc w:val="right"/>
              <w:rPr>
                <w:color w:val="000000"/>
                <w:sz w:val="20"/>
                <w:szCs w:val="20"/>
                <w:lang w:val="en-US" w:eastAsia="en-CA"/>
              </w:rPr>
            </w:pPr>
            <w:r>
              <w:rPr>
                <w:color w:val="000000"/>
                <w:sz w:val="20"/>
                <w:szCs w:val="20"/>
              </w:rPr>
              <w:t>934 306</w:t>
            </w:r>
          </w:p>
        </w:tc>
        <w:tc>
          <w:tcPr>
            <w:tcW w:w="806" w:type="dxa"/>
            <w:tcBorders>
              <w:top w:val="single" w:sz="4" w:space="0" w:color="auto"/>
              <w:left w:val="single" w:sz="4" w:space="0" w:color="auto"/>
              <w:bottom w:val="single" w:sz="4" w:space="0" w:color="auto"/>
              <w:right w:val="single" w:sz="4" w:space="0" w:color="auto"/>
            </w:tcBorders>
          </w:tcPr>
          <w:p w14:paraId="76B61A72" w14:textId="2EFF98D4" w:rsidR="00580299" w:rsidRPr="00580299" w:rsidRDefault="00580299" w:rsidP="00580299">
            <w:pPr>
              <w:spacing w:before="20" w:after="20"/>
              <w:jc w:val="right"/>
              <w:rPr>
                <w:color w:val="000000"/>
                <w:sz w:val="20"/>
                <w:szCs w:val="20"/>
                <w:lang w:val="en-US" w:eastAsia="en-CA"/>
              </w:rPr>
            </w:pPr>
            <w:r>
              <w:rPr>
                <w:color w:val="000000"/>
                <w:sz w:val="20"/>
                <w:szCs w:val="20"/>
              </w:rPr>
              <w:t>0</w:t>
            </w:r>
          </w:p>
        </w:tc>
        <w:tc>
          <w:tcPr>
            <w:tcW w:w="937" w:type="dxa"/>
            <w:tcBorders>
              <w:top w:val="single" w:sz="4" w:space="0" w:color="auto"/>
              <w:left w:val="single" w:sz="4" w:space="0" w:color="auto"/>
              <w:bottom w:val="single" w:sz="4" w:space="0" w:color="auto"/>
              <w:right w:val="single" w:sz="4" w:space="0" w:color="auto"/>
            </w:tcBorders>
          </w:tcPr>
          <w:p w14:paraId="75F845C3" w14:textId="20A2E806" w:rsidR="00580299" w:rsidRPr="00580299" w:rsidRDefault="00CB53EF" w:rsidP="00580299">
            <w:pPr>
              <w:spacing w:before="20" w:after="20"/>
              <w:jc w:val="right"/>
              <w:rPr>
                <w:color w:val="000000"/>
                <w:sz w:val="20"/>
                <w:szCs w:val="20"/>
                <w:lang w:val="en-US" w:eastAsia="en-CA"/>
              </w:rPr>
            </w:pPr>
            <w:r>
              <w:rPr>
                <w:color w:val="000000"/>
                <w:sz w:val="20"/>
                <w:szCs w:val="20"/>
              </w:rPr>
              <w:t>0</w:t>
            </w:r>
          </w:p>
        </w:tc>
        <w:tc>
          <w:tcPr>
            <w:tcW w:w="938" w:type="dxa"/>
            <w:tcBorders>
              <w:top w:val="single" w:sz="4" w:space="0" w:color="auto"/>
              <w:left w:val="single" w:sz="4" w:space="0" w:color="auto"/>
              <w:bottom w:val="single" w:sz="4" w:space="0" w:color="auto"/>
              <w:right w:val="single" w:sz="4" w:space="0" w:color="auto"/>
            </w:tcBorders>
          </w:tcPr>
          <w:p w14:paraId="509952F5" w14:textId="09F2229A" w:rsidR="00580299" w:rsidRPr="00580299" w:rsidRDefault="00580299" w:rsidP="00580299">
            <w:pPr>
              <w:spacing w:before="20" w:after="20"/>
              <w:jc w:val="right"/>
              <w:rPr>
                <w:color w:val="000000"/>
                <w:sz w:val="20"/>
                <w:szCs w:val="20"/>
                <w:lang w:val="en-US" w:eastAsia="en-CA"/>
              </w:rPr>
            </w:pPr>
            <w:r>
              <w:rPr>
                <w:color w:val="000000"/>
                <w:sz w:val="20"/>
                <w:szCs w:val="20"/>
              </w:rPr>
              <w:t>486 640</w:t>
            </w:r>
          </w:p>
        </w:tc>
        <w:tc>
          <w:tcPr>
            <w:tcW w:w="937" w:type="dxa"/>
            <w:tcBorders>
              <w:top w:val="single" w:sz="4" w:space="0" w:color="auto"/>
              <w:left w:val="single" w:sz="4" w:space="0" w:color="auto"/>
              <w:bottom w:val="single" w:sz="4" w:space="0" w:color="auto"/>
              <w:right w:val="single" w:sz="4" w:space="0" w:color="auto"/>
            </w:tcBorders>
          </w:tcPr>
          <w:p w14:paraId="7655F8DD" w14:textId="40AF754F" w:rsidR="00580299" w:rsidRPr="00580299" w:rsidRDefault="00580299" w:rsidP="00580299">
            <w:pPr>
              <w:spacing w:before="20" w:after="20"/>
              <w:jc w:val="right"/>
              <w:rPr>
                <w:color w:val="000000"/>
                <w:sz w:val="20"/>
                <w:szCs w:val="20"/>
                <w:lang w:val="en-US" w:eastAsia="en-CA"/>
              </w:rPr>
            </w:pPr>
            <w:r>
              <w:rPr>
                <w:color w:val="000000"/>
                <w:sz w:val="20"/>
                <w:szCs w:val="20"/>
              </w:rPr>
              <w:t>0</w:t>
            </w:r>
          </w:p>
        </w:tc>
        <w:tc>
          <w:tcPr>
            <w:tcW w:w="924" w:type="dxa"/>
            <w:tcBorders>
              <w:top w:val="single" w:sz="4" w:space="0" w:color="auto"/>
              <w:left w:val="single" w:sz="4" w:space="0" w:color="auto"/>
              <w:bottom w:val="single" w:sz="4" w:space="0" w:color="auto"/>
              <w:right w:val="single" w:sz="4" w:space="0" w:color="auto"/>
            </w:tcBorders>
          </w:tcPr>
          <w:p w14:paraId="5CE506E5" w14:textId="5DF6CEAB" w:rsidR="00580299" w:rsidRPr="00580299" w:rsidRDefault="00580299" w:rsidP="00580299">
            <w:pPr>
              <w:spacing w:before="20" w:after="20"/>
              <w:jc w:val="right"/>
              <w:rPr>
                <w:color w:val="000000"/>
                <w:sz w:val="20"/>
                <w:szCs w:val="20"/>
                <w:lang w:val="en-US" w:eastAsia="en-CA"/>
              </w:rPr>
            </w:pPr>
          </w:p>
        </w:tc>
        <w:tc>
          <w:tcPr>
            <w:tcW w:w="1108" w:type="dxa"/>
            <w:tcBorders>
              <w:top w:val="single" w:sz="4" w:space="0" w:color="auto"/>
              <w:left w:val="single" w:sz="4" w:space="0" w:color="auto"/>
              <w:bottom w:val="single" w:sz="4" w:space="0" w:color="auto"/>
              <w:right w:val="single" w:sz="4" w:space="0" w:color="auto"/>
            </w:tcBorders>
          </w:tcPr>
          <w:p w14:paraId="25106A6E" w14:textId="318F9AEA" w:rsidR="00580299" w:rsidRPr="00580299" w:rsidRDefault="00580299" w:rsidP="00580299">
            <w:pPr>
              <w:spacing w:before="20" w:after="20"/>
              <w:jc w:val="right"/>
              <w:rPr>
                <w:color w:val="000000"/>
                <w:sz w:val="20"/>
                <w:szCs w:val="20"/>
                <w:lang w:val="en-US" w:eastAsia="en-CA"/>
              </w:rPr>
            </w:pPr>
            <w:r>
              <w:rPr>
                <w:color w:val="000000"/>
                <w:sz w:val="20"/>
                <w:szCs w:val="20"/>
              </w:rPr>
              <w:t>1 420 946</w:t>
            </w:r>
          </w:p>
        </w:tc>
      </w:tr>
      <w:tr w:rsidR="00580299" w:rsidRPr="00580299" w14:paraId="626E5620" w14:textId="77777777" w:rsidTr="00757F6D">
        <w:trPr>
          <w:trHeight w:val="82"/>
        </w:trPr>
        <w:tc>
          <w:tcPr>
            <w:tcW w:w="2720" w:type="dxa"/>
            <w:gridSpan w:val="2"/>
            <w:vMerge/>
            <w:tcBorders>
              <w:top w:val="single" w:sz="4" w:space="0" w:color="auto"/>
              <w:left w:val="single" w:sz="4" w:space="0" w:color="auto"/>
              <w:bottom w:val="single" w:sz="4" w:space="0" w:color="auto"/>
              <w:right w:val="single" w:sz="4" w:space="0" w:color="auto"/>
            </w:tcBorders>
            <w:hideMark/>
          </w:tcPr>
          <w:p w14:paraId="1B1B61BA" w14:textId="77777777" w:rsidR="00580299" w:rsidRPr="00580299" w:rsidRDefault="00580299" w:rsidP="00580299">
            <w:pPr>
              <w:spacing w:before="20" w:after="20"/>
              <w:ind w:left="38"/>
              <w:jc w:val="left"/>
              <w:rPr>
                <w:sz w:val="20"/>
                <w:szCs w:val="20"/>
                <w:lang w:val="en-US"/>
              </w:rPr>
            </w:pPr>
          </w:p>
        </w:tc>
        <w:tc>
          <w:tcPr>
            <w:tcW w:w="1691" w:type="dxa"/>
            <w:tcBorders>
              <w:top w:val="single" w:sz="4" w:space="0" w:color="auto"/>
              <w:left w:val="single" w:sz="4" w:space="0" w:color="auto"/>
              <w:bottom w:val="single" w:sz="4" w:space="0" w:color="auto"/>
              <w:right w:val="single" w:sz="4" w:space="0" w:color="auto"/>
            </w:tcBorders>
            <w:hideMark/>
          </w:tcPr>
          <w:p w14:paraId="0480EC00" w14:textId="77777777" w:rsidR="00580299" w:rsidRPr="00580299" w:rsidRDefault="00580299" w:rsidP="00580299">
            <w:pPr>
              <w:spacing w:before="20" w:after="20"/>
              <w:ind w:left="38"/>
              <w:jc w:val="left"/>
              <w:rPr>
                <w:sz w:val="20"/>
                <w:szCs w:val="20"/>
                <w:lang w:val="en-US"/>
              </w:rPr>
            </w:pPr>
            <w:r>
              <w:rPr>
                <w:sz w:val="20"/>
                <w:szCs w:val="20"/>
              </w:rPr>
              <w:t>Coûts d'appui</w:t>
            </w:r>
          </w:p>
        </w:tc>
        <w:tc>
          <w:tcPr>
            <w:tcW w:w="970" w:type="dxa"/>
            <w:tcBorders>
              <w:top w:val="single" w:sz="4" w:space="0" w:color="auto"/>
              <w:left w:val="single" w:sz="4" w:space="0" w:color="auto"/>
              <w:bottom w:val="single" w:sz="4" w:space="0" w:color="auto"/>
              <w:right w:val="single" w:sz="4" w:space="0" w:color="auto"/>
            </w:tcBorders>
          </w:tcPr>
          <w:p w14:paraId="60EA74CB" w14:textId="10C621BD" w:rsidR="00580299" w:rsidRPr="00580299" w:rsidRDefault="00580299" w:rsidP="00580299">
            <w:pPr>
              <w:spacing w:before="20" w:after="20"/>
              <w:ind w:left="38"/>
              <w:jc w:val="right"/>
              <w:rPr>
                <w:color w:val="000000"/>
                <w:sz w:val="20"/>
                <w:szCs w:val="20"/>
                <w:lang w:val="en-US" w:eastAsia="en-CA"/>
              </w:rPr>
            </w:pPr>
            <w:r>
              <w:rPr>
                <w:color w:val="000000"/>
                <w:sz w:val="20"/>
                <w:szCs w:val="20"/>
              </w:rPr>
              <w:t>69 961</w:t>
            </w:r>
          </w:p>
        </w:tc>
        <w:tc>
          <w:tcPr>
            <w:tcW w:w="806" w:type="dxa"/>
            <w:tcBorders>
              <w:top w:val="single" w:sz="4" w:space="0" w:color="auto"/>
              <w:left w:val="single" w:sz="4" w:space="0" w:color="auto"/>
              <w:bottom w:val="single" w:sz="4" w:space="0" w:color="auto"/>
              <w:right w:val="single" w:sz="4" w:space="0" w:color="auto"/>
            </w:tcBorders>
          </w:tcPr>
          <w:p w14:paraId="1D8F83D0" w14:textId="1E96DA27" w:rsidR="00580299" w:rsidRPr="00580299" w:rsidRDefault="00580299" w:rsidP="00580299">
            <w:pPr>
              <w:spacing w:before="20" w:after="20"/>
              <w:jc w:val="right"/>
              <w:rPr>
                <w:color w:val="000000"/>
                <w:sz w:val="20"/>
                <w:szCs w:val="20"/>
                <w:lang w:val="en-US" w:eastAsia="en-CA"/>
              </w:rPr>
            </w:pPr>
            <w:r>
              <w:rPr>
                <w:color w:val="000000"/>
                <w:sz w:val="20"/>
                <w:szCs w:val="20"/>
              </w:rPr>
              <w:t>0</w:t>
            </w:r>
          </w:p>
        </w:tc>
        <w:tc>
          <w:tcPr>
            <w:tcW w:w="937" w:type="dxa"/>
            <w:tcBorders>
              <w:top w:val="single" w:sz="4" w:space="0" w:color="auto"/>
              <w:left w:val="single" w:sz="4" w:space="0" w:color="auto"/>
              <w:bottom w:val="single" w:sz="4" w:space="0" w:color="auto"/>
              <w:right w:val="single" w:sz="4" w:space="0" w:color="auto"/>
            </w:tcBorders>
          </w:tcPr>
          <w:p w14:paraId="6590F761" w14:textId="09DA1F7A" w:rsidR="00580299" w:rsidRPr="00580299" w:rsidRDefault="00CB53EF" w:rsidP="00580299">
            <w:pPr>
              <w:spacing w:before="20" w:after="20"/>
              <w:jc w:val="right"/>
              <w:rPr>
                <w:color w:val="000000"/>
                <w:sz w:val="20"/>
                <w:szCs w:val="20"/>
                <w:lang w:val="en-US" w:eastAsia="en-CA"/>
              </w:rPr>
            </w:pPr>
            <w:r>
              <w:rPr>
                <w:color w:val="000000"/>
                <w:sz w:val="20"/>
                <w:szCs w:val="20"/>
              </w:rPr>
              <w:t>0</w:t>
            </w:r>
          </w:p>
        </w:tc>
        <w:tc>
          <w:tcPr>
            <w:tcW w:w="938" w:type="dxa"/>
            <w:tcBorders>
              <w:top w:val="single" w:sz="4" w:space="0" w:color="auto"/>
              <w:left w:val="single" w:sz="4" w:space="0" w:color="auto"/>
              <w:bottom w:val="single" w:sz="4" w:space="0" w:color="auto"/>
              <w:right w:val="single" w:sz="4" w:space="0" w:color="auto"/>
            </w:tcBorders>
          </w:tcPr>
          <w:p w14:paraId="056F2281" w14:textId="37053C19" w:rsidR="00580299" w:rsidRPr="00580299" w:rsidRDefault="00580299" w:rsidP="00580299">
            <w:pPr>
              <w:spacing w:before="20" w:after="20"/>
              <w:jc w:val="right"/>
              <w:rPr>
                <w:color w:val="000000"/>
                <w:sz w:val="20"/>
                <w:szCs w:val="20"/>
                <w:lang w:val="en-US" w:eastAsia="en-CA"/>
              </w:rPr>
            </w:pPr>
            <w:r>
              <w:rPr>
                <w:color w:val="000000"/>
                <w:sz w:val="20"/>
                <w:szCs w:val="20"/>
              </w:rPr>
              <w:t>40 065</w:t>
            </w:r>
          </w:p>
        </w:tc>
        <w:tc>
          <w:tcPr>
            <w:tcW w:w="937" w:type="dxa"/>
            <w:tcBorders>
              <w:top w:val="single" w:sz="4" w:space="0" w:color="auto"/>
              <w:left w:val="single" w:sz="4" w:space="0" w:color="auto"/>
              <w:bottom w:val="single" w:sz="4" w:space="0" w:color="auto"/>
              <w:right w:val="single" w:sz="4" w:space="0" w:color="auto"/>
            </w:tcBorders>
          </w:tcPr>
          <w:p w14:paraId="562D9E7A" w14:textId="26344027" w:rsidR="00580299" w:rsidRPr="00580299" w:rsidRDefault="00580299" w:rsidP="00580299">
            <w:pPr>
              <w:spacing w:before="20" w:after="20"/>
              <w:jc w:val="right"/>
              <w:rPr>
                <w:color w:val="000000"/>
                <w:sz w:val="20"/>
                <w:szCs w:val="20"/>
                <w:lang w:val="en-US" w:eastAsia="en-CA"/>
              </w:rPr>
            </w:pPr>
            <w:r>
              <w:rPr>
                <w:color w:val="000000"/>
                <w:sz w:val="20"/>
                <w:szCs w:val="20"/>
              </w:rPr>
              <w:t>0</w:t>
            </w:r>
          </w:p>
        </w:tc>
        <w:tc>
          <w:tcPr>
            <w:tcW w:w="924" w:type="dxa"/>
            <w:tcBorders>
              <w:top w:val="single" w:sz="4" w:space="0" w:color="auto"/>
              <w:left w:val="single" w:sz="4" w:space="0" w:color="auto"/>
              <w:bottom w:val="single" w:sz="4" w:space="0" w:color="auto"/>
              <w:right w:val="single" w:sz="4" w:space="0" w:color="auto"/>
            </w:tcBorders>
          </w:tcPr>
          <w:p w14:paraId="7A549AD6" w14:textId="606352E1" w:rsidR="00580299" w:rsidRPr="00580299" w:rsidRDefault="00580299" w:rsidP="00580299">
            <w:pPr>
              <w:spacing w:before="20" w:after="20"/>
              <w:jc w:val="right"/>
              <w:rPr>
                <w:color w:val="000000"/>
                <w:sz w:val="20"/>
                <w:szCs w:val="20"/>
                <w:lang w:val="en-US" w:eastAsia="en-CA"/>
              </w:rPr>
            </w:pPr>
          </w:p>
        </w:tc>
        <w:tc>
          <w:tcPr>
            <w:tcW w:w="1108" w:type="dxa"/>
            <w:tcBorders>
              <w:top w:val="single" w:sz="4" w:space="0" w:color="auto"/>
              <w:left w:val="single" w:sz="4" w:space="0" w:color="auto"/>
              <w:bottom w:val="single" w:sz="4" w:space="0" w:color="auto"/>
              <w:right w:val="single" w:sz="4" w:space="0" w:color="auto"/>
            </w:tcBorders>
          </w:tcPr>
          <w:p w14:paraId="138B4F4F" w14:textId="6D36E3D0" w:rsidR="00580299" w:rsidRPr="00580299" w:rsidRDefault="00580299" w:rsidP="00580299">
            <w:pPr>
              <w:spacing w:before="20" w:after="20"/>
              <w:jc w:val="right"/>
              <w:rPr>
                <w:color w:val="000000"/>
                <w:sz w:val="20"/>
                <w:szCs w:val="20"/>
                <w:lang w:val="en-US" w:eastAsia="en-CA"/>
              </w:rPr>
            </w:pPr>
            <w:r>
              <w:rPr>
                <w:color w:val="000000"/>
                <w:sz w:val="20"/>
                <w:szCs w:val="20"/>
              </w:rPr>
              <w:t>110 026</w:t>
            </w:r>
          </w:p>
        </w:tc>
      </w:tr>
      <w:tr w:rsidR="00A81BF7" w:rsidRPr="00580299" w14:paraId="274328DE" w14:textId="77777777" w:rsidTr="00757F6D">
        <w:trPr>
          <w:trHeight w:val="37"/>
        </w:trPr>
        <w:tc>
          <w:tcPr>
            <w:tcW w:w="2720" w:type="dxa"/>
            <w:gridSpan w:val="2"/>
            <w:vMerge w:val="restart"/>
            <w:tcBorders>
              <w:top w:val="single" w:sz="4" w:space="0" w:color="auto"/>
              <w:left w:val="single" w:sz="4" w:space="0" w:color="auto"/>
              <w:bottom w:val="single" w:sz="4" w:space="0" w:color="auto"/>
              <w:right w:val="single" w:sz="4" w:space="0" w:color="auto"/>
            </w:tcBorders>
            <w:hideMark/>
          </w:tcPr>
          <w:p w14:paraId="3DEAEDF4" w14:textId="77777777" w:rsidR="00A81BF7" w:rsidRPr="00763771" w:rsidRDefault="00A81BF7" w:rsidP="00A81BF7">
            <w:pPr>
              <w:spacing w:before="20" w:after="20"/>
              <w:ind w:left="38" w:right="-85"/>
              <w:jc w:val="left"/>
              <w:rPr>
                <w:sz w:val="20"/>
                <w:szCs w:val="20"/>
                <w:lang w:val="fr-FR"/>
              </w:rPr>
            </w:pPr>
            <w:r>
              <w:rPr>
                <w:sz w:val="20"/>
                <w:szCs w:val="20"/>
              </w:rPr>
              <w:t>Total des fonds recommandés pour approbation à la présente réunion (en $US)</w:t>
            </w:r>
          </w:p>
        </w:tc>
        <w:tc>
          <w:tcPr>
            <w:tcW w:w="1691" w:type="dxa"/>
            <w:tcBorders>
              <w:top w:val="single" w:sz="4" w:space="0" w:color="auto"/>
              <w:left w:val="single" w:sz="4" w:space="0" w:color="auto"/>
              <w:bottom w:val="single" w:sz="4" w:space="0" w:color="auto"/>
              <w:right w:val="single" w:sz="4" w:space="0" w:color="auto"/>
            </w:tcBorders>
            <w:hideMark/>
          </w:tcPr>
          <w:p w14:paraId="78B78BCB" w14:textId="77777777" w:rsidR="00A81BF7" w:rsidRPr="00580299" w:rsidRDefault="00A81BF7" w:rsidP="00A81BF7">
            <w:pPr>
              <w:spacing w:before="20" w:after="20"/>
              <w:ind w:left="38"/>
              <w:jc w:val="left"/>
              <w:rPr>
                <w:sz w:val="20"/>
                <w:szCs w:val="20"/>
                <w:lang w:val="en-US"/>
              </w:rPr>
            </w:pPr>
            <w:r>
              <w:rPr>
                <w:sz w:val="20"/>
                <w:szCs w:val="20"/>
              </w:rPr>
              <w:t>Coûts du projet</w:t>
            </w:r>
          </w:p>
        </w:tc>
        <w:tc>
          <w:tcPr>
            <w:tcW w:w="970" w:type="dxa"/>
            <w:tcBorders>
              <w:top w:val="single" w:sz="4" w:space="0" w:color="auto"/>
              <w:left w:val="single" w:sz="4" w:space="0" w:color="auto"/>
              <w:bottom w:val="single" w:sz="4" w:space="0" w:color="auto"/>
              <w:right w:val="single" w:sz="4" w:space="0" w:color="auto"/>
            </w:tcBorders>
          </w:tcPr>
          <w:p w14:paraId="347AE900" w14:textId="39E40603" w:rsidR="00A81BF7" w:rsidRPr="00580299" w:rsidRDefault="00A81BF7" w:rsidP="00A81BF7">
            <w:pPr>
              <w:spacing w:before="20" w:after="20"/>
              <w:ind w:left="38"/>
              <w:jc w:val="right"/>
              <w:rPr>
                <w:color w:val="000000"/>
                <w:sz w:val="20"/>
                <w:szCs w:val="20"/>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6A498162" w14:textId="657E5086" w:rsidR="00A81BF7" w:rsidRPr="00580299" w:rsidRDefault="00A81BF7" w:rsidP="00A81BF7">
            <w:pPr>
              <w:spacing w:before="20" w:after="20"/>
              <w:jc w:val="right"/>
              <w:rPr>
                <w:color w:val="000000"/>
                <w:sz w:val="20"/>
                <w:szCs w:val="20"/>
                <w:lang w:val="en-US" w:eastAsia="en-CA"/>
              </w:rPr>
            </w:pPr>
          </w:p>
        </w:tc>
        <w:tc>
          <w:tcPr>
            <w:tcW w:w="937" w:type="dxa"/>
            <w:tcBorders>
              <w:top w:val="single" w:sz="4" w:space="0" w:color="auto"/>
              <w:left w:val="single" w:sz="4" w:space="0" w:color="auto"/>
              <w:bottom w:val="single" w:sz="4" w:space="0" w:color="auto"/>
              <w:right w:val="single" w:sz="4" w:space="0" w:color="auto"/>
            </w:tcBorders>
          </w:tcPr>
          <w:p w14:paraId="06F0EEF8" w14:textId="77777777" w:rsidR="00A81BF7" w:rsidRPr="00580299" w:rsidRDefault="00A81BF7" w:rsidP="00A81BF7">
            <w:pPr>
              <w:spacing w:before="20" w:after="20"/>
              <w:jc w:val="right"/>
              <w:rPr>
                <w:color w:val="000000"/>
                <w:sz w:val="20"/>
                <w:szCs w:val="20"/>
                <w:lang w:val="en-US" w:eastAsia="en-CA"/>
              </w:rPr>
            </w:pPr>
          </w:p>
        </w:tc>
        <w:tc>
          <w:tcPr>
            <w:tcW w:w="938" w:type="dxa"/>
            <w:tcBorders>
              <w:top w:val="single" w:sz="4" w:space="0" w:color="auto"/>
              <w:left w:val="single" w:sz="4" w:space="0" w:color="auto"/>
              <w:bottom w:val="single" w:sz="4" w:space="0" w:color="auto"/>
              <w:right w:val="single" w:sz="4" w:space="0" w:color="auto"/>
            </w:tcBorders>
          </w:tcPr>
          <w:p w14:paraId="640C54B1" w14:textId="74185B95" w:rsidR="00A81BF7" w:rsidRPr="00580299" w:rsidRDefault="00A81BF7" w:rsidP="00A81BF7">
            <w:pPr>
              <w:spacing w:before="20" w:after="20"/>
              <w:jc w:val="right"/>
              <w:rPr>
                <w:color w:val="000000"/>
                <w:sz w:val="20"/>
                <w:szCs w:val="20"/>
                <w:lang w:val="en-US" w:eastAsia="en-CA"/>
              </w:rPr>
            </w:pPr>
          </w:p>
        </w:tc>
        <w:tc>
          <w:tcPr>
            <w:tcW w:w="937" w:type="dxa"/>
            <w:tcBorders>
              <w:top w:val="single" w:sz="4" w:space="0" w:color="auto"/>
              <w:left w:val="single" w:sz="4" w:space="0" w:color="auto"/>
              <w:bottom w:val="single" w:sz="4" w:space="0" w:color="auto"/>
              <w:right w:val="single" w:sz="4" w:space="0" w:color="auto"/>
            </w:tcBorders>
          </w:tcPr>
          <w:p w14:paraId="13C099C9" w14:textId="1BA06A3D" w:rsidR="00A81BF7" w:rsidRPr="00580299" w:rsidRDefault="00A81BF7" w:rsidP="00A81BF7">
            <w:pPr>
              <w:spacing w:before="20" w:after="20"/>
              <w:jc w:val="right"/>
              <w:rPr>
                <w:color w:val="000000"/>
                <w:sz w:val="20"/>
                <w:szCs w:val="20"/>
                <w:lang w:val="en-US" w:eastAsia="en-CA"/>
              </w:rPr>
            </w:pPr>
          </w:p>
        </w:tc>
        <w:tc>
          <w:tcPr>
            <w:tcW w:w="924" w:type="dxa"/>
            <w:tcBorders>
              <w:top w:val="single" w:sz="4" w:space="0" w:color="auto"/>
              <w:left w:val="single" w:sz="4" w:space="0" w:color="auto"/>
              <w:bottom w:val="single" w:sz="4" w:space="0" w:color="auto"/>
              <w:right w:val="single" w:sz="4" w:space="0" w:color="auto"/>
            </w:tcBorders>
          </w:tcPr>
          <w:p w14:paraId="76DB9ED9" w14:textId="5073A0D7" w:rsidR="00A81BF7" w:rsidRPr="00580299" w:rsidRDefault="00A81BF7" w:rsidP="00A81BF7">
            <w:pPr>
              <w:spacing w:before="20" w:after="20"/>
              <w:jc w:val="right"/>
              <w:rPr>
                <w:color w:val="000000"/>
                <w:sz w:val="20"/>
                <w:szCs w:val="20"/>
                <w:lang w:val="en-US" w:eastAsia="en-CA"/>
              </w:rPr>
            </w:pPr>
            <w:r>
              <w:rPr>
                <w:color w:val="000000"/>
                <w:sz w:val="20"/>
                <w:szCs w:val="20"/>
              </w:rPr>
              <w:t>144 000</w:t>
            </w:r>
          </w:p>
        </w:tc>
        <w:tc>
          <w:tcPr>
            <w:tcW w:w="1108" w:type="dxa"/>
            <w:tcBorders>
              <w:top w:val="single" w:sz="4" w:space="0" w:color="auto"/>
              <w:left w:val="single" w:sz="4" w:space="0" w:color="auto"/>
              <w:bottom w:val="single" w:sz="4" w:space="0" w:color="auto"/>
              <w:right w:val="single" w:sz="4" w:space="0" w:color="auto"/>
            </w:tcBorders>
          </w:tcPr>
          <w:p w14:paraId="4819F7C5" w14:textId="7EBB738F" w:rsidR="00A81BF7" w:rsidRPr="00580299" w:rsidRDefault="00A81BF7" w:rsidP="00A81BF7">
            <w:pPr>
              <w:spacing w:before="20" w:after="20"/>
              <w:jc w:val="right"/>
              <w:rPr>
                <w:color w:val="000000"/>
                <w:sz w:val="20"/>
                <w:szCs w:val="20"/>
                <w:lang w:val="en-US" w:eastAsia="en-CA"/>
              </w:rPr>
            </w:pPr>
            <w:r>
              <w:rPr>
                <w:color w:val="000000"/>
                <w:sz w:val="20"/>
                <w:szCs w:val="20"/>
              </w:rPr>
              <w:t>144 000</w:t>
            </w:r>
          </w:p>
        </w:tc>
      </w:tr>
      <w:tr w:rsidR="00A81BF7" w:rsidRPr="00580299" w14:paraId="444FDB4E" w14:textId="77777777" w:rsidTr="00757F6D">
        <w:trPr>
          <w:trHeight w:val="37"/>
        </w:trPr>
        <w:tc>
          <w:tcPr>
            <w:tcW w:w="2720" w:type="dxa"/>
            <w:gridSpan w:val="2"/>
            <w:vMerge/>
            <w:tcBorders>
              <w:top w:val="single" w:sz="4" w:space="0" w:color="auto"/>
              <w:left w:val="single" w:sz="4" w:space="0" w:color="auto"/>
              <w:bottom w:val="single" w:sz="4" w:space="0" w:color="auto"/>
              <w:right w:val="single" w:sz="4" w:space="0" w:color="auto"/>
            </w:tcBorders>
            <w:vAlign w:val="center"/>
            <w:hideMark/>
          </w:tcPr>
          <w:p w14:paraId="5683A07E" w14:textId="77777777" w:rsidR="00A81BF7" w:rsidRPr="00580299" w:rsidRDefault="00A81BF7" w:rsidP="00A81BF7">
            <w:pPr>
              <w:spacing w:before="20" w:after="20"/>
              <w:ind w:left="38"/>
              <w:rPr>
                <w:sz w:val="20"/>
                <w:szCs w:val="20"/>
                <w:lang w:val="en-US"/>
              </w:rPr>
            </w:pPr>
          </w:p>
        </w:tc>
        <w:tc>
          <w:tcPr>
            <w:tcW w:w="1691" w:type="dxa"/>
            <w:tcBorders>
              <w:top w:val="single" w:sz="4" w:space="0" w:color="auto"/>
              <w:left w:val="single" w:sz="4" w:space="0" w:color="auto"/>
              <w:bottom w:val="single" w:sz="4" w:space="0" w:color="auto"/>
              <w:right w:val="single" w:sz="4" w:space="0" w:color="auto"/>
            </w:tcBorders>
            <w:hideMark/>
          </w:tcPr>
          <w:p w14:paraId="12B0E56E" w14:textId="77777777" w:rsidR="00A81BF7" w:rsidRPr="00580299" w:rsidRDefault="00A81BF7" w:rsidP="00A81BF7">
            <w:pPr>
              <w:spacing w:before="20" w:after="20"/>
              <w:ind w:left="38"/>
              <w:jc w:val="left"/>
              <w:rPr>
                <w:sz w:val="20"/>
                <w:szCs w:val="20"/>
                <w:lang w:val="en-US"/>
              </w:rPr>
            </w:pPr>
            <w:r>
              <w:rPr>
                <w:sz w:val="20"/>
                <w:szCs w:val="20"/>
              </w:rPr>
              <w:t>Coûts d'appui</w:t>
            </w:r>
          </w:p>
        </w:tc>
        <w:tc>
          <w:tcPr>
            <w:tcW w:w="970" w:type="dxa"/>
            <w:tcBorders>
              <w:top w:val="single" w:sz="4" w:space="0" w:color="auto"/>
              <w:left w:val="single" w:sz="4" w:space="0" w:color="auto"/>
              <w:bottom w:val="single" w:sz="4" w:space="0" w:color="auto"/>
              <w:right w:val="single" w:sz="4" w:space="0" w:color="auto"/>
            </w:tcBorders>
          </w:tcPr>
          <w:p w14:paraId="275E76C4" w14:textId="40D59D0D" w:rsidR="00A81BF7" w:rsidRPr="00580299" w:rsidRDefault="00A81BF7" w:rsidP="00A81BF7">
            <w:pPr>
              <w:spacing w:before="20" w:after="20"/>
              <w:ind w:left="38"/>
              <w:jc w:val="right"/>
              <w:rPr>
                <w:color w:val="000000"/>
                <w:sz w:val="20"/>
                <w:szCs w:val="20"/>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6DFF13D1" w14:textId="63E7708C" w:rsidR="00A81BF7" w:rsidRPr="00580299" w:rsidRDefault="00A81BF7" w:rsidP="00A81BF7">
            <w:pPr>
              <w:spacing w:before="20" w:after="20"/>
              <w:jc w:val="right"/>
              <w:rPr>
                <w:color w:val="000000"/>
                <w:sz w:val="20"/>
                <w:szCs w:val="20"/>
                <w:lang w:val="en-US" w:eastAsia="en-CA"/>
              </w:rPr>
            </w:pPr>
          </w:p>
        </w:tc>
        <w:tc>
          <w:tcPr>
            <w:tcW w:w="937" w:type="dxa"/>
            <w:tcBorders>
              <w:top w:val="single" w:sz="4" w:space="0" w:color="auto"/>
              <w:left w:val="single" w:sz="4" w:space="0" w:color="auto"/>
              <w:bottom w:val="single" w:sz="4" w:space="0" w:color="auto"/>
              <w:right w:val="single" w:sz="4" w:space="0" w:color="auto"/>
            </w:tcBorders>
          </w:tcPr>
          <w:p w14:paraId="6981FA49" w14:textId="77777777" w:rsidR="00A81BF7" w:rsidRPr="00580299" w:rsidRDefault="00A81BF7" w:rsidP="00A81BF7">
            <w:pPr>
              <w:spacing w:before="20" w:after="20"/>
              <w:jc w:val="right"/>
              <w:rPr>
                <w:color w:val="000000"/>
                <w:sz w:val="20"/>
                <w:szCs w:val="20"/>
                <w:lang w:val="en-US" w:eastAsia="en-CA"/>
              </w:rPr>
            </w:pPr>
          </w:p>
        </w:tc>
        <w:tc>
          <w:tcPr>
            <w:tcW w:w="938" w:type="dxa"/>
            <w:tcBorders>
              <w:top w:val="single" w:sz="4" w:space="0" w:color="auto"/>
              <w:left w:val="single" w:sz="4" w:space="0" w:color="auto"/>
              <w:bottom w:val="single" w:sz="4" w:space="0" w:color="auto"/>
              <w:right w:val="single" w:sz="4" w:space="0" w:color="auto"/>
            </w:tcBorders>
          </w:tcPr>
          <w:p w14:paraId="3A6BAE0B" w14:textId="2E7BF15E" w:rsidR="00A81BF7" w:rsidRPr="00580299" w:rsidRDefault="00A81BF7" w:rsidP="00A81BF7">
            <w:pPr>
              <w:spacing w:before="20" w:after="20"/>
              <w:jc w:val="right"/>
              <w:rPr>
                <w:color w:val="000000"/>
                <w:sz w:val="20"/>
                <w:szCs w:val="20"/>
                <w:lang w:val="en-US" w:eastAsia="en-CA"/>
              </w:rPr>
            </w:pPr>
          </w:p>
        </w:tc>
        <w:tc>
          <w:tcPr>
            <w:tcW w:w="937" w:type="dxa"/>
            <w:tcBorders>
              <w:top w:val="single" w:sz="4" w:space="0" w:color="auto"/>
              <w:left w:val="single" w:sz="4" w:space="0" w:color="auto"/>
              <w:bottom w:val="single" w:sz="4" w:space="0" w:color="auto"/>
              <w:right w:val="single" w:sz="4" w:space="0" w:color="auto"/>
            </w:tcBorders>
          </w:tcPr>
          <w:p w14:paraId="4C9394B2" w14:textId="7BC7790D" w:rsidR="00A81BF7" w:rsidRPr="00580299" w:rsidRDefault="00A81BF7" w:rsidP="00A81BF7">
            <w:pPr>
              <w:spacing w:before="20" w:after="20"/>
              <w:jc w:val="right"/>
              <w:rPr>
                <w:color w:val="000000"/>
                <w:sz w:val="20"/>
                <w:szCs w:val="20"/>
                <w:lang w:val="en-US" w:eastAsia="en-CA"/>
              </w:rPr>
            </w:pPr>
          </w:p>
        </w:tc>
        <w:tc>
          <w:tcPr>
            <w:tcW w:w="924" w:type="dxa"/>
            <w:tcBorders>
              <w:top w:val="single" w:sz="4" w:space="0" w:color="auto"/>
              <w:left w:val="single" w:sz="4" w:space="0" w:color="auto"/>
              <w:bottom w:val="single" w:sz="4" w:space="0" w:color="auto"/>
              <w:right w:val="single" w:sz="4" w:space="0" w:color="auto"/>
            </w:tcBorders>
          </w:tcPr>
          <w:p w14:paraId="52C43946" w14:textId="7EEE4A84" w:rsidR="00A81BF7" w:rsidRPr="00580299" w:rsidRDefault="00A81BF7" w:rsidP="00A81BF7">
            <w:pPr>
              <w:spacing w:before="20" w:after="20"/>
              <w:jc w:val="right"/>
              <w:rPr>
                <w:color w:val="000000"/>
                <w:sz w:val="20"/>
                <w:szCs w:val="20"/>
                <w:lang w:val="en-US" w:eastAsia="en-CA"/>
              </w:rPr>
            </w:pPr>
            <w:r>
              <w:rPr>
                <w:color w:val="000000"/>
                <w:sz w:val="20"/>
                <w:szCs w:val="20"/>
              </w:rPr>
              <w:t>11 520</w:t>
            </w:r>
          </w:p>
        </w:tc>
        <w:tc>
          <w:tcPr>
            <w:tcW w:w="1108" w:type="dxa"/>
            <w:tcBorders>
              <w:top w:val="single" w:sz="4" w:space="0" w:color="auto"/>
              <w:left w:val="single" w:sz="4" w:space="0" w:color="auto"/>
              <w:bottom w:val="single" w:sz="4" w:space="0" w:color="auto"/>
              <w:right w:val="single" w:sz="4" w:space="0" w:color="auto"/>
            </w:tcBorders>
          </w:tcPr>
          <w:p w14:paraId="5000A892" w14:textId="784D202B" w:rsidR="00A81BF7" w:rsidRPr="00580299" w:rsidRDefault="00A81BF7" w:rsidP="00A81BF7">
            <w:pPr>
              <w:spacing w:before="20" w:after="20"/>
              <w:jc w:val="right"/>
              <w:rPr>
                <w:color w:val="000000"/>
                <w:sz w:val="20"/>
                <w:szCs w:val="20"/>
                <w:lang w:val="en-US" w:eastAsia="en-CA"/>
              </w:rPr>
            </w:pPr>
            <w:r>
              <w:rPr>
                <w:color w:val="000000"/>
                <w:sz w:val="20"/>
                <w:szCs w:val="20"/>
              </w:rPr>
              <w:t>11 520</w:t>
            </w:r>
          </w:p>
        </w:tc>
      </w:tr>
    </w:tbl>
    <w:p w14:paraId="65C46172" w14:textId="77777777" w:rsidR="0096482F" w:rsidRPr="00EC176C" w:rsidRDefault="0096482F" w:rsidP="00676185">
      <w:pPr>
        <w:jc w:val="left"/>
        <w:rPr>
          <w:sz w:val="18"/>
          <w:szCs w:val="18"/>
        </w:rPr>
      </w:pPr>
    </w:p>
    <w:tbl>
      <w:tblPr>
        <w:tblStyle w:val="TableGrid"/>
        <w:tblW w:w="11070"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37"/>
        <w:gridCol w:w="6633"/>
      </w:tblGrid>
      <w:tr w:rsidR="00E9063C" w:rsidRPr="00E9063C" w14:paraId="7677CECD" w14:textId="77777777" w:rsidTr="00757F6D">
        <w:trPr>
          <w:trHeight w:val="42"/>
        </w:trPr>
        <w:tc>
          <w:tcPr>
            <w:tcW w:w="4437" w:type="dxa"/>
            <w:vAlign w:val="center"/>
            <w:hideMark/>
          </w:tcPr>
          <w:p w14:paraId="5A9CF418" w14:textId="77777777" w:rsidR="00E9063C" w:rsidRPr="00E9063C" w:rsidRDefault="00E9063C" w:rsidP="00E9063C">
            <w:pPr>
              <w:spacing w:after="60"/>
              <w:jc w:val="left"/>
              <w:rPr>
                <w:b/>
                <w:sz w:val="20"/>
                <w:szCs w:val="20"/>
                <w:lang w:val="en-US"/>
              </w:rPr>
            </w:pPr>
            <w:r>
              <w:rPr>
                <w:b/>
                <w:sz w:val="20"/>
                <w:szCs w:val="20"/>
              </w:rPr>
              <w:t>Recommandation du secrétariat :</w:t>
            </w:r>
          </w:p>
        </w:tc>
        <w:tc>
          <w:tcPr>
            <w:tcW w:w="6633" w:type="dxa"/>
            <w:hideMark/>
          </w:tcPr>
          <w:p w14:paraId="524D31AE" w14:textId="4519829C" w:rsidR="00E9063C" w:rsidRPr="00E9063C" w:rsidRDefault="00E9063C" w:rsidP="00E9063C">
            <w:pPr>
              <w:spacing w:after="60"/>
              <w:jc w:val="center"/>
              <w:rPr>
                <w:sz w:val="20"/>
                <w:szCs w:val="20"/>
                <w:lang w:val="en-US"/>
              </w:rPr>
            </w:pPr>
            <w:r>
              <w:rPr>
                <w:sz w:val="20"/>
                <w:szCs w:val="20"/>
              </w:rPr>
              <w:t>Approbation générale</w:t>
            </w:r>
          </w:p>
        </w:tc>
      </w:tr>
    </w:tbl>
    <w:p w14:paraId="2114CDDF" w14:textId="248DD372" w:rsidR="00E9063C" w:rsidRPr="009F0B2A" w:rsidRDefault="00E9063C" w:rsidP="00757F6D">
      <w:pPr>
        <w:spacing w:after="240"/>
        <w:jc w:val="center"/>
        <w:rPr>
          <w:b/>
        </w:rPr>
      </w:pPr>
      <w:r w:rsidRPr="00E9063C">
        <w:br w:type="page"/>
      </w:r>
      <w:r>
        <w:rPr>
          <w:b/>
        </w:rPr>
        <w:lastRenderedPageBreak/>
        <w:t>DESCRIPTION DU PROJET</w:t>
      </w:r>
    </w:p>
    <w:p w14:paraId="362AADF8" w14:textId="5F5CBA5B" w:rsidR="00E9063C" w:rsidRPr="009F0B2A" w:rsidRDefault="00E9063C" w:rsidP="00082DA7">
      <w:pPr>
        <w:pStyle w:val="Heading1"/>
      </w:pPr>
      <w:r>
        <w:t>Au nom du Gouvernement tunisien, l'ONUDI, en tant qu'agence d'exécution principale, a soumis une demande de financement pour la troisième et dernière tranche de la phase II du plan de gestion de l'élimination des HCFC (PGEH), d'un montant de 155 520 $US, constitué de 120 000 $US, auxquels s'ajoutent les coûts d'appui d'agence de 8 400 $US pour l'ONUDI et 24 000 $US, plus les coûts d'appui d'agence de 3 120 pour le PNUE</w:t>
      </w:r>
      <w:r>
        <w:rPr>
          <w:vertAlign w:val="superscript"/>
        </w:rPr>
        <w:footnoteReference w:id="2"/>
      </w:r>
      <w:r>
        <w:t>. La soumission comprend un rapport de synthèse sur la mise en œuvre de la deuxième tranche, le rapport de vérification sur la consommation de HCFC pour la période 2023-2024 et le plan de mise en œuvre de la tranche pour 2026.</w:t>
      </w:r>
    </w:p>
    <w:p w14:paraId="1E60C149" w14:textId="77777777" w:rsidR="00E9063C" w:rsidRPr="009F0B2A" w:rsidRDefault="00E9063C" w:rsidP="00E9063C">
      <w:pPr>
        <w:keepNext/>
        <w:spacing w:after="240"/>
        <w:rPr>
          <w:u w:val="single"/>
        </w:rPr>
      </w:pPr>
      <w:r>
        <w:rPr>
          <w:u w:val="single"/>
        </w:rPr>
        <w:t>Rapport sur la consommation de HCFC</w:t>
      </w:r>
    </w:p>
    <w:p w14:paraId="3D6227CB" w14:textId="06E9F05A" w:rsidR="00CE1ACC" w:rsidRPr="009F0B2A" w:rsidRDefault="00E9063C" w:rsidP="006E413E">
      <w:pPr>
        <w:pStyle w:val="Heading1"/>
      </w:pPr>
      <w:r>
        <w:t>Le Gouvernement tunisien a déclaré une consommation de 14,98 tonnes PAO de HCFC en 2024, soit 63 pour cent en deçà de la valeur de référence de conformité du pays en matière de HCFC. La consommation de HCFC pour la période 2020</w:t>
      </w:r>
      <w:r>
        <w:noBreakHyphen/>
        <w:t>2024 est présentée dans le tableau 1.</w:t>
      </w:r>
    </w:p>
    <w:p w14:paraId="2775082A" w14:textId="77777777" w:rsidR="006E413E" w:rsidRPr="009F0B2A" w:rsidRDefault="006E413E" w:rsidP="006E413E">
      <w:pPr>
        <w:keepNext/>
        <w:spacing w:before="240"/>
        <w:outlineLvl w:val="0"/>
        <w:rPr>
          <w:b/>
          <w:color w:val="000000" w:themeColor="text1"/>
        </w:rPr>
      </w:pPr>
      <w:r>
        <w:rPr>
          <w:b/>
          <w:color w:val="000000" w:themeColor="text1"/>
        </w:rPr>
        <w:t>Tableau 1. Consommation de HCFC en Tunisie (données de l'article 7 pour 2020-2024)</w:t>
      </w:r>
    </w:p>
    <w:tbl>
      <w:tblPr>
        <w:tblW w:w="5005" w:type="pct"/>
        <w:tblInd w:w="-5" w:type="dxa"/>
        <w:tblLook w:val="04A0" w:firstRow="1" w:lastRow="0" w:firstColumn="1" w:lastColumn="0" w:noHBand="0" w:noVBand="1"/>
      </w:tblPr>
      <w:tblGrid>
        <w:gridCol w:w="3587"/>
        <w:gridCol w:w="985"/>
        <w:gridCol w:w="981"/>
        <w:gridCol w:w="981"/>
        <w:gridCol w:w="800"/>
        <w:gridCol w:w="892"/>
        <w:gridCol w:w="1133"/>
      </w:tblGrid>
      <w:tr w:rsidR="003F4FED" w:rsidRPr="00D37BE7" w14:paraId="06D180E3" w14:textId="77777777" w:rsidTr="00085461">
        <w:trPr>
          <w:trHeight w:val="467"/>
          <w:tblHeader/>
        </w:trPr>
        <w:tc>
          <w:tcPr>
            <w:tcW w:w="19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C6F57E" w14:textId="77777777" w:rsidR="006E413E" w:rsidRPr="00D37BE7" w:rsidRDefault="006E413E" w:rsidP="00362AF2">
            <w:pPr>
              <w:keepNext/>
              <w:jc w:val="center"/>
              <w:rPr>
                <w:b/>
                <w:bCs/>
                <w:color w:val="000000" w:themeColor="text1"/>
                <w:sz w:val="20"/>
                <w:szCs w:val="20"/>
              </w:rPr>
            </w:pPr>
            <w:r>
              <w:rPr>
                <w:b/>
                <w:bCs/>
                <w:color w:val="000000" w:themeColor="text1"/>
                <w:sz w:val="20"/>
                <w:szCs w:val="20"/>
              </w:rPr>
              <w:t>HCFC</w:t>
            </w:r>
          </w:p>
        </w:tc>
        <w:tc>
          <w:tcPr>
            <w:tcW w:w="531" w:type="pct"/>
            <w:tcBorders>
              <w:top w:val="single" w:sz="4" w:space="0" w:color="auto"/>
              <w:left w:val="nil"/>
              <w:bottom w:val="single" w:sz="4" w:space="0" w:color="auto"/>
              <w:right w:val="single" w:sz="4" w:space="0" w:color="auto"/>
            </w:tcBorders>
            <w:noWrap/>
            <w:vAlign w:val="center"/>
            <w:hideMark/>
          </w:tcPr>
          <w:p w14:paraId="1EC4D27E" w14:textId="77777777" w:rsidR="006E413E" w:rsidRPr="00D37BE7" w:rsidRDefault="006E413E" w:rsidP="00362AF2">
            <w:pPr>
              <w:keepNext/>
              <w:jc w:val="center"/>
              <w:rPr>
                <w:b/>
                <w:bCs/>
                <w:color w:val="000000" w:themeColor="text1"/>
                <w:sz w:val="20"/>
                <w:szCs w:val="20"/>
              </w:rPr>
            </w:pPr>
            <w:r>
              <w:rPr>
                <w:b/>
                <w:bCs/>
                <w:color w:val="000000" w:themeColor="text1"/>
                <w:sz w:val="20"/>
                <w:szCs w:val="20"/>
              </w:rPr>
              <w:t>2020</w:t>
            </w:r>
          </w:p>
        </w:tc>
        <w:tc>
          <w:tcPr>
            <w:tcW w:w="529" w:type="pct"/>
            <w:tcBorders>
              <w:top w:val="single" w:sz="4" w:space="0" w:color="auto"/>
              <w:left w:val="nil"/>
              <w:bottom w:val="single" w:sz="4" w:space="0" w:color="auto"/>
              <w:right w:val="single" w:sz="4" w:space="0" w:color="auto"/>
            </w:tcBorders>
            <w:noWrap/>
            <w:vAlign w:val="center"/>
            <w:hideMark/>
          </w:tcPr>
          <w:p w14:paraId="7FCBFEF1" w14:textId="77777777" w:rsidR="006E413E" w:rsidRPr="00D37BE7" w:rsidRDefault="006E413E" w:rsidP="00362AF2">
            <w:pPr>
              <w:keepNext/>
              <w:jc w:val="center"/>
              <w:rPr>
                <w:b/>
                <w:bCs/>
                <w:color w:val="000000" w:themeColor="text1"/>
                <w:sz w:val="20"/>
                <w:szCs w:val="20"/>
              </w:rPr>
            </w:pPr>
            <w:r>
              <w:rPr>
                <w:b/>
                <w:bCs/>
                <w:color w:val="000000" w:themeColor="text1"/>
                <w:sz w:val="20"/>
                <w:szCs w:val="20"/>
              </w:rPr>
              <w:t>2021</w:t>
            </w:r>
          </w:p>
        </w:tc>
        <w:tc>
          <w:tcPr>
            <w:tcW w:w="529" w:type="pct"/>
            <w:tcBorders>
              <w:top w:val="single" w:sz="4" w:space="0" w:color="auto"/>
              <w:left w:val="nil"/>
              <w:bottom w:val="single" w:sz="4" w:space="0" w:color="auto"/>
              <w:right w:val="single" w:sz="4" w:space="0" w:color="auto"/>
            </w:tcBorders>
            <w:noWrap/>
            <w:vAlign w:val="center"/>
            <w:hideMark/>
          </w:tcPr>
          <w:p w14:paraId="50005537" w14:textId="77777777" w:rsidR="006E413E" w:rsidRPr="00D37BE7" w:rsidRDefault="006E413E" w:rsidP="00362AF2">
            <w:pPr>
              <w:keepNext/>
              <w:jc w:val="center"/>
              <w:rPr>
                <w:b/>
                <w:bCs/>
                <w:color w:val="000000" w:themeColor="text1"/>
                <w:sz w:val="20"/>
                <w:szCs w:val="20"/>
              </w:rPr>
            </w:pPr>
            <w:r>
              <w:rPr>
                <w:b/>
                <w:bCs/>
                <w:color w:val="000000" w:themeColor="text1"/>
                <w:sz w:val="20"/>
                <w:szCs w:val="20"/>
              </w:rPr>
              <w:t>2022</w:t>
            </w:r>
          </w:p>
        </w:tc>
        <w:tc>
          <w:tcPr>
            <w:tcW w:w="432" w:type="pct"/>
            <w:tcBorders>
              <w:top w:val="single" w:sz="4" w:space="0" w:color="auto"/>
              <w:left w:val="nil"/>
              <w:bottom w:val="single" w:sz="4" w:space="0" w:color="auto"/>
              <w:right w:val="single" w:sz="4" w:space="0" w:color="auto"/>
            </w:tcBorders>
            <w:vAlign w:val="center"/>
          </w:tcPr>
          <w:p w14:paraId="37D20DF3" w14:textId="77777777" w:rsidR="006E413E" w:rsidRPr="00D37BE7" w:rsidRDefault="006E413E" w:rsidP="00362AF2">
            <w:pPr>
              <w:keepNext/>
              <w:jc w:val="center"/>
              <w:rPr>
                <w:b/>
                <w:bCs/>
                <w:color w:val="000000" w:themeColor="text1"/>
                <w:sz w:val="20"/>
                <w:szCs w:val="20"/>
              </w:rPr>
            </w:pPr>
            <w:r>
              <w:rPr>
                <w:b/>
                <w:bCs/>
                <w:color w:val="000000" w:themeColor="text1"/>
                <w:sz w:val="20"/>
                <w:szCs w:val="20"/>
              </w:rPr>
              <w:t>2023</w:t>
            </w:r>
          </w:p>
        </w:tc>
        <w:tc>
          <w:tcPr>
            <w:tcW w:w="481" w:type="pct"/>
            <w:tcBorders>
              <w:top w:val="single" w:sz="4" w:space="0" w:color="auto"/>
              <w:left w:val="single" w:sz="4" w:space="0" w:color="auto"/>
              <w:bottom w:val="single" w:sz="4" w:space="0" w:color="auto"/>
              <w:right w:val="single" w:sz="4" w:space="0" w:color="auto"/>
            </w:tcBorders>
            <w:vAlign w:val="center"/>
          </w:tcPr>
          <w:p w14:paraId="106DFD7F" w14:textId="77777777" w:rsidR="006E413E" w:rsidRPr="00D37BE7" w:rsidRDefault="006E413E" w:rsidP="00362AF2">
            <w:pPr>
              <w:keepNext/>
              <w:jc w:val="center"/>
              <w:rPr>
                <w:b/>
                <w:bCs/>
                <w:color w:val="000000" w:themeColor="text1"/>
                <w:sz w:val="20"/>
                <w:szCs w:val="20"/>
              </w:rPr>
            </w:pPr>
            <w:r>
              <w:rPr>
                <w:b/>
                <w:bCs/>
                <w:color w:val="000000" w:themeColor="text1"/>
                <w:sz w:val="20"/>
                <w:szCs w:val="20"/>
              </w:rPr>
              <w:t>2024</w:t>
            </w: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4BDDA48E" w14:textId="77777777" w:rsidR="003F4FED" w:rsidRDefault="006E413E" w:rsidP="00362AF2">
            <w:pPr>
              <w:keepNext/>
              <w:jc w:val="center"/>
              <w:rPr>
                <w:b/>
                <w:bCs/>
                <w:color w:val="000000" w:themeColor="text1"/>
                <w:sz w:val="20"/>
                <w:szCs w:val="20"/>
              </w:rPr>
            </w:pPr>
            <w:r>
              <w:rPr>
                <w:b/>
                <w:bCs/>
                <w:color w:val="000000" w:themeColor="text1"/>
                <w:sz w:val="20"/>
                <w:szCs w:val="20"/>
              </w:rPr>
              <w:t>Valeurs de</w:t>
            </w:r>
          </w:p>
          <w:p w14:paraId="66A298EC" w14:textId="53966641" w:rsidR="006E413E" w:rsidRPr="00D37BE7" w:rsidRDefault="006E413E" w:rsidP="00362AF2">
            <w:pPr>
              <w:keepNext/>
              <w:jc w:val="center"/>
              <w:rPr>
                <w:b/>
                <w:bCs/>
                <w:color w:val="000000" w:themeColor="text1"/>
                <w:sz w:val="20"/>
                <w:szCs w:val="20"/>
              </w:rPr>
            </w:pPr>
            <w:r>
              <w:rPr>
                <w:b/>
                <w:bCs/>
                <w:color w:val="000000" w:themeColor="text1"/>
                <w:sz w:val="20"/>
                <w:szCs w:val="20"/>
              </w:rPr>
              <w:t xml:space="preserve"> référence</w:t>
            </w:r>
          </w:p>
        </w:tc>
      </w:tr>
      <w:tr w:rsidR="006E413E" w:rsidRPr="00D37BE7" w14:paraId="6EDB3B08" w14:textId="77777777" w:rsidTr="00085461">
        <w:trPr>
          <w:trHeight w:val="246"/>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E4A2E34" w14:textId="77777777" w:rsidR="006E413E" w:rsidRPr="00D37BE7" w:rsidRDefault="006E413E" w:rsidP="00362AF2">
            <w:pPr>
              <w:keepNext/>
              <w:ind w:left="98"/>
              <w:jc w:val="left"/>
              <w:rPr>
                <w:b/>
                <w:bCs/>
                <w:color w:val="000000" w:themeColor="text1"/>
                <w:sz w:val="20"/>
                <w:szCs w:val="20"/>
              </w:rPr>
            </w:pPr>
            <w:r>
              <w:rPr>
                <w:b/>
                <w:bCs/>
                <w:color w:val="000000" w:themeColor="text1"/>
                <w:sz w:val="20"/>
                <w:szCs w:val="20"/>
              </w:rPr>
              <w:t>Tonnes métriques (mt)</w:t>
            </w:r>
          </w:p>
        </w:tc>
      </w:tr>
      <w:tr w:rsidR="003F4FED" w:rsidRPr="00D37BE7" w14:paraId="76781241" w14:textId="77777777" w:rsidTr="00085461">
        <w:trPr>
          <w:trHeight w:val="264"/>
        </w:trPr>
        <w:tc>
          <w:tcPr>
            <w:tcW w:w="192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74A04F" w14:textId="77777777" w:rsidR="006E413E" w:rsidRPr="00D37BE7" w:rsidRDefault="006E413E" w:rsidP="00362AF2">
            <w:pPr>
              <w:widowControl w:val="0"/>
              <w:ind w:left="98"/>
              <w:jc w:val="left"/>
              <w:rPr>
                <w:color w:val="000000" w:themeColor="text1"/>
                <w:sz w:val="20"/>
                <w:szCs w:val="20"/>
              </w:rPr>
            </w:pPr>
            <w:r>
              <w:rPr>
                <w:color w:val="000000" w:themeColor="text1"/>
                <w:sz w:val="20"/>
                <w:szCs w:val="20"/>
              </w:rPr>
              <w:t>HCFC-22</w:t>
            </w:r>
          </w:p>
        </w:tc>
        <w:tc>
          <w:tcPr>
            <w:tcW w:w="531" w:type="pct"/>
            <w:tcBorders>
              <w:top w:val="nil"/>
              <w:left w:val="nil"/>
              <w:bottom w:val="single" w:sz="4" w:space="0" w:color="auto"/>
              <w:right w:val="single" w:sz="4" w:space="0" w:color="auto"/>
            </w:tcBorders>
            <w:noWrap/>
            <w:vAlign w:val="center"/>
          </w:tcPr>
          <w:p w14:paraId="7436E105"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422,30</w:t>
            </w:r>
          </w:p>
        </w:tc>
        <w:tc>
          <w:tcPr>
            <w:tcW w:w="529" w:type="pct"/>
            <w:tcBorders>
              <w:top w:val="nil"/>
              <w:left w:val="nil"/>
              <w:bottom w:val="single" w:sz="4" w:space="0" w:color="auto"/>
              <w:right w:val="single" w:sz="4" w:space="0" w:color="auto"/>
            </w:tcBorders>
            <w:noWrap/>
            <w:vAlign w:val="center"/>
          </w:tcPr>
          <w:p w14:paraId="7863736D"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376,18</w:t>
            </w:r>
          </w:p>
        </w:tc>
        <w:tc>
          <w:tcPr>
            <w:tcW w:w="529" w:type="pct"/>
            <w:tcBorders>
              <w:top w:val="nil"/>
              <w:left w:val="nil"/>
              <w:bottom w:val="single" w:sz="4" w:space="0" w:color="auto"/>
              <w:right w:val="single" w:sz="4" w:space="0" w:color="auto"/>
            </w:tcBorders>
            <w:noWrap/>
            <w:vAlign w:val="center"/>
          </w:tcPr>
          <w:p w14:paraId="1A500B1F"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375,40</w:t>
            </w:r>
          </w:p>
        </w:tc>
        <w:tc>
          <w:tcPr>
            <w:tcW w:w="432" w:type="pct"/>
            <w:tcBorders>
              <w:top w:val="single" w:sz="4" w:space="0" w:color="auto"/>
              <w:left w:val="nil"/>
              <w:bottom w:val="single" w:sz="4" w:space="0" w:color="auto"/>
              <w:right w:val="single" w:sz="2" w:space="0" w:color="auto"/>
            </w:tcBorders>
            <w:vAlign w:val="center"/>
          </w:tcPr>
          <w:p w14:paraId="0BC754BE" w14:textId="77777777" w:rsidR="006E413E" w:rsidRPr="00D37BE7" w:rsidRDefault="006E413E" w:rsidP="00085461">
            <w:pPr>
              <w:widowControl w:val="0"/>
              <w:tabs>
                <w:tab w:val="left" w:pos="430"/>
              </w:tabs>
              <w:ind w:left="-137" w:right="63"/>
              <w:jc w:val="right"/>
              <w:rPr>
                <w:color w:val="000000" w:themeColor="text1"/>
                <w:sz w:val="20"/>
                <w:szCs w:val="20"/>
              </w:rPr>
            </w:pPr>
            <w:r>
              <w:rPr>
                <w:color w:val="000000" w:themeColor="text1"/>
                <w:sz w:val="20"/>
                <w:szCs w:val="20"/>
              </w:rPr>
              <w:t>325,16</w:t>
            </w:r>
          </w:p>
        </w:tc>
        <w:tc>
          <w:tcPr>
            <w:tcW w:w="481" w:type="pct"/>
            <w:tcBorders>
              <w:top w:val="single" w:sz="2" w:space="0" w:color="auto"/>
              <w:left w:val="single" w:sz="2" w:space="0" w:color="auto"/>
              <w:bottom w:val="single" w:sz="2" w:space="0" w:color="auto"/>
              <w:right w:val="single" w:sz="2" w:space="0" w:color="auto"/>
            </w:tcBorders>
            <w:vAlign w:val="center"/>
          </w:tcPr>
          <w:p w14:paraId="790AC480" w14:textId="77777777" w:rsidR="006E413E" w:rsidRPr="00D37BE7" w:rsidRDefault="006E413E" w:rsidP="00085461">
            <w:pPr>
              <w:widowControl w:val="0"/>
              <w:tabs>
                <w:tab w:val="left" w:pos="430"/>
              </w:tabs>
              <w:ind w:left="-137" w:right="63"/>
              <w:jc w:val="right"/>
              <w:rPr>
                <w:color w:val="000000" w:themeColor="text1"/>
                <w:sz w:val="20"/>
                <w:szCs w:val="20"/>
              </w:rPr>
            </w:pPr>
            <w:r>
              <w:rPr>
                <w:color w:val="000000" w:themeColor="text1"/>
                <w:sz w:val="20"/>
                <w:szCs w:val="20"/>
              </w:rPr>
              <w:t>272,31</w:t>
            </w:r>
          </w:p>
        </w:tc>
        <w:tc>
          <w:tcPr>
            <w:tcW w:w="577" w:type="pct"/>
            <w:tcBorders>
              <w:top w:val="nil"/>
              <w:left w:val="single" w:sz="2" w:space="0" w:color="auto"/>
              <w:bottom w:val="single" w:sz="4" w:space="0" w:color="auto"/>
              <w:right w:val="single" w:sz="4" w:space="0" w:color="auto"/>
            </w:tcBorders>
            <w:noWrap/>
            <w:vAlign w:val="center"/>
          </w:tcPr>
          <w:p w14:paraId="2D216DA5" w14:textId="77777777" w:rsidR="006E413E" w:rsidRPr="00D37BE7" w:rsidRDefault="006E413E" w:rsidP="00601FDE">
            <w:pPr>
              <w:widowControl w:val="0"/>
              <w:tabs>
                <w:tab w:val="left" w:pos="430"/>
              </w:tabs>
              <w:ind w:left="61" w:right="63"/>
              <w:jc w:val="right"/>
              <w:rPr>
                <w:color w:val="000000" w:themeColor="text1"/>
                <w:sz w:val="20"/>
                <w:szCs w:val="20"/>
              </w:rPr>
            </w:pPr>
            <w:r>
              <w:rPr>
                <w:color w:val="000000" w:themeColor="text1"/>
                <w:sz w:val="20"/>
                <w:szCs w:val="20"/>
              </w:rPr>
              <w:t>709,34</w:t>
            </w:r>
          </w:p>
        </w:tc>
      </w:tr>
      <w:tr w:rsidR="003F4FED" w:rsidRPr="00D37BE7" w14:paraId="36E02CAE" w14:textId="77777777" w:rsidTr="00085461">
        <w:trPr>
          <w:trHeight w:val="273"/>
        </w:trPr>
        <w:tc>
          <w:tcPr>
            <w:tcW w:w="192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761341B" w14:textId="77777777" w:rsidR="006E413E" w:rsidRPr="00D37BE7" w:rsidRDefault="006E413E" w:rsidP="00362AF2">
            <w:pPr>
              <w:widowControl w:val="0"/>
              <w:ind w:left="98"/>
              <w:jc w:val="left"/>
              <w:rPr>
                <w:color w:val="000000" w:themeColor="text1"/>
                <w:sz w:val="20"/>
                <w:szCs w:val="20"/>
              </w:rPr>
            </w:pPr>
            <w:r>
              <w:rPr>
                <w:color w:val="000000" w:themeColor="text1"/>
                <w:sz w:val="20"/>
                <w:szCs w:val="20"/>
              </w:rPr>
              <w:t>HCFC-123</w:t>
            </w:r>
          </w:p>
        </w:tc>
        <w:tc>
          <w:tcPr>
            <w:tcW w:w="531" w:type="pct"/>
            <w:tcBorders>
              <w:top w:val="nil"/>
              <w:left w:val="nil"/>
              <w:bottom w:val="single" w:sz="4" w:space="0" w:color="auto"/>
              <w:right w:val="single" w:sz="4" w:space="0" w:color="auto"/>
            </w:tcBorders>
            <w:noWrap/>
            <w:vAlign w:val="center"/>
          </w:tcPr>
          <w:p w14:paraId="6718F09C"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0,50</w:t>
            </w:r>
          </w:p>
        </w:tc>
        <w:tc>
          <w:tcPr>
            <w:tcW w:w="529" w:type="pct"/>
            <w:tcBorders>
              <w:top w:val="nil"/>
              <w:left w:val="nil"/>
              <w:bottom w:val="single" w:sz="4" w:space="0" w:color="auto"/>
              <w:right w:val="single" w:sz="4" w:space="0" w:color="auto"/>
            </w:tcBorders>
            <w:noWrap/>
            <w:vAlign w:val="center"/>
          </w:tcPr>
          <w:p w14:paraId="42D373CD"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0,00</w:t>
            </w:r>
          </w:p>
        </w:tc>
        <w:tc>
          <w:tcPr>
            <w:tcW w:w="529" w:type="pct"/>
            <w:tcBorders>
              <w:top w:val="nil"/>
              <w:left w:val="nil"/>
              <w:bottom w:val="single" w:sz="4" w:space="0" w:color="auto"/>
              <w:right w:val="single" w:sz="4" w:space="0" w:color="auto"/>
            </w:tcBorders>
            <w:noWrap/>
            <w:vAlign w:val="center"/>
          </w:tcPr>
          <w:p w14:paraId="450E653A"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0,00</w:t>
            </w:r>
          </w:p>
        </w:tc>
        <w:tc>
          <w:tcPr>
            <w:tcW w:w="432" w:type="pct"/>
            <w:tcBorders>
              <w:top w:val="single" w:sz="4" w:space="0" w:color="auto"/>
              <w:left w:val="nil"/>
              <w:bottom w:val="single" w:sz="4" w:space="0" w:color="auto"/>
              <w:right w:val="single" w:sz="2" w:space="0" w:color="auto"/>
            </w:tcBorders>
            <w:vAlign w:val="center"/>
          </w:tcPr>
          <w:p w14:paraId="544E2F2C" w14:textId="77777777" w:rsidR="006E413E" w:rsidRPr="00D37BE7" w:rsidRDefault="006E413E" w:rsidP="00085461">
            <w:pPr>
              <w:widowControl w:val="0"/>
              <w:tabs>
                <w:tab w:val="left" w:pos="430"/>
              </w:tabs>
              <w:ind w:left="-137" w:right="63"/>
              <w:jc w:val="right"/>
              <w:rPr>
                <w:color w:val="000000" w:themeColor="text1"/>
                <w:sz w:val="20"/>
                <w:szCs w:val="20"/>
              </w:rPr>
            </w:pPr>
            <w:r>
              <w:rPr>
                <w:color w:val="000000" w:themeColor="text1"/>
                <w:sz w:val="20"/>
                <w:szCs w:val="20"/>
              </w:rPr>
              <w:t>0,00</w:t>
            </w:r>
          </w:p>
        </w:tc>
        <w:tc>
          <w:tcPr>
            <w:tcW w:w="481" w:type="pct"/>
            <w:tcBorders>
              <w:top w:val="single" w:sz="2" w:space="0" w:color="auto"/>
              <w:left w:val="single" w:sz="2" w:space="0" w:color="auto"/>
              <w:bottom w:val="single" w:sz="2" w:space="0" w:color="auto"/>
              <w:right w:val="single" w:sz="2" w:space="0" w:color="auto"/>
            </w:tcBorders>
            <w:vAlign w:val="center"/>
          </w:tcPr>
          <w:p w14:paraId="5674814D" w14:textId="77777777" w:rsidR="006E413E" w:rsidRPr="00D37BE7" w:rsidRDefault="006E413E" w:rsidP="00085461">
            <w:pPr>
              <w:widowControl w:val="0"/>
              <w:tabs>
                <w:tab w:val="left" w:pos="430"/>
              </w:tabs>
              <w:ind w:left="-137" w:right="63"/>
              <w:jc w:val="right"/>
              <w:rPr>
                <w:color w:val="000000" w:themeColor="text1"/>
                <w:sz w:val="20"/>
                <w:szCs w:val="20"/>
              </w:rPr>
            </w:pPr>
            <w:r>
              <w:rPr>
                <w:color w:val="000000" w:themeColor="text1"/>
                <w:sz w:val="20"/>
                <w:szCs w:val="20"/>
              </w:rPr>
              <w:t>0,00</w:t>
            </w:r>
          </w:p>
        </w:tc>
        <w:tc>
          <w:tcPr>
            <w:tcW w:w="577" w:type="pct"/>
            <w:tcBorders>
              <w:top w:val="nil"/>
              <w:left w:val="single" w:sz="2" w:space="0" w:color="auto"/>
              <w:bottom w:val="single" w:sz="4" w:space="0" w:color="auto"/>
              <w:right w:val="single" w:sz="4" w:space="0" w:color="auto"/>
            </w:tcBorders>
            <w:noWrap/>
            <w:vAlign w:val="center"/>
          </w:tcPr>
          <w:p w14:paraId="4E914A67"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s.o.</w:t>
            </w:r>
          </w:p>
        </w:tc>
      </w:tr>
      <w:tr w:rsidR="003F4FED" w:rsidRPr="00D37BE7" w14:paraId="6C5CB717" w14:textId="77777777" w:rsidTr="00085461">
        <w:trPr>
          <w:trHeight w:val="264"/>
        </w:trPr>
        <w:tc>
          <w:tcPr>
            <w:tcW w:w="192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11EF231" w14:textId="77777777" w:rsidR="006E413E" w:rsidRPr="00D37BE7" w:rsidRDefault="006E413E" w:rsidP="00362AF2">
            <w:pPr>
              <w:widowControl w:val="0"/>
              <w:ind w:left="98"/>
              <w:jc w:val="left"/>
              <w:rPr>
                <w:color w:val="000000" w:themeColor="text1"/>
                <w:sz w:val="20"/>
                <w:szCs w:val="20"/>
              </w:rPr>
            </w:pPr>
            <w:r>
              <w:rPr>
                <w:color w:val="000000" w:themeColor="text1"/>
                <w:sz w:val="20"/>
                <w:szCs w:val="20"/>
              </w:rPr>
              <w:t>HCFC-141b</w:t>
            </w:r>
          </w:p>
        </w:tc>
        <w:tc>
          <w:tcPr>
            <w:tcW w:w="531" w:type="pct"/>
            <w:tcBorders>
              <w:top w:val="nil"/>
              <w:left w:val="nil"/>
              <w:bottom w:val="single" w:sz="4" w:space="0" w:color="auto"/>
              <w:right w:val="single" w:sz="4" w:space="0" w:color="auto"/>
            </w:tcBorders>
            <w:noWrap/>
            <w:vAlign w:val="center"/>
          </w:tcPr>
          <w:p w14:paraId="2B3E199E"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0,00</w:t>
            </w:r>
          </w:p>
        </w:tc>
        <w:tc>
          <w:tcPr>
            <w:tcW w:w="529" w:type="pct"/>
            <w:tcBorders>
              <w:top w:val="nil"/>
              <w:left w:val="nil"/>
              <w:bottom w:val="single" w:sz="4" w:space="0" w:color="auto"/>
              <w:right w:val="single" w:sz="4" w:space="0" w:color="auto"/>
            </w:tcBorders>
            <w:noWrap/>
            <w:vAlign w:val="center"/>
          </w:tcPr>
          <w:p w14:paraId="086997BF"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0,00</w:t>
            </w:r>
          </w:p>
        </w:tc>
        <w:tc>
          <w:tcPr>
            <w:tcW w:w="529" w:type="pct"/>
            <w:tcBorders>
              <w:top w:val="nil"/>
              <w:left w:val="nil"/>
              <w:bottom w:val="single" w:sz="4" w:space="0" w:color="auto"/>
              <w:right w:val="single" w:sz="4" w:space="0" w:color="auto"/>
            </w:tcBorders>
            <w:noWrap/>
            <w:vAlign w:val="center"/>
          </w:tcPr>
          <w:p w14:paraId="55EF2997"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0,00</w:t>
            </w:r>
          </w:p>
        </w:tc>
        <w:tc>
          <w:tcPr>
            <w:tcW w:w="432" w:type="pct"/>
            <w:tcBorders>
              <w:top w:val="single" w:sz="4" w:space="0" w:color="auto"/>
              <w:left w:val="nil"/>
              <w:bottom w:val="single" w:sz="4" w:space="0" w:color="auto"/>
              <w:right w:val="single" w:sz="4" w:space="0" w:color="auto"/>
            </w:tcBorders>
            <w:vAlign w:val="center"/>
          </w:tcPr>
          <w:p w14:paraId="531B7054" w14:textId="77777777" w:rsidR="006E413E" w:rsidRPr="00D37BE7" w:rsidRDefault="006E413E" w:rsidP="00085461">
            <w:pPr>
              <w:widowControl w:val="0"/>
              <w:tabs>
                <w:tab w:val="left" w:pos="430"/>
              </w:tabs>
              <w:ind w:left="-137" w:right="63"/>
              <w:jc w:val="right"/>
              <w:rPr>
                <w:color w:val="000000" w:themeColor="text1"/>
                <w:sz w:val="20"/>
                <w:szCs w:val="20"/>
              </w:rPr>
            </w:pPr>
            <w:r>
              <w:rPr>
                <w:color w:val="000000" w:themeColor="text1"/>
                <w:sz w:val="20"/>
                <w:szCs w:val="20"/>
              </w:rPr>
              <w:t>0,00</w:t>
            </w:r>
          </w:p>
        </w:tc>
        <w:tc>
          <w:tcPr>
            <w:tcW w:w="481" w:type="pct"/>
            <w:tcBorders>
              <w:top w:val="nil"/>
              <w:left w:val="single" w:sz="4" w:space="0" w:color="auto"/>
              <w:bottom w:val="single" w:sz="4" w:space="0" w:color="auto"/>
              <w:right w:val="single" w:sz="4" w:space="0" w:color="auto"/>
            </w:tcBorders>
            <w:vAlign w:val="center"/>
          </w:tcPr>
          <w:p w14:paraId="5EB124A0" w14:textId="77777777" w:rsidR="006E413E" w:rsidRPr="00D37BE7" w:rsidRDefault="006E413E" w:rsidP="00085461">
            <w:pPr>
              <w:widowControl w:val="0"/>
              <w:tabs>
                <w:tab w:val="left" w:pos="430"/>
              </w:tabs>
              <w:ind w:left="-137" w:right="63"/>
              <w:jc w:val="right"/>
              <w:rPr>
                <w:color w:val="000000" w:themeColor="text1"/>
                <w:sz w:val="20"/>
                <w:szCs w:val="20"/>
              </w:rPr>
            </w:pPr>
            <w:r>
              <w:rPr>
                <w:color w:val="000000" w:themeColor="text1"/>
                <w:sz w:val="20"/>
                <w:szCs w:val="20"/>
              </w:rPr>
              <w:t>0,00</w:t>
            </w:r>
          </w:p>
        </w:tc>
        <w:tc>
          <w:tcPr>
            <w:tcW w:w="577" w:type="pct"/>
            <w:tcBorders>
              <w:top w:val="nil"/>
              <w:left w:val="single" w:sz="4" w:space="0" w:color="auto"/>
              <w:bottom w:val="single" w:sz="4" w:space="0" w:color="auto"/>
              <w:right w:val="single" w:sz="4" w:space="0" w:color="auto"/>
            </w:tcBorders>
            <w:noWrap/>
            <w:vAlign w:val="center"/>
          </w:tcPr>
          <w:p w14:paraId="4CD6ED5C"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14,57</w:t>
            </w:r>
          </w:p>
        </w:tc>
      </w:tr>
      <w:tr w:rsidR="003F4FED" w:rsidRPr="00D37BE7" w14:paraId="2A185673" w14:textId="77777777" w:rsidTr="00085461">
        <w:trPr>
          <w:trHeight w:val="273"/>
        </w:trPr>
        <w:tc>
          <w:tcPr>
            <w:tcW w:w="1921" w:type="pct"/>
            <w:tcBorders>
              <w:top w:val="nil"/>
              <w:left w:val="single" w:sz="4" w:space="0" w:color="auto"/>
              <w:bottom w:val="single" w:sz="4" w:space="0" w:color="auto"/>
              <w:right w:val="single" w:sz="4" w:space="0" w:color="auto"/>
            </w:tcBorders>
            <w:noWrap/>
            <w:tcMar>
              <w:left w:w="43" w:type="dxa"/>
              <w:right w:w="43" w:type="dxa"/>
            </w:tcMar>
            <w:vAlign w:val="center"/>
          </w:tcPr>
          <w:p w14:paraId="3BE8D0F0" w14:textId="77777777" w:rsidR="006E413E" w:rsidRPr="00D37BE7" w:rsidRDefault="006E413E" w:rsidP="00362AF2">
            <w:pPr>
              <w:widowControl w:val="0"/>
              <w:ind w:left="98"/>
              <w:jc w:val="left"/>
              <w:rPr>
                <w:color w:val="000000" w:themeColor="text1"/>
                <w:sz w:val="20"/>
                <w:szCs w:val="20"/>
              </w:rPr>
            </w:pPr>
            <w:r>
              <w:rPr>
                <w:color w:val="000000" w:themeColor="text1"/>
                <w:sz w:val="20"/>
                <w:szCs w:val="20"/>
              </w:rPr>
              <w:t>HCFC-142b</w:t>
            </w:r>
          </w:p>
        </w:tc>
        <w:tc>
          <w:tcPr>
            <w:tcW w:w="531" w:type="pct"/>
            <w:tcBorders>
              <w:top w:val="nil"/>
              <w:left w:val="nil"/>
              <w:bottom w:val="single" w:sz="4" w:space="0" w:color="auto"/>
              <w:right w:val="single" w:sz="4" w:space="0" w:color="auto"/>
            </w:tcBorders>
            <w:noWrap/>
            <w:vAlign w:val="center"/>
          </w:tcPr>
          <w:p w14:paraId="6DA44A19" w14:textId="77777777" w:rsidR="006E413E" w:rsidRPr="004E7A9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0,00</w:t>
            </w:r>
          </w:p>
        </w:tc>
        <w:tc>
          <w:tcPr>
            <w:tcW w:w="529" w:type="pct"/>
            <w:tcBorders>
              <w:top w:val="nil"/>
              <w:left w:val="nil"/>
              <w:bottom w:val="single" w:sz="4" w:space="0" w:color="auto"/>
              <w:right w:val="single" w:sz="4" w:space="0" w:color="auto"/>
            </w:tcBorders>
            <w:noWrap/>
            <w:vAlign w:val="center"/>
          </w:tcPr>
          <w:p w14:paraId="52BB82CA" w14:textId="77777777" w:rsidR="006E413E" w:rsidRPr="004E7A9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0,00</w:t>
            </w:r>
          </w:p>
        </w:tc>
        <w:tc>
          <w:tcPr>
            <w:tcW w:w="529" w:type="pct"/>
            <w:tcBorders>
              <w:top w:val="nil"/>
              <w:left w:val="nil"/>
              <w:bottom w:val="single" w:sz="4" w:space="0" w:color="auto"/>
              <w:right w:val="single" w:sz="4" w:space="0" w:color="auto"/>
            </w:tcBorders>
            <w:noWrap/>
            <w:vAlign w:val="center"/>
          </w:tcPr>
          <w:p w14:paraId="7E9553D3" w14:textId="77777777" w:rsidR="006E413E" w:rsidRPr="004E7A9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0,00</w:t>
            </w:r>
          </w:p>
        </w:tc>
        <w:tc>
          <w:tcPr>
            <w:tcW w:w="432" w:type="pct"/>
            <w:tcBorders>
              <w:top w:val="single" w:sz="4" w:space="0" w:color="auto"/>
              <w:left w:val="nil"/>
              <w:bottom w:val="single" w:sz="4" w:space="0" w:color="auto"/>
              <w:right w:val="single" w:sz="4" w:space="0" w:color="auto"/>
            </w:tcBorders>
            <w:vAlign w:val="center"/>
          </w:tcPr>
          <w:p w14:paraId="41BDBAB1" w14:textId="77777777" w:rsidR="006E413E" w:rsidRPr="004E7A97" w:rsidRDefault="006E413E" w:rsidP="00085461">
            <w:pPr>
              <w:widowControl w:val="0"/>
              <w:tabs>
                <w:tab w:val="left" w:pos="430"/>
              </w:tabs>
              <w:ind w:left="-137" w:right="63"/>
              <w:jc w:val="right"/>
              <w:rPr>
                <w:color w:val="000000" w:themeColor="text1"/>
                <w:sz w:val="20"/>
                <w:szCs w:val="20"/>
              </w:rPr>
            </w:pPr>
            <w:r>
              <w:rPr>
                <w:color w:val="000000" w:themeColor="text1"/>
                <w:sz w:val="20"/>
                <w:szCs w:val="20"/>
              </w:rPr>
              <w:t>0,00</w:t>
            </w:r>
          </w:p>
        </w:tc>
        <w:tc>
          <w:tcPr>
            <w:tcW w:w="481" w:type="pct"/>
            <w:tcBorders>
              <w:top w:val="nil"/>
              <w:left w:val="single" w:sz="4" w:space="0" w:color="auto"/>
              <w:bottom w:val="single" w:sz="4" w:space="0" w:color="auto"/>
              <w:right w:val="single" w:sz="4" w:space="0" w:color="auto"/>
            </w:tcBorders>
            <w:vAlign w:val="center"/>
          </w:tcPr>
          <w:p w14:paraId="26AFE7A7" w14:textId="77777777" w:rsidR="006E413E" w:rsidRPr="004E7A97" w:rsidRDefault="006E413E" w:rsidP="00085461">
            <w:pPr>
              <w:widowControl w:val="0"/>
              <w:tabs>
                <w:tab w:val="left" w:pos="430"/>
              </w:tabs>
              <w:ind w:left="-137" w:right="63"/>
              <w:jc w:val="right"/>
              <w:rPr>
                <w:color w:val="000000" w:themeColor="text1"/>
                <w:sz w:val="20"/>
                <w:szCs w:val="20"/>
              </w:rPr>
            </w:pPr>
            <w:r>
              <w:rPr>
                <w:color w:val="000000" w:themeColor="text1"/>
                <w:sz w:val="20"/>
                <w:szCs w:val="20"/>
              </w:rPr>
              <w:t>0,00</w:t>
            </w:r>
          </w:p>
        </w:tc>
        <w:tc>
          <w:tcPr>
            <w:tcW w:w="577" w:type="pct"/>
            <w:tcBorders>
              <w:top w:val="nil"/>
              <w:left w:val="single" w:sz="4" w:space="0" w:color="auto"/>
              <w:bottom w:val="single" w:sz="4" w:space="0" w:color="auto"/>
              <w:right w:val="single" w:sz="4" w:space="0" w:color="auto"/>
            </w:tcBorders>
            <w:noWrap/>
            <w:vAlign w:val="center"/>
          </w:tcPr>
          <w:p w14:paraId="4556B2DB" w14:textId="77777777" w:rsidR="006E413E" w:rsidRPr="00D37BE7" w:rsidRDefault="006E413E" w:rsidP="00362AF2">
            <w:pPr>
              <w:widowControl w:val="0"/>
              <w:tabs>
                <w:tab w:val="left" w:pos="430"/>
              </w:tabs>
              <w:ind w:left="-137" w:right="63"/>
              <w:jc w:val="right"/>
              <w:rPr>
                <w:color w:val="000000" w:themeColor="text1"/>
                <w:sz w:val="20"/>
                <w:szCs w:val="20"/>
              </w:rPr>
            </w:pPr>
            <w:r>
              <w:rPr>
                <w:color w:val="000000" w:themeColor="text1"/>
                <w:sz w:val="20"/>
                <w:szCs w:val="20"/>
              </w:rPr>
              <w:t>0,55</w:t>
            </w:r>
          </w:p>
        </w:tc>
      </w:tr>
      <w:tr w:rsidR="003F4FED" w:rsidRPr="00D37BE7" w14:paraId="41D36106" w14:textId="77777777" w:rsidTr="00085461">
        <w:trPr>
          <w:trHeight w:val="273"/>
        </w:trPr>
        <w:tc>
          <w:tcPr>
            <w:tcW w:w="192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2B939EC" w14:textId="77777777" w:rsidR="006E413E" w:rsidRPr="00D37BE7" w:rsidRDefault="006E413E" w:rsidP="00362AF2">
            <w:pPr>
              <w:ind w:left="98"/>
              <w:jc w:val="left"/>
              <w:rPr>
                <w:rFonts w:eastAsiaTheme="minorHAnsi"/>
                <w:b/>
                <w:color w:val="000000" w:themeColor="text1"/>
                <w:sz w:val="20"/>
                <w:szCs w:val="20"/>
              </w:rPr>
            </w:pPr>
            <w:r>
              <w:rPr>
                <w:b/>
                <w:color w:val="000000" w:themeColor="text1"/>
                <w:sz w:val="20"/>
                <w:szCs w:val="20"/>
              </w:rPr>
              <w:t>Total (mt)</w:t>
            </w:r>
          </w:p>
        </w:tc>
        <w:tc>
          <w:tcPr>
            <w:tcW w:w="531" w:type="pct"/>
            <w:tcBorders>
              <w:top w:val="nil"/>
              <w:left w:val="nil"/>
              <w:bottom w:val="single" w:sz="4" w:space="0" w:color="auto"/>
              <w:right w:val="single" w:sz="4" w:space="0" w:color="auto"/>
            </w:tcBorders>
            <w:noWrap/>
            <w:vAlign w:val="center"/>
          </w:tcPr>
          <w:p w14:paraId="16EFB26F" w14:textId="77777777" w:rsidR="006E413E" w:rsidRPr="00D37BE7" w:rsidRDefault="006E413E" w:rsidP="00362AF2">
            <w:pPr>
              <w:widowControl w:val="0"/>
              <w:tabs>
                <w:tab w:val="left" w:pos="430"/>
              </w:tabs>
              <w:ind w:left="-137" w:right="63"/>
              <w:jc w:val="right"/>
              <w:rPr>
                <w:b/>
                <w:bCs/>
                <w:color w:val="000000" w:themeColor="text1"/>
                <w:sz w:val="20"/>
                <w:szCs w:val="20"/>
              </w:rPr>
            </w:pPr>
            <w:r>
              <w:rPr>
                <w:b/>
                <w:bCs/>
                <w:color w:val="000000" w:themeColor="text1"/>
                <w:sz w:val="20"/>
                <w:szCs w:val="20"/>
              </w:rPr>
              <w:t>422,80</w:t>
            </w:r>
          </w:p>
        </w:tc>
        <w:tc>
          <w:tcPr>
            <w:tcW w:w="529" w:type="pct"/>
            <w:tcBorders>
              <w:top w:val="nil"/>
              <w:left w:val="nil"/>
              <w:bottom w:val="single" w:sz="4" w:space="0" w:color="auto"/>
              <w:right w:val="single" w:sz="4" w:space="0" w:color="auto"/>
            </w:tcBorders>
            <w:noWrap/>
            <w:vAlign w:val="center"/>
          </w:tcPr>
          <w:p w14:paraId="049CF970" w14:textId="77777777" w:rsidR="006E413E" w:rsidRPr="00D37BE7" w:rsidRDefault="006E413E" w:rsidP="00362AF2">
            <w:pPr>
              <w:widowControl w:val="0"/>
              <w:tabs>
                <w:tab w:val="left" w:pos="430"/>
              </w:tabs>
              <w:ind w:left="-137" w:right="63"/>
              <w:jc w:val="right"/>
              <w:rPr>
                <w:b/>
                <w:bCs/>
                <w:color w:val="000000" w:themeColor="text1"/>
                <w:sz w:val="20"/>
                <w:szCs w:val="20"/>
              </w:rPr>
            </w:pPr>
            <w:r>
              <w:rPr>
                <w:b/>
                <w:bCs/>
                <w:color w:val="000000" w:themeColor="text1"/>
                <w:sz w:val="20"/>
                <w:szCs w:val="20"/>
              </w:rPr>
              <w:t>376,18</w:t>
            </w:r>
          </w:p>
        </w:tc>
        <w:tc>
          <w:tcPr>
            <w:tcW w:w="529" w:type="pct"/>
            <w:tcBorders>
              <w:top w:val="nil"/>
              <w:left w:val="nil"/>
              <w:bottom w:val="single" w:sz="4" w:space="0" w:color="auto"/>
              <w:right w:val="single" w:sz="4" w:space="0" w:color="auto"/>
            </w:tcBorders>
            <w:noWrap/>
            <w:vAlign w:val="center"/>
          </w:tcPr>
          <w:p w14:paraId="1519EF25" w14:textId="77777777" w:rsidR="006E413E" w:rsidRPr="00D37BE7" w:rsidRDefault="006E413E" w:rsidP="00362AF2">
            <w:pPr>
              <w:widowControl w:val="0"/>
              <w:tabs>
                <w:tab w:val="left" w:pos="430"/>
              </w:tabs>
              <w:ind w:left="-137" w:right="63"/>
              <w:jc w:val="right"/>
              <w:rPr>
                <w:b/>
                <w:bCs/>
                <w:color w:val="000000" w:themeColor="text1"/>
                <w:sz w:val="20"/>
                <w:szCs w:val="20"/>
              </w:rPr>
            </w:pPr>
            <w:r>
              <w:rPr>
                <w:b/>
                <w:bCs/>
                <w:color w:val="000000" w:themeColor="text1"/>
                <w:sz w:val="20"/>
                <w:szCs w:val="20"/>
              </w:rPr>
              <w:t>375,40</w:t>
            </w:r>
          </w:p>
        </w:tc>
        <w:tc>
          <w:tcPr>
            <w:tcW w:w="432" w:type="pct"/>
            <w:tcBorders>
              <w:top w:val="single" w:sz="4" w:space="0" w:color="auto"/>
              <w:left w:val="nil"/>
              <w:bottom w:val="single" w:sz="4" w:space="0" w:color="auto"/>
              <w:right w:val="single" w:sz="4" w:space="0" w:color="auto"/>
            </w:tcBorders>
            <w:vAlign w:val="center"/>
          </w:tcPr>
          <w:p w14:paraId="1EF80D6C" w14:textId="77777777" w:rsidR="006E413E" w:rsidRPr="00D37BE7" w:rsidRDefault="006E413E" w:rsidP="00085461">
            <w:pPr>
              <w:widowControl w:val="0"/>
              <w:tabs>
                <w:tab w:val="left" w:pos="430"/>
              </w:tabs>
              <w:ind w:left="-137" w:right="63"/>
              <w:jc w:val="right"/>
              <w:rPr>
                <w:b/>
                <w:bCs/>
                <w:color w:val="000000" w:themeColor="text1"/>
                <w:sz w:val="20"/>
                <w:szCs w:val="20"/>
              </w:rPr>
            </w:pPr>
            <w:r>
              <w:rPr>
                <w:b/>
                <w:bCs/>
                <w:color w:val="000000" w:themeColor="text1"/>
                <w:sz w:val="20"/>
                <w:szCs w:val="20"/>
              </w:rPr>
              <w:t>325,16</w:t>
            </w:r>
          </w:p>
        </w:tc>
        <w:tc>
          <w:tcPr>
            <w:tcW w:w="481" w:type="pct"/>
            <w:tcBorders>
              <w:top w:val="nil"/>
              <w:left w:val="single" w:sz="4" w:space="0" w:color="auto"/>
              <w:bottom w:val="single" w:sz="4" w:space="0" w:color="auto"/>
              <w:right w:val="single" w:sz="4" w:space="0" w:color="auto"/>
            </w:tcBorders>
            <w:vAlign w:val="center"/>
          </w:tcPr>
          <w:p w14:paraId="2D27BDCE" w14:textId="77777777" w:rsidR="006E413E" w:rsidRPr="00D37BE7" w:rsidRDefault="006E413E" w:rsidP="00085461">
            <w:pPr>
              <w:widowControl w:val="0"/>
              <w:tabs>
                <w:tab w:val="left" w:pos="430"/>
              </w:tabs>
              <w:ind w:left="-137" w:right="63"/>
              <w:jc w:val="right"/>
              <w:rPr>
                <w:b/>
                <w:bCs/>
                <w:color w:val="000000" w:themeColor="text1"/>
                <w:sz w:val="20"/>
                <w:szCs w:val="20"/>
              </w:rPr>
            </w:pPr>
            <w:r>
              <w:rPr>
                <w:b/>
                <w:bCs/>
                <w:color w:val="000000" w:themeColor="text1"/>
                <w:sz w:val="20"/>
                <w:szCs w:val="20"/>
              </w:rPr>
              <w:t>272,31</w:t>
            </w:r>
          </w:p>
        </w:tc>
        <w:tc>
          <w:tcPr>
            <w:tcW w:w="577" w:type="pct"/>
            <w:tcBorders>
              <w:top w:val="nil"/>
              <w:left w:val="single" w:sz="4" w:space="0" w:color="auto"/>
              <w:bottom w:val="single" w:sz="4" w:space="0" w:color="auto"/>
              <w:right w:val="single" w:sz="4" w:space="0" w:color="auto"/>
            </w:tcBorders>
            <w:noWrap/>
            <w:vAlign w:val="center"/>
          </w:tcPr>
          <w:p w14:paraId="68A94BF2" w14:textId="77777777" w:rsidR="006E413E" w:rsidRPr="00D37BE7" w:rsidRDefault="006E413E" w:rsidP="00362AF2">
            <w:pPr>
              <w:widowControl w:val="0"/>
              <w:tabs>
                <w:tab w:val="left" w:pos="430"/>
              </w:tabs>
              <w:ind w:left="-137" w:right="63"/>
              <w:jc w:val="right"/>
              <w:rPr>
                <w:b/>
                <w:color w:val="000000" w:themeColor="text1"/>
                <w:sz w:val="20"/>
                <w:szCs w:val="20"/>
              </w:rPr>
            </w:pPr>
            <w:r>
              <w:rPr>
                <w:b/>
                <w:bCs/>
                <w:color w:val="000000" w:themeColor="text1"/>
                <w:sz w:val="20"/>
                <w:szCs w:val="20"/>
              </w:rPr>
              <w:t>724,46</w:t>
            </w:r>
          </w:p>
        </w:tc>
      </w:tr>
      <w:tr w:rsidR="003F4FED" w:rsidRPr="00D37BE7" w14:paraId="2349862C" w14:textId="77777777" w:rsidTr="00085461">
        <w:trPr>
          <w:trHeight w:val="234"/>
        </w:trPr>
        <w:tc>
          <w:tcPr>
            <w:tcW w:w="192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94D1BC9" w14:textId="77777777" w:rsidR="003F4FED" w:rsidRDefault="006E413E" w:rsidP="00362AF2">
            <w:pPr>
              <w:ind w:left="98"/>
              <w:jc w:val="left"/>
              <w:rPr>
                <w:color w:val="000000" w:themeColor="text1"/>
                <w:sz w:val="20"/>
                <w:szCs w:val="20"/>
              </w:rPr>
            </w:pPr>
            <w:r>
              <w:rPr>
                <w:color w:val="000000" w:themeColor="text1"/>
                <w:sz w:val="20"/>
                <w:szCs w:val="20"/>
              </w:rPr>
              <w:t>HCFC</w:t>
            </w:r>
            <w:r>
              <w:rPr>
                <w:color w:val="000000" w:themeColor="text1"/>
                <w:sz w:val="20"/>
                <w:szCs w:val="20"/>
              </w:rPr>
              <w:noBreakHyphen/>
              <w:t>141b contenu dans les polyols</w:t>
            </w:r>
          </w:p>
          <w:p w14:paraId="653E0269" w14:textId="3A4A23D3" w:rsidR="006E413E" w:rsidRPr="00D37BE7" w:rsidRDefault="006E413E" w:rsidP="00362AF2">
            <w:pPr>
              <w:ind w:left="98"/>
              <w:jc w:val="left"/>
              <w:rPr>
                <w:b/>
                <w:bCs/>
                <w:color w:val="000000" w:themeColor="text1"/>
                <w:sz w:val="20"/>
                <w:szCs w:val="20"/>
              </w:rPr>
            </w:pPr>
            <w:r>
              <w:rPr>
                <w:color w:val="000000" w:themeColor="text1"/>
                <w:sz w:val="20"/>
                <w:szCs w:val="20"/>
              </w:rPr>
              <w:t xml:space="preserve"> pré-mélangés importés*</w:t>
            </w:r>
          </w:p>
        </w:tc>
        <w:tc>
          <w:tcPr>
            <w:tcW w:w="531" w:type="pct"/>
            <w:tcBorders>
              <w:top w:val="nil"/>
              <w:left w:val="nil"/>
              <w:bottom w:val="single" w:sz="4" w:space="0" w:color="auto"/>
              <w:right w:val="single" w:sz="4" w:space="0" w:color="auto"/>
            </w:tcBorders>
            <w:noWrap/>
            <w:vAlign w:val="center"/>
          </w:tcPr>
          <w:p w14:paraId="16EF712E" w14:textId="35068455" w:rsidR="006E413E" w:rsidRPr="00D37BE7" w:rsidRDefault="006E413E" w:rsidP="00362AF2">
            <w:pPr>
              <w:tabs>
                <w:tab w:val="left" w:pos="430"/>
              </w:tabs>
              <w:ind w:left="-137" w:right="63"/>
              <w:jc w:val="right"/>
              <w:rPr>
                <w:color w:val="000000" w:themeColor="text1"/>
                <w:sz w:val="20"/>
                <w:szCs w:val="20"/>
              </w:rPr>
            </w:pPr>
            <w:r>
              <w:rPr>
                <w:color w:val="000000" w:themeColor="text1"/>
                <w:sz w:val="20"/>
                <w:szCs w:val="20"/>
              </w:rPr>
              <w:t>67,00</w:t>
            </w:r>
          </w:p>
        </w:tc>
        <w:tc>
          <w:tcPr>
            <w:tcW w:w="529" w:type="pct"/>
            <w:tcBorders>
              <w:top w:val="nil"/>
              <w:left w:val="nil"/>
              <w:bottom w:val="single" w:sz="4" w:space="0" w:color="auto"/>
              <w:right w:val="single" w:sz="4" w:space="0" w:color="auto"/>
            </w:tcBorders>
            <w:noWrap/>
            <w:vAlign w:val="center"/>
          </w:tcPr>
          <w:p w14:paraId="7AD5AEED" w14:textId="1ECFE171" w:rsidR="006E413E" w:rsidRPr="00D37BE7" w:rsidRDefault="006E413E" w:rsidP="00362AF2">
            <w:pPr>
              <w:tabs>
                <w:tab w:val="left" w:pos="430"/>
              </w:tabs>
              <w:ind w:left="-137" w:right="63"/>
              <w:jc w:val="right"/>
              <w:rPr>
                <w:color w:val="000000" w:themeColor="text1"/>
                <w:sz w:val="20"/>
                <w:szCs w:val="20"/>
              </w:rPr>
            </w:pPr>
            <w:r>
              <w:rPr>
                <w:color w:val="000000" w:themeColor="text1"/>
                <w:sz w:val="20"/>
                <w:szCs w:val="20"/>
              </w:rPr>
              <w:t>14,50</w:t>
            </w:r>
          </w:p>
        </w:tc>
        <w:tc>
          <w:tcPr>
            <w:tcW w:w="529" w:type="pct"/>
            <w:tcBorders>
              <w:top w:val="nil"/>
              <w:left w:val="nil"/>
              <w:bottom w:val="single" w:sz="4" w:space="0" w:color="auto"/>
              <w:right w:val="single" w:sz="4" w:space="0" w:color="auto"/>
            </w:tcBorders>
            <w:noWrap/>
            <w:vAlign w:val="center"/>
          </w:tcPr>
          <w:p w14:paraId="72A4A34B" w14:textId="04EEE600" w:rsidR="006E413E" w:rsidRPr="00D37BE7" w:rsidRDefault="006E413E" w:rsidP="00362AF2">
            <w:pPr>
              <w:tabs>
                <w:tab w:val="left" w:pos="430"/>
              </w:tabs>
              <w:ind w:left="-137" w:right="63"/>
              <w:jc w:val="right"/>
              <w:rPr>
                <w:color w:val="000000" w:themeColor="text1"/>
                <w:sz w:val="20"/>
                <w:szCs w:val="20"/>
              </w:rPr>
            </w:pPr>
            <w:r>
              <w:rPr>
                <w:color w:val="000000" w:themeColor="text1"/>
                <w:sz w:val="20"/>
                <w:szCs w:val="20"/>
              </w:rPr>
              <w:t>14,50</w:t>
            </w:r>
          </w:p>
        </w:tc>
        <w:tc>
          <w:tcPr>
            <w:tcW w:w="432" w:type="pct"/>
            <w:tcBorders>
              <w:top w:val="single" w:sz="4" w:space="0" w:color="auto"/>
              <w:left w:val="nil"/>
              <w:bottom w:val="single" w:sz="4" w:space="0" w:color="auto"/>
              <w:right w:val="single" w:sz="4" w:space="0" w:color="auto"/>
            </w:tcBorders>
            <w:vAlign w:val="center"/>
          </w:tcPr>
          <w:p w14:paraId="31197559" w14:textId="49127323" w:rsidR="006E413E" w:rsidRPr="00D37BE7" w:rsidRDefault="006E413E" w:rsidP="00085461">
            <w:pPr>
              <w:tabs>
                <w:tab w:val="left" w:pos="430"/>
              </w:tabs>
              <w:ind w:left="-137" w:right="63"/>
              <w:jc w:val="right"/>
              <w:rPr>
                <w:color w:val="000000" w:themeColor="text1"/>
                <w:sz w:val="20"/>
                <w:szCs w:val="20"/>
              </w:rPr>
            </w:pPr>
            <w:r>
              <w:rPr>
                <w:color w:val="000000" w:themeColor="text1"/>
                <w:sz w:val="20"/>
                <w:szCs w:val="20"/>
              </w:rPr>
              <w:t>14,50</w:t>
            </w:r>
          </w:p>
        </w:tc>
        <w:tc>
          <w:tcPr>
            <w:tcW w:w="481" w:type="pct"/>
            <w:tcBorders>
              <w:top w:val="nil"/>
              <w:left w:val="single" w:sz="4" w:space="0" w:color="auto"/>
              <w:bottom w:val="single" w:sz="4" w:space="0" w:color="auto"/>
              <w:right w:val="single" w:sz="4" w:space="0" w:color="auto"/>
            </w:tcBorders>
            <w:vAlign w:val="center"/>
          </w:tcPr>
          <w:p w14:paraId="38B7AFF9" w14:textId="19FBA328" w:rsidR="006E413E" w:rsidRPr="00D37BE7" w:rsidRDefault="006E413E" w:rsidP="00085461">
            <w:pPr>
              <w:tabs>
                <w:tab w:val="left" w:pos="430"/>
              </w:tabs>
              <w:ind w:left="-137" w:right="63"/>
              <w:jc w:val="right"/>
              <w:rPr>
                <w:color w:val="000000" w:themeColor="text1"/>
                <w:sz w:val="20"/>
                <w:szCs w:val="20"/>
              </w:rPr>
            </w:pPr>
            <w:r>
              <w:rPr>
                <w:color w:val="000000" w:themeColor="text1"/>
                <w:sz w:val="20"/>
                <w:szCs w:val="20"/>
              </w:rPr>
              <w:t>14,50</w:t>
            </w:r>
          </w:p>
        </w:tc>
        <w:tc>
          <w:tcPr>
            <w:tcW w:w="577" w:type="pct"/>
            <w:tcBorders>
              <w:top w:val="nil"/>
              <w:left w:val="single" w:sz="4" w:space="0" w:color="auto"/>
              <w:bottom w:val="single" w:sz="4" w:space="0" w:color="auto"/>
              <w:right w:val="single" w:sz="4" w:space="0" w:color="auto"/>
            </w:tcBorders>
            <w:noWrap/>
            <w:vAlign w:val="center"/>
          </w:tcPr>
          <w:p w14:paraId="79E6B8B9" w14:textId="3CAEB17B" w:rsidR="006E413E" w:rsidRPr="00D37BE7" w:rsidRDefault="006E413E" w:rsidP="00362AF2">
            <w:pPr>
              <w:tabs>
                <w:tab w:val="left" w:pos="430"/>
              </w:tabs>
              <w:ind w:left="-137" w:right="63"/>
              <w:jc w:val="right"/>
              <w:rPr>
                <w:color w:val="000000" w:themeColor="text1"/>
                <w:sz w:val="20"/>
                <w:szCs w:val="20"/>
              </w:rPr>
            </w:pPr>
            <w:r>
              <w:rPr>
                <w:color w:val="000000" w:themeColor="text1"/>
                <w:sz w:val="20"/>
                <w:szCs w:val="20"/>
              </w:rPr>
              <w:t>45,64**</w:t>
            </w:r>
          </w:p>
        </w:tc>
      </w:tr>
      <w:tr w:rsidR="006E413E" w:rsidRPr="00D37BE7" w14:paraId="480A1196" w14:textId="77777777" w:rsidTr="00085461">
        <w:trPr>
          <w:trHeight w:val="246"/>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6AD0E4A" w14:textId="77777777" w:rsidR="006E413E" w:rsidRPr="00D37BE7" w:rsidRDefault="006E413E" w:rsidP="00362AF2">
            <w:pPr>
              <w:keepNext/>
              <w:ind w:left="98"/>
              <w:jc w:val="left"/>
              <w:rPr>
                <w:color w:val="000000" w:themeColor="text1"/>
                <w:sz w:val="20"/>
                <w:szCs w:val="20"/>
              </w:rPr>
            </w:pPr>
            <w:r>
              <w:rPr>
                <w:b/>
                <w:bCs/>
                <w:color w:val="000000" w:themeColor="text1"/>
                <w:sz w:val="20"/>
                <w:szCs w:val="20"/>
              </w:rPr>
              <w:t>Tonnes PAO</w:t>
            </w:r>
          </w:p>
        </w:tc>
      </w:tr>
      <w:tr w:rsidR="003F4FED" w:rsidRPr="00D37BE7" w14:paraId="3BF9FF46" w14:textId="77777777" w:rsidTr="00085461">
        <w:trPr>
          <w:trHeight w:val="273"/>
        </w:trPr>
        <w:tc>
          <w:tcPr>
            <w:tcW w:w="19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5518620" w14:textId="77777777" w:rsidR="006E413E" w:rsidRPr="00D37BE7" w:rsidRDefault="006E413E" w:rsidP="00362AF2">
            <w:pPr>
              <w:widowControl w:val="0"/>
              <w:ind w:left="98"/>
              <w:jc w:val="left"/>
              <w:rPr>
                <w:color w:val="000000" w:themeColor="text1"/>
                <w:sz w:val="20"/>
                <w:szCs w:val="20"/>
              </w:rPr>
            </w:pPr>
            <w:r>
              <w:rPr>
                <w:color w:val="000000" w:themeColor="text1"/>
                <w:sz w:val="20"/>
                <w:szCs w:val="20"/>
              </w:rPr>
              <w:t>HCFC-22</w:t>
            </w:r>
          </w:p>
        </w:tc>
        <w:tc>
          <w:tcPr>
            <w:tcW w:w="531" w:type="pct"/>
            <w:tcBorders>
              <w:top w:val="single" w:sz="4" w:space="0" w:color="auto"/>
              <w:left w:val="single" w:sz="4" w:space="0" w:color="auto"/>
              <w:bottom w:val="single" w:sz="4" w:space="0" w:color="auto"/>
              <w:right w:val="single" w:sz="4" w:space="0" w:color="auto"/>
            </w:tcBorders>
            <w:noWrap/>
            <w:vAlign w:val="center"/>
          </w:tcPr>
          <w:p w14:paraId="63936346" w14:textId="77777777" w:rsidR="006E413E" w:rsidRPr="00D37BE7" w:rsidRDefault="006E413E" w:rsidP="00362AF2">
            <w:pPr>
              <w:widowControl w:val="0"/>
              <w:ind w:left="-279" w:right="63"/>
              <w:jc w:val="right"/>
              <w:rPr>
                <w:color w:val="000000" w:themeColor="text1"/>
                <w:sz w:val="20"/>
                <w:szCs w:val="20"/>
                <w:lang w:eastAsia="en-CA"/>
              </w:rPr>
            </w:pPr>
            <w:r>
              <w:rPr>
                <w:color w:val="000000" w:themeColor="text1"/>
                <w:sz w:val="20"/>
                <w:szCs w:val="20"/>
              </w:rPr>
              <w:t>23,23</w:t>
            </w:r>
          </w:p>
        </w:tc>
        <w:tc>
          <w:tcPr>
            <w:tcW w:w="529" w:type="pct"/>
            <w:tcBorders>
              <w:top w:val="single" w:sz="4" w:space="0" w:color="auto"/>
              <w:left w:val="single" w:sz="4" w:space="0" w:color="auto"/>
              <w:bottom w:val="single" w:sz="4" w:space="0" w:color="auto"/>
              <w:right w:val="single" w:sz="4" w:space="0" w:color="auto"/>
            </w:tcBorders>
            <w:noWrap/>
            <w:vAlign w:val="center"/>
          </w:tcPr>
          <w:p w14:paraId="2854529E"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20,69</w:t>
            </w:r>
          </w:p>
        </w:tc>
        <w:tc>
          <w:tcPr>
            <w:tcW w:w="529" w:type="pct"/>
            <w:tcBorders>
              <w:top w:val="single" w:sz="4" w:space="0" w:color="auto"/>
              <w:left w:val="single" w:sz="4" w:space="0" w:color="auto"/>
              <w:bottom w:val="single" w:sz="4" w:space="0" w:color="auto"/>
              <w:right w:val="single" w:sz="4" w:space="0" w:color="auto"/>
            </w:tcBorders>
            <w:noWrap/>
            <w:vAlign w:val="center"/>
          </w:tcPr>
          <w:p w14:paraId="45F2373D"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20,65</w:t>
            </w:r>
          </w:p>
        </w:tc>
        <w:tc>
          <w:tcPr>
            <w:tcW w:w="432" w:type="pct"/>
            <w:tcBorders>
              <w:top w:val="single" w:sz="4" w:space="0" w:color="auto"/>
              <w:left w:val="single" w:sz="4" w:space="0" w:color="auto"/>
              <w:bottom w:val="single" w:sz="4" w:space="0" w:color="auto"/>
              <w:right w:val="single" w:sz="4" w:space="0" w:color="auto"/>
            </w:tcBorders>
            <w:vAlign w:val="center"/>
          </w:tcPr>
          <w:p w14:paraId="783DEFB4" w14:textId="77777777" w:rsidR="006E413E" w:rsidRPr="00D37BE7" w:rsidRDefault="006E413E" w:rsidP="00085461">
            <w:pPr>
              <w:widowControl w:val="0"/>
              <w:ind w:left="-279" w:right="63"/>
              <w:jc w:val="right"/>
              <w:rPr>
                <w:color w:val="000000" w:themeColor="text1"/>
                <w:sz w:val="20"/>
                <w:szCs w:val="20"/>
              </w:rPr>
            </w:pPr>
            <w:r>
              <w:rPr>
                <w:color w:val="000000" w:themeColor="text1"/>
                <w:sz w:val="20"/>
                <w:szCs w:val="20"/>
              </w:rPr>
              <w:t>17,88</w:t>
            </w:r>
          </w:p>
        </w:tc>
        <w:tc>
          <w:tcPr>
            <w:tcW w:w="481" w:type="pct"/>
            <w:tcBorders>
              <w:top w:val="single" w:sz="4" w:space="0" w:color="auto"/>
              <w:left w:val="single" w:sz="4" w:space="0" w:color="auto"/>
              <w:bottom w:val="single" w:sz="4" w:space="0" w:color="auto"/>
              <w:right w:val="single" w:sz="4" w:space="0" w:color="auto"/>
            </w:tcBorders>
            <w:vAlign w:val="center"/>
          </w:tcPr>
          <w:p w14:paraId="7B21D6B4" w14:textId="77777777" w:rsidR="006E413E" w:rsidRPr="00D37BE7" w:rsidRDefault="006E413E" w:rsidP="00085461">
            <w:pPr>
              <w:widowControl w:val="0"/>
              <w:ind w:left="-279" w:right="63"/>
              <w:jc w:val="right"/>
              <w:rPr>
                <w:color w:val="000000" w:themeColor="text1"/>
                <w:sz w:val="20"/>
                <w:szCs w:val="20"/>
              </w:rPr>
            </w:pPr>
            <w:r>
              <w:rPr>
                <w:color w:val="000000" w:themeColor="text1"/>
                <w:sz w:val="20"/>
                <w:szCs w:val="20"/>
              </w:rPr>
              <w:t>14,98</w:t>
            </w:r>
          </w:p>
        </w:tc>
        <w:tc>
          <w:tcPr>
            <w:tcW w:w="577" w:type="pct"/>
            <w:tcBorders>
              <w:top w:val="single" w:sz="4" w:space="0" w:color="auto"/>
              <w:left w:val="single" w:sz="4" w:space="0" w:color="auto"/>
              <w:bottom w:val="single" w:sz="4" w:space="0" w:color="auto"/>
              <w:right w:val="single" w:sz="4" w:space="0" w:color="auto"/>
            </w:tcBorders>
            <w:noWrap/>
            <w:vAlign w:val="center"/>
          </w:tcPr>
          <w:p w14:paraId="5C36C394"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39,01</w:t>
            </w:r>
          </w:p>
        </w:tc>
      </w:tr>
      <w:tr w:rsidR="003F4FED" w:rsidRPr="00D37BE7" w14:paraId="173DA338" w14:textId="77777777" w:rsidTr="00085461">
        <w:trPr>
          <w:trHeight w:val="264"/>
        </w:trPr>
        <w:tc>
          <w:tcPr>
            <w:tcW w:w="19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0C2F999" w14:textId="77777777" w:rsidR="006E413E" w:rsidRPr="00D37BE7" w:rsidRDefault="006E413E" w:rsidP="00362AF2">
            <w:pPr>
              <w:widowControl w:val="0"/>
              <w:ind w:left="98"/>
              <w:jc w:val="left"/>
              <w:rPr>
                <w:color w:val="000000" w:themeColor="text1"/>
                <w:sz w:val="20"/>
                <w:szCs w:val="20"/>
              </w:rPr>
            </w:pPr>
            <w:r>
              <w:rPr>
                <w:color w:val="000000" w:themeColor="text1"/>
                <w:sz w:val="20"/>
                <w:szCs w:val="20"/>
              </w:rPr>
              <w:t>HCFC-123</w:t>
            </w:r>
          </w:p>
        </w:tc>
        <w:tc>
          <w:tcPr>
            <w:tcW w:w="531" w:type="pct"/>
            <w:tcBorders>
              <w:top w:val="single" w:sz="4" w:space="0" w:color="auto"/>
              <w:left w:val="single" w:sz="4" w:space="0" w:color="auto"/>
              <w:bottom w:val="single" w:sz="4" w:space="0" w:color="auto"/>
              <w:right w:val="single" w:sz="4" w:space="0" w:color="auto"/>
            </w:tcBorders>
            <w:noWrap/>
            <w:vAlign w:val="center"/>
          </w:tcPr>
          <w:p w14:paraId="52EE1BE7" w14:textId="77777777" w:rsidR="006E413E" w:rsidRPr="00D37BE7" w:rsidRDefault="006E413E" w:rsidP="00362AF2">
            <w:pPr>
              <w:widowControl w:val="0"/>
              <w:ind w:left="-279" w:right="63"/>
              <w:jc w:val="right"/>
              <w:rPr>
                <w:color w:val="000000" w:themeColor="text1"/>
                <w:sz w:val="20"/>
                <w:szCs w:val="20"/>
                <w:lang w:eastAsia="en-CA"/>
              </w:rPr>
            </w:pPr>
            <w:r>
              <w:rPr>
                <w:color w:val="000000" w:themeColor="text1"/>
                <w:sz w:val="20"/>
                <w:szCs w:val="20"/>
              </w:rPr>
              <w:t>0,01</w:t>
            </w:r>
          </w:p>
        </w:tc>
        <w:tc>
          <w:tcPr>
            <w:tcW w:w="529" w:type="pct"/>
            <w:tcBorders>
              <w:top w:val="single" w:sz="4" w:space="0" w:color="auto"/>
              <w:left w:val="single" w:sz="4" w:space="0" w:color="auto"/>
              <w:bottom w:val="single" w:sz="4" w:space="0" w:color="auto"/>
              <w:right w:val="single" w:sz="4" w:space="0" w:color="auto"/>
            </w:tcBorders>
            <w:noWrap/>
            <w:vAlign w:val="center"/>
          </w:tcPr>
          <w:p w14:paraId="13B1450A"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12B24097"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0,00</w:t>
            </w:r>
          </w:p>
        </w:tc>
        <w:tc>
          <w:tcPr>
            <w:tcW w:w="432" w:type="pct"/>
            <w:tcBorders>
              <w:top w:val="single" w:sz="4" w:space="0" w:color="auto"/>
              <w:left w:val="single" w:sz="4" w:space="0" w:color="auto"/>
              <w:bottom w:val="single" w:sz="4" w:space="0" w:color="auto"/>
              <w:right w:val="single" w:sz="4" w:space="0" w:color="auto"/>
            </w:tcBorders>
            <w:vAlign w:val="center"/>
          </w:tcPr>
          <w:p w14:paraId="5B649DEC" w14:textId="77777777" w:rsidR="006E413E" w:rsidRPr="00D37BE7" w:rsidRDefault="006E413E" w:rsidP="00085461">
            <w:pPr>
              <w:widowControl w:val="0"/>
              <w:ind w:left="-279" w:right="63"/>
              <w:jc w:val="right"/>
              <w:rPr>
                <w:color w:val="000000" w:themeColor="text1"/>
                <w:sz w:val="20"/>
                <w:szCs w:val="20"/>
              </w:rPr>
            </w:pPr>
            <w:r>
              <w:rPr>
                <w:color w:val="000000" w:themeColor="text1"/>
                <w:sz w:val="20"/>
                <w:szCs w:val="20"/>
              </w:rPr>
              <w:t>0,00</w:t>
            </w:r>
          </w:p>
        </w:tc>
        <w:tc>
          <w:tcPr>
            <w:tcW w:w="481" w:type="pct"/>
            <w:tcBorders>
              <w:top w:val="single" w:sz="4" w:space="0" w:color="auto"/>
              <w:left w:val="single" w:sz="4" w:space="0" w:color="auto"/>
              <w:bottom w:val="single" w:sz="4" w:space="0" w:color="auto"/>
              <w:right w:val="single" w:sz="4" w:space="0" w:color="auto"/>
            </w:tcBorders>
            <w:vAlign w:val="center"/>
          </w:tcPr>
          <w:p w14:paraId="3E0B41FF" w14:textId="77777777" w:rsidR="006E413E" w:rsidRPr="00D37BE7" w:rsidRDefault="006E413E" w:rsidP="00085461">
            <w:pPr>
              <w:widowControl w:val="0"/>
              <w:ind w:left="-279" w:right="63"/>
              <w:jc w:val="right"/>
              <w:rPr>
                <w:color w:val="000000" w:themeColor="text1"/>
                <w:sz w:val="20"/>
                <w:szCs w:val="20"/>
              </w:rPr>
            </w:pPr>
            <w:r>
              <w:rPr>
                <w:color w:val="000000" w:themeColor="text1"/>
                <w:sz w:val="20"/>
                <w:szCs w:val="20"/>
              </w:rPr>
              <w:t>0,00</w:t>
            </w:r>
          </w:p>
        </w:tc>
        <w:tc>
          <w:tcPr>
            <w:tcW w:w="577" w:type="pct"/>
            <w:tcBorders>
              <w:top w:val="single" w:sz="4" w:space="0" w:color="auto"/>
              <w:left w:val="single" w:sz="4" w:space="0" w:color="auto"/>
              <w:bottom w:val="single" w:sz="4" w:space="0" w:color="auto"/>
              <w:right w:val="single" w:sz="4" w:space="0" w:color="auto"/>
            </w:tcBorders>
            <w:noWrap/>
            <w:vAlign w:val="center"/>
          </w:tcPr>
          <w:p w14:paraId="50EFB69E"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s.o.</w:t>
            </w:r>
          </w:p>
        </w:tc>
      </w:tr>
      <w:tr w:rsidR="003F4FED" w:rsidRPr="00D37BE7" w14:paraId="5944C2C4" w14:textId="77777777" w:rsidTr="00085461">
        <w:trPr>
          <w:trHeight w:val="273"/>
        </w:trPr>
        <w:tc>
          <w:tcPr>
            <w:tcW w:w="19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AB4A53" w14:textId="77777777" w:rsidR="006E413E" w:rsidRPr="00D37BE7" w:rsidRDefault="006E413E" w:rsidP="00362AF2">
            <w:pPr>
              <w:widowControl w:val="0"/>
              <w:ind w:left="98"/>
              <w:jc w:val="left"/>
              <w:rPr>
                <w:color w:val="000000" w:themeColor="text1"/>
                <w:sz w:val="20"/>
                <w:szCs w:val="20"/>
              </w:rPr>
            </w:pPr>
            <w:r>
              <w:rPr>
                <w:color w:val="000000" w:themeColor="text1"/>
                <w:sz w:val="20"/>
                <w:szCs w:val="20"/>
              </w:rPr>
              <w:t>HCFC-141b</w:t>
            </w:r>
          </w:p>
        </w:tc>
        <w:tc>
          <w:tcPr>
            <w:tcW w:w="531" w:type="pct"/>
            <w:tcBorders>
              <w:top w:val="single" w:sz="4" w:space="0" w:color="auto"/>
              <w:left w:val="single" w:sz="4" w:space="0" w:color="auto"/>
              <w:bottom w:val="single" w:sz="4" w:space="0" w:color="auto"/>
              <w:right w:val="single" w:sz="4" w:space="0" w:color="auto"/>
            </w:tcBorders>
            <w:noWrap/>
            <w:vAlign w:val="center"/>
          </w:tcPr>
          <w:p w14:paraId="704F27B8" w14:textId="77777777" w:rsidR="006E413E" w:rsidRPr="00D37BE7" w:rsidRDefault="006E413E" w:rsidP="00362AF2">
            <w:pPr>
              <w:widowControl w:val="0"/>
              <w:ind w:left="-279" w:right="63"/>
              <w:jc w:val="right"/>
              <w:rPr>
                <w:color w:val="000000" w:themeColor="text1"/>
                <w:sz w:val="20"/>
                <w:szCs w:val="20"/>
                <w:lang w:eastAsia="en-CA"/>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27B3A852"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324D099D"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0,00</w:t>
            </w:r>
          </w:p>
        </w:tc>
        <w:tc>
          <w:tcPr>
            <w:tcW w:w="432" w:type="pct"/>
            <w:tcBorders>
              <w:top w:val="single" w:sz="4" w:space="0" w:color="auto"/>
              <w:left w:val="single" w:sz="4" w:space="0" w:color="auto"/>
              <w:bottom w:val="single" w:sz="4" w:space="0" w:color="auto"/>
              <w:right w:val="single" w:sz="4" w:space="0" w:color="auto"/>
            </w:tcBorders>
            <w:vAlign w:val="center"/>
          </w:tcPr>
          <w:p w14:paraId="50768BE0" w14:textId="77777777" w:rsidR="006E413E" w:rsidRPr="00D37BE7" w:rsidRDefault="006E413E" w:rsidP="00085461">
            <w:pPr>
              <w:widowControl w:val="0"/>
              <w:ind w:left="-279" w:right="63"/>
              <w:jc w:val="right"/>
              <w:rPr>
                <w:color w:val="000000" w:themeColor="text1"/>
                <w:sz w:val="20"/>
                <w:szCs w:val="20"/>
              </w:rPr>
            </w:pPr>
            <w:r>
              <w:rPr>
                <w:color w:val="000000" w:themeColor="text1"/>
                <w:sz w:val="20"/>
                <w:szCs w:val="20"/>
              </w:rPr>
              <w:t>0,00</w:t>
            </w:r>
          </w:p>
        </w:tc>
        <w:tc>
          <w:tcPr>
            <w:tcW w:w="481" w:type="pct"/>
            <w:tcBorders>
              <w:top w:val="single" w:sz="4" w:space="0" w:color="auto"/>
              <w:left w:val="single" w:sz="4" w:space="0" w:color="auto"/>
              <w:bottom w:val="single" w:sz="4" w:space="0" w:color="auto"/>
              <w:right w:val="single" w:sz="4" w:space="0" w:color="auto"/>
            </w:tcBorders>
            <w:vAlign w:val="center"/>
          </w:tcPr>
          <w:p w14:paraId="6EE0E0EC" w14:textId="77777777" w:rsidR="006E413E" w:rsidRPr="00D37BE7" w:rsidRDefault="006E413E" w:rsidP="00085461">
            <w:pPr>
              <w:widowControl w:val="0"/>
              <w:ind w:left="-279" w:right="63"/>
              <w:jc w:val="right"/>
              <w:rPr>
                <w:color w:val="000000" w:themeColor="text1"/>
                <w:sz w:val="20"/>
                <w:szCs w:val="20"/>
              </w:rPr>
            </w:pPr>
            <w:r>
              <w:rPr>
                <w:color w:val="000000" w:themeColor="text1"/>
                <w:sz w:val="20"/>
                <w:szCs w:val="20"/>
              </w:rPr>
              <w:t>0,00</w:t>
            </w:r>
          </w:p>
        </w:tc>
        <w:tc>
          <w:tcPr>
            <w:tcW w:w="577" w:type="pct"/>
            <w:tcBorders>
              <w:top w:val="single" w:sz="4" w:space="0" w:color="auto"/>
              <w:left w:val="single" w:sz="4" w:space="0" w:color="auto"/>
              <w:bottom w:val="single" w:sz="4" w:space="0" w:color="auto"/>
              <w:right w:val="single" w:sz="4" w:space="0" w:color="auto"/>
            </w:tcBorders>
            <w:noWrap/>
            <w:vAlign w:val="center"/>
          </w:tcPr>
          <w:p w14:paraId="4421A1B0"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1,61</w:t>
            </w:r>
          </w:p>
        </w:tc>
      </w:tr>
      <w:tr w:rsidR="003F4FED" w:rsidRPr="00D37BE7" w14:paraId="6ABB1F19" w14:textId="77777777" w:rsidTr="00085461">
        <w:trPr>
          <w:trHeight w:val="264"/>
        </w:trPr>
        <w:tc>
          <w:tcPr>
            <w:tcW w:w="19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DF0AD46" w14:textId="77777777" w:rsidR="006E413E" w:rsidRPr="00D37BE7" w:rsidRDefault="006E413E" w:rsidP="00362AF2">
            <w:pPr>
              <w:widowControl w:val="0"/>
              <w:ind w:left="98"/>
              <w:jc w:val="left"/>
              <w:rPr>
                <w:color w:val="000000" w:themeColor="text1"/>
                <w:sz w:val="20"/>
                <w:szCs w:val="20"/>
              </w:rPr>
            </w:pPr>
            <w:r>
              <w:rPr>
                <w:color w:val="000000" w:themeColor="text1"/>
                <w:sz w:val="20"/>
                <w:szCs w:val="20"/>
              </w:rPr>
              <w:t>HCFC-142b</w:t>
            </w:r>
          </w:p>
        </w:tc>
        <w:tc>
          <w:tcPr>
            <w:tcW w:w="531" w:type="pct"/>
            <w:tcBorders>
              <w:top w:val="single" w:sz="4" w:space="0" w:color="auto"/>
              <w:left w:val="single" w:sz="4" w:space="0" w:color="auto"/>
              <w:bottom w:val="single" w:sz="4" w:space="0" w:color="auto"/>
              <w:right w:val="single" w:sz="4" w:space="0" w:color="auto"/>
            </w:tcBorders>
            <w:noWrap/>
            <w:vAlign w:val="center"/>
          </w:tcPr>
          <w:p w14:paraId="553428A0" w14:textId="77777777" w:rsidR="006E413E" w:rsidRPr="004E7A97" w:rsidRDefault="006E413E" w:rsidP="00362AF2">
            <w:pPr>
              <w:widowControl w:val="0"/>
              <w:ind w:left="-279" w:right="63"/>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4D0765EE" w14:textId="77777777" w:rsidR="006E413E" w:rsidRPr="004E7A97" w:rsidRDefault="006E413E" w:rsidP="00362AF2">
            <w:pPr>
              <w:widowControl w:val="0"/>
              <w:ind w:left="-279" w:right="63"/>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2FDE3334" w14:textId="77777777" w:rsidR="006E413E" w:rsidRPr="004E7A97" w:rsidRDefault="006E413E" w:rsidP="00362AF2">
            <w:pPr>
              <w:widowControl w:val="0"/>
              <w:ind w:left="-279" w:right="63"/>
              <w:jc w:val="right"/>
              <w:rPr>
                <w:color w:val="000000" w:themeColor="text1"/>
                <w:sz w:val="20"/>
                <w:szCs w:val="20"/>
              </w:rPr>
            </w:pPr>
            <w:r>
              <w:rPr>
                <w:color w:val="000000" w:themeColor="text1"/>
                <w:sz w:val="20"/>
                <w:szCs w:val="20"/>
              </w:rPr>
              <w:t>0,00</w:t>
            </w:r>
          </w:p>
        </w:tc>
        <w:tc>
          <w:tcPr>
            <w:tcW w:w="432" w:type="pct"/>
            <w:tcBorders>
              <w:top w:val="single" w:sz="4" w:space="0" w:color="auto"/>
              <w:left w:val="single" w:sz="4" w:space="0" w:color="auto"/>
              <w:bottom w:val="single" w:sz="4" w:space="0" w:color="auto"/>
              <w:right w:val="single" w:sz="4" w:space="0" w:color="auto"/>
            </w:tcBorders>
            <w:vAlign w:val="center"/>
          </w:tcPr>
          <w:p w14:paraId="7A5F2043" w14:textId="77777777" w:rsidR="006E413E" w:rsidRPr="004E7A97" w:rsidRDefault="006E413E" w:rsidP="00085461">
            <w:pPr>
              <w:widowControl w:val="0"/>
              <w:ind w:left="-279" w:right="63"/>
              <w:jc w:val="right"/>
              <w:rPr>
                <w:color w:val="000000" w:themeColor="text1"/>
                <w:sz w:val="20"/>
                <w:szCs w:val="20"/>
              </w:rPr>
            </w:pPr>
            <w:r>
              <w:rPr>
                <w:color w:val="000000" w:themeColor="text1"/>
                <w:sz w:val="20"/>
                <w:szCs w:val="20"/>
              </w:rPr>
              <w:t>0,00</w:t>
            </w:r>
          </w:p>
        </w:tc>
        <w:tc>
          <w:tcPr>
            <w:tcW w:w="481" w:type="pct"/>
            <w:tcBorders>
              <w:top w:val="single" w:sz="4" w:space="0" w:color="auto"/>
              <w:left w:val="single" w:sz="4" w:space="0" w:color="auto"/>
              <w:bottom w:val="single" w:sz="4" w:space="0" w:color="auto"/>
              <w:right w:val="single" w:sz="4" w:space="0" w:color="auto"/>
            </w:tcBorders>
            <w:vAlign w:val="center"/>
          </w:tcPr>
          <w:p w14:paraId="2E65AA65" w14:textId="77777777" w:rsidR="006E413E" w:rsidRPr="004E7A97" w:rsidRDefault="006E413E" w:rsidP="00085461">
            <w:pPr>
              <w:widowControl w:val="0"/>
              <w:ind w:left="-279" w:right="63"/>
              <w:jc w:val="right"/>
              <w:rPr>
                <w:color w:val="000000" w:themeColor="text1"/>
                <w:sz w:val="20"/>
                <w:szCs w:val="20"/>
              </w:rPr>
            </w:pPr>
            <w:r>
              <w:rPr>
                <w:color w:val="000000" w:themeColor="text1"/>
                <w:sz w:val="20"/>
                <w:szCs w:val="20"/>
              </w:rPr>
              <w:t>0,00</w:t>
            </w:r>
          </w:p>
        </w:tc>
        <w:tc>
          <w:tcPr>
            <w:tcW w:w="577" w:type="pct"/>
            <w:tcBorders>
              <w:top w:val="single" w:sz="4" w:space="0" w:color="auto"/>
              <w:left w:val="single" w:sz="4" w:space="0" w:color="auto"/>
              <w:bottom w:val="single" w:sz="4" w:space="0" w:color="auto"/>
              <w:right w:val="single" w:sz="4" w:space="0" w:color="auto"/>
            </w:tcBorders>
            <w:noWrap/>
            <w:vAlign w:val="center"/>
          </w:tcPr>
          <w:p w14:paraId="0D46A881" w14:textId="77777777" w:rsidR="006E413E" w:rsidRPr="00D37BE7" w:rsidRDefault="006E413E" w:rsidP="00362AF2">
            <w:pPr>
              <w:widowControl w:val="0"/>
              <w:ind w:left="-279" w:right="63"/>
              <w:jc w:val="right"/>
              <w:rPr>
                <w:color w:val="000000" w:themeColor="text1"/>
                <w:sz w:val="20"/>
                <w:szCs w:val="20"/>
              </w:rPr>
            </w:pPr>
            <w:r>
              <w:rPr>
                <w:color w:val="000000" w:themeColor="text1"/>
                <w:sz w:val="20"/>
                <w:szCs w:val="20"/>
              </w:rPr>
              <w:t>0,04</w:t>
            </w:r>
          </w:p>
        </w:tc>
      </w:tr>
      <w:tr w:rsidR="003F4FED" w:rsidRPr="00D37BE7" w14:paraId="60D9008D" w14:textId="77777777" w:rsidTr="00085461">
        <w:trPr>
          <w:trHeight w:val="273"/>
        </w:trPr>
        <w:tc>
          <w:tcPr>
            <w:tcW w:w="19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7A4F1CD" w14:textId="77777777" w:rsidR="006E413E" w:rsidRPr="00D37BE7" w:rsidRDefault="006E413E" w:rsidP="00362AF2">
            <w:pPr>
              <w:ind w:left="98"/>
              <w:jc w:val="left"/>
              <w:rPr>
                <w:rFonts w:eastAsiaTheme="minorHAnsi"/>
                <w:b/>
                <w:color w:val="000000" w:themeColor="text1"/>
                <w:sz w:val="20"/>
                <w:szCs w:val="20"/>
              </w:rPr>
            </w:pPr>
            <w:r>
              <w:rPr>
                <w:b/>
                <w:color w:val="000000" w:themeColor="text1"/>
                <w:sz w:val="20"/>
                <w:szCs w:val="20"/>
              </w:rPr>
              <w:t>Total (tonnes PAO)</w:t>
            </w:r>
          </w:p>
        </w:tc>
        <w:tc>
          <w:tcPr>
            <w:tcW w:w="531" w:type="pct"/>
            <w:tcBorders>
              <w:top w:val="single" w:sz="4" w:space="0" w:color="auto"/>
              <w:left w:val="single" w:sz="4" w:space="0" w:color="auto"/>
              <w:bottom w:val="single" w:sz="4" w:space="0" w:color="auto"/>
              <w:right w:val="single" w:sz="4" w:space="0" w:color="auto"/>
            </w:tcBorders>
            <w:noWrap/>
            <w:vAlign w:val="center"/>
          </w:tcPr>
          <w:p w14:paraId="7DDD18A4" w14:textId="77777777" w:rsidR="006E413E" w:rsidRPr="00D37BE7" w:rsidRDefault="006E413E" w:rsidP="00362AF2">
            <w:pPr>
              <w:widowControl w:val="0"/>
              <w:ind w:left="-279" w:right="63"/>
              <w:jc w:val="right"/>
              <w:rPr>
                <w:b/>
                <w:bCs/>
                <w:color w:val="000000" w:themeColor="text1"/>
                <w:sz w:val="20"/>
                <w:szCs w:val="20"/>
                <w:lang w:eastAsia="en-CA"/>
              </w:rPr>
            </w:pPr>
            <w:r>
              <w:rPr>
                <w:b/>
                <w:bCs/>
                <w:color w:val="000000" w:themeColor="text1"/>
                <w:sz w:val="20"/>
                <w:szCs w:val="20"/>
              </w:rPr>
              <w:t>23,24</w:t>
            </w:r>
          </w:p>
        </w:tc>
        <w:tc>
          <w:tcPr>
            <w:tcW w:w="529" w:type="pct"/>
            <w:tcBorders>
              <w:top w:val="single" w:sz="4" w:space="0" w:color="auto"/>
              <w:left w:val="single" w:sz="4" w:space="0" w:color="auto"/>
              <w:bottom w:val="single" w:sz="4" w:space="0" w:color="auto"/>
              <w:right w:val="single" w:sz="4" w:space="0" w:color="auto"/>
            </w:tcBorders>
            <w:noWrap/>
            <w:vAlign w:val="center"/>
          </w:tcPr>
          <w:p w14:paraId="26073D3F" w14:textId="77777777" w:rsidR="006E413E" w:rsidRPr="00D37BE7" w:rsidRDefault="006E413E" w:rsidP="00362AF2">
            <w:pPr>
              <w:widowControl w:val="0"/>
              <w:ind w:left="-279" w:right="63"/>
              <w:jc w:val="right"/>
              <w:rPr>
                <w:b/>
                <w:bCs/>
                <w:color w:val="000000" w:themeColor="text1"/>
                <w:sz w:val="20"/>
                <w:szCs w:val="20"/>
              </w:rPr>
            </w:pPr>
            <w:r>
              <w:rPr>
                <w:b/>
                <w:bCs/>
                <w:color w:val="000000" w:themeColor="text1"/>
                <w:sz w:val="20"/>
                <w:szCs w:val="20"/>
              </w:rPr>
              <w:t>20,69</w:t>
            </w:r>
          </w:p>
        </w:tc>
        <w:tc>
          <w:tcPr>
            <w:tcW w:w="529" w:type="pct"/>
            <w:tcBorders>
              <w:top w:val="single" w:sz="4" w:space="0" w:color="auto"/>
              <w:left w:val="single" w:sz="4" w:space="0" w:color="auto"/>
              <w:bottom w:val="single" w:sz="4" w:space="0" w:color="auto"/>
              <w:right w:val="single" w:sz="4" w:space="0" w:color="auto"/>
            </w:tcBorders>
            <w:noWrap/>
            <w:vAlign w:val="center"/>
          </w:tcPr>
          <w:p w14:paraId="7EC5627D" w14:textId="77777777" w:rsidR="006E413E" w:rsidRPr="00D37BE7" w:rsidRDefault="006E413E" w:rsidP="00362AF2">
            <w:pPr>
              <w:widowControl w:val="0"/>
              <w:ind w:left="-279" w:right="63"/>
              <w:jc w:val="right"/>
              <w:rPr>
                <w:b/>
                <w:bCs/>
                <w:color w:val="000000" w:themeColor="text1"/>
                <w:sz w:val="20"/>
                <w:szCs w:val="20"/>
              </w:rPr>
            </w:pPr>
            <w:r>
              <w:rPr>
                <w:b/>
                <w:bCs/>
                <w:color w:val="000000" w:themeColor="text1"/>
                <w:sz w:val="20"/>
                <w:szCs w:val="20"/>
              </w:rPr>
              <w:t>20,65</w:t>
            </w:r>
          </w:p>
        </w:tc>
        <w:tc>
          <w:tcPr>
            <w:tcW w:w="432" w:type="pct"/>
            <w:tcBorders>
              <w:top w:val="single" w:sz="4" w:space="0" w:color="auto"/>
              <w:left w:val="single" w:sz="4" w:space="0" w:color="auto"/>
              <w:bottom w:val="single" w:sz="4" w:space="0" w:color="auto"/>
              <w:right w:val="single" w:sz="4" w:space="0" w:color="auto"/>
            </w:tcBorders>
            <w:vAlign w:val="center"/>
          </w:tcPr>
          <w:p w14:paraId="756055FC" w14:textId="77777777" w:rsidR="006E413E" w:rsidRPr="00D37BE7" w:rsidRDefault="006E413E" w:rsidP="00085461">
            <w:pPr>
              <w:widowControl w:val="0"/>
              <w:ind w:left="-279" w:right="63"/>
              <w:jc w:val="right"/>
              <w:rPr>
                <w:b/>
                <w:bCs/>
                <w:color w:val="000000" w:themeColor="text1"/>
                <w:sz w:val="20"/>
                <w:szCs w:val="20"/>
              </w:rPr>
            </w:pPr>
            <w:r>
              <w:rPr>
                <w:b/>
                <w:bCs/>
                <w:color w:val="000000" w:themeColor="text1"/>
                <w:sz w:val="20"/>
                <w:szCs w:val="20"/>
              </w:rPr>
              <w:t>17,88</w:t>
            </w:r>
          </w:p>
        </w:tc>
        <w:tc>
          <w:tcPr>
            <w:tcW w:w="481" w:type="pct"/>
            <w:tcBorders>
              <w:top w:val="single" w:sz="4" w:space="0" w:color="auto"/>
              <w:left w:val="single" w:sz="4" w:space="0" w:color="auto"/>
              <w:bottom w:val="single" w:sz="4" w:space="0" w:color="auto"/>
              <w:right w:val="single" w:sz="4" w:space="0" w:color="auto"/>
            </w:tcBorders>
            <w:vAlign w:val="center"/>
          </w:tcPr>
          <w:p w14:paraId="0BCF9910" w14:textId="77777777" w:rsidR="006E413E" w:rsidRPr="00D37BE7" w:rsidRDefault="006E413E" w:rsidP="00085461">
            <w:pPr>
              <w:widowControl w:val="0"/>
              <w:ind w:left="-279" w:right="63"/>
              <w:jc w:val="right"/>
              <w:rPr>
                <w:b/>
                <w:bCs/>
                <w:color w:val="000000" w:themeColor="text1"/>
                <w:sz w:val="20"/>
                <w:szCs w:val="20"/>
              </w:rPr>
            </w:pPr>
            <w:r>
              <w:rPr>
                <w:b/>
                <w:bCs/>
                <w:color w:val="000000" w:themeColor="text1"/>
                <w:sz w:val="20"/>
                <w:szCs w:val="20"/>
              </w:rPr>
              <w:t>14,98</w:t>
            </w:r>
          </w:p>
        </w:tc>
        <w:tc>
          <w:tcPr>
            <w:tcW w:w="577" w:type="pct"/>
            <w:tcBorders>
              <w:top w:val="single" w:sz="4" w:space="0" w:color="auto"/>
              <w:left w:val="single" w:sz="4" w:space="0" w:color="auto"/>
              <w:bottom w:val="single" w:sz="4" w:space="0" w:color="auto"/>
              <w:right w:val="single" w:sz="4" w:space="0" w:color="auto"/>
            </w:tcBorders>
            <w:noWrap/>
            <w:vAlign w:val="center"/>
          </w:tcPr>
          <w:p w14:paraId="362FBFAC" w14:textId="77777777" w:rsidR="006E413E" w:rsidRPr="00D37BE7" w:rsidRDefault="006E413E" w:rsidP="00362AF2">
            <w:pPr>
              <w:ind w:left="-279" w:right="63"/>
              <w:jc w:val="right"/>
              <w:rPr>
                <w:rFonts w:eastAsiaTheme="minorHAnsi"/>
                <w:b/>
                <w:bCs/>
                <w:color w:val="000000" w:themeColor="text1"/>
                <w:sz w:val="20"/>
                <w:szCs w:val="20"/>
              </w:rPr>
            </w:pPr>
            <w:r>
              <w:rPr>
                <w:b/>
                <w:bCs/>
                <w:color w:val="000000" w:themeColor="text1"/>
                <w:sz w:val="20"/>
                <w:szCs w:val="20"/>
              </w:rPr>
              <w:t>40,70</w:t>
            </w:r>
          </w:p>
        </w:tc>
      </w:tr>
      <w:tr w:rsidR="003F4FED" w:rsidRPr="00D37BE7" w14:paraId="275A4D83" w14:textId="77777777" w:rsidTr="00085461">
        <w:trPr>
          <w:trHeight w:val="220"/>
        </w:trPr>
        <w:tc>
          <w:tcPr>
            <w:tcW w:w="192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A2A138E" w14:textId="77777777" w:rsidR="003F4FED" w:rsidRDefault="006E413E" w:rsidP="00362AF2">
            <w:pPr>
              <w:ind w:left="98"/>
              <w:jc w:val="left"/>
              <w:rPr>
                <w:color w:val="000000" w:themeColor="text1"/>
                <w:sz w:val="20"/>
                <w:szCs w:val="20"/>
              </w:rPr>
            </w:pPr>
            <w:r>
              <w:rPr>
                <w:color w:val="000000" w:themeColor="text1"/>
                <w:sz w:val="20"/>
                <w:szCs w:val="20"/>
              </w:rPr>
              <w:t>HCFC</w:t>
            </w:r>
            <w:r>
              <w:rPr>
                <w:color w:val="000000" w:themeColor="text1"/>
                <w:sz w:val="20"/>
                <w:szCs w:val="20"/>
              </w:rPr>
              <w:noBreakHyphen/>
              <w:t>141b contenu dans les polyols</w:t>
            </w:r>
          </w:p>
          <w:p w14:paraId="7FF6FD9B" w14:textId="2E2FC876" w:rsidR="006E413E" w:rsidRPr="00D37BE7" w:rsidRDefault="006E413E" w:rsidP="00362AF2">
            <w:pPr>
              <w:ind w:left="98"/>
              <w:jc w:val="left"/>
              <w:rPr>
                <w:color w:val="000000" w:themeColor="text1"/>
                <w:sz w:val="20"/>
                <w:szCs w:val="20"/>
              </w:rPr>
            </w:pPr>
            <w:r>
              <w:rPr>
                <w:color w:val="000000" w:themeColor="text1"/>
                <w:sz w:val="20"/>
                <w:szCs w:val="20"/>
              </w:rPr>
              <w:t xml:space="preserve"> pré-mélangés importés*</w:t>
            </w:r>
          </w:p>
        </w:tc>
        <w:tc>
          <w:tcPr>
            <w:tcW w:w="531" w:type="pct"/>
            <w:tcBorders>
              <w:top w:val="single" w:sz="4" w:space="0" w:color="auto"/>
              <w:left w:val="single" w:sz="4" w:space="0" w:color="auto"/>
              <w:bottom w:val="single" w:sz="4" w:space="0" w:color="auto"/>
              <w:right w:val="single" w:sz="4" w:space="0" w:color="auto"/>
            </w:tcBorders>
            <w:noWrap/>
            <w:vAlign w:val="center"/>
          </w:tcPr>
          <w:p w14:paraId="416C2216" w14:textId="77777777" w:rsidR="006E413E" w:rsidRPr="00D37BE7" w:rsidRDefault="006E413E" w:rsidP="00362AF2">
            <w:pPr>
              <w:ind w:left="-279" w:right="63"/>
              <w:jc w:val="right"/>
              <w:rPr>
                <w:rFonts w:eastAsiaTheme="minorHAnsi"/>
                <w:color w:val="000000" w:themeColor="text1"/>
                <w:sz w:val="20"/>
                <w:szCs w:val="20"/>
              </w:rPr>
            </w:pPr>
            <w:r>
              <w:rPr>
                <w:rFonts w:eastAsiaTheme="minorHAnsi"/>
                <w:color w:val="000000" w:themeColor="text1"/>
                <w:sz w:val="20"/>
                <w:szCs w:val="20"/>
              </w:rPr>
              <w:t>7,37</w:t>
            </w:r>
          </w:p>
        </w:tc>
        <w:tc>
          <w:tcPr>
            <w:tcW w:w="529" w:type="pct"/>
            <w:tcBorders>
              <w:top w:val="single" w:sz="4" w:space="0" w:color="auto"/>
              <w:left w:val="single" w:sz="4" w:space="0" w:color="auto"/>
              <w:bottom w:val="single" w:sz="4" w:space="0" w:color="auto"/>
              <w:right w:val="single" w:sz="4" w:space="0" w:color="auto"/>
            </w:tcBorders>
            <w:noWrap/>
            <w:vAlign w:val="center"/>
          </w:tcPr>
          <w:p w14:paraId="6C648CB7" w14:textId="77777777" w:rsidR="006E413E" w:rsidRPr="00D37BE7" w:rsidRDefault="006E413E" w:rsidP="00362AF2">
            <w:pPr>
              <w:ind w:left="-279" w:right="63"/>
              <w:jc w:val="right"/>
              <w:rPr>
                <w:rFonts w:eastAsiaTheme="minorHAnsi"/>
                <w:color w:val="000000" w:themeColor="text1"/>
                <w:sz w:val="20"/>
                <w:szCs w:val="20"/>
              </w:rPr>
            </w:pPr>
            <w:r>
              <w:rPr>
                <w:color w:val="000000" w:themeColor="text1"/>
                <w:sz w:val="20"/>
                <w:szCs w:val="20"/>
              </w:rPr>
              <w:t>1,60</w:t>
            </w:r>
          </w:p>
        </w:tc>
        <w:tc>
          <w:tcPr>
            <w:tcW w:w="529" w:type="pct"/>
            <w:tcBorders>
              <w:top w:val="single" w:sz="4" w:space="0" w:color="auto"/>
              <w:left w:val="single" w:sz="4" w:space="0" w:color="auto"/>
              <w:bottom w:val="single" w:sz="4" w:space="0" w:color="auto"/>
              <w:right w:val="single" w:sz="4" w:space="0" w:color="auto"/>
            </w:tcBorders>
            <w:noWrap/>
            <w:vAlign w:val="center"/>
          </w:tcPr>
          <w:p w14:paraId="687749CE" w14:textId="77777777" w:rsidR="006E413E" w:rsidRPr="00D37BE7" w:rsidRDefault="006E413E" w:rsidP="00362AF2">
            <w:pPr>
              <w:ind w:left="-279" w:right="63"/>
              <w:jc w:val="right"/>
              <w:rPr>
                <w:rFonts w:eastAsiaTheme="minorHAnsi"/>
                <w:color w:val="000000" w:themeColor="text1"/>
                <w:sz w:val="20"/>
                <w:szCs w:val="20"/>
              </w:rPr>
            </w:pPr>
            <w:r>
              <w:rPr>
                <w:color w:val="000000" w:themeColor="text1"/>
                <w:sz w:val="20"/>
                <w:szCs w:val="20"/>
              </w:rPr>
              <w:t>1,60</w:t>
            </w:r>
          </w:p>
        </w:tc>
        <w:tc>
          <w:tcPr>
            <w:tcW w:w="432" w:type="pct"/>
            <w:tcBorders>
              <w:top w:val="single" w:sz="4" w:space="0" w:color="auto"/>
              <w:left w:val="single" w:sz="4" w:space="0" w:color="auto"/>
              <w:bottom w:val="single" w:sz="4" w:space="0" w:color="auto"/>
              <w:right w:val="single" w:sz="4" w:space="0" w:color="auto"/>
            </w:tcBorders>
            <w:vAlign w:val="center"/>
          </w:tcPr>
          <w:p w14:paraId="43575175" w14:textId="77777777" w:rsidR="006E413E" w:rsidRPr="00D37BE7" w:rsidRDefault="006E413E" w:rsidP="00085461">
            <w:pPr>
              <w:ind w:left="-279" w:right="63"/>
              <w:jc w:val="right"/>
              <w:rPr>
                <w:color w:val="000000" w:themeColor="text1"/>
                <w:sz w:val="20"/>
                <w:szCs w:val="20"/>
              </w:rPr>
            </w:pPr>
            <w:r>
              <w:rPr>
                <w:color w:val="000000" w:themeColor="text1"/>
                <w:sz w:val="20"/>
                <w:szCs w:val="20"/>
              </w:rPr>
              <w:t>1,60</w:t>
            </w:r>
          </w:p>
        </w:tc>
        <w:tc>
          <w:tcPr>
            <w:tcW w:w="481" w:type="pct"/>
            <w:tcBorders>
              <w:top w:val="single" w:sz="4" w:space="0" w:color="auto"/>
              <w:left w:val="single" w:sz="4" w:space="0" w:color="auto"/>
              <w:bottom w:val="single" w:sz="4" w:space="0" w:color="auto"/>
              <w:right w:val="single" w:sz="4" w:space="0" w:color="auto"/>
            </w:tcBorders>
            <w:vAlign w:val="center"/>
          </w:tcPr>
          <w:p w14:paraId="07DCC562" w14:textId="77777777" w:rsidR="006E413E" w:rsidRPr="00085461" w:rsidRDefault="006E413E" w:rsidP="00085461">
            <w:pPr>
              <w:ind w:left="-279" w:right="63"/>
              <w:jc w:val="right"/>
              <w:rPr>
                <w:color w:val="000000" w:themeColor="text1"/>
                <w:sz w:val="20"/>
                <w:szCs w:val="20"/>
              </w:rPr>
            </w:pPr>
            <w:r>
              <w:rPr>
                <w:color w:val="000000" w:themeColor="text1"/>
                <w:sz w:val="20"/>
                <w:szCs w:val="20"/>
              </w:rPr>
              <w:t>1,60</w:t>
            </w:r>
          </w:p>
        </w:tc>
        <w:tc>
          <w:tcPr>
            <w:tcW w:w="577" w:type="pct"/>
            <w:tcBorders>
              <w:top w:val="single" w:sz="4" w:space="0" w:color="auto"/>
              <w:left w:val="single" w:sz="4" w:space="0" w:color="auto"/>
              <w:bottom w:val="single" w:sz="4" w:space="0" w:color="auto"/>
              <w:right w:val="single" w:sz="4" w:space="0" w:color="auto"/>
            </w:tcBorders>
            <w:noWrap/>
            <w:vAlign w:val="center"/>
          </w:tcPr>
          <w:p w14:paraId="3B8CE5D7" w14:textId="77777777" w:rsidR="006E413E" w:rsidRPr="00D37BE7" w:rsidRDefault="006E413E" w:rsidP="00362AF2">
            <w:pPr>
              <w:ind w:left="-279" w:right="63"/>
              <w:jc w:val="right"/>
              <w:rPr>
                <w:rFonts w:eastAsiaTheme="minorHAnsi"/>
                <w:color w:val="000000" w:themeColor="text1"/>
                <w:sz w:val="20"/>
                <w:szCs w:val="20"/>
              </w:rPr>
            </w:pPr>
            <w:r>
              <w:rPr>
                <w:rFonts w:eastAsiaTheme="minorHAnsi"/>
                <w:color w:val="000000" w:themeColor="text1"/>
                <w:sz w:val="20"/>
                <w:szCs w:val="20"/>
              </w:rPr>
              <w:t>5,02</w:t>
            </w:r>
            <w:r>
              <w:rPr>
                <w:color w:val="000000" w:themeColor="text1"/>
                <w:sz w:val="20"/>
                <w:szCs w:val="20"/>
              </w:rPr>
              <w:t>*</w:t>
            </w:r>
            <w:r>
              <w:rPr>
                <w:rFonts w:eastAsiaTheme="minorHAnsi"/>
                <w:color w:val="000000" w:themeColor="text1"/>
                <w:sz w:val="20"/>
                <w:szCs w:val="20"/>
              </w:rPr>
              <w:t>*</w:t>
            </w:r>
          </w:p>
        </w:tc>
      </w:tr>
    </w:tbl>
    <w:p w14:paraId="4E5C5D5A" w14:textId="483D3DAD" w:rsidR="006E413E" w:rsidRPr="00757F6D" w:rsidRDefault="006E413E" w:rsidP="006E413E">
      <w:pPr>
        <w:rPr>
          <w:color w:val="000000" w:themeColor="text1"/>
          <w:sz w:val="18"/>
          <w:szCs w:val="18"/>
        </w:rPr>
      </w:pPr>
      <w:r w:rsidRPr="00757F6D">
        <w:rPr>
          <w:color w:val="000000" w:themeColor="text1"/>
          <w:sz w:val="18"/>
          <w:szCs w:val="18"/>
        </w:rPr>
        <w:t xml:space="preserve">* </w:t>
      </w:r>
      <w:r w:rsidRPr="00757F6D">
        <w:rPr>
          <w:sz w:val="18"/>
          <w:szCs w:val="18"/>
        </w:rPr>
        <w:t xml:space="preserve"> Données du rapport de mise en œuvre du programme du pays</w:t>
      </w:r>
    </w:p>
    <w:p w14:paraId="10CC368F" w14:textId="77777777" w:rsidR="006E413E" w:rsidRPr="00757F6D" w:rsidRDefault="006E413E" w:rsidP="006E413E">
      <w:pPr>
        <w:rPr>
          <w:strike/>
          <w:sz w:val="18"/>
          <w:szCs w:val="18"/>
        </w:rPr>
      </w:pPr>
      <w:r w:rsidRPr="00757F6D">
        <w:rPr>
          <w:sz w:val="18"/>
          <w:szCs w:val="18"/>
        </w:rPr>
        <w:t>** Point de départ défini dans l'accord conclu avec le Comité exécutif</w:t>
      </w:r>
    </w:p>
    <w:p w14:paraId="56A4F15C" w14:textId="77777777" w:rsidR="006E413E" w:rsidRPr="009F0B2A" w:rsidRDefault="006E413E" w:rsidP="006E413E">
      <w:pPr>
        <w:rPr>
          <w:color w:val="000000" w:themeColor="text1"/>
          <w:sz w:val="18"/>
          <w:szCs w:val="18"/>
        </w:rPr>
      </w:pPr>
    </w:p>
    <w:p w14:paraId="7B9AE22E" w14:textId="72455D06" w:rsidR="00DB0C90" w:rsidRPr="00763771" w:rsidRDefault="00DB0C90" w:rsidP="00DB0C90">
      <w:pPr>
        <w:pStyle w:val="Heading1"/>
        <w:rPr>
          <w:lang w:val="fr-FR"/>
        </w:rPr>
      </w:pPr>
      <w:bookmarkStart w:id="1" w:name="_Hlk210305921"/>
      <w:r>
        <w:t>La consommation de HCFC-22 est en baisse depuis 2020 grâce aux mesures mises en œuvre dans le secteur de l'entretien des équipements de réfrigération et de climatisation, à la mise en place d'un système de permis et de quotas, et à l'élimination du HCFC-22 dans le secteur de la fabrication d'équipements de réfrigération et de climatisation. En 2020, de petites quantités de HCFC-123 ont été consommées par l'industrie alimentaire comme frigorigène pour les refroidisseurs. La consommation de HCFC-141b contenu dans les polyols pré-mélangés importés entre 2020 et 2024 était liée à l'utilisation par deux entreprises de fabrication de mousse de polyuréthane (PU). À partir de janvier 2025, ces deux entreprises sont passées à une technologie de remplacement dans le cadre de la phase II du PGEH. L'importation de HCFC-141b en vrac est interdite depuis le 1</w:t>
      </w:r>
      <w:r>
        <w:rPr>
          <w:vertAlign w:val="superscript"/>
        </w:rPr>
        <w:t>er</w:t>
      </w:r>
      <w:r>
        <w:t> janvier 2020.</w:t>
      </w:r>
    </w:p>
    <w:bookmarkEnd w:id="1"/>
    <w:p w14:paraId="5A50B451" w14:textId="5269FEB9" w:rsidR="00E9063C" w:rsidRPr="009F0B2A" w:rsidRDefault="00E9063C" w:rsidP="00757F6D">
      <w:pPr>
        <w:keepNext/>
        <w:keepLines/>
        <w:widowControl w:val="0"/>
        <w:spacing w:after="240"/>
        <w:rPr>
          <w:i/>
        </w:rPr>
      </w:pPr>
      <w:r>
        <w:rPr>
          <w:i/>
        </w:rPr>
        <w:lastRenderedPageBreak/>
        <w:t>Rapport de mise en œuvre du programme du pays</w:t>
      </w:r>
    </w:p>
    <w:p w14:paraId="7EA056F6" w14:textId="34D7FBDD" w:rsidR="00CE1ACC" w:rsidRPr="009F0B2A" w:rsidRDefault="00E9063C" w:rsidP="00757F6D">
      <w:pPr>
        <w:pStyle w:val="Heading1"/>
        <w:keepNext/>
        <w:keepLines/>
        <w:widowControl w:val="0"/>
        <w:rPr>
          <w:i/>
        </w:rPr>
      </w:pPr>
      <w:r>
        <w:t>Le Gouvernement tunisien a communiqué des données sur la consommation du secteur des HCFC dans le cadre du rapport du programme du pays pour 2024, qui correspondent aux données communiquées au titre de l'article 7 du Protocole de Montréal.</w:t>
      </w:r>
    </w:p>
    <w:p w14:paraId="757582CA" w14:textId="619A7C53" w:rsidR="00E9063C" w:rsidRPr="009F0B2A" w:rsidRDefault="00E9063C" w:rsidP="00CE1ACC">
      <w:pPr>
        <w:keepNext/>
        <w:spacing w:after="240"/>
        <w:outlineLvl w:val="0"/>
        <w:rPr>
          <w:i/>
        </w:rPr>
      </w:pPr>
      <w:r>
        <w:rPr>
          <w:i/>
        </w:rPr>
        <w:t xml:space="preserve">Rapport de vérification </w:t>
      </w:r>
    </w:p>
    <w:p w14:paraId="0CC539ED" w14:textId="2004DA30" w:rsidR="0064041C" w:rsidRPr="00B468E3" w:rsidRDefault="00E9063C" w:rsidP="00082DA7">
      <w:pPr>
        <w:pStyle w:val="Heading1"/>
      </w:pPr>
      <w:r>
        <w:t xml:space="preserve">Le rapport de vérification a confirmé que le Gouvernement appliquait un système de permis et de quotas pour les importations et les exportations de HCFC et que la consommation totale de HCFC déclarée au titre de l'article 7 du Protocole de Montréal pour la période 2023-2024 était correcte (comme indiqué dans le tableau 1 ci-dessus). La vérification a conclu que la Tunisie avait respecté la consommation maximale admissible pour toutes les substances du groupe I de l'annexe C pour 2023 et 2024, comme indiqué dans l'accord conclu avec le Comité exécutif. Outre une recommandation, le rapport de vérification comportait quelques observations traitées au paragraphe 16 ci-dessous. </w:t>
      </w:r>
    </w:p>
    <w:p w14:paraId="7AAA870F" w14:textId="340843DE" w:rsidR="00E9063C" w:rsidRPr="009F0B2A" w:rsidRDefault="00E9063C" w:rsidP="00E9063C">
      <w:pPr>
        <w:keepNext/>
        <w:spacing w:after="240"/>
        <w:rPr>
          <w:u w:val="single"/>
        </w:rPr>
      </w:pPr>
      <w:bookmarkStart w:id="2" w:name="_Hlk210378588"/>
      <w:r>
        <w:rPr>
          <w:u w:val="single"/>
        </w:rPr>
        <w:t>Rapport de synthèse sur la mise en œuvre de la deuxième tranche de la phase II du plan de gestion de l'élimination des HCFC</w:t>
      </w:r>
    </w:p>
    <w:bookmarkEnd w:id="2"/>
    <w:p w14:paraId="7C6E4C43" w14:textId="57D2C52E" w:rsidR="00D74A61" w:rsidRPr="009F0B2A" w:rsidRDefault="00E9063C" w:rsidP="00D74A61">
      <w:pPr>
        <w:spacing w:after="240"/>
        <w:rPr>
          <w:iCs/>
        </w:rPr>
      </w:pPr>
      <w:r>
        <w:rPr>
          <w:i/>
        </w:rPr>
        <w:t>Cadre juridique</w:t>
      </w:r>
    </w:p>
    <w:p w14:paraId="043C0344" w14:textId="1D43E447" w:rsidR="00256F48" w:rsidRPr="007A7982" w:rsidRDefault="00256F48" w:rsidP="00082DA7">
      <w:pPr>
        <w:pStyle w:val="Heading1"/>
      </w:pPr>
      <w:r>
        <w:t>Le Gouvernement tunisien poursuit la mise en œuvre d'un système électronique d'octroi de permis et de quotas pour les importations de HCFC. Le Gouvernement a ratifié l'Amendement de Kigali le 27 août 2021. Les codes douaniers ont été mis à jour en 2023 dans le cadre de la mise en œuvre d'un amendement national visant à s'aligner sur les codes du Système harmonisé (HS) de 2022 publiés par l'Organisation mondiale des douanes (OMD), qui ne prévoit pas de classification distincte pour les polyols pré-mélangés contenant du HCFC-141b. Par conséquent, l'Unité nationale pour l'ozone (UNO) a entrepris de recenser tous les codes actuellement utilisés par les importateurs de polyols et, en se basant sur ces informations, elle procède à une nouvelle révision des codes douaniers afin d'attribuer un code spécifique au HCFC-141b présent dans les polyols pré-mélangés, qui devrait entrer en vigueur début 2026.</w:t>
      </w:r>
      <w:r>
        <w:rPr>
          <w:b/>
          <w:bCs/>
        </w:rPr>
        <w:t xml:space="preserve"> </w:t>
      </w:r>
    </w:p>
    <w:p w14:paraId="2FEC232E" w14:textId="4802EB04" w:rsidR="00116629" w:rsidRPr="009F0B2A" w:rsidRDefault="00116629" w:rsidP="00082DA7">
      <w:pPr>
        <w:pStyle w:val="Heading1"/>
      </w:pPr>
      <w:r>
        <w:t>Le Gouvernement tunisien a progressé dans la préparation de plusieurs projets de réglementations visant à renforcer la gestion des HCFC et HFC. Trois décrets sont actuellement examinés par le Gouvernement, notamment un décret établissant un système de certification pour les techniciens en réfrigération et climatisation ; un décret interdisant l'importation, la fabrication et l'assemblage d'équipements fonctionnant au HCFC et l'importation de HCFC</w:t>
      </w:r>
      <w:r>
        <w:noBreakHyphen/>
        <w:t>141b contenu dans les polyols pré-mélangés ; et un décret définissant le rôle du Comité national Ozone (CNO).</w:t>
      </w:r>
      <w:r>
        <w:rPr>
          <w:color w:val="000000" w:themeColor="text1"/>
        </w:rPr>
        <w:t xml:space="preserve"> </w:t>
      </w:r>
      <w:r>
        <w:t xml:space="preserve">En outre, un décret sur la gestion du cycle de vie des frigorigènes, couvrant la récupération, le recyclage, la régénération, la destruction et la gestion en fin de vie, a été rédigé. Une fois adoptés, ces instruments fourniront le cadre juridique nécessaire pour réglementer l'utilisation des frigorigènes, renforcer le système de quotas et garantir le respect des obligations internationales. </w:t>
      </w:r>
    </w:p>
    <w:p w14:paraId="0E0763F6" w14:textId="4152DD7C" w:rsidR="008A35ED" w:rsidRPr="009F0B2A" w:rsidRDefault="00A418F9" w:rsidP="00082DA7">
      <w:pPr>
        <w:pStyle w:val="Heading1"/>
      </w:pPr>
      <w:r>
        <w:t xml:space="preserve">Au cours de la deuxième tranche, cinq ateliers régionaux de formation ont été organisés afin de former un total de 83 agents des douanes et des forces de l'ordre, dont cinq femmes. Six identifiants de frigorigènes ont été fournis aux inspecteurs environnementaux de l'Agence nationale pour la protection de l'environnement (ANPE). </w:t>
      </w:r>
    </w:p>
    <w:p w14:paraId="29801820" w14:textId="2233A743" w:rsidR="00E9063C" w:rsidRPr="009F0B2A" w:rsidRDefault="00E9063C" w:rsidP="00E9063C">
      <w:pPr>
        <w:keepNext/>
        <w:spacing w:after="240"/>
        <w:rPr>
          <w:iCs/>
        </w:rPr>
      </w:pPr>
      <w:r>
        <w:rPr>
          <w:i/>
        </w:rPr>
        <w:t>Secteur de fabrication</w:t>
      </w:r>
    </w:p>
    <w:p w14:paraId="1F3E622B" w14:textId="25C027A3" w:rsidR="00453D0D" w:rsidRPr="009F0B2A" w:rsidRDefault="00457C6C" w:rsidP="002E0E5F">
      <w:pPr>
        <w:pStyle w:val="Heading1"/>
      </w:pPr>
      <w:r>
        <w:t xml:space="preserve">La phase II comprenait des projets de conversion visant à éliminer l'utilisation du HCFC-141b contenu dans les polyols pré-mélangés dans deux entreprises de fabrication de mousse de polyuréthane. La </w:t>
      </w:r>
      <w:r>
        <w:lastRenderedPageBreak/>
        <w:t>conversion dans l'entreprise GAN a été achevée en décembre 2021</w:t>
      </w:r>
      <w:r>
        <w:rPr>
          <w:rStyle w:val="FootnoteReference"/>
        </w:rPr>
        <w:footnoteReference w:id="3"/>
      </w:r>
      <w:r>
        <w:t>, tandis que le projet de conversion de l'entreprise Le Panneau a été achevé en janvier 2025, éliminant 1,6 tonne PAO (14,5 tonnes métriques) de HCFC-141b contenu dans des polyols pré-mélangés. Le Panneau prévoyait initialement de passer à la technologie au n-pentane, mais un passage au HFO-1233zd a été approuvé en novembre 2021 (décision 88/25). L'entreprise utilise désormais exclusivement la technologie HFO pour la production de panneaux sandwich. Les deux entreprises ont décidé de ne pas revenir à l'utilisation du HCFC-141b dans les polyols pré-mélangés.</w:t>
      </w:r>
    </w:p>
    <w:p w14:paraId="1ED39976" w14:textId="69C08F9E" w:rsidR="00E9063C" w:rsidRPr="009F0B2A" w:rsidRDefault="00E9063C" w:rsidP="00B55F88">
      <w:pPr>
        <w:keepNext/>
        <w:spacing w:after="240"/>
        <w:rPr>
          <w:i/>
        </w:rPr>
      </w:pPr>
      <w:r>
        <w:rPr>
          <w:i/>
        </w:rPr>
        <w:t>Secteur de l’entretien de l’équipement de réfrigération</w:t>
      </w:r>
    </w:p>
    <w:p w14:paraId="60F19BA2" w14:textId="1591A584" w:rsidR="002458ED" w:rsidRPr="009F0B2A" w:rsidRDefault="002458ED" w:rsidP="00082DA7">
      <w:pPr>
        <w:pStyle w:val="Heading1"/>
      </w:pPr>
      <w:r>
        <w:t>Un inventaire national des équipements de réfrigération et climatisation a été réalisé en collaboration avec l'association de réfrigération et climatisation. Les données collectées ont été intégrées dans une base de données nationale d'inventaire des équipements de réfrigération et de climatisation</w:t>
      </w:r>
      <w:r>
        <w:rPr>
          <w:rStyle w:val="FootnoteReference"/>
        </w:rPr>
        <w:footnoteReference w:id="4"/>
      </w:r>
      <w:r>
        <w:t xml:space="preserve"> destinée à améliorer la gestion des services de formation et d'assistance en réfrigération et climatisation et à faciliter la planification des futures initiatives de certification. </w:t>
      </w:r>
    </w:p>
    <w:p w14:paraId="0D4D5195" w14:textId="605A0196" w:rsidR="00F22296" w:rsidRPr="009F0B2A" w:rsidRDefault="00227694" w:rsidP="00082DA7">
      <w:pPr>
        <w:pStyle w:val="Heading1"/>
      </w:pPr>
      <w:r>
        <w:t>De 2024 à 2025, quatre sessions de formation ont été organisées sur les codes et les normes pour 187 techniciens en réfrigération et climatisation (dont 22 femmes). Trois formations ont été dispensées à 35 formateurs en réfrigération et climatisation (dont six femmes), sur la base du règlement (UE) n° 2067/2015 de l'Union européenne (UE), qui vise à garantir la manipulation sûre des gaz fluorés, et des technologies basées sur des solutions de remplacement aux HFC.</w:t>
      </w:r>
      <w:r>
        <w:rPr>
          <w:color w:val="000000" w:themeColor="text1"/>
        </w:rPr>
        <w:t xml:space="preserve"> À l'issue d'une évaluation, 29 participants (dont quatre femmes) ont obtenu la certification. Huit manuels de formation complets ont été élaborés pour soutenir le système de certification des techniciens en réfrigération et climatisation. Ils couvrent à la fois les aspects théoriques et pratiques, y compris les frigorigènes à faible potentiel de réchauffement de la planète (PRP) et inflammables. </w:t>
      </w:r>
      <w:r>
        <w:t>Un ensemble complet d'outils et d'équipements professionnels de réfrigération et climatisation</w:t>
      </w:r>
      <w:r>
        <w:rPr>
          <w:rStyle w:val="FootnoteReference"/>
        </w:rPr>
        <w:footnoteReference w:id="5"/>
      </w:r>
      <w:r>
        <w:t xml:space="preserve"> a été livré à un centre de formation à la pêche maritime à Kelibia afin de soutenir la formation pratique des techniciens de réfrigération et climatisation, notamment en matière de récupération sécurisée des frigorigènes, de détection des fuites et d'entretien des systèmes. </w:t>
      </w:r>
    </w:p>
    <w:p w14:paraId="1B16E438" w14:textId="4F2A48CF" w:rsidR="00465C16" w:rsidRPr="009F0B2A" w:rsidRDefault="00465C16" w:rsidP="00082DA7">
      <w:pPr>
        <w:pStyle w:val="Heading1"/>
      </w:pPr>
      <w:r>
        <w:t xml:space="preserve">Le modèle économique du système de récupération, de recyclage et de régénération des HCFC élaboré dans le cadre de la première tranche a été révisé afin de tenir compte de la ratification de l'Amendement de Kigali par la Tunisie et du manque d'infrastructures dans les entités publiques concernées pour exploiter un système de récupération, de recyclage et de régénération. </w:t>
      </w:r>
    </w:p>
    <w:p w14:paraId="0ECFAE37" w14:textId="77777777" w:rsidR="00E9063C" w:rsidRPr="009F0B2A" w:rsidRDefault="00E9063C" w:rsidP="00E9063C">
      <w:pPr>
        <w:keepNext/>
        <w:spacing w:after="240"/>
        <w:rPr>
          <w:i/>
        </w:rPr>
      </w:pPr>
      <w:r>
        <w:rPr>
          <w:i/>
        </w:rPr>
        <w:t>Mise en œuvre et suivi de projets</w:t>
      </w:r>
    </w:p>
    <w:p w14:paraId="1019B04D" w14:textId="62ACB20F" w:rsidR="00C26BDF" w:rsidRPr="009F0B2A" w:rsidRDefault="00CC1AE6" w:rsidP="00CC1AE6">
      <w:pPr>
        <w:pStyle w:val="Heading1"/>
      </w:pPr>
      <w:r>
        <w:t>Une unité de gestion de projet (UGP) opère sous la supervision de l'UNO et comprend un coordinateur et des experts techniques engagés selon les besoins. Un montant total de 36 640 $US, y compris les soldes restants de la tranche précédente, a été décaissé pendant la mise en œuvre de la deuxième tranche pour les consultants (17 000 $US), les déplacements (4 640 $US), les événements et les réunions (6 000 $US) et le rapport de vérification (9 000 $US).</w:t>
      </w:r>
      <w:r>
        <w:rPr>
          <w:b/>
          <w:bCs/>
        </w:rPr>
        <w:t xml:space="preserve"> </w:t>
      </w:r>
    </w:p>
    <w:p w14:paraId="5675491C" w14:textId="0BDE2FB2" w:rsidR="00E9063C" w:rsidRPr="009F0B2A" w:rsidRDefault="00E9063C" w:rsidP="00E9063C">
      <w:pPr>
        <w:keepNext/>
        <w:spacing w:after="240"/>
      </w:pPr>
      <w:r>
        <w:rPr>
          <w:u w:val="single"/>
        </w:rPr>
        <w:lastRenderedPageBreak/>
        <w:t>Niveau de décaissement des fonds</w:t>
      </w:r>
    </w:p>
    <w:p w14:paraId="4F864622" w14:textId="027DCB90" w:rsidR="00EB5F48" w:rsidRPr="009F0B2A" w:rsidRDefault="00E9063C" w:rsidP="00082DA7">
      <w:pPr>
        <w:pStyle w:val="Heading1"/>
      </w:pPr>
      <w:bookmarkStart w:id="3" w:name="_Hlk210164980"/>
      <w:r>
        <w:t>En septembre 2025, sur les 1 420 946 $US approuvés jusqu'alors, 1 161 072 $US avaient été décaissés (985 072 $US pour l'ONUDI et 176 000 $US pour le PNUE), comme l'indique le tableau 2. Le solde de 259 874 $US sera décaissé en 2026.</w:t>
      </w:r>
    </w:p>
    <w:p w14:paraId="17D88F29" w14:textId="233BF312" w:rsidR="00E9063C" w:rsidRPr="009F0B2A" w:rsidRDefault="00E9063C" w:rsidP="00E60D7E">
      <w:pPr>
        <w:rPr>
          <w:b/>
        </w:rPr>
      </w:pPr>
      <w:bookmarkStart w:id="4" w:name="_Hlk210164943"/>
      <w:bookmarkEnd w:id="3"/>
      <w:r>
        <w:rPr>
          <w:b/>
        </w:rPr>
        <w:t>Tableau 2. Rapport financier de la phase II</w:t>
      </w:r>
      <w:r>
        <w:t xml:space="preserve"> </w:t>
      </w:r>
      <w:r>
        <w:rPr>
          <w:b/>
        </w:rPr>
        <w:t>du PGEH pour la Tunisie ($US)</w:t>
      </w:r>
    </w:p>
    <w:tbl>
      <w:tblPr>
        <w:tblStyle w:val="TableGrid"/>
        <w:tblW w:w="5000" w:type="pct"/>
        <w:tblLayout w:type="fixed"/>
        <w:tblLook w:val="04A0" w:firstRow="1" w:lastRow="0" w:firstColumn="1" w:lastColumn="0" w:noHBand="0" w:noVBand="1"/>
      </w:tblPr>
      <w:tblGrid>
        <w:gridCol w:w="1344"/>
        <w:gridCol w:w="1170"/>
        <w:gridCol w:w="1079"/>
        <w:gridCol w:w="1171"/>
        <w:gridCol w:w="1171"/>
        <w:gridCol w:w="1296"/>
        <w:gridCol w:w="1135"/>
        <w:gridCol w:w="984"/>
      </w:tblGrid>
      <w:tr w:rsidR="00E9063C" w:rsidRPr="009F0B2A" w14:paraId="2C23D190" w14:textId="77777777" w:rsidTr="00757F6D">
        <w:trPr>
          <w:tblHeader/>
        </w:trPr>
        <w:tc>
          <w:tcPr>
            <w:tcW w:w="719" w:type="pct"/>
            <w:vMerge w:val="restart"/>
            <w:tcBorders>
              <w:top w:val="single" w:sz="4" w:space="0" w:color="auto"/>
              <w:left w:val="single" w:sz="4" w:space="0" w:color="auto"/>
              <w:bottom w:val="single" w:sz="4" w:space="0" w:color="auto"/>
              <w:right w:val="single" w:sz="4" w:space="0" w:color="auto"/>
            </w:tcBorders>
            <w:vAlign w:val="center"/>
          </w:tcPr>
          <w:p w14:paraId="69F8D0EA" w14:textId="77777777" w:rsidR="00E9063C" w:rsidRPr="009F0B2A" w:rsidRDefault="00E9063C" w:rsidP="00E9063C">
            <w:pPr>
              <w:keepNext/>
              <w:jc w:val="center"/>
              <w:rPr>
                <w:b/>
                <w:sz w:val="20"/>
                <w:szCs w:val="20"/>
              </w:rPr>
            </w:pPr>
            <w:bookmarkStart w:id="5" w:name="_Hlk210162847"/>
            <w:bookmarkEnd w:id="4"/>
            <w:r>
              <w:rPr>
                <w:b/>
                <w:sz w:val="20"/>
                <w:szCs w:val="20"/>
              </w:rPr>
              <w:t>Agence</w:t>
            </w:r>
          </w:p>
        </w:tc>
        <w:tc>
          <w:tcPr>
            <w:tcW w:w="1203" w:type="pct"/>
            <w:gridSpan w:val="2"/>
            <w:tcBorders>
              <w:top w:val="single" w:sz="4" w:space="0" w:color="auto"/>
              <w:left w:val="single" w:sz="4" w:space="0" w:color="auto"/>
              <w:bottom w:val="single" w:sz="4" w:space="0" w:color="auto"/>
              <w:right w:val="single" w:sz="4" w:space="0" w:color="auto"/>
            </w:tcBorders>
            <w:vAlign w:val="center"/>
          </w:tcPr>
          <w:p w14:paraId="0973839E" w14:textId="77777777" w:rsidR="00E9063C" w:rsidRPr="009F0B2A" w:rsidRDefault="00E9063C" w:rsidP="00E9063C">
            <w:pPr>
              <w:keepNext/>
              <w:jc w:val="center"/>
              <w:rPr>
                <w:b/>
                <w:sz w:val="20"/>
                <w:szCs w:val="20"/>
              </w:rPr>
            </w:pPr>
            <w:r>
              <w:rPr>
                <w:b/>
                <w:sz w:val="20"/>
                <w:szCs w:val="20"/>
              </w:rPr>
              <w:t>Première tranche</w:t>
            </w:r>
          </w:p>
        </w:tc>
        <w:tc>
          <w:tcPr>
            <w:tcW w:w="1252" w:type="pct"/>
            <w:gridSpan w:val="2"/>
            <w:tcBorders>
              <w:top w:val="single" w:sz="4" w:space="0" w:color="auto"/>
              <w:left w:val="single" w:sz="4" w:space="0" w:color="auto"/>
              <w:bottom w:val="single" w:sz="4" w:space="0" w:color="auto"/>
              <w:right w:val="single" w:sz="4" w:space="0" w:color="auto"/>
            </w:tcBorders>
            <w:vAlign w:val="center"/>
          </w:tcPr>
          <w:p w14:paraId="2F8CF960" w14:textId="77777777" w:rsidR="00E9063C" w:rsidRPr="009F0B2A" w:rsidRDefault="00E9063C" w:rsidP="00E9063C">
            <w:pPr>
              <w:keepNext/>
              <w:jc w:val="center"/>
              <w:rPr>
                <w:b/>
                <w:sz w:val="20"/>
                <w:szCs w:val="20"/>
              </w:rPr>
            </w:pPr>
            <w:r>
              <w:rPr>
                <w:b/>
                <w:sz w:val="20"/>
                <w:szCs w:val="20"/>
              </w:rPr>
              <w:t>Deuxième tranche</w:t>
            </w:r>
          </w:p>
        </w:tc>
        <w:tc>
          <w:tcPr>
            <w:tcW w:w="1826" w:type="pct"/>
            <w:gridSpan w:val="3"/>
            <w:tcBorders>
              <w:top w:val="single" w:sz="4" w:space="0" w:color="auto"/>
              <w:left w:val="single" w:sz="4" w:space="0" w:color="auto"/>
              <w:bottom w:val="single" w:sz="4" w:space="0" w:color="auto"/>
              <w:right w:val="single" w:sz="4" w:space="0" w:color="auto"/>
            </w:tcBorders>
            <w:vAlign w:val="center"/>
          </w:tcPr>
          <w:p w14:paraId="4E479B76" w14:textId="77777777" w:rsidR="00E9063C" w:rsidRPr="009F0B2A" w:rsidRDefault="00E9063C" w:rsidP="00E9063C">
            <w:pPr>
              <w:keepNext/>
              <w:jc w:val="center"/>
              <w:rPr>
                <w:b/>
                <w:sz w:val="20"/>
                <w:szCs w:val="20"/>
              </w:rPr>
            </w:pPr>
            <w:r>
              <w:rPr>
                <w:b/>
                <w:sz w:val="20"/>
                <w:szCs w:val="20"/>
              </w:rPr>
              <w:t>Total</w:t>
            </w:r>
          </w:p>
        </w:tc>
      </w:tr>
      <w:tr w:rsidR="00E9063C" w:rsidRPr="009F0B2A" w14:paraId="692AEFD5" w14:textId="77777777" w:rsidTr="00757F6D">
        <w:trPr>
          <w:tblHeader/>
        </w:trPr>
        <w:tc>
          <w:tcPr>
            <w:tcW w:w="719" w:type="pct"/>
            <w:vMerge/>
            <w:tcBorders>
              <w:top w:val="single" w:sz="4" w:space="0" w:color="auto"/>
              <w:left w:val="single" w:sz="4" w:space="0" w:color="auto"/>
              <w:bottom w:val="single" w:sz="4" w:space="0" w:color="auto"/>
              <w:right w:val="single" w:sz="4" w:space="0" w:color="auto"/>
            </w:tcBorders>
            <w:vAlign w:val="center"/>
          </w:tcPr>
          <w:p w14:paraId="752B5707" w14:textId="77777777" w:rsidR="00E9063C" w:rsidRPr="009F0B2A" w:rsidRDefault="00E9063C" w:rsidP="00E9063C">
            <w:pPr>
              <w:keepNext/>
              <w:jc w:val="center"/>
              <w:rPr>
                <w:b/>
                <w:sz w:val="20"/>
                <w:szCs w:val="20"/>
              </w:rPr>
            </w:pPr>
          </w:p>
        </w:tc>
        <w:tc>
          <w:tcPr>
            <w:tcW w:w="626" w:type="pct"/>
            <w:tcBorders>
              <w:top w:val="single" w:sz="4" w:space="0" w:color="auto"/>
              <w:left w:val="single" w:sz="4" w:space="0" w:color="auto"/>
              <w:bottom w:val="single" w:sz="4" w:space="0" w:color="auto"/>
              <w:right w:val="single" w:sz="4" w:space="0" w:color="auto"/>
            </w:tcBorders>
            <w:vAlign w:val="center"/>
          </w:tcPr>
          <w:p w14:paraId="1AB69FF5" w14:textId="77777777" w:rsidR="00E9063C" w:rsidRPr="009F0B2A" w:rsidRDefault="00E9063C" w:rsidP="00E9063C">
            <w:pPr>
              <w:keepNext/>
              <w:jc w:val="center"/>
              <w:rPr>
                <w:b/>
                <w:sz w:val="20"/>
                <w:szCs w:val="20"/>
              </w:rPr>
            </w:pPr>
            <w:r>
              <w:rPr>
                <w:b/>
                <w:sz w:val="20"/>
                <w:szCs w:val="20"/>
              </w:rPr>
              <w:t>Approuvée</w:t>
            </w:r>
          </w:p>
        </w:tc>
        <w:tc>
          <w:tcPr>
            <w:tcW w:w="577" w:type="pct"/>
            <w:tcBorders>
              <w:top w:val="single" w:sz="4" w:space="0" w:color="auto"/>
              <w:left w:val="single" w:sz="4" w:space="0" w:color="auto"/>
              <w:bottom w:val="single" w:sz="4" w:space="0" w:color="auto"/>
              <w:right w:val="single" w:sz="4" w:space="0" w:color="auto"/>
            </w:tcBorders>
            <w:vAlign w:val="center"/>
          </w:tcPr>
          <w:p w14:paraId="6B232995" w14:textId="77777777" w:rsidR="00E9063C" w:rsidRPr="009F0B2A" w:rsidRDefault="00E9063C" w:rsidP="00E9063C">
            <w:pPr>
              <w:keepNext/>
              <w:jc w:val="center"/>
              <w:rPr>
                <w:b/>
                <w:sz w:val="20"/>
                <w:szCs w:val="20"/>
              </w:rPr>
            </w:pPr>
            <w:r>
              <w:rPr>
                <w:b/>
                <w:sz w:val="20"/>
                <w:szCs w:val="20"/>
              </w:rPr>
              <w:t>Décaissée</w:t>
            </w:r>
          </w:p>
        </w:tc>
        <w:tc>
          <w:tcPr>
            <w:tcW w:w="626" w:type="pct"/>
            <w:tcBorders>
              <w:top w:val="single" w:sz="4" w:space="0" w:color="auto"/>
              <w:left w:val="single" w:sz="4" w:space="0" w:color="auto"/>
              <w:bottom w:val="single" w:sz="4" w:space="0" w:color="auto"/>
              <w:right w:val="single" w:sz="4" w:space="0" w:color="auto"/>
            </w:tcBorders>
            <w:vAlign w:val="center"/>
          </w:tcPr>
          <w:p w14:paraId="3EFF2015" w14:textId="77777777" w:rsidR="00E9063C" w:rsidRPr="009F0B2A" w:rsidRDefault="00E9063C" w:rsidP="00E9063C">
            <w:pPr>
              <w:keepNext/>
              <w:jc w:val="center"/>
              <w:rPr>
                <w:b/>
                <w:sz w:val="20"/>
                <w:szCs w:val="20"/>
              </w:rPr>
            </w:pPr>
            <w:r>
              <w:rPr>
                <w:b/>
                <w:sz w:val="20"/>
                <w:szCs w:val="20"/>
              </w:rPr>
              <w:t>Approuvée</w:t>
            </w:r>
          </w:p>
        </w:tc>
        <w:tc>
          <w:tcPr>
            <w:tcW w:w="626" w:type="pct"/>
            <w:tcBorders>
              <w:top w:val="single" w:sz="4" w:space="0" w:color="auto"/>
              <w:left w:val="single" w:sz="4" w:space="0" w:color="auto"/>
              <w:bottom w:val="single" w:sz="4" w:space="0" w:color="auto"/>
              <w:right w:val="single" w:sz="4" w:space="0" w:color="auto"/>
            </w:tcBorders>
            <w:vAlign w:val="center"/>
          </w:tcPr>
          <w:p w14:paraId="5C7E8F48" w14:textId="77777777" w:rsidR="00E9063C" w:rsidRPr="009F0B2A" w:rsidRDefault="00E9063C" w:rsidP="00E9063C">
            <w:pPr>
              <w:keepNext/>
              <w:jc w:val="center"/>
              <w:rPr>
                <w:b/>
                <w:sz w:val="20"/>
                <w:szCs w:val="20"/>
              </w:rPr>
            </w:pPr>
            <w:r>
              <w:rPr>
                <w:b/>
                <w:sz w:val="20"/>
                <w:szCs w:val="20"/>
              </w:rPr>
              <w:t>Décaissée</w:t>
            </w:r>
          </w:p>
        </w:tc>
        <w:tc>
          <w:tcPr>
            <w:tcW w:w="693" w:type="pct"/>
            <w:tcBorders>
              <w:top w:val="single" w:sz="4" w:space="0" w:color="auto"/>
              <w:left w:val="single" w:sz="4" w:space="0" w:color="auto"/>
              <w:bottom w:val="single" w:sz="4" w:space="0" w:color="auto"/>
              <w:right w:val="single" w:sz="4" w:space="0" w:color="auto"/>
            </w:tcBorders>
            <w:vAlign w:val="center"/>
          </w:tcPr>
          <w:p w14:paraId="7E4BAC32" w14:textId="77777777" w:rsidR="00E9063C" w:rsidRPr="009F0B2A" w:rsidRDefault="00E9063C" w:rsidP="00E9063C">
            <w:pPr>
              <w:keepNext/>
              <w:jc w:val="center"/>
              <w:rPr>
                <w:b/>
                <w:sz w:val="20"/>
                <w:szCs w:val="20"/>
              </w:rPr>
            </w:pPr>
            <w:r>
              <w:rPr>
                <w:b/>
                <w:sz w:val="20"/>
                <w:szCs w:val="20"/>
              </w:rPr>
              <w:t>Approuvée</w:t>
            </w:r>
          </w:p>
        </w:tc>
        <w:tc>
          <w:tcPr>
            <w:tcW w:w="607" w:type="pct"/>
            <w:tcBorders>
              <w:top w:val="single" w:sz="4" w:space="0" w:color="auto"/>
              <w:left w:val="single" w:sz="4" w:space="0" w:color="auto"/>
              <w:bottom w:val="single" w:sz="4" w:space="0" w:color="auto"/>
              <w:right w:val="single" w:sz="4" w:space="0" w:color="auto"/>
            </w:tcBorders>
            <w:vAlign w:val="center"/>
          </w:tcPr>
          <w:p w14:paraId="381A01B6" w14:textId="77777777" w:rsidR="00E9063C" w:rsidRPr="009F0B2A" w:rsidRDefault="00E9063C" w:rsidP="00E9063C">
            <w:pPr>
              <w:keepNext/>
              <w:jc w:val="center"/>
              <w:rPr>
                <w:b/>
                <w:sz w:val="20"/>
                <w:szCs w:val="20"/>
              </w:rPr>
            </w:pPr>
            <w:r>
              <w:rPr>
                <w:b/>
                <w:sz w:val="20"/>
                <w:szCs w:val="20"/>
              </w:rPr>
              <w:t>Décaissée</w:t>
            </w:r>
          </w:p>
        </w:tc>
        <w:tc>
          <w:tcPr>
            <w:tcW w:w="526" w:type="pct"/>
            <w:tcBorders>
              <w:top w:val="single" w:sz="4" w:space="0" w:color="auto"/>
              <w:left w:val="single" w:sz="4" w:space="0" w:color="auto"/>
              <w:bottom w:val="single" w:sz="4" w:space="0" w:color="auto"/>
              <w:right w:val="single" w:sz="4" w:space="0" w:color="auto"/>
            </w:tcBorders>
          </w:tcPr>
          <w:p w14:paraId="58C06D38" w14:textId="77777777" w:rsidR="00E9063C" w:rsidRPr="009F0B2A" w:rsidRDefault="00E9063C" w:rsidP="00E9063C">
            <w:pPr>
              <w:keepNext/>
              <w:jc w:val="center"/>
              <w:rPr>
                <w:b/>
                <w:sz w:val="20"/>
                <w:szCs w:val="20"/>
              </w:rPr>
            </w:pPr>
            <w:r>
              <w:rPr>
                <w:b/>
                <w:sz w:val="20"/>
                <w:szCs w:val="20"/>
              </w:rPr>
              <w:t>Solde</w:t>
            </w:r>
          </w:p>
        </w:tc>
      </w:tr>
      <w:tr w:rsidR="00BD1F97" w:rsidRPr="009F0B2A" w14:paraId="79DD6D9A" w14:textId="77777777" w:rsidTr="00757F6D">
        <w:tc>
          <w:tcPr>
            <w:tcW w:w="719" w:type="pct"/>
            <w:tcBorders>
              <w:top w:val="single" w:sz="4" w:space="0" w:color="auto"/>
              <w:left w:val="single" w:sz="4" w:space="0" w:color="auto"/>
              <w:bottom w:val="single" w:sz="4" w:space="0" w:color="auto"/>
              <w:right w:val="single" w:sz="4" w:space="0" w:color="auto"/>
            </w:tcBorders>
          </w:tcPr>
          <w:p w14:paraId="28E1AC20" w14:textId="54DCA65B" w:rsidR="00BD1F97" w:rsidRPr="009F0B2A" w:rsidRDefault="00BD1F97" w:rsidP="00BD1F97">
            <w:pPr>
              <w:rPr>
                <w:sz w:val="20"/>
                <w:szCs w:val="20"/>
              </w:rPr>
            </w:pPr>
            <w:r>
              <w:rPr>
                <w:sz w:val="20"/>
                <w:szCs w:val="20"/>
              </w:rPr>
              <w:t>ONUDI</w:t>
            </w:r>
          </w:p>
        </w:tc>
        <w:tc>
          <w:tcPr>
            <w:tcW w:w="626" w:type="pct"/>
            <w:tcBorders>
              <w:top w:val="single" w:sz="4" w:space="0" w:color="auto"/>
              <w:left w:val="single" w:sz="4" w:space="0" w:color="auto"/>
              <w:bottom w:val="single" w:sz="4" w:space="0" w:color="auto"/>
              <w:right w:val="single" w:sz="4" w:space="0" w:color="auto"/>
            </w:tcBorders>
            <w:vAlign w:val="center"/>
          </w:tcPr>
          <w:p w14:paraId="7495098F" w14:textId="2FE6D564" w:rsidR="00BD1F97" w:rsidRPr="009F0B2A" w:rsidRDefault="00BD1F97" w:rsidP="00BD1F97">
            <w:pPr>
              <w:jc w:val="right"/>
              <w:rPr>
                <w:sz w:val="20"/>
                <w:szCs w:val="20"/>
              </w:rPr>
            </w:pPr>
            <w:r>
              <w:rPr>
                <w:color w:val="000000"/>
                <w:sz w:val="20"/>
                <w:szCs w:val="20"/>
              </w:rPr>
              <w:t>858 306</w:t>
            </w:r>
          </w:p>
        </w:tc>
        <w:tc>
          <w:tcPr>
            <w:tcW w:w="577" w:type="pct"/>
            <w:tcBorders>
              <w:top w:val="single" w:sz="4" w:space="0" w:color="auto"/>
              <w:left w:val="single" w:sz="4" w:space="0" w:color="auto"/>
              <w:bottom w:val="single" w:sz="4" w:space="0" w:color="auto"/>
              <w:right w:val="single" w:sz="4" w:space="0" w:color="auto"/>
            </w:tcBorders>
            <w:vAlign w:val="center"/>
          </w:tcPr>
          <w:p w14:paraId="149CAD29" w14:textId="4595191F" w:rsidR="00BD1F97" w:rsidRPr="009F0B2A" w:rsidRDefault="00BD1F97" w:rsidP="00BD1F97">
            <w:pPr>
              <w:jc w:val="right"/>
              <w:rPr>
                <w:sz w:val="20"/>
                <w:szCs w:val="20"/>
              </w:rPr>
            </w:pPr>
            <w:r>
              <w:rPr>
                <w:color w:val="000000"/>
                <w:sz w:val="20"/>
                <w:szCs w:val="20"/>
              </w:rPr>
              <w:t>839 575</w:t>
            </w:r>
          </w:p>
        </w:tc>
        <w:tc>
          <w:tcPr>
            <w:tcW w:w="626" w:type="pct"/>
            <w:tcBorders>
              <w:top w:val="single" w:sz="4" w:space="0" w:color="auto"/>
              <w:left w:val="single" w:sz="4" w:space="0" w:color="auto"/>
              <w:bottom w:val="single" w:sz="4" w:space="0" w:color="auto"/>
              <w:right w:val="single" w:sz="4" w:space="0" w:color="auto"/>
            </w:tcBorders>
            <w:vAlign w:val="center"/>
          </w:tcPr>
          <w:p w14:paraId="59ABBB42" w14:textId="03F19228" w:rsidR="00BD1F97" w:rsidRPr="009F0B2A" w:rsidRDefault="00BD1F97" w:rsidP="00BD1F97">
            <w:pPr>
              <w:jc w:val="right"/>
              <w:rPr>
                <w:color w:val="000000"/>
                <w:sz w:val="20"/>
                <w:szCs w:val="20"/>
                <w:lang w:val="en-US"/>
              </w:rPr>
            </w:pPr>
            <w:r>
              <w:rPr>
                <w:color w:val="000000"/>
                <w:sz w:val="20"/>
                <w:szCs w:val="20"/>
              </w:rPr>
              <w:t>386 640</w:t>
            </w:r>
          </w:p>
        </w:tc>
        <w:tc>
          <w:tcPr>
            <w:tcW w:w="626" w:type="pct"/>
            <w:tcBorders>
              <w:top w:val="single" w:sz="4" w:space="0" w:color="auto"/>
              <w:left w:val="single" w:sz="4" w:space="0" w:color="auto"/>
              <w:bottom w:val="single" w:sz="4" w:space="0" w:color="auto"/>
              <w:right w:val="single" w:sz="4" w:space="0" w:color="auto"/>
            </w:tcBorders>
            <w:vAlign w:val="center"/>
          </w:tcPr>
          <w:p w14:paraId="2C3BCA1D" w14:textId="6580BE7A" w:rsidR="00BD1F97" w:rsidRPr="009F0B2A" w:rsidRDefault="00BD1F97" w:rsidP="00BD1F97">
            <w:pPr>
              <w:jc w:val="right"/>
              <w:rPr>
                <w:sz w:val="20"/>
                <w:szCs w:val="20"/>
              </w:rPr>
            </w:pPr>
            <w:r>
              <w:rPr>
                <w:color w:val="000000"/>
                <w:sz w:val="20"/>
                <w:szCs w:val="20"/>
              </w:rPr>
              <w:t>145 497</w:t>
            </w:r>
          </w:p>
        </w:tc>
        <w:tc>
          <w:tcPr>
            <w:tcW w:w="693" w:type="pct"/>
            <w:tcBorders>
              <w:top w:val="single" w:sz="4" w:space="0" w:color="auto"/>
              <w:left w:val="single" w:sz="4" w:space="0" w:color="auto"/>
              <w:bottom w:val="single" w:sz="4" w:space="0" w:color="auto"/>
              <w:right w:val="single" w:sz="4" w:space="0" w:color="auto"/>
            </w:tcBorders>
            <w:vAlign w:val="center"/>
          </w:tcPr>
          <w:p w14:paraId="0CC58D09" w14:textId="17184622" w:rsidR="00BD1F97" w:rsidRPr="009F0B2A" w:rsidRDefault="00BD1F97" w:rsidP="00BD1F97">
            <w:pPr>
              <w:jc w:val="right"/>
              <w:rPr>
                <w:sz w:val="20"/>
                <w:szCs w:val="20"/>
              </w:rPr>
            </w:pPr>
            <w:r>
              <w:rPr>
                <w:color w:val="000000"/>
                <w:sz w:val="20"/>
                <w:szCs w:val="20"/>
              </w:rPr>
              <w:t>1 244 946</w:t>
            </w:r>
          </w:p>
        </w:tc>
        <w:tc>
          <w:tcPr>
            <w:tcW w:w="607" w:type="pct"/>
            <w:tcBorders>
              <w:top w:val="single" w:sz="4" w:space="0" w:color="auto"/>
              <w:left w:val="single" w:sz="4" w:space="0" w:color="auto"/>
              <w:bottom w:val="single" w:sz="4" w:space="0" w:color="auto"/>
              <w:right w:val="single" w:sz="4" w:space="0" w:color="auto"/>
            </w:tcBorders>
            <w:vAlign w:val="center"/>
          </w:tcPr>
          <w:p w14:paraId="11C04539" w14:textId="19474AD7" w:rsidR="00BD1F97" w:rsidRPr="009F0B2A" w:rsidRDefault="00BD1F97" w:rsidP="00BD1F97">
            <w:pPr>
              <w:jc w:val="right"/>
              <w:rPr>
                <w:sz w:val="20"/>
                <w:szCs w:val="20"/>
              </w:rPr>
            </w:pPr>
            <w:r>
              <w:rPr>
                <w:color w:val="000000"/>
                <w:sz w:val="20"/>
                <w:szCs w:val="20"/>
              </w:rPr>
              <w:t>985 072</w:t>
            </w:r>
          </w:p>
        </w:tc>
        <w:tc>
          <w:tcPr>
            <w:tcW w:w="526" w:type="pct"/>
            <w:tcBorders>
              <w:top w:val="single" w:sz="4" w:space="0" w:color="auto"/>
              <w:left w:val="single" w:sz="4" w:space="0" w:color="auto"/>
              <w:bottom w:val="single" w:sz="4" w:space="0" w:color="auto"/>
              <w:right w:val="single" w:sz="4" w:space="0" w:color="auto"/>
            </w:tcBorders>
            <w:vAlign w:val="center"/>
          </w:tcPr>
          <w:p w14:paraId="182C62F7" w14:textId="5F0ECE54" w:rsidR="00BD1F97" w:rsidRPr="009F0B2A" w:rsidRDefault="00BD1F97" w:rsidP="00BD1F97">
            <w:pPr>
              <w:jc w:val="right"/>
              <w:rPr>
                <w:sz w:val="20"/>
                <w:szCs w:val="20"/>
              </w:rPr>
            </w:pPr>
            <w:r>
              <w:rPr>
                <w:color w:val="000000"/>
                <w:sz w:val="20"/>
                <w:szCs w:val="20"/>
              </w:rPr>
              <w:t>259 874</w:t>
            </w:r>
          </w:p>
        </w:tc>
      </w:tr>
      <w:tr w:rsidR="00EE3F5E" w:rsidRPr="009F0B2A" w14:paraId="322FED9F" w14:textId="77777777" w:rsidTr="00757F6D">
        <w:tc>
          <w:tcPr>
            <w:tcW w:w="719" w:type="pct"/>
            <w:tcBorders>
              <w:top w:val="single" w:sz="4" w:space="0" w:color="auto"/>
              <w:left w:val="single" w:sz="4" w:space="0" w:color="auto"/>
              <w:bottom w:val="single" w:sz="4" w:space="0" w:color="auto"/>
              <w:right w:val="single" w:sz="4" w:space="0" w:color="auto"/>
            </w:tcBorders>
          </w:tcPr>
          <w:p w14:paraId="6DF52D8A" w14:textId="1B253141" w:rsidR="00EE3F5E" w:rsidRPr="009F0B2A" w:rsidRDefault="00EE3F5E" w:rsidP="00EE3F5E">
            <w:pPr>
              <w:rPr>
                <w:sz w:val="20"/>
                <w:szCs w:val="20"/>
              </w:rPr>
            </w:pPr>
            <w:r>
              <w:rPr>
                <w:sz w:val="20"/>
                <w:szCs w:val="20"/>
              </w:rPr>
              <w:t>PNUE</w:t>
            </w:r>
          </w:p>
        </w:tc>
        <w:tc>
          <w:tcPr>
            <w:tcW w:w="626" w:type="pct"/>
            <w:tcBorders>
              <w:top w:val="single" w:sz="4" w:space="0" w:color="auto"/>
              <w:left w:val="single" w:sz="4" w:space="0" w:color="auto"/>
              <w:bottom w:val="single" w:sz="4" w:space="0" w:color="auto"/>
              <w:right w:val="single" w:sz="4" w:space="0" w:color="auto"/>
            </w:tcBorders>
          </w:tcPr>
          <w:p w14:paraId="71E0EA43" w14:textId="3AB01412" w:rsidR="00EE3F5E" w:rsidRPr="009F0B2A" w:rsidRDefault="00EE3F5E" w:rsidP="00EE3F5E">
            <w:pPr>
              <w:jc w:val="right"/>
              <w:rPr>
                <w:sz w:val="20"/>
                <w:szCs w:val="20"/>
              </w:rPr>
            </w:pPr>
            <w:r>
              <w:rPr>
                <w:sz w:val="20"/>
                <w:szCs w:val="20"/>
              </w:rPr>
              <w:t>76 000</w:t>
            </w:r>
          </w:p>
        </w:tc>
        <w:tc>
          <w:tcPr>
            <w:tcW w:w="577" w:type="pct"/>
            <w:tcBorders>
              <w:top w:val="single" w:sz="4" w:space="0" w:color="auto"/>
              <w:left w:val="single" w:sz="4" w:space="0" w:color="auto"/>
              <w:bottom w:val="single" w:sz="4" w:space="0" w:color="auto"/>
              <w:right w:val="single" w:sz="4" w:space="0" w:color="auto"/>
            </w:tcBorders>
          </w:tcPr>
          <w:p w14:paraId="5C880918" w14:textId="70269863" w:rsidR="00EE3F5E" w:rsidRPr="009F0B2A" w:rsidRDefault="00761C2B" w:rsidP="00EE3F5E">
            <w:pPr>
              <w:jc w:val="right"/>
              <w:rPr>
                <w:sz w:val="20"/>
                <w:szCs w:val="20"/>
              </w:rPr>
            </w:pPr>
            <w:r>
              <w:rPr>
                <w:sz w:val="20"/>
                <w:szCs w:val="20"/>
              </w:rPr>
              <w:t>76 000</w:t>
            </w:r>
          </w:p>
        </w:tc>
        <w:tc>
          <w:tcPr>
            <w:tcW w:w="626" w:type="pct"/>
            <w:tcBorders>
              <w:top w:val="single" w:sz="4" w:space="0" w:color="auto"/>
              <w:left w:val="single" w:sz="4" w:space="0" w:color="auto"/>
              <w:bottom w:val="single" w:sz="4" w:space="0" w:color="auto"/>
              <w:right w:val="single" w:sz="4" w:space="0" w:color="auto"/>
            </w:tcBorders>
          </w:tcPr>
          <w:p w14:paraId="69D1C831" w14:textId="33E38047" w:rsidR="00EE3F5E" w:rsidRPr="009F0B2A" w:rsidRDefault="00761C2B" w:rsidP="00EE3F5E">
            <w:pPr>
              <w:jc w:val="right"/>
              <w:rPr>
                <w:sz w:val="20"/>
                <w:szCs w:val="20"/>
              </w:rPr>
            </w:pPr>
            <w:r>
              <w:rPr>
                <w:sz w:val="20"/>
                <w:szCs w:val="20"/>
              </w:rPr>
              <w:t>100 000</w:t>
            </w:r>
          </w:p>
        </w:tc>
        <w:tc>
          <w:tcPr>
            <w:tcW w:w="626" w:type="pct"/>
            <w:tcBorders>
              <w:top w:val="single" w:sz="4" w:space="0" w:color="auto"/>
              <w:left w:val="single" w:sz="4" w:space="0" w:color="auto"/>
              <w:bottom w:val="single" w:sz="4" w:space="0" w:color="auto"/>
              <w:right w:val="single" w:sz="4" w:space="0" w:color="auto"/>
            </w:tcBorders>
          </w:tcPr>
          <w:p w14:paraId="2FF9DDE9" w14:textId="19AC47B5" w:rsidR="00EE3F5E" w:rsidRPr="009F0B2A" w:rsidRDefault="00761C2B" w:rsidP="00EE3F5E">
            <w:pPr>
              <w:jc w:val="right"/>
              <w:rPr>
                <w:sz w:val="20"/>
                <w:szCs w:val="20"/>
              </w:rPr>
            </w:pPr>
            <w:r>
              <w:rPr>
                <w:sz w:val="20"/>
                <w:szCs w:val="20"/>
              </w:rPr>
              <w:t>100 000</w:t>
            </w:r>
          </w:p>
        </w:tc>
        <w:tc>
          <w:tcPr>
            <w:tcW w:w="693" w:type="pct"/>
            <w:tcBorders>
              <w:top w:val="single" w:sz="4" w:space="0" w:color="auto"/>
              <w:left w:val="single" w:sz="4" w:space="0" w:color="auto"/>
              <w:bottom w:val="single" w:sz="4" w:space="0" w:color="auto"/>
              <w:right w:val="single" w:sz="4" w:space="0" w:color="auto"/>
            </w:tcBorders>
          </w:tcPr>
          <w:p w14:paraId="1FC312E1" w14:textId="6A662B69" w:rsidR="00EE3F5E" w:rsidRPr="009F0B2A" w:rsidRDefault="00EE3F5E" w:rsidP="00EE3F5E">
            <w:pPr>
              <w:jc w:val="right"/>
              <w:rPr>
                <w:sz w:val="20"/>
                <w:szCs w:val="20"/>
              </w:rPr>
            </w:pPr>
            <w:r>
              <w:rPr>
                <w:sz w:val="20"/>
                <w:szCs w:val="20"/>
              </w:rPr>
              <w:t>176 000</w:t>
            </w:r>
          </w:p>
        </w:tc>
        <w:tc>
          <w:tcPr>
            <w:tcW w:w="607" w:type="pct"/>
            <w:tcBorders>
              <w:top w:val="single" w:sz="4" w:space="0" w:color="auto"/>
              <w:left w:val="single" w:sz="4" w:space="0" w:color="auto"/>
              <w:bottom w:val="single" w:sz="4" w:space="0" w:color="auto"/>
              <w:right w:val="single" w:sz="4" w:space="0" w:color="auto"/>
            </w:tcBorders>
          </w:tcPr>
          <w:p w14:paraId="19B81669" w14:textId="5B8655E1" w:rsidR="00EE3F5E" w:rsidRPr="009F0B2A" w:rsidRDefault="00761C2B" w:rsidP="00EE3F5E">
            <w:pPr>
              <w:jc w:val="right"/>
              <w:rPr>
                <w:sz w:val="20"/>
                <w:szCs w:val="20"/>
              </w:rPr>
            </w:pPr>
            <w:r>
              <w:rPr>
                <w:sz w:val="20"/>
                <w:szCs w:val="20"/>
              </w:rPr>
              <w:t>176 000</w:t>
            </w:r>
          </w:p>
        </w:tc>
        <w:tc>
          <w:tcPr>
            <w:tcW w:w="526" w:type="pct"/>
            <w:tcBorders>
              <w:top w:val="single" w:sz="4" w:space="0" w:color="auto"/>
              <w:left w:val="single" w:sz="4" w:space="0" w:color="auto"/>
              <w:bottom w:val="single" w:sz="4" w:space="0" w:color="auto"/>
              <w:right w:val="single" w:sz="4" w:space="0" w:color="auto"/>
            </w:tcBorders>
          </w:tcPr>
          <w:p w14:paraId="4640775C" w14:textId="50A6787C" w:rsidR="00EE3F5E" w:rsidRPr="009F0B2A" w:rsidRDefault="00257388" w:rsidP="00EE3F5E">
            <w:pPr>
              <w:jc w:val="right"/>
              <w:rPr>
                <w:sz w:val="20"/>
                <w:szCs w:val="20"/>
              </w:rPr>
            </w:pPr>
            <w:r>
              <w:rPr>
                <w:sz w:val="20"/>
                <w:szCs w:val="20"/>
              </w:rPr>
              <w:t>0</w:t>
            </w:r>
          </w:p>
        </w:tc>
      </w:tr>
      <w:tr w:rsidR="00257388" w:rsidRPr="009F0B2A" w14:paraId="403C3086" w14:textId="77777777" w:rsidTr="00757F6D">
        <w:tc>
          <w:tcPr>
            <w:tcW w:w="719" w:type="pct"/>
            <w:tcBorders>
              <w:top w:val="single" w:sz="4" w:space="0" w:color="auto"/>
              <w:left w:val="single" w:sz="4" w:space="0" w:color="auto"/>
              <w:bottom w:val="single" w:sz="4" w:space="0" w:color="auto"/>
              <w:right w:val="single" w:sz="4" w:space="0" w:color="auto"/>
            </w:tcBorders>
          </w:tcPr>
          <w:p w14:paraId="3944AD6C" w14:textId="77777777" w:rsidR="00257388" w:rsidRPr="009F0B2A" w:rsidRDefault="00257388" w:rsidP="00257388">
            <w:pPr>
              <w:rPr>
                <w:b/>
                <w:sz w:val="20"/>
                <w:szCs w:val="20"/>
              </w:rPr>
            </w:pPr>
            <w:r>
              <w:rPr>
                <w:b/>
                <w:sz w:val="20"/>
                <w:szCs w:val="20"/>
              </w:rPr>
              <w:t>Total</w:t>
            </w:r>
          </w:p>
        </w:tc>
        <w:tc>
          <w:tcPr>
            <w:tcW w:w="626" w:type="pct"/>
            <w:tcBorders>
              <w:top w:val="single" w:sz="4" w:space="0" w:color="auto"/>
              <w:left w:val="single" w:sz="4" w:space="0" w:color="auto"/>
              <w:bottom w:val="single" w:sz="4" w:space="0" w:color="auto"/>
              <w:right w:val="single" w:sz="4" w:space="0" w:color="auto"/>
            </w:tcBorders>
          </w:tcPr>
          <w:p w14:paraId="1ABDE5AC" w14:textId="6CD826BD" w:rsidR="00257388" w:rsidRPr="009F0B2A" w:rsidRDefault="00257388" w:rsidP="00257388">
            <w:pPr>
              <w:jc w:val="right"/>
              <w:rPr>
                <w:b/>
                <w:bCs/>
                <w:sz w:val="20"/>
                <w:szCs w:val="20"/>
              </w:rPr>
            </w:pPr>
            <w:r>
              <w:rPr>
                <w:b/>
                <w:bCs/>
                <w:sz w:val="20"/>
                <w:szCs w:val="20"/>
              </w:rPr>
              <w:t>934 306</w:t>
            </w:r>
          </w:p>
        </w:tc>
        <w:tc>
          <w:tcPr>
            <w:tcW w:w="577" w:type="pct"/>
            <w:tcBorders>
              <w:top w:val="single" w:sz="4" w:space="0" w:color="auto"/>
              <w:left w:val="single" w:sz="4" w:space="0" w:color="auto"/>
              <w:bottom w:val="single" w:sz="4" w:space="0" w:color="auto"/>
              <w:right w:val="single" w:sz="4" w:space="0" w:color="auto"/>
            </w:tcBorders>
          </w:tcPr>
          <w:p w14:paraId="0220BE5F" w14:textId="7D74435F" w:rsidR="00257388" w:rsidRPr="009F0B2A" w:rsidRDefault="00257388" w:rsidP="00257388">
            <w:pPr>
              <w:jc w:val="right"/>
              <w:rPr>
                <w:b/>
                <w:bCs/>
                <w:sz w:val="20"/>
                <w:szCs w:val="20"/>
              </w:rPr>
            </w:pPr>
            <w:r>
              <w:rPr>
                <w:b/>
                <w:bCs/>
                <w:sz w:val="20"/>
                <w:szCs w:val="20"/>
              </w:rPr>
              <w:t>915 575</w:t>
            </w:r>
          </w:p>
        </w:tc>
        <w:tc>
          <w:tcPr>
            <w:tcW w:w="626" w:type="pct"/>
            <w:tcBorders>
              <w:top w:val="single" w:sz="4" w:space="0" w:color="auto"/>
              <w:left w:val="single" w:sz="4" w:space="0" w:color="auto"/>
              <w:bottom w:val="single" w:sz="4" w:space="0" w:color="auto"/>
              <w:right w:val="single" w:sz="4" w:space="0" w:color="auto"/>
            </w:tcBorders>
          </w:tcPr>
          <w:p w14:paraId="3D33EF8B" w14:textId="7049A16C" w:rsidR="00257388" w:rsidRPr="009F0B2A" w:rsidRDefault="00257388" w:rsidP="00257388">
            <w:pPr>
              <w:jc w:val="right"/>
              <w:rPr>
                <w:b/>
                <w:bCs/>
                <w:sz w:val="20"/>
                <w:szCs w:val="20"/>
              </w:rPr>
            </w:pPr>
            <w:r>
              <w:rPr>
                <w:b/>
                <w:bCs/>
                <w:sz w:val="20"/>
                <w:szCs w:val="20"/>
              </w:rPr>
              <w:t>486 640</w:t>
            </w:r>
          </w:p>
        </w:tc>
        <w:tc>
          <w:tcPr>
            <w:tcW w:w="626" w:type="pct"/>
            <w:tcBorders>
              <w:top w:val="single" w:sz="4" w:space="0" w:color="auto"/>
              <w:left w:val="single" w:sz="4" w:space="0" w:color="auto"/>
              <w:bottom w:val="single" w:sz="4" w:space="0" w:color="auto"/>
              <w:right w:val="single" w:sz="4" w:space="0" w:color="auto"/>
            </w:tcBorders>
          </w:tcPr>
          <w:p w14:paraId="0C7987B6" w14:textId="53C2ADA2" w:rsidR="00257388" w:rsidRPr="009F0B2A" w:rsidRDefault="00257388" w:rsidP="00257388">
            <w:pPr>
              <w:jc w:val="right"/>
              <w:rPr>
                <w:b/>
                <w:bCs/>
                <w:sz w:val="20"/>
                <w:szCs w:val="20"/>
              </w:rPr>
            </w:pPr>
            <w:r>
              <w:rPr>
                <w:b/>
                <w:bCs/>
                <w:sz w:val="20"/>
                <w:szCs w:val="20"/>
              </w:rPr>
              <w:t>245 497</w:t>
            </w:r>
          </w:p>
        </w:tc>
        <w:tc>
          <w:tcPr>
            <w:tcW w:w="693" w:type="pct"/>
            <w:tcBorders>
              <w:top w:val="single" w:sz="4" w:space="0" w:color="auto"/>
              <w:left w:val="single" w:sz="4" w:space="0" w:color="auto"/>
              <w:bottom w:val="single" w:sz="4" w:space="0" w:color="auto"/>
              <w:right w:val="single" w:sz="4" w:space="0" w:color="auto"/>
            </w:tcBorders>
          </w:tcPr>
          <w:p w14:paraId="2D57FDED" w14:textId="6E8C145D" w:rsidR="00257388" w:rsidRPr="009F0B2A" w:rsidRDefault="00257388" w:rsidP="00257388">
            <w:pPr>
              <w:jc w:val="right"/>
              <w:rPr>
                <w:b/>
                <w:bCs/>
                <w:sz w:val="20"/>
                <w:szCs w:val="20"/>
              </w:rPr>
            </w:pPr>
            <w:bookmarkStart w:id="6" w:name="_Hlk211591455"/>
            <w:r>
              <w:rPr>
                <w:b/>
                <w:bCs/>
                <w:sz w:val="20"/>
                <w:szCs w:val="20"/>
              </w:rPr>
              <w:t>1 420 946</w:t>
            </w:r>
            <w:bookmarkEnd w:id="6"/>
          </w:p>
        </w:tc>
        <w:tc>
          <w:tcPr>
            <w:tcW w:w="607" w:type="pct"/>
            <w:tcBorders>
              <w:top w:val="single" w:sz="4" w:space="0" w:color="auto"/>
              <w:left w:val="single" w:sz="4" w:space="0" w:color="auto"/>
              <w:bottom w:val="single" w:sz="4" w:space="0" w:color="auto"/>
              <w:right w:val="single" w:sz="4" w:space="0" w:color="auto"/>
            </w:tcBorders>
          </w:tcPr>
          <w:p w14:paraId="23B53867" w14:textId="0EF61EF0" w:rsidR="00257388" w:rsidRPr="009F0B2A" w:rsidRDefault="00257388" w:rsidP="00257388">
            <w:pPr>
              <w:jc w:val="right"/>
              <w:rPr>
                <w:b/>
                <w:bCs/>
                <w:sz w:val="20"/>
                <w:szCs w:val="20"/>
              </w:rPr>
            </w:pPr>
            <w:r>
              <w:rPr>
                <w:b/>
                <w:bCs/>
                <w:sz w:val="20"/>
                <w:szCs w:val="20"/>
              </w:rPr>
              <w:t>1 161 072</w:t>
            </w:r>
          </w:p>
        </w:tc>
        <w:tc>
          <w:tcPr>
            <w:tcW w:w="526" w:type="pct"/>
            <w:tcBorders>
              <w:top w:val="single" w:sz="4" w:space="0" w:color="auto"/>
              <w:left w:val="single" w:sz="4" w:space="0" w:color="auto"/>
              <w:bottom w:val="single" w:sz="4" w:space="0" w:color="auto"/>
              <w:right w:val="single" w:sz="4" w:space="0" w:color="auto"/>
            </w:tcBorders>
          </w:tcPr>
          <w:p w14:paraId="7A418FF2" w14:textId="0EEB0FEB" w:rsidR="00257388" w:rsidRPr="009F0B2A" w:rsidRDefault="00257388" w:rsidP="00257388">
            <w:pPr>
              <w:jc w:val="right"/>
              <w:rPr>
                <w:b/>
                <w:bCs/>
                <w:sz w:val="20"/>
                <w:szCs w:val="20"/>
              </w:rPr>
            </w:pPr>
            <w:bookmarkStart w:id="7" w:name="_Hlk211591617"/>
            <w:r>
              <w:rPr>
                <w:b/>
                <w:bCs/>
                <w:sz w:val="20"/>
                <w:szCs w:val="20"/>
              </w:rPr>
              <w:t>259 874</w:t>
            </w:r>
            <w:bookmarkEnd w:id="7"/>
          </w:p>
        </w:tc>
      </w:tr>
      <w:tr w:rsidR="00EE3F5E" w:rsidRPr="009F0B2A" w14:paraId="4572DB61" w14:textId="77777777" w:rsidTr="00757F6D">
        <w:tc>
          <w:tcPr>
            <w:tcW w:w="719" w:type="pct"/>
            <w:tcBorders>
              <w:top w:val="single" w:sz="4" w:space="0" w:color="auto"/>
              <w:left w:val="single" w:sz="4" w:space="0" w:color="auto"/>
              <w:bottom w:val="single" w:sz="4" w:space="0" w:color="auto"/>
              <w:right w:val="single" w:sz="4" w:space="0" w:color="auto"/>
            </w:tcBorders>
          </w:tcPr>
          <w:p w14:paraId="601E5706" w14:textId="77777777" w:rsidR="00EE3F5E" w:rsidRPr="009F0B2A" w:rsidRDefault="00EE3F5E" w:rsidP="00EE3F5E">
            <w:pPr>
              <w:jc w:val="left"/>
              <w:rPr>
                <w:b/>
                <w:sz w:val="20"/>
                <w:szCs w:val="20"/>
              </w:rPr>
            </w:pPr>
            <w:r>
              <w:rPr>
                <w:b/>
                <w:sz w:val="20"/>
                <w:szCs w:val="20"/>
              </w:rPr>
              <w:t>Taux de décaissement (%)</w:t>
            </w:r>
          </w:p>
        </w:tc>
        <w:tc>
          <w:tcPr>
            <w:tcW w:w="1203" w:type="pct"/>
            <w:gridSpan w:val="2"/>
            <w:tcBorders>
              <w:top w:val="single" w:sz="4" w:space="0" w:color="auto"/>
              <w:left w:val="single" w:sz="4" w:space="0" w:color="auto"/>
              <w:bottom w:val="single" w:sz="4" w:space="0" w:color="auto"/>
              <w:right w:val="single" w:sz="4" w:space="0" w:color="auto"/>
            </w:tcBorders>
            <w:vAlign w:val="center"/>
          </w:tcPr>
          <w:p w14:paraId="06FD72ED" w14:textId="5D154044" w:rsidR="00EE3F5E" w:rsidRPr="009F0B2A" w:rsidRDefault="00DD7FF5" w:rsidP="00EE3F5E">
            <w:pPr>
              <w:jc w:val="center"/>
              <w:rPr>
                <w:b/>
                <w:bCs/>
                <w:sz w:val="20"/>
                <w:szCs w:val="20"/>
              </w:rPr>
            </w:pPr>
            <w:r>
              <w:rPr>
                <w:b/>
                <w:bCs/>
                <w:sz w:val="20"/>
                <w:szCs w:val="20"/>
              </w:rPr>
              <w:t>98</w:t>
            </w:r>
          </w:p>
        </w:tc>
        <w:tc>
          <w:tcPr>
            <w:tcW w:w="1252" w:type="pct"/>
            <w:gridSpan w:val="2"/>
            <w:tcBorders>
              <w:top w:val="single" w:sz="4" w:space="0" w:color="auto"/>
              <w:left w:val="single" w:sz="4" w:space="0" w:color="auto"/>
              <w:bottom w:val="single" w:sz="4" w:space="0" w:color="auto"/>
              <w:right w:val="single" w:sz="4" w:space="0" w:color="auto"/>
            </w:tcBorders>
            <w:vAlign w:val="center"/>
          </w:tcPr>
          <w:p w14:paraId="442E973C" w14:textId="3F46385F" w:rsidR="00EE3F5E" w:rsidRPr="009F0B2A" w:rsidRDefault="00DD7FF5" w:rsidP="00EE3F5E">
            <w:pPr>
              <w:jc w:val="center"/>
              <w:rPr>
                <w:b/>
                <w:bCs/>
                <w:sz w:val="20"/>
                <w:szCs w:val="20"/>
              </w:rPr>
            </w:pPr>
            <w:r>
              <w:rPr>
                <w:b/>
                <w:bCs/>
                <w:sz w:val="20"/>
                <w:szCs w:val="20"/>
              </w:rPr>
              <w:t>50</w:t>
            </w:r>
          </w:p>
        </w:tc>
        <w:tc>
          <w:tcPr>
            <w:tcW w:w="1826" w:type="pct"/>
            <w:gridSpan w:val="3"/>
            <w:tcBorders>
              <w:top w:val="single" w:sz="4" w:space="0" w:color="auto"/>
              <w:left w:val="single" w:sz="4" w:space="0" w:color="auto"/>
              <w:bottom w:val="single" w:sz="4" w:space="0" w:color="auto"/>
              <w:right w:val="single" w:sz="4" w:space="0" w:color="auto"/>
            </w:tcBorders>
            <w:vAlign w:val="center"/>
          </w:tcPr>
          <w:p w14:paraId="4A6CA7EC" w14:textId="03ED5DDF" w:rsidR="00EE3F5E" w:rsidRPr="009F0B2A" w:rsidRDefault="00DD7FF5" w:rsidP="00EE3F5E">
            <w:pPr>
              <w:jc w:val="center"/>
              <w:rPr>
                <w:b/>
                <w:bCs/>
                <w:sz w:val="20"/>
                <w:szCs w:val="20"/>
              </w:rPr>
            </w:pPr>
            <w:r>
              <w:rPr>
                <w:b/>
                <w:bCs/>
                <w:sz w:val="20"/>
                <w:szCs w:val="20"/>
              </w:rPr>
              <w:t>82</w:t>
            </w:r>
          </w:p>
        </w:tc>
      </w:tr>
    </w:tbl>
    <w:bookmarkEnd w:id="5"/>
    <w:p w14:paraId="36ACF729" w14:textId="7D2386CD" w:rsidR="00E9063C" w:rsidRPr="009F0B2A" w:rsidRDefault="00E9063C" w:rsidP="00E9063C">
      <w:pPr>
        <w:keepNext/>
        <w:spacing w:before="240" w:after="240"/>
        <w:rPr>
          <w:u w:val="single"/>
        </w:rPr>
      </w:pPr>
      <w:r>
        <w:rPr>
          <w:u w:val="single"/>
        </w:rPr>
        <w:t>Plan de mise en œuvre pour la troisième et dernière tranche de la phase II du plan de gestion de l'élimination des HCFC</w:t>
      </w:r>
    </w:p>
    <w:p w14:paraId="2D13A4B7" w14:textId="041928A5" w:rsidR="00BD495E" w:rsidRPr="009F0B2A" w:rsidRDefault="00BD495E" w:rsidP="00BD495E">
      <w:pPr>
        <w:pStyle w:val="Heading1"/>
        <w:rPr>
          <w:color w:val="000000" w:themeColor="text1"/>
        </w:rPr>
      </w:pPr>
      <w:bookmarkStart w:id="8" w:name="_Hlk126934425"/>
      <w:bookmarkStart w:id="9" w:name="_Hlk126663552"/>
      <w:r>
        <w:t>Les activités suivantes seront mises en œuvre entre décembre 2025 et décembre 2026 :</w:t>
      </w:r>
    </w:p>
    <w:p w14:paraId="2C83E73E" w14:textId="40F10D5A" w:rsidR="001C663B" w:rsidRPr="009F0B2A" w:rsidRDefault="00BD495E" w:rsidP="00085461">
      <w:pPr>
        <w:pStyle w:val="Heading2"/>
        <w:ind w:left="1440" w:hanging="720"/>
        <w:rPr>
          <w:color w:val="000000" w:themeColor="text1"/>
        </w:rPr>
      </w:pPr>
      <w:bookmarkStart w:id="10" w:name="_Hlk210393767"/>
      <w:r>
        <w:rPr>
          <w:i/>
          <w:iCs/>
          <w:color w:val="000000" w:themeColor="text1"/>
        </w:rPr>
        <w:t>Politique et réglementation :</w:t>
      </w:r>
      <w:r>
        <w:t xml:space="preserve"> poursuite des travaux destinés à faciliter l'adoption de l'interdiction d'importer du HCFC-141b contenu dans les polyols pré-mélangés et des autres projets de décrets visant à renforcer la gestion des HCFC et des HFC, y compris la certification des techniciens en réfrigération et climatisation et des ateliers d'entretien ; l'interdiction de l'importation, de la fabrication et de l'assemblage d'équipements à base de HCFC ; et la mise en place du système national de gestion du cycle de vie des frigorigènes (PNUE) (10 000 $US) ;</w:t>
      </w:r>
    </w:p>
    <w:p w14:paraId="07162697" w14:textId="7A9A057E" w:rsidR="00BD495E" w:rsidRPr="009F0B2A" w:rsidRDefault="00BD495E" w:rsidP="00085461">
      <w:pPr>
        <w:pStyle w:val="Heading2"/>
        <w:keepNext/>
        <w:widowControl/>
        <w:ind w:left="1440" w:hanging="720"/>
        <w:rPr>
          <w:color w:val="000000" w:themeColor="text1"/>
        </w:rPr>
      </w:pPr>
      <w:r>
        <w:rPr>
          <w:i/>
          <w:iCs/>
          <w:color w:val="000000" w:themeColor="text1"/>
        </w:rPr>
        <w:t>Renforcement des capacités pour le secteur des douanes</w:t>
      </w:r>
      <w:r>
        <w:rPr>
          <w:color w:val="000000" w:themeColor="text1"/>
        </w:rPr>
        <w:t> : trois ateliers de formation pour 60 douaniers sur la réglementation des importations de HCFC au titre du système d'octroi de permis (PNUE) (14 000 $US) ;</w:t>
      </w:r>
    </w:p>
    <w:p w14:paraId="77D3228E" w14:textId="532E6559" w:rsidR="00BD495E" w:rsidRPr="009F0B2A" w:rsidRDefault="00BD495E" w:rsidP="00085461">
      <w:pPr>
        <w:pStyle w:val="Heading2"/>
        <w:ind w:left="1440" w:hanging="720"/>
        <w:rPr>
          <w:color w:val="000000" w:themeColor="text1"/>
        </w:rPr>
      </w:pPr>
      <w:r>
        <w:rPr>
          <w:i/>
          <w:iCs/>
          <w:color w:val="000000" w:themeColor="text1"/>
        </w:rPr>
        <w:t>Renforcement des capacités du secteur de l'entretien des équipements de réfrigération et de climatisation</w:t>
      </w:r>
      <w:r>
        <w:rPr>
          <w:color w:val="000000" w:themeColor="text1"/>
        </w:rPr>
        <w:t> : sessions de formation pour 200 techniciens en réfrigération et climatisation (dont 50 % de femmes) sur les bonnes pratiques en matière de gestion et de manipulation des frigorigènes, animées par des formateurs locaux certifiés ; certification de 200 techniciens en réfrigération et climatisation ; fourniture d'un ensemble d'outils et d'équipements</w:t>
      </w:r>
      <w:r>
        <w:rPr>
          <w:rStyle w:val="FootnoteReference"/>
          <w:color w:val="000000" w:themeColor="text1"/>
        </w:rPr>
        <w:footnoteReference w:id="6"/>
      </w:r>
      <w:r>
        <w:rPr>
          <w:color w:val="000000" w:themeColor="text1"/>
        </w:rPr>
        <w:t xml:space="preserve"> à 15 ateliers de réfrigération et climatisation participant au programme de certification (ONUDI) (75 000 $US et 80 000 $US provenant de la tranche précédente) ;</w:t>
      </w:r>
    </w:p>
    <w:p w14:paraId="79E18829" w14:textId="747434B6" w:rsidR="00BD495E" w:rsidRPr="009F0B2A" w:rsidRDefault="009B76B9" w:rsidP="00085461">
      <w:pPr>
        <w:pStyle w:val="Heading2"/>
        <w:ind w:left="1440" w:hanging="720"/>
        <w:rPr>
          <w:color w:val="000000" w:themeColor="text1"/>
        </w:rPr>
      </w:pPr>
      <w:r>
        <w:rPr>
          <w:i/>
          <w:iCs/>
          <w:color w:val="000000" w:themeColor="text1"/>
        </w:rPr>
        <w:t>Certification des techniciens</w:t>
      </w:r>
      <w:r>
        <w:rPr>
          <w:color w:val="000000" w:themeColor="text1"/>
        </w:rPr>
        <w:t> : finalisation des supports de formation et d'évaluation pour la certification des techniciens en réfrigération et climatisation, en veillant à adopter une approche respectueuse de l'égalité des sexes ; organisation de trois ateliers destinés à sensibiliser les parties prenantes au système officiel de certification ; organisation de trois sessions de formation et de certification pour certifier 40 formateurs sur le nouveau système ; et organisation de sessions de certification pour 200 techniciens en réfrigération et climatisation déjà formés (ONUDI) (12 853 $US provenant de la tranche précédente) ;</w:t>
      </w:r>
    </w:p>
    <w:p w14:paraId="5C31805C" w14:textId="2F53EF8E" w:rsidR="00BD495E" w:rsidRPr="009F0B2A" w:rsidRDefault="00BD495E" w:rsidP="00085461">
      <w:pPr>
        <w:pStyle w:val="Heading2"/>
        <w:ind w:left="1440" w:hanging="720"/>
        <w:rPr>
          <w:color w:val="000000" w:themeColor="text1"/>
        </w:rPr>
      </w:pPr>
      <w:r>
        <w:rPr>
          <w:i/>
          <w:iCs/>
          <w:color w:val="000000" w:themeColor="text1"/>
        </w:rPr>
        <w:t>Renforcement des capacités des centres de formation</w:t>
      </w:r>
      <w:r>
        <w:rPr>
          <w:color w:val="000000" w:themeColor="text1"/>
        </w:rPr>
        <w:t xml:space="preserve"> : fourniture de cinq identifiants de </w:t>
      </w:r>
      <w:r>
        <w:rPr>
          <w:color w:val="000000" w:themeColor="text1"/>
        </w:rPr>
        <w:lastRenderedPageBreak/>
        <w:t>frigorigènes à certains centres de formation et fourniture de pièces de rechange</w:t>
      </w:r>
      <w:r>
        <w:rPr>
          <w:rStyle w:val="FootnoteReference"/>
          <w:color w:val="000000" w:themeColor="text1"/>
        </w:rPr>
        <w:footnoteReference w:id="7"/>
      </w:r>
      <w:r>
        <w:rPr>
          <w:color w:val="000000" w:themeColor="text1"/>
        </w:rPr>
        <w:t xml:space="preserve"> à un centre de formation spécialisé dans la réfrigération à base d'ammoniac (ONUDI) (25 000 $US et 10 000 $US provenant de la tranche précédente) ;</w:t>
      </w:r>
    </w:p>
    <w:p w14:paraId="6D77729F" w14:textId="192EF30C" w:rsidR="008460E8" w:rsidRPr="009F0B2A" w:rsidRDefault="00BD495E" w:rsidP="00085461">
      <w:pPr>
        <w:pStyle w:val="Heading2"/>
        <w:ind w:left="1440" w:hanging="720"/>
        <w:rPr>
          <w:color w:val="000000" w:themeColor="text1"/>
        </w:rPr>
      </w:pPr>
      <w:r>
        <w:rPr>
          <w:i/>
          <w:iCs/>
          <w:color w:val="000000" w:themeColor="text1"/>
        </w:rPr>
        <w:t>Système de récupération, de recyclage et de régénération</w:t>
      </w:r>
      <w:r>
        <w:rPr>
          <w:color w:val="000000" w:themeColor="text1"/>
        </w:rPr>
        <w:t> : voyage d'étude pour les organes tunisiens responsables dans un centre de régénération en Europe dans le but de former leurs représentants et l'UNO aux meilleures pratiques en matière de récupération et de régénération ; achat d'équipements pour les deux centres de régénération sélectionnés</w:t>
      </w:r>
      <w:r>
        <w:rPr>
          <w:rStyle w:val="FootnoteReference"/>
          <w:color w:val="000000" w:themeColor="text1"/>
        </w:rPr>
        <w:footnoteReference w:id="8"/>
      </w:r>
      <w:r>
        <w:rPr>
          <w:color w:val="000000" w:themeColor="text1"/>
        </w:rPr>
        <w:t xml:space="preserve"> (5 000 $US et 151 143 $US provenant de la tranche précédente) ; et</w:t>
      </w:r>
    </w:p>
    <w:p w14:paraId="55CF58F6" w14:textId="56C7A0C9" w:rsidR="00BD495E" w:rsidRPr="009F0B2A" w:rsidRDefault="00BD495E" w:rsidP="00085461">
      <w:pPr>
        <w:pStyle w:val="Heading2"/>
        <w:ind w:left="1440" w:hanging="720"/>
        <w:rPr>
          <w:color w:val="000000" w:themeColor="text1"/>
        </w:rPr>
      </w:pPr>
      <w:r>
        <w:rPr>
          <w:i/>
          <w:iCs/>
          <w:color w:val="000000" w:themeColor="text1"/>
        </w:rPr>
        <w:t>Unité de suivi du projet</w:t>
      </w:r>
      <w:r>
        <w:rPr>
          <w:color w:val="000000" w:themeColor="text1"/>
        </w:rPr>
        <w:t xml:space="preserve"> : coordination et suivi de la mise en œuvre du projet et collecte des résultats pertinents et autres indicateurs (ONUDI) (15 000 $US). </w:t>
      </w:r>
    </w:p>
    <w:bookmarkEnd w:id="8"/>
    <w:bookmarkEnd w:id="9"/>
    <w:bookmarkEnd w:id="10"/>
    <w:p w14:paraId="2846046E" w14:textId="77777777" w:rsidR="00E9063C" w:rsidRPr="009F0B2A" w:rsidRDefault="00E9063C" w:rsidP="00E9063C">
      <w:pPr>
        <w:keepNext/>
        <w:keepLines/>
        <w:spacing w:before="360" w:after="240"/>
        <w:jc w:val="center"/>
        <w:rPr>
          <w:b/>
        </w:rPr>
      </w:pPr>
      <w:r>
        <w:rPr>
          <w:b/>
        </w:rPr>
        <w:t>COMMENTAIRES ET RECOMMANDATION DU SECRÉTARIAT</w:t>
      </w:r>
    </w:p>
    <w:p w14:paraId="2124BF76" w14:textId="77777777" w:rsidR="00E9063C" w:rsidRPr="009F0B2A" w:rsidRDefault="00E9063C" w:rsidP="004E7A97">
      <w:pPr>
        <w:keepNext/>
        <w:keepLines/>
        <w:spacing w:after="240"/>
        <w:rPr>
          <w:b/>
        </w:rPr>
      </w:pPr>
      <w:r>
        <w:rPr>
          <w:b/>
        </w:rPr>
        <w:t>COMMENTAIRES</w:t>
      </w:r>
    </w:p>
    <w:p w14:paraId="23B142EC" w14:textId="5C93EEC8" w:rsidR="00E9063C" w:rsidRPr="009F0B2A" w:rsidRDefault="00521B38" w:rsidP="004C0810">
      <w:pPr>
        <w:keepNext/>
        <w:keepLines/>
        <w:spacing w:before="240" w:after="240"/>
      </w:pPr>
      <w:r>
        <w:rPr>
          <w:u w:val="single"/>
        </w:rPr>
        <w:t>Rapport de vérification</w:t>
      </w:r>
    </w:p>
    <w:p w14:paraId="4AD36FF8" w14:textId="4FF187E5" w:rsidR="0032539F" w:rsidRPr="009F0B2A" w:rsidRDefault="00EA46E4" w:rsidP="00082DA7">
      <w:pPr>
        <w:pStyle w:val="Heading1"/>
      </w:pPr>
      <w:r>
        <w:t>Le rapport de vérification a noté qu'en 2024, une entreprise a importé des HCFC en utilisant ses quotas de 2023 et 2024 au cours de la même année. Il a donc été recommandé à la Tunisie de renforcer les réglementations afin de garantir la validité des quotas d'importation annuels des importateurs. Lors de la confirmation d'une transaction d'importation, les douanes devraient vérifier la validité en saisissant dans le système la date de délivrance du quota, afin d'éviter toute utilisation abusive de quotas expirés. En réponse à cette violation des quotas, le CNO a suspendu le quota 2025 de l'entreprise susmentionnée, tandis que celle-ci s'est engagée à respecter pleinement les allocations futures. L'UNO coordonnera ses efforts avec la Direction générale des douanes afin de renforcer la vérification des dédouanements dans le cadre des quotas et d'inclure cette question dans les sessions de formation douanière. L'ONUDI a fait remarquer que ce problème découlait des retards enregistrés dans les expéditions de 2023. Celles-ci ont été affectées par des cas de force majeure résultant de perturbations du trafic maritime dans la mer Rouge en raison de problèmes de sécurité dans la région.</w:t>
      </w:r>
    </w:p>
    <w:p w14:paraId="6261189F" w14:textId="2B5A6A89" w:rsidR="00E9063C" w:rsidRPr="009F0B2A" w:rsidRDefault="00E9063C" w:rsidP="00E9063C">
      <w:pPr>
        <w:keepNext/>
        <w:keepLines/>
        <w:spacing w:before="240" w:after="240"/>
        <w:rPr>
          <w:color w:val="000000" w:themeColor="text1"/>
          <w:u w:val="single"/>
        </w:rPr>
      </w:pPr>
      <w:r>
        <w:rPr>
          <w:color w:val="000000" w:themeColor="text1"/>
          <w:u w:val="single"/>
        </w:rPr>
        <w:t>Rapport de synthèse sur la mise en œuvre de la deuxième tranche de la phase II du plan de gestion de l'élimination des HCFC</w:t>
      </w:r>
    </w:p>
    <w:p w14:paraId="41FA7124" w14:textId="77777777" w:rsidR="00E9063C" w:rsidRPr="009F0B2A" w:rsidRDefault="00E9063C" w:rsidP="00E9063C">
      <w:pPr>
        <w:keepNext/>
        <w:keepLines/>
        <w:spacing w:before="240" w:after="240"/>
        <w:rPr>
          <w:i/>
          <w:color w:val="000000" w:themeColor="text1"/>
        </w:rPr>
      </w:pPr>
      <w:r>
        <w:rPr>
          <w:i/>
          <w:color w:val="000000" w:themeColor="text1"/>
        </w:rPr>
        <w:t>Cadre juridique</w:t>
      </w:r>
    </w:p>
    <w:p w14:paraId="6F11A98E" w14:textId="567945A8" w:rsidR="00D01C12" w:rsidRPr="009F0B2A" w:rsidRDefault="00D01C12" w:rsidP="00082DA7">
      <w:pPr>
        <w:pStyle w:val="Heading1"/>
      </w:pPr>
      <w:bookmarkStart w:id="11" w:name="_Hlk210391386"/>
      <w:r>
        <w:t>Le Gouvernement tunisien a publié le quota d'importation de HCFC pour 2025, qui s'élève à 12,88 tonnes PAO (234,19 tonnes métriques), ce qui est inférieur aux objectifs de contrôle du Protocole de Montréal et conforme aux objectifs définis dans son accord avec le Comité exécutif. Le quota pour 2026 sera fixé à environ 5 à 7 % en deçà de la consommation maximale admissible pour cette année-là.</w:t>
      </w:r>
    </w:p>
    <w:p w14:paraId="02D90C62" w14:textId="170B6CAD" w:rsidR="0057026D" w:rsidRPr="00C71653" w:rsidRDefault="00AA0951" w:rsidP="00082DA7">
      <w:pPr>
        <w:pStyle w:val="Heading1"/>
        <w:rPr>
          <w:sz w:val="20"/>
        </w:rPr>
      </w:pPr>
      <w:r>
        <w:t xml:space="preserve">Le secrétariat a discuté avec l'ONUDI et le PNUE des progrès accomplis concernant les instruments réglementaires en cours d'examen par le Gouvernement. Les agences ont indiqué que les décrets établissant le système de certification, interdisant les équipements à base de HCFC et révisant le mandat du CNO ont été communiqués au cabinet du Premier ministre en août 2024, envoyés pour commentaires aux ministères </w:t>
      </w:r>
      <w:r>
        <w:lastRenderedPageBreak/>
        <w:t xml:space="preserve">concernés et sont actuellement en cours de révision avant d'être soumis à nouveau au cabinet du Premier ministre d'ici la fin de l'année. L'interdiction du HCFC-141b dans les polyols pré-mélangés sera incluse dans le décret sur les équipements à base de HCFC, dont l'adoption devrait être finalisée dans les prochains mois. Le projet de décret sur la gestion du cycle de vie des frigorigènes a été élaboré en 2024 et sera soumis au Ministère de l'environnement d'ici à la fin de l'année. </w:t>
      </w:r>
    </w:p>
    <w:p w14:paraId="5C85FA03" w14:textId="7BC50C3D" w:rsidR="00085CB6" w:rsidRPr="009F0B2A" w:rsidRDefault="00AA1CE5" w:rsidP="00082DA7">
      <w:pPr>
        <w:pStyle w:val="Heading1"/>
        <w:rPr>
          <w:color w:val="000000" w:themeColor="text1"/>
        </w:rPr>
      </w:pPr>
      <w:r>
        <w:t xml:space="preserve">L'ONUDI a expliqué que la lenteur des progrès par rapport aux prévisions reflétait la complexité du processus d'examen interministériel en Tunisie, qui nécessite plusieurs cycles de consultation et d'autorisation entre les ministères concernés avant l'approbation finale, notamment l'ANPE, le Ministère de l'environnement, et le PMO. </w:t>
      </w:r>
      <w:r>
        <w:rPr>
          <w:color w:val="000000" w:themeColor="text1"/>
        </w:rPr>
        <w:t xml:space="preserve"> L'UNO et l'ONUDI maintiennent une coordination étroite et un suivi régulier avec leurs homologues gouvernementaux afin d'accélérer l'approbation et de garantir l'adoption de tous les textes réglementaires. </w:t>
      </w:r>
    </w:p>
    <w:p w14:paraId="4A5C444A" w14:textId="22D08DB5" w:rsidR="007E5166" w:rsidRPr="009F0B2A" w:rsidRDefault="0008313E" w:rsidP="00082DA7">
      <w:pPr>
        <w:pStyle w:val="Heading1"/>
        <w:rPr>
          <w:color w:val="000000" w:themeColor="text1"/>
        </w:rPr>
      </w:pPr>
      <w:r>
        <w:t>L'ONUDI a indiqué que cinq identifiants de frigorigènes avaient été acquis pour les douanes, sur les dix initialement prévus. Le calendrier de livraison reste à confirmer, et aucune unité supplémentaire ne sera acquise dans le cadre de la phase II en raison des fonds limités et de la pénurie mondiale affectant cet équipement.</w:t>
      </w:r>
    </w:p>
    <w:bookmarkEnd w:id="11"/>
    <w:p w14:paraId="26B2B7F4" w14:textId="70FE5BEF" w:rsidR="00E9063C" w:rsidRPr="009F0B2A" w:rsidRDefault="00E9063C" w:rsidP="00E9063C">
      <w:pPr>
        <w:keepNext/>
        <w:widowControl w:val="0"/>
        <w:spacing w:after="240"/>
        <w:rPr>
          <w:i/>
        </w:rPr>
      </w:pPr>
      <w:r>
        <w:rPr>
          <w:i/>
        </w:rPr>
        <w:t xml:space="preserve">Secteur de la fabrication </w:t>
      </w:r>
    </w:p>
    <w:p w14:paraId="744C5A6F" w14:textId="681CD4AF" w:rsidR="00DA09AC" w:rsidRPr="009F0B2A" w:rsidRDefault="00DA09AC" w:rsidP="00082DA7">
      <w:pPr>
        <w:pStyle w:val="Heading1"/>
      </w:pPr>
      <w:r>
        <w:t>Le projet de conversion de la mousse PU dans l'entreprise Le Panneau a pris du retard en raison de difficultés liées à la disponibilité limitée et au coût élevé du HFO-1233zd. Suivant les conseils de l'ONUDI, l'entreprise a contacté un autre fournisseur qui était en mesure de fournir du HFO-1233zd moyennant une remise de 80 % par rapport au fournisseur initial. L'ONUDI a confirmé que les problèmes liés à la chaîne d'approvisionnement et aux coûts ont été résolus, et Le Panneau fabrique désormais de la mousse de polyuréthane en utilisant du HFO-1233zd comme agent gonflant.</w:t>
      </w:r>
    </w:p>
    <w:p w14:paraId="29A3C640" w14:textId="77777777" w:rsidR="00E9063C" w:rsidRPr="009F0B2A" w:rsidRDefault="00E9063C" w:rsidP="00E9063C">
      <w:pPr>
        <w:keepNext/>
        <w:widowControl w:val="0"/>
        <w:spacing w:after="240"/>
        <w:rPr>
          <w:i/>
        </w:rPr>
      </w:pPr>
      <w:r>
        <w:rPr>
          <w:i/>
        </w:rPr>
        <w:t>Secteur de l’entretien de l’équipement de réfrigération</w:t>
      </w:r>
    </w:p>
    <w:p w14:paraId="1ED691D9" w14:textId="77777777" w:rsidR="00C42B0C" w:rsidRPr="009F0B2A" w:rsidRDefault="00C42B0C" w:rsidP="00082DA7">
      <w:pPr>
        <w:pStyle w:val="Heading1"/>
      </w:pPr>
      <w:r>
        <w:t>En ce qui concerne la fourniture de pièces de rechange pour le système de formation à l'ammoniac du centre de formation de Kairouan, les consultations avec les fournisseurs ont été limitées par l'ancienneté et les spécifications techniques du système actuel, toutes les offres dépassant le budget alloué. L'UNO, avec le soutien de l'ONUDI, étudie actuellement les possibilités de cofinancement avec le centre de formation et l'Institut tunisien de formation professionnelle. Cette activité sera poursuivie jusqu'à la troisième tranche afin de finaliser les négociations.</w:t>
      </w:r>
    </w:p>
    <w:p w14:paraId="2ABFCA68" w14:textId="45E15986" w:rsidR="00906BAD" w:rsidRPr="009F0B2A" w:rsidRDefault="00906BAD" w:rsidP="00082DA7">
      <w:pPr>
        <w:pStyle w:val="Heading1"/>
      </w:pPr>
      <w:r>
        <w:t>Le modèle de récupération, de recyclage et de régénération a été révisé au cours de la deuxième tranche afin de tenir compte des effets de la ratification de l'Amendement de Kigali par le pays et des infrastructures limitées dans le secteur de l'entretien des équipements de réfrigération et climatisation, dans le but d'assurer la pérennité technique et financière. Le modèle révisé recommande la récupération et la régénération obligatoires, l'intégration au système de certification des techniciens et la restriction progressive des frigorigènes vierges à fort PRP dans l'installation et l'entretien. Le prochain décret sur la gestion du cycle de vie des frigorigènes fournit le cadre juridique pour la récupération, le recyclage et la régénération. L'ONUDI a souligné la nécessité de dresser un inventaire des substances réglementées utilisées et/ou indésirables comme condition préalable à l'élaboration d'un plan d'action global pour la gestion du cycle de vie, pour lequel l'ONUDI a présenté une demande à la présente réunion en vertu de la décision 91/66 au nom du pays</w:t>
      </w:r>
      <w:r>
        <w:rPr>
          <w:rStyle w:val="FootnoteReference"/>
        </w:rPr>
        <w:footnoteReference w:id="9"/>
      </w:r>
      <w:r>
        <w:t xml:space="preserve">. </w:t>
      </w:r>
    </w:p>
    <w:p w14:paraId="02ADB318" w14:textId="7D1175D9" w:rsidR="00C42B0C" w:rsidRPr="009F0B2A" w:rsidRDefault="00253224" w:rsidP="00082DA7">
      <w:pPr>
        <w:pStyle w:val="Heading1"/>
      </w:pPr>
      <w:r>
        <w:t xml:space="preserve">Le modèle de récupération, de recyclage et de régénération révisé vise à identifier de nouvelles organisations hôtes, potentiellement dans les secteurs des services privés ou semi-publics, tout en définissant clairement les rôles respectifs des opérateurs et des organismes de contrôle. Le processus de </w:t>
      </w:r>
      <w:r>
        <w:lastRenderedPageBreak/>
        <w:t xml:space="preserve">sélection visant à identifier deux entreprises capables d'accueillir les centres de régénération devrait s'achever en 2025. Les entreprises concernées doivent avoir au moins cinq ans d'expérience dans le secteur de l'entretien des équipements de réfrigération et climatisation ; employer au moins deux techniciens frigoristes qualifiés, dont un professionnel certifié ; être situées dans le Grand Tunis ou à Sfax ; et disposer d'installations adéquates et du personnel qualifié pour gérer le stockage et la régénération des frigorigènes. </w:t>
      </w:r>
    </w:p>
    <w:p w14:paraId="00610F84" w14:textId="5C0CE939" w:rsidR="00E92C86" w:rsidRPr="009F0B2A" w:rsidRDefault="00E92C86" w:rsidP="00082DA7">
      <w:pPr>
        <w:pStyle w:val="Heading1"/>
      </w:pPr>
      <w:r>
        <w:t xml:space="preserve">L'ONUDI a noté que les principaux enseignements tirés, qui peuvent également présenter un intérêt pour la phase I du </w:t>
      </w:r>
      <w:r w:rsidR="00ED6D22">
        <w:t>PAK</w:t>
      </w:r>
      <w:r>
        <w:t xml:space="preserve">, comprennent l'importance d'établir un cadre réglementaire cohérent et obligatoire pour la récupération, la réutilisation et l'élimination des substances réglementées. La mise en place d'un système de certification et la fourniture d'outils et d'équipements adéquats, notamment des bonbonnes de frigorigène, pour les techniciens en réfrigération et climatisation sont également essentielles. De plus, le prix des frigorigènes vierges a été identifié comme un facteur clé de la réussite du système de récupération, de recyclage et de régénération. La mise en œuvre de l'Amendement de Kigali et les objectifs de réduction des HFC doivent, en outre, jouer un rôle important dans la détermination de ces prix. </w:t>
      </w:r>
    </w:p>
    <w:p w14:paraId="191BAFF3" w14:textId="3851EC91" w:rsidR="00E9063C" w:rsidRPr="009F0B2A" w:rsidRDefault="00E9063C" w:rsidP="00E9063C">
      <w:pPr>
        <w:keepNext/>
        <w:spacing w:after="240"/>
        <w:rPr>
          <w:u w:val="single"/>
        </w:rPr>
      </w:pPr>
      <w:r>
        <w:rPr>
          <w:u w:val="single"/>
        </w:rPr>
        <w:t>Plan de mise en œuvre pour la troisième et dernière tranche de la phase II du plan de gestion de l'élimination des HCFC</w:t>
      </w:r>
    </w:p>
    <w:p w14:paraId="5944B5BE" w14:textId="4756A9F5" w:rsidR="00AA1CE5" w:rsidRPr="009F0B2A" w:rsidRDefault="00911011" w:rsidP="00082DA7">
      <w:pPr>
        <w:pStyle w:val="Heading1"/>
        <w:rPr>
          <w:color w:val="000000" w:themeColor="text1"/>
        </w:rPr>
      </w:pPr>
      <w:r>
        <w:t xml:space="preserve">Le Secrétariat a discuté avec l'ONUDI et le PNUE des mesures prises pour gérer le calendrier de mise en œuvre de la troisième tranche, notant que plusieurs activités dépendent de l'approbation en temps opportun des décrets réglementaires. En outre, plusieurs activités de formation, de récupération et de régénération restant à réaliser dans le cadre de la phase II du PGEH et de la phase I du </w:t>
      </w:r>
      <w:r w:rsidR="00ED6D22">
        <w:t>PAK</w:t>
      </w:r>
      <w:r>
        <w:t xml:space="preserve"> dépendent de la mise en place d'un système de certification opérationnel.</w:t>
      </w:r>
      <w:r>
        <w:rPr>
          <w:color w:val="000000" w:themeColor="text1"/>
        </w:rPr>
        <w:t xml:space="preserve"> </w:t>
      </w:r>
    </w:p>
    <w:p w14:paraId="76052D83" w14:textId="308CBFCD" w:rsidR="00DB5D7A" w:rsidRPr="009F0B2A" w:rsidRDefault="00DE0815" w:rsidP="00082DA7">
      <w:pPr>
        <w:pStyle w:val="Heading1"/>
      </w:pPr>
      <w:r>
        <w:t>Les agences ont indiqué que l'UNO, avec le soutien de l'ONUDI, maintient une coordination étroite avec les autorités nationales afin d'accélérer l'approbation du décret de certification d'ici mars 2026, avec une entrée en vigueur prévue pour septembre 2026. Une fois adopté, le système de certification sera obligatoire et fondé sur les compétences. L'ONUDI a confirmé que l'élaboration des documents relatifs aux essais de certification se poursuivra parallèlement à l'adoption définitive et à l'entrée en vigueur du décret sur la certification. Un expert sera recruté pour soutenir cette activité. Si le décret est approuvé d'ici mars 2026, les activités de certification pourraient être mises en œuvre d'ici décembre 2026. Dans le cas contraire, il pourrait être nécessaire de prolonger la phase II du PGEH.</w:t>
      </w:r>
    </w:p>
    <w:p w14:paraId="5D783A3E" w14:textId="34CC5CD6" w:rsidR="00911011" w:rsidRPr="009F0B2A" w:rsidRDefault="00AA1CE5" w:rsidP="00082DA7">
      <w:pPr>
        <w:pStyle w:val="Heading1"/>
      </w:pPr>
      <w:r>
        <w:t>En ce qui concerne les autres activités relevant de la troisième tranche, la formation et la certification des techniciens pourront débuter dès que le système de certification sera en place. L'acquisition et la distribution d'outils et d'équipements pour 15 ateliers de réfrigération et de climatisation devraient être achevées d'ici le quatrième trimestre 2026, parallèlement à la participation des ateliers au programme de certification. Le voyage d'étude destiné aux parties prenantes tunisiennes dans des centres de régénération en Finlande ou en Espagne est prévu pour le premier trimestre 2026. Il a pour but de renforcer les capacités nationales en matière de récupération, de recyclage et de régénération.</w:t>
      </w:r>
    </w:p>
    <w:p w14:paraId="2D6494A5" w14:textId="36C277BC" w:rsidR="00E9063C" w:rsidRPr="009F0B2A" w:rsidRDefault="00E9063C" w:rsidP="00911011">
      <w:pPr>
        <w:keepNext/>
        <w:spacing w:after="240"/>
        <w:rPr>
          <w:u w:val="single"/>
        </w:rPr>
      </w:pPr>
      <w:r>
        <w:rPr>
          <w:u w:val="single"/>
        </w:rPr>
        <w:t>Mise en œuvre de la politique d'intégration de l'égalité des sexes</w:t>
      </w:r>
    </w:p>
    <w:p w14:paraId="03055602" w14:textId="2570664D" w:rsidR="00A84205" w:rsidRPr="004E7A97" w:rsidRDefault="003218AA" w:rsidP="00082DA7">
      <w:pPr>
        <w:pStyle w:val="Heading1"/>
      </w:pPr>
      <w:r>
        <w:rPr>
          <w:noProof/>
        </w:rPr>
        <w:t xml:space="preserve">Conformément aux décisions 84/92 d) et 90/48 c), des informations sur la participation des femmes aux activités du PGEH ont été présentées. Dans le cadre de la phase II, des femmes ont participé à plusieurs activités de formation et de renforcement des capacités, bien que leur représentation reste en deçà des niveaux visés. Sur les 92 formateurs en réfrigération et climatisation formés à ce jour, 20 pour cent étaient des femmes, dont quatre certifiées en 2024, et 12 pour cent des participants à la formation de technicien étaient des femmes. Des femmes de l'École nationale d'ingénieurs de Monastir et des inspectrices de l'ANPE ont également participé aux sessions extraordinaires sur les bonnes pratiques d'entretien, l'Amendement de Kigali et les frigorigènes à faible PRP. Un réseau de techniciennes en réfrigération et climatisation au sein de l'association nationale du secteur de la réfrigération et de la climatisation offre une plateforme dédiée au soutien et au rayonnement par les pairs. Au cours de la tranche suivante, la participation des femmes sera </w:t>
      </w:r>
      <w:r>
        <w:rPr>
          <w:noProof/>
        </w:rPr>
        <w:lastRenderedPageBreak/>
        <w:t xml:space="preserve">prise en compte dans la planification des activités et des données ventilées seront systématiquement collectées. L'UNO continuera à promouvoir la participation des femmes dans le secteur de la réfrigération et de la climatisation et prévoit de mettre en place un mécanisme permettant de suivre l'évolution de carrière des femmes stagiaires, en coopération avec les centres de formation professionnelle. </w:t>
      </w:r>
    </w:p>
    <w:p w14:paraId="5F523B68" w14:textId="17571675" w:rsidR="002D1E6D" w:rsidRPr="009F0B2A" w:rsidRDefault="00E9063C" w:rsidP="004E7A97">
      <w:pPr>
        <w:keepNext/>
        <w:spacing w:after="240"/>
        <w:outlineLvl w:val="0"/>
      </w:pPr>
      <w:r>
        <w:rPr>
          <w:u w:val="single"/>
        </w:rPr>
        <w:t xml:space="preserve">Achèvement de la phase II du plan de gestion de l'élimination des HCFC </w:t>
      </w:r>
    </w:p>
    <w:p w14:paraId="04FB82AD" w14:textId="2B887852" w:rsidR="001E5FB9" w:rsidRPr="009F0B2A" w:rsidRDefault="001E5FB9" w:rsidP="00082DA7">
      <w:pPr>
        <w:pStyle w:val="Heading1"/>
        <w:rPr>
          <w:noProof/>
        </w:rPr>
      </w:pPr>
      <w:r>
        <w:rPr>
          <w:noProof/>
        </w:rPr>
        <w:t>Étant donné que certaines activités ont progressé plus lentement que prévu initialement, en particulier celles liées au cadre réglementaire, et que plusieurs activités dépendent de l'approbation de ces réglementations, notamment celles concernant le système de certification, l'ONUDI reconfirmera la date d'achèvement de la phase II du PGEH à la 98</w:t>
      </w:r>
      <w:r>
        <w:rPr>
          <w:noProof/>
          <w:vertAlign w:val="superscript"/>
        </w:rPr>
        <w:t>e</w:t>
      </w:r>
      <w:r>
        <w:rPr>
          <w:noProof/>
        </w:rPr>
        <w:t> réunion, en même temps que la soumission de la phase III du PGEH pour la Tunisie. Lors de cette réunion, l'ONUDI confirmera également que l'interdiction d'importer du HCFC-141b contenu dans des polyols pré-mélangés, telle qu'énoncée dans la décision 83/64 b), a été mise en œuvre.</w:t>
      </w:r>
    </w:p>
    <w:p w14:paraId="3E9DBACE" w14:textId="75C0EAC5" w:rsidR="00E9063C" w:rsidRPr="009F0B2A" w:rsidRDefault="00E9063C" w:rsidP="002C7FC2">
      <w:pPr>
        <w:keepNext/>
        <w:spacing w:before="100" w:beforeAutospacing="1" w:after="100" w:afterAutospacing="1"/>
        <w:jc w:val="left"/>
        <w:rPr>
          <w:u w:val="single"/>
        </w:rPr>
      </w:pPr>
      <w:r>
        <w:rPr>
          <w:u w:val="single"/>
        </w:rPr>
        <w:t>Élimination durable des HCFC et évaluation des risques</w:t>
      </w:r>
    </w:p>
    <w:p w14:paraId="3E872B46" w14:textId="61A63AD9" w:rsidR="00143330" w:rsidRPr="00E965BE" w:rsidRDefault="00143330" w:rsidP="00E965BE">
      <w:pPr>
        <w:pStyle w:val="Heading1"/>
        <w:rPr>
          <w:u w:val="single"/>
        </w:rPr>
      </w:pPr>
      <w:bookmarkStart w:id="12" w:name="_Hlk213236841"/>
      <w:r>
        <w:t>Le secrétariat et l'ONUDI ont examiné les principaux risques liés au projet, notamment la longueur du processus d'approbation réglementaire et les retards dans la mise en œuvre et les achats, comme indiqué aux paragraphes 18 à 20 ci-dessus.</w:t>
      </w:r>
      <w:bookmarkEnd w:id="12"/>
      <w:r>
        <w:t xml:space="preserve"> Ces risques sont atténués grâce aux efforts coordonnés de l'UNO, de l'ONUDI et du PNUE, ainsi qu'à la révision des calendriers de mise en œuvre jusqu'en 2026. Les progrès réalisés par la Tunisie dans le renforcement de son cadre réglementaire national constituent une étape importante vers la poursuite de l'élimination des HCFC et la réduction des HFC dans le pays. Une fois adoptés, les nouveaux décrets établiront une base juridique solide pour faire respecter les réglementations sur l'importation et l'utilisation des HCFC, renforcer la coordination interinstitutions et officialiser le secteur de l'entretien des équipements de refroidissement et de climatisation grâce à une certification obligatoire fondée sur les compétences. La réglementation à venir sur la gestion du cycle de vie des frigorigènes, associée aux activités de récupération, de recyclage et de régénération, favorisera la réutilisation et réduira la dépendance vis-à-vis des frigorigènes importés. L'assistance technique aide les entreprises à accéder à des frigorigènes abordables à faible PRP, tandis que des mesures appropriées encouragent une plus grande participation des femmes à la formation et à la certification. Ces mesures, combinées aux systèmes d'octroi de permis d'exploitation et de quotas pour les HCFC et les HFC, renforceront la capacité de la Tunisie à respecter ses obligations au titre du Protocole de Montréal. Le coût croissant des frigorigènes vierges devrait encourager davantage les pratiques de récupération et de régénération. Le renforcement des capacités douanières, soutenu par des formations régulières, et l'amélioration de la coordination avec l'UNO garantiront la poursuite de la mise en œuvre et de l'application de ces mesures.</w:t>
      </w:r>
    </w:p>
    <w:p w14:paraId="58C3E90E" w14:textId="6C31689C" w:rsidR="00E9063C" w:rsidRPr="009F0B2A" w:rsidRDefault="00E9063C" w:rsidP="004E7A97">
      <w:pPr>
        <w:pStyle w:val="Heading1"/>
        <w:keepNext/>
        <w:keepLines/>
        <w:widowControl w:val="0"/>
        <w:numPr>
          <w:ilvl w:val="0"/>
          <w:numId w:val="0"/>
        </w:numPr>
        <w:rPr>
          <w:u w:val="single"/>
        </w:rPr>
      </w:pPr>
      <w:r>
        <w:rPr>
          <w:u w:val="single"/>
        </w:rPr>
        <w:t>Conclusion</w:t>
      </w:r>
    </w:p>
    <w:p w14:paraId="7A4E5DD4" w14:textId="6963BD93" w:rsidR="003934C3" w:rsidRDefault="003934C3" w:rsidP="00A45686">
      <w:pPr>
        <w:pStyle w:val="Heading1"/>
      </w:pPr>
      <w:r>
        <w:t>La Tunisie continue de respecter son accord avec le Comité exécutif, la consommation de HCFC diminuant régulièrement, passant de 23,24 tonnes PAO en 2020 à 14,98 tonnes PAO en 2024. Le pays a réalisé des progrès significatifs dans le renforcement de son cadre réglementaire national visant à réglementer les importations de HCFC, à garantir la gestion des frigorigènes et à permettre aux secteurs de la réfrigération et des mousses de fonctionner avec des technologies à faible PRP. L'UNO s'efforce de faciliter le processus d'approbation gouvernementale des projets de réglementation. La conversion de la dernière entreprise de fabrication de mousse PU utilisant du HCFC-141b dans des polyols pré-mélangés a été achevée en 2025, l'entreprise ayant réussi à adopter la technologie HFO après avoir résolu les problèmes liés à la chaîne d'approvisionnement et aux coûts. Les efforts en cours visant à créer deux centres de récupération, de recyclage et de régénération contribueront davantage à la mise en place d'un système durable de gestion des frigorigènes. Le taux de décaissement de la deuxième tranche de la phase II du PGEH s'élève à 50 %, soit 82 % du total des fonds approuvés à ce jour. Globalement, ces résultats montrent que la Tunisie est en bonne voie pour atteindre les objectifs de réduction fixés pour 2025 et pour maintenir sa conformité à long terme.</w:t>
      </w:r>
    </w:p>
    <w:p w14:paraId="53D42B98" w14:textId="08532F68" w:rsidR="00E9063C" w:rsidRPr="009F0B2A" w:rsidRDefault="00E9063C" w:rsidP="00E9063C">
      <w:pPr>
        <w:keepNext/>
        <w:spacing w:before="360" w:after="240"/>
        <w:rPr>
          <w:b/>
        </w:rPr>
      </w:pPr>
      <w:r>
        <w:rPr>
          <w:b/>
        </w:rPr>
        <w:lastRenderedPageBreak/>
        <w:t>RECOMMANDATION</w:t>
      </w:r>
    </w:p>
    <w:p w14:paraId="6E4E9F4F" w14:textId="6D2CA4CB" w:rsidR="00E9063C" w:rsidRPr="009F0B2A" w:rsidRDefault="00E9063C" w:rsidP="00082DA7">
      <w:pPr>
        <w:pStyle w:val="Heading1"/>
      </w:pPr>
      <w:bookmarkStart w:id="13" w:name="_Hlk122622077"/>
      <w:r>
        <w:t>Le secrétariat du Fonds recommande au Comité exécutif de :</w:t>
      </w:r>
    </w:p>
    <w:p w14:paraId="59428B37" w14:textId="7A4AF6D3" w:rsidR="00E9063C" w:rsidRPr="009F0B2A" w:rsidRDefault="00E9063C" w:rsidP="00757F6D">
      <w:pPr>
        <w:pStyle w:val="Heading2"/>
        <w:ind w:left="1260" w:hanging="540"/>
      </w:pPr>
      <w:r>
        <w:t>Prendre note du rapport de synthèse sur la mise en œuvre de la deuxième tranche de la phase II du plan de gestion de l'élimination des HCFC (PGEH) pour la Tunisie ; et de</w:t>
      </w:r>
    </w:p>
    <w:p w14:paraId="0FE29F4D" w14:textId="3F63550F" w:rsidR="008C30AF" w:rsidRPr="009F0B2A" w:rsidRDefault="008C30AF" w:rsidP="00757F6D">
      <w:pPr>
        <w:pStyle w:val="Heading2"/>
        <w:ind w:left="1260" w:hanging="540"/>
      </w:pPr>
      <w:r>
        <w:t>Prier le Gouvernement tunisien, l'ONUDI et le PNUE de présenter un rapport de synthèse sur la mise en œuvre des programmes de travail associés à la dernière tranche de la phase II du PGEH à la première réunion du Comité exécutif en 2027.</w:t>
      </w:r>
    </w:p>
    <w:p w14:paraId="7F31BB8B" w14:textId="29ECDDE8" w:rsidR="00E9063C" w:rsidRPr="009F0B2A" w:rsidRDefault="00E9063C" w:rsidP="00082DA7">
      <w:pPr>
        <w:pStyle w:val="Heading1"/>
      </w:pPr>
      <w:r>
        <w:t>Le secrétariat du Fonds recommande en outre d'approuver globalement la troisième et dernière tranche de la phase II du PGEH pour la Tunisie et le plan de mise en œuvre correspondant de la tranche pour 2026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9063C" w:rsidRPr="009F0B2A" w14:paraId="34AC3DFE" w14:textId="77777777" w:rsidTr="002E0E5F">
        <w:trPr>
          <w:tblHeader/>
        </w:trPr>
        <w:tc>
          <w:tcPr>
            <w:tcW w:w="293" w:type="pct"/>
          </w:tcPr>
          <w:p w14:paraId="1427513F" w14:textId="77777777" w:rsidR="00E9063C" w:rsidRPr="009F0B2A" w:rsidRDefault="00E9063C" w:rsidP="00E9063C">
            <w:pPr>
              <w:keepNext/>
              <w:jc w:val="center"/>
              <w:rPr>
                <w:b/>
                <w:bCs/>
                <w:sz w:val="20"/>
                <w:szCs w:val="20"/>
              </w:rPr>
            </w:pPr>
          </w:p>
        </w:tc>
        <w:tc>
          <w:tcPr>
            <w:tcW w:w="2337" w:type="pct"/>
          </w:tcPr>
          <w:p w14:paraId="43649170" w14:textId="77777777" w:rsidR="00E9063C" w:rsidRPr="009F0B2A" w:rsidRDefault="00E9063C" w:rsidP="00E9063C">
            <w:pPr>
              <w:keepNext/>
              <w:jc w:val="center"/>
              <w:rPr>
                <w:b/>
                <w:bCs/>
                <w:sz w:val="20"/>
                <w:szCs w:val="20"/>
              </w:rPr>
            </w:pPr>
            <w:r>
              <w:rPr>
                <w:b/>
                <w:bCs/>
                <w:sz w:val="20"/>
                <w:szCs w:val="20"/>
              </w:rPr>
              <w:t>Titre du projet</w:t>
            </w:r>
          </w:p>
        </w:tc>
        <w:tc>
          <w:tcPr>
            <w:tcW w:w="790" w:type="pct"/>
            <w:tcMar>
              <w:left w:w="29" w:type="dxa"/>
              <w:right w:w="29" w:type="dxa"/>
            </w:tcMar>
          </w:tcPr>
          <w:p w14:paraId="042C4E55" w14:textId="77777777" w:rsidR="00E9063C" w:rsidRPr="009F0B2A" w:rsidRDefault="00E9063C" w:rsidP="00E9063C">
            <w:pPr>
              <w:keepNext/>
              <w:jc w:val="center"/>
              <w:rPr>
                <w:b/>
                <w:bCs/>
                <w:sz w:val="20"/>
                <w:szCs w:val="20"/>
              </w:rPr>
            </w:pPr>
            <w:r>
              <w:rPr>
                <w:b/>
                <w:bCs/>
                <w:sz w:val="20"/>
                <w:szCs w:val="20"/>
              </w:rPr>
              <w:t>Financement du projet ($US)</w:t>
            </w:r>
          </w:p>
        </w:tc>
        <w:tc>
          <w:tcPr>
            <w:tcW w:w="747" w:type="pct"/>
            <w:tcMar>
              <w:left w:w="29" w:type="dxa"/>
              <w:right w:w="29" w:type="dxa"/>
            </w:tcMar>
          </w:tcPr>
          <w:p w14:paraId="32C5C1C9" w14:textId="77777777" w:rsidR="00E9063C" w:rsidRPr="009F0B2A" w:rsidRDefault="00E9063C" w:rsidP="00E9063C">
            <w:pPr>
              <w:keepNext/>
              <w:jc w:val="center"/>
              <w:rPr>
                <w:b/>
                <w:bCs/>
                <w:sz w:val="20"/>
                <w:szCs w:val="20"/>
              </w:rPr>
            </w:pPr>
            <w:r>
              <w:rPr>
                <w:b/>
                <w:bCs/>
                <w:sz w:val="20"/>
                <w:szCs w:val="20"/>
              </w:rPr>
              <w:t>Coûts d'appui ($US)</w:t>
            </w:r>
          </w:p>
        </w:tc>
        <w:tc>
          <w:tcPr>
            <w:tcW w:w="833" w:type="pct"/>
            <w:tcBorders>
              <w:bottom w:val="single" w:sz="4" w:space="0" w:color="auto"/>
            </w:tcBorders>
            <w:tcMar>
              <w:left w:w="29" w:type="dxa"/>
              <w:right w:w="29" w:type="dxa"/>
            </w:tcMar>
          </w:tcPr>
          <w:p w14:paraId="67A80A9E" w14:textId="77777777" w:rsidR="00E9063C" w:rsidRPr="009F0B2A" w:rsidRDefault="00E9063C" w:rsidP="00E9063C">
            <w:pPr>
              <w:keepNext/>
              <w:jc w:val="center"/>
              <w:rPr>
                <w:b/>
                <w:bCs/>
                <w:sz w:val="20"/>
                <w:szCs w:val="20"/>
              </w:rPr>
            </w:pPr>
            <w:r>
              <w:rPr>
                <w:b/>
                <w:bCs/>
                <w:sz w:val="20"/>
                <w:szCs w:val="20"/>
              </w:rPr>
              <w:t>Agence d'exécution</w:t>
            </w:r>
          </w:p>
        </w:tc>
      </w:tr>
      <w:tr w:rsidR="00E9063C" w:rsidRPr="009F0B2A" w14:paraId="684989FC" w14:textId="77777777" w:rsidTr="002E0E5F">
        <w:tc>
          <w:tcPr>
            <w:tcW w:w="293" w:type="pct"/>
          </w:tcPr>
          <w:p w14:paraId="4ED31702" w14:textId="77777777" w:rsidR="00E9063C" w:rsidRPr="009F0B2A" w:rsidRDefault="00E9063C" w:rsidP="00E9063C">
            <w:pPr>
              <w:keepNext/>
              <w:rPr>
                <w:sz w:val="20"/>
                <w:szCs w:val="20"/>
              </w:rPr>
            </w:pPr>
            <w:r>
              <w:rPr>
                <w:sz w:val="20"/>
                <w:szCs w:val="20"/>
              </w:rPr>
              <w:t>a)</w:t>
            </w:r>
          </w:p>
        </w:tc>
        <w:tc>
          <w:tcPr>
            <w:tcW w:w="2337" w:type="pct"/>
          </w:tcPr>
          <w:p w14:paraId="13268A7C" w14:textId="26F83F08" w:rsidR="00E9063C" w:rsidRPr="009F0B2A" w:rsidRDefault="00E9063C" w:rsidP="00E9063C">
            <w:pPr>
              <w:keepNext/>
              <w:jc w:val="left"/>
              <w:rPr>
                <w:sz w:val="20"/>
                <w:szCs w:val="20"/>
              </w:rPr>
            </w:pPr>
            <w:r>
              <w:rPr>
                <w:sz w:val="20"/>
                <w:szCs w:val="20"/>
              </w:rPr>
              <w:t>Plan de gestion de l'élimination des HCFC (phase II, troisième tranche)</w:t>
            </w:r>
          </w:p>
        </w:tc>
        <w:tc>
          <w:tcPr>
            <w:tcW w:w="790" w:type="pct"/>
            <w:vAlign w:val="center"/>
          </w:tcPr>
          <w:p w14:paraId="489B79F5" w14:textId="7BC30731" w:rsidR="00E9063C" w:rsidRPr="009F0B2A" w:rsidRDefault="003410E5" w:rsidP="00E9063C">
            <w:pPr>
              <w:keepNext/>
              <w:jc w:val="right"/>
              <w:rPr>
                <w:sz w:val="20"/>
                <w:szCs w:val="20"/>
              </w:rPr>
            </w:pPr>
            <w:r>
              <w:rPr>
                <w:sz w:val="20"/>
                <w:szCs w:val="20"/>
              </w:rPr>
              <w:t>120 000</w:t>
            </w:r>
          </w:p>
        </w:tc>
        <w:tc>
          <w:tcPr>
            <w:tcW w:w="747" w:type="pct"/>
            <w:vAlign w:val="center"/>
          </w:tcPr>
          <w:p w14:paraId="0FA28DB7" w14:textId="3035D246" w:rsidR="00E9063C" w:rsidRPr="009F0B2A" w:rsidRDefault="004E2ED8" w:rsidP="00E9063C">
            <w:pPr>
              <w:keepNext/>
              <w:jc w:val="right"/>
              <w:rPr>
                <w:sz w:val="20"/>
                <w:szCs w:val="20"/>
              </w:rPr>
            </w:pPr>
            <w:r>
              <w:rPr>
                <w:sz w:val="20"/>
                <w:szCs w:val="20"/>
              </w:rPr>
              <w:t>8 400</w:t>
            </w:r>
          </w:p>
        </w:tc>
        <w:tc>
          <w:tcPr>
            <w:tcW w:w="833" w:type="pct"/>
            <w:tcBorders>
              <w:top w:val="single" w:sz="4" w:space="0" w:color="auto"/>
            </w:tcBorders>
            <w:vAlign w:val="center"/>
          </w:tcPr>
          <w:p w14:paraId="6A23538F" w14:textId="59289768" w:rsidR="00E9063C" w:rsidRPr="009F0B2A" w:rsidRDefault="000750C6" w:rsidP="00E9063C">
            <w:pPr>
              <w:keepNext/>
              <w:jc w:val="center"/>
              <w:rPr>
                <w:sz w:val="20"/>
                <w:szCs w:val="20"/>
              </w:rPr>
            </w:pPr>
            <w:r>
              <w:rPr>
                <w:sz w:val="20"/>
                <w:szCs w:val="20"/>
              </w:rPr>
              <w:t>ONUDI</w:t>
            </w:r>
          </w:p>
        </w:tc>
      </w:tr>
      <w:tr w:rsidR="00E9063C" w:rsidRPr="004E2ED8" w14:paraId="1261720B" w14:textId="77777777" w:rsidTr="002E0E5F">
        <w:tc>
          <w:tcPr>
            <w:tcW w:w="293" w:type="pct"/>
          </w:tcPr>
          <w:p w14:paraId="683F7E1B" w14:textId="77777777" w:rsidR="00E9063C" w:rsidRPr="009F0B2A" w:rsidRDefault="00E9063C" w:rsidP="00E9063C">
            <w:pPr>
              <w:rPr>
                <w:sz w:val="20"/>
                <w:szCs w:val="20"/>
              </w:rPr>
            </w:pPr>
            <w:r>
              <w:rPr>
                <w:sz w:val="20"/>
                <w:szCs w:val="20"/>
              </w:rPr>
              <w:t>b)</w:t>
            </w:r>
          </w:p>
        </w:tc>
        <w:tc>
          <w:tcPr>
            <w:tcW w:w="2337" w:type="pct"/>
          </w:tcPr>
          <w:p w14:paraId="66D5D1C9" w14:textId="3E7BDEED" w:rsidR="00E9063C" w:rsidRPr="009F0B2A" w:rsidRDefault="00E9063C" w:rsidP="00E9063C">
            <w:pPr>
              <w:jc w:val="left"/>
              <w:rPr>
                <w:sz w:val="20"/>
                <w:szCs w:val="20"/>
              </w:rPr>
            </w:pPr>
            <w:r>
              <w:rPr>
                <w:sz w:val="20"/>
                <w:szCs w:val="20"/>
              </w:rPr>
              <w:t>Plan de gestion de l'élimination des HCFC (phase II, troisième tranche)</w:t>
            </w:r>
          </w:p>
        </w:tc>
        <w:tc>
          <w:tcPr>
            <w:tcW w:w="790" w:type="pct"/>
            <w:vAlign w:val="center"/>
          </w:tcPr>
          <w:p w14:paraId="33DDEF27" w14:textId="7639B034" w:rsidR="00E9063C" w:rsidRPr="009F0B2A" w:rsidRDefault="003410E5" w:rsidP="00E9063C">
            <w:pPr>
              <w:jc w:val="right"/>
              <w:rPr>
                <w:sz w:val="20"/>
                <w:szCs w:val="20"/>
              </w:rPr>
            </w:pPr>
            <w:r>
              <w:rPr>
                <w:sz w:val="20"/>
                <w:szCs w:val="20"/>
              </w:rPr>
              <w:t>24 000</w:t>
            </w:r>
          </w:p>
        </w:tc>
        <w:tc>
          <w:tcPr>
            <w:tcW w:w="747" w:type="pct"/>
            <w:vAlign w:val="center"/>
          </w:tcPr>
          <w:p w14:paraId="642C6A8E" w14:textId="4D429A75" w:rsidR="00E9063C" w:rsidRPr="009F0B2A" w:rsidRDefault="004E2ED8" w:rsidP="00E9063C">
            <w:pPr>
              <w:jc w:val="right"/>
              <w:rPr>
                <w:sz w:val="20"/>
                <w:szCs w:val="20"/>
              </w:rPr>
            </w:pPr>
            <w:r>
              <w:rPr>
                <w:sz w:val="20"/>
                <w:szCs w:val="20"/>
              </w:rPr>
              <w:t>3 120</w:t>
            </w:r>
          </w:p>
        </w:tc>
        <w:tc>
          <w:tcPr>
            <w:tcW w:w="833" w:type="pct"/>
            <w:vAlign w:val="center"/>
          </w:tcPr>
          <w:p w14:paraId="1700BD0E" w14:textId="5518ACD2" w:rsidR="00E9063C" w:rsidRPr="004E2ED8" w:rsidRDefault="000750C6" w:rsidP="00E9063C">
            <w:pPr>
              <w:jc w:val="center"/>
              <w:rPr>
                <w:sz w:val="20"/>
                <w:szCs w:val="20"/>
              </w:rPr>
            </w:pPr>
            <w:r>
              <w:rPr>
                <w:sz w:val="20"/>
                <w:szCs w:val="20"/>
              </w:rPr>
              <w:t>PNUE</w:t>
            </w:r>
          </w:p>
        </w:tc>
      </w:tr>
      <w:bookmarkEnd w:id="13"/>
    </w:tbl>
    <w:p w14:paraId="5B0CEFBD" w14:textId="0AE70E73" w:rsidR="00C807BE" w:rsidRDefault="00C807BE" w:rsidP="0088024B">
      <w:pPr>
        <w:spacing w:before="240" w:after="240"/>
      </w:pPr>
      <w:r>
        <w:br w:type="page"/>
      </w:r>
    </w:p>
    <w:p w14:paraId="3291F03A" w14:textId="77777777" w:rsidR="00E33988" w:rsidRDefault="00E33988" w:rsidP="0012000E">
      <w:pPr>
        <w:spacing w:after="120"/>
        <w:jc w:val="center"/>
        <w:rPr>
          <w:b/>
        </w:rPr>
      </w:pPr>
    </w:p>
    <w:p w14:paraId="1CB51661" w14:textId="77777777" w:rsidR="00E33988" w:rsidRDefault="00E33988" w:rsidP="00E33988">
      <w:pPr>
        <w:spacing w:after="120"/>
        <w:jc w:val="center"/>
        <w:rPr>
          <w:b/>
        </w:rPr>
      </w:pPr>
      <w:r>
        <w:rPr>
          <w:b/>
        </w:rPr>
        <w:t>FICHE D'ÉVALUATION DU PROJET – PROJETS NON PLURIANNUELS</w:t>
      </w:r>
    </w:p>
    <w:p w14:paraId="6A28510A" w14:textId="07D34D90" w:rsidR="00E33988" w:rsidRPr="00781FD2" w:rsidRDefault="00E33988" w:rsidP="00E33988">
      <w:pPr>
        <w:spacing w:after="200"/>
        <w:jc w:val="center"/>
        <w:rPr>
          <w:b/>
        </w:rPr>
      </w:pPr>
      <w:r>
        <w:rPr>
          <w:b/>
        </w:rPr>
        <w:t>Tunisie</w:t>
      </w:r>
    </w:p>
    <w:p w14:paraId="27B9E99D" w14:textId="77777777" w:rsidR="00E33988" w:rsidRPr="00BE6C52" w:rsidRDefault="00E33988" w:rsidP="00E33988">
      <w:pPr>
        <w:tabs>
          <w:tab w:val="left" w:pos="5580"/>
        </w:tabs>
        <w:ind w:right="-450" w:hanging="450"/>
        <w:rPr>
          <w:b/>
        </w:rPr>
      </w:pPr>
      <w:bookmarkStart w:id="14" w:name="_Hlk149308122"/>
      <w:r>
        <w:rPr>
          <w:b/>
          <w:caps/>
        </w:rPr>
        <w:t>Titre du projet</w:t>
      </w:r>
      <w:bookmarkEnd w:id="14"/>
      <w:r>
        <w:rPr>
          <w:b/>
        </w:rPr>
        <w:tab/>
        <w:t>Agence bilatérale/d'exécution</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E33988" w:rsidRPr="00BE6C52" w14:paraId="5624968A" w14:textId="77777777" w:rsidTr="000F7778">
        <w:trPr>
          <w:trHeight w:val="251"/>
        </w:trPr>
        <w:tc>
          <w:tcPr>
            <w:tcW w:w="7039" w:type="dxa"/>
            <w:tcBorders>
              <w:right w:val="single" w:sz="4" w:space="0" w:color="auto"/>
            </w:tcBorders>
          </w:tcPr>
          <w:p w14:paraId="267FB59A" w14:textId="2920533D" w:rsidR="00E33988" w:rsidRPr="00E33988" w:rsidRDefault="00E33988" w:rsidP="00A32454">
            <w:pPr>
              <w:tabs>
                <w:tab w:val="left" w:pos="383"/>
              </w:tabs>
              <w:rPr>
                <w:sz w:val="20"/>
                <w:szCs w:val="20"/>
              </w:rPr>
            </w:pPr>
            <w:r>
              <w:rPr>
                <w:sz w:val="20"/>
                <w:szCs w:val="20"/>
              </w:rPr>
              <w:t>Projet pilote visant à améliorer le rendement énergétique dans le secteur de la fabrication de climatiseurs résidentiels en Tunisie dans le cadre de l'élimination des HFC</w:t>
            </w:r>
          </w:p>
        </w:tc>
        <w:tc>
          <w:tcPr>
            <w:tcW w:w="3126" w:type="dxa"/>
            <w:tcBorders>
              <w:top w:val="single" w:sz="4" w:space="0" w:color="auto"/>
              <w:left w:val="single" w:sz="4" w:space="0" w:color="auto"/>
              <w:bottom w:val="single" w:sz="4" w:space="0" w:color="auto"/>
            </w:tcBorders>
          </w:tcPr>
          <w:p w14:paraId="0C669310" w14:textId="4FBC2142" w:rsidR="00E33988" w:rsidRPr="00BE6C52" w:rsidRDefault="00E33988" w:rsidP="00A32454">
            <w:pPr>
              <w:jc w:val="right"/>
              <w:rPr>
                <w:sz w:val="20"/>
                <w:szCs w:val="20"/>
              </w:rPr>
            </w:pPr>
            <w:r>
              <w:rPr>
                <w:sz w:val="20"/>
                <w:szCs w:val="20"/>
              </w:rPr>
              <w:t>ONUDI</w:t>
            </w:r>
          </w:p>
        </w:tc>
      </w:tr>
    </w:tbl>
    <w:p w14:paraId="54B02225" w14:textId="77777777" w:rsidR="00E33988" w:rsidRPr="00BE6C52" w:rsidRDefault="00E33988" w:rsidP="00E33988">
      <w:pPr>
        <w:rPr>
          <w:sz w:val="20"/>
          <w:szCs w:val="20"/>
        </w:rPr>
      </w:pPr>
    </w:p>
    <w:p w14:paraId="041AC282" w14:textId="77777777" w:rsidR="00E33988" w:rsidRPr="00BE6C52" w:rsidRDefault="00E33988" w:rsidP="00E33988">
      <w:pPr>
        <w:ind w:hanging="426"/>
      </w:pPr>
      <w:r>
        <w:rPr>
          <w:b/>
          <w:caps/>
        </w:rPr>
        <w:t>OBJECTIF DU PROJET</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E33988" w:rsidRPr="00BE6C52" w14:paraId="7298ADB3" w14:textId="77777777" w:rsidTr="00085461">
        <w:trPr>
          <w:jc w:val="center"/>
        </w:trPr>
        <w:tc>
          <w:tcPr>
            <w:tcW w:w="10165" w:type="dxa"/>
          </w:tcPr>
          <w:p w14:paraId="11A49945" w14:textId="103040A0" w:rsidR="00E33988" w:rsidRPr="00BE6C52" w:rsidRDefault="00E33988" w:rsidP="00A32454">
            <w:pPr>
              <w:rPr>
                <w:sz w:val="20"/>
                <w:szCs w:val="20"/>
                <w:highlight w:val="cyan"/>
              </w:rPr>
            </w:pPr>
            <w:r>
              <w:rPr>
                <w:sz w:val="20"/>
                <w:szCs w:val="20"/>
              </w:rPr>
              <w:t>Le projet vise à soutenir la transition vers des technologies de climatisation résidentielle écoénergétiques, tout en réduisant progressivement l'utilisation des HFC dans les processus de fabrication, et à renforcer les capacités techniques et industrielles dans le domaine des technologies respectueuses de l'environnement</w:t>
            </w:r>
          </w:p>
        </w:tc>
      </w:tr>
    </w:tbl>
    <w:p w14:paraId="664CB0B9" w14:textId="77777777" w:rsidR="00E33988" w:rsidRPr="00BE6C52" w:rsidRDefault="00E33988" w:rsidP="00E33988">
      <w:pPr>
        <w:rPr>
          <w:sz w:val="20"/>
          <w:szCs w:val="20"/>
        </w:rPr>
      </w:pPr>
    </w:p>
    <w:tbl>
      <w:tblPr>
        <w:tblStyle w:val="TableGrid"/>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5"/>
        <w:gridCol w:w="5385"/>
      </w:tblGrid>
      <w:tr w:rsidR="00E33988" w:rsidRPr="004D31E5" w14:paraId="2904E6D0" w14:textId="77777777" w:rsidTr="002475B4">
        <w:trPr>
          <w:jc w:val="center"/>
        </w:trPr>
        <w:tc>
          <w:tcPr>
            <w:tcW w:w="4765" w:type="dxa"/>
          </w:tcPr>
          <w:p w14:paraId="27249D6C" w14:textId="77777777" w:rsidR="00E33988" w:rsidRPr="00B468E3" w:rsidRDefault="00E33988" w:rsidP="00A32454">
            <w:pPr>
              <w:rPr>
                <w:sz w:val="20"/>
                <w:szCs w:val="20"/>
              </w:rPr>
            </w:pPr>
            <w:r>
              <w:rPr>
                <w:b/>
                <w:caps/>
                <w:sz w:val="20"/>
                <w:szCs w:val="20"/>
              </w:rPr>
              <w:t>Organisme national de coordination</w:t>
            </w:r>
          </w:p>
        </w:tc>
        <w:tc>
          <w:tcPr>
            <w:tcW w:w="5385" w:type="dxa"/>
          </w:tcPr>
          <w:p w14:paraId="42B80782" w14:textId="5256A001" w:rsidR="00E33988" w:rsidRPr="00B468E3" w:rsidRDefault="00256CC9" w:rsidP="00A32454">
            <w:pPr>
              <w:jc w:val="right"/>
              <w:rPr>
                <w:sz w:val="20"/>
                <w:szCs w:val="20"/>
              </w:rPr>
            </w:pPr>
            <w:r>
              <w:rPr>
                <w:sz w:val="20"/>
                <w:szCs w:val="20"/>
              </w:rPr>
              <w:t>Agence nationale de protection de l'environnement (ANPE)</w:t>
            </w:r>
          </w:p>
        </w:tc>
      </w:tr>
    </w:tbl>
    <w:p w14:paraId="3C177235" w14:textId="77777777" w:rsidR="00E33988" w:rsidRPr="00BE6C52" w:rsidRDefault="00E33988" w:rsidP="00E33988">
      <w:pPr>
        <w:rPr>
          <w:caps/>
          <w:sz w:val="20"/>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E33988" w:rsidRPr="00BE6C52" w14:paraId="5D7B47CE" w14:textId="77777777" w:rsidTr="002475B4">
        <w:trPr>
          <w:trHeight w:val="77"/>
        </w:trPr>
        <w:tc>
          <w:tcPr>
            <w:tcW w:w="4644" w:type="dxa"/>
          </w:tcPr>
          <w:p w14:paraId="6A854161" w14:textId="77777777" w:rsidR="00E33988" w:rsidRPr="00BE6C52" w:rsidRDefault="00E33988" w:rsidP="00A32454">
            <w:pPr>
              <w:jc w:val="left"/>
              <w:rPr>
                <w:b/>
                <w:sz w:val="20"/>
              </w:rPr>
            </w:pPr>
            <w:r>
              <w:rPr>
                <w:b/>
                <w:sz w:val="20"/>
              </w:rPr>
              <w:t>DONNÉES DE L'ARTICLE 7 LES PLUS RÉCENTES (Annexe F)</w:t>
            </w:r>
          </w:p>
        </w:tc>
        <w:tc>
          <w:tcPr>
            <w:tcW w:w="1560" w:type="dxa"/>
          </w:tcPr>
          <w:p w14:paraId="152A162F" w14:textId="3639561B" w:rsidR="00E33988" w:rsidRPr="00BE6C52" w:rsidRDefault="00E33988" w:rsidP="00E33988">
            <w:pPr>
              <w:jc w:val="left"/>
              <w:rPr>
                <w:sz w:val="20"/>
              </w:rPr>
            </w:pPr>
            <w:r>
              <w:rPr>
                <w:b/>
                <w:bCs/>
                <w:sz w:val="20"/>
              </w:rPr>
              <w:t>Année :</w:t>
            </w:r>
            <w:r>
              <w:rPr>
                <w:sz w:val="20"/>
              </w:rPr>
              <w:t xml:space="preserve"> </w:t>
            </w:r>
            <w:r>
              <w:rPr>
                <w:color w:val="000000" w:themeColor="text1"/>
                <w:sz w:val="20"/>
              </w:rPr>
              <w:t>2024</w:t>
            </w:r>
          </w:p>
        </w:tc>
        <w:tc>
          <w:tcPr>
            <w:tcW w:w="1417" w:type="dxa"/>
          </w:tcPr>
          <w:p w14:paraId="0AA1CACA" w14:textId="23448793" w:rsidR="00E33988" w:rsidRPr="000B782A" w:rsidRDefault="00E33988" w:rsidP="00A32454">
            <w:pPr>
              <w:ind w:left="-109"/>
              <w:jc w:val="right"/>
              <w:rPr>
                <w:sz w:val="20"/>
                <w:highlight w:val="yellow"/>
              </w:rPr>
            </w:pPr>
            <w:r>
              <w:rPr>
                <w:sz w:val="20"/>
                <w:szCs w:val="20"/>
              </w:rPr>
              <w:t>528,46</w:t>
            </w:r>
            <w:r>
              <w:t xml:space="preserve"> </w:t>
            </w:r>
            <w:r>
              <w:rPr>
                <w:sz w:val="20"/>
              </w:rPr>
              <w:t>mt</w:t>
            </w:r>
          </w:p>
        </w:tc>
        <w:tc>
          <w:tcPr>
            <w:tcW w:w="2586" w:type="dxa"/>
          </w:tcPr>
          <w:p w14:paraId="7BED6652" w14:textId="4D85BD8F" w:rsidR="00E33988" w:rsidRPr="000B782A" w:rsidRDefault="00E33988" w:rsidP="00A32454">
            <w:pPr>
              <w:ind w:left="-110"/>
              <w:jc w:val="right"/>
              <w:rPr>
                <w:sz w:val="20"/>
                <w:szCs w:val="20"/>
                <w:highlight w:val="yellow"/>
              </w:rPr>
            </w:pPr>
            <w:r>
              <w:rPr>
                <w:sz w:val="20"/>
                <w:szCs w:val="20"/>
              </w:rPr>
              <w:t>1 166 379</w:t>
            </w:r>
            <w:r>
              <w:t xml:space="preserve"> t éq. CO</w:t>
            </w:r>
            <w:r>
              <w:rPr>
                <w:vertAlign w:val="subscript"/>
              </w:rPr>
              <w:t>2</w:t>
            </w:r>
          </w:p>
        </w:tc>
      </w:tr>
    </w:tbl>
    <w:p w14:paraId="5D7E98F4" w14:textId="77777777" w:rsidR="00E33988" w:rsidRPr="00BE6C52" w:rsidRDefault="00E33988" w:rsidP="00E33988">
      <w:pPr>
        <w:jc w:val="center"/>
        <w:rPr>
          <w:sz w:val="10"/>
          <w:szCs w:val="10"/>
        </w:rPr>
      </w:pPr>
    </w:p>
    <w:p w14:paraId="5CBEB0CA" w14:textId="77777777" w:rsidR="00E33988" w:rsidRPr="00BE6C52" w:rsidRDefault="00E33988" w:rsidP="00E33988">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992"/>
        <w:gridCol w:w="2565"/>
      </w:tblGrid>
      <w:tr w:rsidR="00E33988" w:rsidRPr="00BE6C52" w14:paraId="3A2756BB" w14:textId="77777777" w:rsidTr="004E7A97">
        <w:trPr>
          <w:trHeight w:val="324"/>
          <w:jc w:val="center"/>
        </w:trPr>
        <w:tc>
          <w:tcPr>
            <w:tcW w:w="6658" w:type="dxa"/>
            <w:tcBorders>
              <w:top w:val="single" w:sz="4" w:space="0" w:color="auto"/>
              <w:left w:val="single" w:sz="4" w:space="0" w:color="auto"/>
              <w:right w:val="single" w:sz="4" w:space="0" w:color="auto"/>
            </w:tcBorders>
          </w:tcPr>
          <w:p w14:paraId="1A9121A8" w14:textId="27B158D4" w:rsidR="00E33988" w:rsidRPr="00BE6C52" w:rsidRDefault="00E33988" w:rsidP="00A324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Caractéristiques</w:t>
            </w:r>
          </w:p>
        </w:tc>
        <w:tc>
          <w:tcPr>
            <w:tcW w:w="3557" w:type="dxa"/>
            <w:gridSpan w:val="2"/>
            <w:tcBorders>
              <w:top w:val="single" w:sz="4" w:space="0" w:color="auto"/>
              <w:left w:val="single" w:sz="4" w:space="0" w:color="auto"/>
              <w:right w:val="single" w:sz="4" w:space="0" w:color="auto"/>
            </w:tcBorders>
          </w:tcPr>
          <w:p w14:paraId="4CC4EF90" w14:textId="2F25CF4A" w:rsidR="00E33988" w:rsidRPr="00B468E3" w:rsidRDefault="00E33988" w:rsidP="00A324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rPr>
            </w:pPr>
            <w:r>
              <w:rPr>
                <w:b/>
                <w:bCs/>
                <w:sz w:val="20"/>
              </w:rPr>
              <w:t>Activités d'investissement</w:t>
            </w:r>
          </w:p>
        </w:tc>
      </w:tr>
      <w:tr w:rsidR="00E33988" w:rsidRPr="00BE6C52" w14:paraId="2333418A" w14:textId="77777777" w:rsidTr="004E7A97">
        <w:trPr>
          <w:trHeight w:val="211"/>
          <w:jc w:val="center"/>
        </w:trPr>
        <w:tc>
          <w:tcPr>
            <w:tcW w:w="6658" w:type="dxa"/>
            <w:vMerge w:val="restart"/>
            <w:tcBorders>
              <w:top w:val="single" w:sz="4" w:space="0" w:color="auto"/>
              <w:left w:val="single" w:sz="4" w:space="0" w:color="auto"/>
              <w:right w:val="single" w:sz="4" w:space="0" w:color="auto"/>
            </w:tcBorders>
            <w:vAlign w:val="center"/>
          </w:tcPr>
          <w:p w14:paraId="3AE97ACF" w14:textId="70FE17D3" w:rsidR="00E33988" w:rsidRPr="00BE6C52" w:rsidRDefault="00FC5410"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Pr>
                <w:bCs/>
                <w:sz w:val="20"/>
              </w:rPr>
              <w:t>HFC utilisés dans le secteur de la fabrication de climatiseurs résidentiels, selon les données du programme de pays pour 2024 :</w:t>
            </w:r>
          </w:p>
        </w:tc>
        <w:tc>
          <w:tcPr>
            <w:tcW w:w="992" w:type="dxa"/>
            <w:vMerge w:val="restart"/>
            <w:tcBorders>
              <w:top w:val="single" w:sz="4" w:space="0" w:color="auto"/>
              <w:left w:val="single" w:sz="4" w:space="0" w:color="auto"/>
              <w:right w:val="single" w:sz="4" w:space="0" w:color="auto"/>
            </w:tcBorders>
          </w:tcPr>
          <w:p w14:paraId="5DB0A98B" w14:textId="61163CCE" w:rsidR="00E33988" w:rsidRPr="004C4B31" w:rsidRDefault="00E33988" w:rsidP="004E7A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R-401A</w:t>
            </w:r>
          </w:p>
        </w:tc>
        <w:tc>
          <w:tcPr>
            <w:tcW w:w="2565" w:type="dxa"/>
            <w:tcBorders>
              <w:top w:val="single" w:sz="4" w:space="0" w:color="auto"/>
              <w:left w:val="single" w:sz="4" w:space="0" w:color="auto"/>
              <w:right w:val="single" w:sz="4" w:space="0" w:color="auto"/>
            </w:tcBorders>
          </w:tcPr>
          <w:p w14:paraId="2A192F2B" w14:textId="462D6B05" w:rsidR="00E33988" w:rsidRPr="004C4B31" w:rsidRDefault="00E33988" w:rsidP="00E33988">
            <w:pPr>
              <w:jc w:val="right"/>
              <w:rPr>
                <w:sz w:val="20"/>
              </w:rPr>
            </w:pPr>
            <w:r>
              <w:rPr>
                <w:sz w:val="20"/>
              </w:rPr>
              <w:t>150,98 mt</w:t>
            </w:r>
          </w:p>
        </w:tc>
      </w:tr>
      <w:tr w:rsidR="008F2187" w:rsidRPr="00BE6C52" w14:paraId="1CEAB8EF" w14:textId="77777777" w:rsidTr="004E7A97">
        <w:trPr>
          <w:trHeight w:val="254"/>
          <w:jc w:val="center"/>
        </w:trPr>
        <w:tc>
          <w:tcPr>
            <w:tcW w:w="6658" w:type="dxa"/>
            <w:vMerge/>
            <w:tcBorders>
              <w:left w:val="single" w:sz="4" w:space="0" w:color="auto"/>
              <w:right w:val="single" w:sz="4" w:space="0" w:color="auto"/>
            </w:tcBorders>
            <w:vAlign w:val="center"/>
          </w:tcPr>
          <w:p w14:paraId="6B02EC00" w14:textId="77777777" w:rsidR="00E33988"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992" w:type="dxa"/>
            <w:vMerge/>
            <w:tcBorders>
              <w:left w:val="single" w:sz="4" w:space="0" w:color="auto"/>
              <w:right w:val="single" w:sz="4" w:space="0" w:color="auto"/>
            </w:tcBorders>
          </w:tcPr>
          <w:p w14:paraId="1A1AE10F" w14:textId="77777777" w:rsidR="00E33988"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p>
        </w:tc>
        <w:tc>
          <w:tcPr>
            <w:tcW w:w="2565" w:type="dxa"/>
            <w:tcBorders>
              <w:top w:val="single" w:sz="4" w:space="0" w:color="auto"/>
              <w:left w:val="single" w:sz="4" w:space="0" w:color="auto"/>
              <w:right w:val="single" w:sz="4" w:space="0" w:color="auto"/>
            </w:tcBorders>
          </w:tcPr>
          <w:p w14:paraId="6A24B2C2" w14:textId="3D6CC22B" w:rsidR="00E33988"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szCs w:val="20"/>
              </w:rPr>
              <w:t>315 169 t éq. CO</w:t>
            </w:r>
            <w:r>
              <w:rPr>
                <w:sz w:val="20"/>
                <w:szCs w:val="20"/>
                <w:vertAlign w:val="subscript"/>
              </w:rPr>
              <w:t>2</w:t>
            </w:r>
          </w:p>
        </w:tc>
      </w:tr>
      <w:tr w:rsidR="006415C3" w:rsidRPr="00BE6C52" w14:paraId="136AD129" w14:textId="77777777" w:rsidTr="00A32454">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238138FD"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Durée du projet (en mois) :</w:t>
            </w:r>
          </w:p>
        </w:tc>
        <w:tc>
          <w:tcPr>
            <w:tcW w:w="3557" w:type="dxa"/>
            <w:gridSpan w:val="2"/>
            <w:tcBorders>
              <w:top w:val="single" w:sz="4" w:space="0" w:color="auto"/>
              <w:left w:val="single" w:sz="4" w:space="0" w:color="auto"/>
              <w:bottom w:val="single" w:sz="4" w:space="0" w:color="auto"/>
              <w:right w:val="single" w:sz="4" w:space="0" w:color="auto"/>
            </w:tcBorders>
          </w:tcPr>
          <w:p w14:paraId="2F741588" w14:textId="13AB5ED2" w:rsidR="006415C3" w:rsidRPr="00BE04C1" w:rsidRDefault="006415C3" w:rsidP="006415C3">
            <w:pPr>
              <w:jc w:val="right"/>
              <w:rPr>
                <w:sz w:val="20"/>
              </w:rPr>
            </w:pPr>
            <w:r>
              <w:rPr>
                <w:sz w:val="20"/>
                <w:szCs w:val="20"/>
              </w:rPr>
              <w:t>36 mois</w:t>
            </w:r>
          </w:p>
        </w:tc>
      </w:tr>
      <w:tr w:rsidR="006415C3" w:rsidRPr="00BE6C52" w14:paraId="472362D2" w14:textId="77777777" w:rsidTr="00A32454">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03E6C1B4"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Montant initial demandé (en $US) :</w:t>
            </w:r>
          </w:p>
        </w:tc>
        <w:tc>
          <w:tcPr>
            <w:tcW w:w="3557" w:type="dxa"/>
            <w:gridSpan w:val="2"/>
            <w:tcBorders>
              <w:top w:val="single" w:sz="4" w:space="0" w:color="auto"/>
              <w:left w:val="single" w:sz="4" w:space="0" w:color="auto"/>
              <w:bottom w:val="single" w:sz="4" w:space="0" w:color="auto"/>
              <w:right w:val="single" w:sz="4" w:space="0" w:color="auto"/>
            </w:tcBorders>
          </w:tcPr>
          <w:p w14:paraId="46A1C585" w14:textId="306148C6" w:rsidR="006415C3" w:rsidRPr="00BE04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1 915 224</w:t>
            </w:r>
          </w:p>
        </w:tc>
      </w:tr>
      <w:tr w:rsidR="006415C3" w:rsidRPr="00BE6C52" w14:paraId="5CF1A389" w14:textId="77777777" w:rsidTr="00A32454">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3392F485"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 final du projet (en $US)</w:t>
            </w:r>
          </w:p>
        </w:tc>
        <w:tc>
          <w:tcPr>
            <w:tcW w:w="3557" w:type="dxa"/>
            <w:gridSpan w:val="2"/>
            <w:tcBorders>
              <w:top w:val="single" w:sz="4" w:space="0" w:color="auto"/>
              <w:left w:val="single" w:sz="4" w:space="0" w:color="auto"/>
              <w:bottom w:val="single" w:sz="4" w:space="0" w:color="auto"/>
              <w:right w:val="single" w:sz="4" w:space="0" w:color="auto"/>
            </w:tcBorders>
          </w:tcPr>
          <w:p w14:paraId="27BB712D" w14:textId="1F31AD65" w:rsidR="006415C3" w:rsidRPr="00BE04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1 347 360</w:t>
            </w:r>
          </w:p>
        </w:tc>
      </w:tr>
      <w:tr w:rsidR="006415C3" w:rsidRPr="00BE6C52" w14:paraId="0DF41115" w14:textId="77777777" w:rsidTr="00A32454">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3D1BB6F4"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Coûts d'appui de l'agence d'exécution (en $US) :</w:t>
            </w:r>
          </w:p>
        </w:tc>
        <w:tc>
          <w:tcPr>
            <w:tcW w:w="3557" w:type="dxa"/>
            <w:gridSpan w:val="2"/>
            <w:tcBorders>
              <w:top w:val="single" w:sz="4" w:space="0" w:color="auto"/>
              <w:left w:val="single" w:sz="4" w:space="0" w:color="auto"/>
              <w:bottom w:val="single" w:sz="4" w:space="0" w:color="auto"/>
              <w:right w:val="single" w:sz="4" w:space="0" w:color="auto"/>
            </w:tcBorders>
          </w:tcPr>
          <w:p w14:paraId="6B4695F7" w14:textId="4FD5D0E2" w:rsidR="006415C3" w:rsidRPr="00BE04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94 315</w:t>
            </w:r>
          </w:p>
        </w:tc>
      </w:tr>
      <w:tr w:rsidR="006415C3" w:rsidRPr="00BE6C52" w14:paraId="70577A50" w14:textId="77777777" w:rsidTr="00A32454">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673FF8EA"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 total du projet pour le Fonds multilatéral (en $US) :</w:t>
            </w:r>
          </w:p>
        </w:tc>
        <w:tc>
          <w:tcPr>
            <w:tcW w:w="3557" w:type="dxa"/>
            <w:gridSpan w:val="2"/>
            <w:tcBorders>
              <w:top w:val="single" w:sz="4" w:space="0" w:color="auto"/>
              <w:left w:val="single" w:sz="4" w:space="0" w:color="auto"/>
              <w:bottom w:val="single" w:sz="4" w:space="0" w:color="auto"/>
              <w:right w:val="single" w:sz="4" w:space="0" w:color="auto"/>
            </w:tcBorders>
          </w:tcPr>
          <w:p w14:paraId="1C3D223F" w14:textId="58BB5C18" w:rsidR="006415C3" w:rsidRPr="00BE04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1 441 675</w:t>
            </w:r>
          </w:p>
        </w:tc>
      </w:tr>
      <w:tr w:rsidR="006415C3" w:rsidRPr="000B782A" w14:paraId="33297078" w14:textId="77777777" w:rsidTr="00A32454">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66FC4E70" w14:textId="77777777" w:rsidR="006415C3" w:rsidRPr="0038343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Économies d'énergie ($US/kWh/an) :</w:t>
            </w:r>
          </w:p>
        </w:tc>
        <w:tc>
          <w:tcPr>
            <w:tcW w:w="3557" w:type="dxa"/>
            <w:gridSpan w:val="2"/>
            <w:tcBorders>
              <w:top w:val="single" w:sz="4" w:space="0" w:color="auto"/>
              <w:left w:val="single" w:sz="4" w:space="0" w:color="auto"/>
              <w:bottom w:val="single" w:sz="4" w:space="0" w:color="auto"/>
              <w:right w:val="single" w:sz="4" w:space="0" w:color="auto"/>
            </w:tcBorders>
          </w:tcPr>
          <w:p w14:paraId="785A16CB" w14:textId="26C8F770" w:rsidR="006415C3" w:rsidRPr="0038343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7,50</w:t>
            </w:r>
          </w:p>
        </w:tc>
      </w:tr>
      <w:tr w:rsidR="006415C3" w:rsidRPr="00BE6C52" w14:paraId="63873AC4" w14:textId="77777777" w:rsidTr="00A32454">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57CC75D9"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État du financement de contrepartie (O/N) :</w:t>
            </w:r>
          </w:p>
        </w:tc>
        <w:tc>
          <w:tcPr>
            <w:tcW w:w="3557" w:type="dxa"/>
            <w:gridSpan w:val="2"/>
            <w:tcBorders>
              <w:top w:val="single" w:sz="4" w:space="0" w:color="auto"/>
              <w:left w:val="single" w:sz="4" w:space="0" w:color="auto"/>
              <w:bottom w:val="single" w:sz="4" w:space="0" w:color="auto"/>
              <w:right w:val="single" w:sz="4" w:space="0" w:color="auto"/>
            </w:tcBorders>
          </w:tcPr>
          <w:p w14:paraId="59D1DFE5" w14:textId="70DD31D9" w:rsidR="006415C3" w:rsidRPr="00B312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szCs w:val="20"/>
              </w:rPr>
              <w:t>O</w:t>
            </w:r>
          </w:p>
        </w:tc>
      </w:tr>
      <w:tr w:rsidR="006415C3" w:rsidRPr="00BE6C52" w14:paraId="650CA43A" w14:textId="77777777" w:rsidTr="00A32454">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55E66497"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Étapes clés du suivi du projet incluses (O/N) :</w:t>
            </w:r>
          </w:p>
        </w:tc>
        <w:tc>
          <w:tcPr>
            <w:tcW w:w="3557" w:type="dxa"/>
            <w:gridSpan w:val="2"/>
            <w:tcBorders>
              <w:top w:val="single" w:sz="4" w:space="0" w:color="auto"/>
              <w:left w:val="single" w:sz="4" w:space="0" w:color="auto"/>
              <w:bottom w:val="single" w:sz="4" w:space="0" w:color="auto"/>
              <w:right w:val="single" w:sz="4" w:space="0" w:color="auto"/>
            </w:tcBorders>
          </w:tcPr>
          <w:p w14:paraId="02ADEA92" w14:textId="35D4D8F4" w:rsidR="006415C3" w:rsidRPr="00B312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N</w:t>
            </w:r>
          </w:p>
        </w:tc>
      </w:tr>
      <w:tr w:rsidR="006415C3" w:rsidRPr="00BE6C52" w14:paraId="42CF1995" w14:textId="77777777" w:rsidTr="00A32454">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31051FF6"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Normes minimales de performance énergétique (MEPS) disponibles pour le secteur concerné (O/N) :</w:t>
            </w:r>
          </w:p>
        </w:tc>
        <w:tc>
          <w:tcPr>
            <w:tcW w:w="3557" w:type="dxa"/>
            <w:gridSpan w:val="2"/>
            <w:tcBorders>
              <w:top w:val="single" w:sz="4" w:space="0" w:color="auto"/>
              <w:left w:val="single" w:sz="4" w:space="0" w:color="auto"/>
              <w:bottom w:val="single" w:sz="4" w:space="0" w:color="auto"/>
              <w:right w:val="single" w:sz="4" w:space="0" w:color="auto"/>
            </w:tcBorders>
          </w:tcPr>
          <w:p w14:paraId="2CA7F783" w14:textId="5D7C075C" w:rsidR="006415C3" w:rsidRPr="00B312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szCs w:val="20"/>
              </w:rPr>
              <w:t>O</w:t>
            </w:r>
          </w:p>
        </w:tc>
      </w:tr>
    </w:tbl>
    <w:p w14:paraId="65FC0EFA" w14:textId="47BB9309" w:rsidR="006415C3" w:rsidRPr="00641D7D" w:rsidRDefault="006415C3" w:rsidP="002475B4">
      <w:pPr>
        <w:ind w:left="-270" w:right="-421" w:hanging="180"/>
        <w:jc w:val="left"/>
        <w:rPr>
          <w:sz w:val="18"/>
          <w:szCs w:val="18"/>
        </w:rPr>
      </w:pPr>
      <w:r>
        <w:rPr>
          <w:sz w:val="18"/>
          <w:szCs w:val="18"/>
        </w:rPr>
        <w:t>* Pour la première année suivant l'achèvement du projet. Des avantages supplémentaires seront accumulés chaque année suivante selon le fonctionnement des équipements fabriqués au cours de cette année et des années suivantes</w:t>
      </w:r>
    </w:p>
    <w:p w14:paraId="2FE23F56" w14:textId="77777777" w:rsidR="00E33988" w:rsidRDefault="00E33988" w:rsidP="00E33988">
      <w:pPr>
        <w:rPr>
          <w:sz w:val="18"/>
          <w:szCs w:val="18"/>
        </w:rPr>
      </w:pPr>
    </w:p>
    <w:p w14:paraId="15A49DB0" w14:textId="77777777" w:rsidR="00E33988" w:rsidRPr="00BE6C52" w:rsidRDefault="00E33988" w:rsidP="00E33988"/>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E33988" w:rsidRPr="00BE6C52" w14:paraId="6339BD85" w14:textId="77777777" w:rsidTr="00B468E3">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67421B70" w14:textId="77777777" w:rsidR="00E33988" w:rsidRPr="00BE6C52" w:rsidRDefault="00E33988" w:rsidP="00A324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RECOMMANDATION DU SECRÉTARIAT</w:t>
            </w:r>
          </w:p>
        </w:tc>
        <w:tc>
          <w:tcPr>
            <w:tcW w:w="3507" w:type="dxa"/>
            <w:tcBorders>
              <w:top w:val="single" w:sz="4" w:space="0" w:color="auto"/>
              <w:left w:val="single" w:sz="4" w:space="0" w:color="auto"/>
              <w:bottom w:val="single" w:sz="4" w:space="0" w:color="auto"/>
              <w:right w:val="single" w:sz="4" w:space="0" w:color="auto"/>
            </w:tcBorders>
          </w:tcPr>
          <w:p w14:paraId="6E2381DC" w14:textId="77777777" w:rsidR="00E33988" w:rsidRPr="00BE6C52" w:rsidRDefault="00E33988" w:rsidP="00A324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Examen individuel</w:t>
            </w:r>
          </w:p>
        </w:tc>
      </w:tr>
    </w:tbl>
    <w:p w14:paraId="38B871F0" w14:textId="4AA60434" w:rsidR="00FC5410" w:rsidRDefault="00FC5410" w:rsidP="0012000E">
      <w:pPr>
        <w:spacing w:after="120"/>
        <w:jc w:val="center"/>
        <w:rPr>
          <w:b/>
        </w:rPr>
      </w:pPr>
      <w:r>
        <w:rPr>
          <w:b/>
        </w:rPr>
        <w:br w:type="page"/>
      </w:r>
    </w:p>
    <w:p w14:paraId="5D5D240C" w14:textId="77777777" w:rsidR="006F0634" w:rsidRPr="0034371D" w:rsidRDefault="006F0634" w:rsidP="00903E88">
      <w:pPr>
        <w:keepNext/>
        <w:spacing w:before="240" w:after="240"/>
        <w:jc w:val="center"/>
        <w:rPr>
          <w:b/>
        </w:rPr>
      </w:pPr>
      <w:r>
        <w:rPr>
          <w:b/>
        </w:rPr>
        <w:lastRenderedPageBreak/>
        <w:t>DESCRIPTION DU PROJET</w:t>
      </w:r>
    </w:p>
    <w:p w14:paraId="4098EFCC" w14:textId="77777777" w:rsidR="0012000E" w:rsidRPr="00BE6C52" w:rsidRDefault="0012000E" w:rsidP="0012000E">
      <w:pPr>
        <w:spacing w:after="240"/>
        <w:rPr>
          <w:b/>
        </w:rPr>
      </w:pPr>
      <w:r>
        <w:rPr>
          <w:b/>
        </w:rPr>
        <w:t>Contexte</w:t>
      </w:r>
    </w:p>
    <w:p w14:paraId="4634495D" w14:textId="5DC87F76" w:rsidR="0012000E" w:rsidRDefault="0012000E" w:rsidP="00A43AFA">
      <w:pPr>
        <w:pStyle w:val="Heading1"/>
      </w:pPr>
      <w:r>
        <w:t>Au nom du Gouvernement tunisien, l'ONUDI a présenté, conformément aux décisions 94/60 et 94/57 b),</w:t>
      </w:r>
      <w:r>
        <w:rPr>
          <w:rStyle w:val="FootnoteReference"/>
        </w:rPr>
        <w:footnoteReference w:id="10"/>
      </w:r>
      <w:r>
        <w:t xml:space="preserve"> une demande de projet pilote visant à améliorer le rendement énergétique de climatiseurs split, dans le cadre du projet de conversion vers le HFC-32 dans les entreprises de fabrication et d'un projet d'appui au laboratoire calorimétrique, conformément à la décision 91/65, pour un montant de 1 915 224 $US, auxquels s'ajoutent les coûts d'appui d'agence d'un montant de 134 066 $US, telle que présentée initialement</w:t>
      </w:r>
      <w:r>
        <w:rPr>
          <w:vertAlign w:val="superscript"/>
        </w:rPr>
        <w:footnoteReference w:id="11"/>
      </w:r>
      <w:r>
        <w:t>.</w:t>
      </w:r>
    </w:p>
    <w:p w14:paraId="5EEF4FF9" w14:textId="77777777" w:rsidR="0012000E" w:rsidRPr="00BE6C52" w:rsidRDefault="0012000E" w:rsidP="0012000E">
      <w:pPr>
        <w:pStyle w:val="Heading1"/>
        <w:numPr>
          <w:ilvl w:val="0"/>
          <w:numId w:val="0"/>
        </w:numPr>
        <w:spacing w:before="240"/>
        <w:rPr>
          <w:u w:val="single"/>
        </w:rPr>
      </w:pPr>
      <w:r>
        <w:rPr>
          <w:u w:val="single"/>
        </w:rPr>
        <w:t>État d'avancement de la mise en œuvre des activités liées au rendement énergétique financées par le Fonds multilatéral</w:t>
      </w:r>
    </w:p>
    <w:p w14:paraId="1DDBDF79" w14:textId="6D0AA961" w:rsidR="0012000E" w:rsidRDefault="0012000E" w:rsidP="0012000E">
      <w:pPr>
        <w:pStyle w:val="Heading1"/>
      </w:pPr>
      <w:r>
        <w:t>La préparation du projet pour la phase I du plan de mise en œuvre de l'Amendement de Kigali (</w:t>
      </w:r>
      <w:r w:rsidR="00ED6D22">
        <w:t>PAK</w:t>
      </w:r>
      <w:r>
        <w:t xml:space="preserve">) pour la Tunisie, approuvée à la 88e réunion, comprenait l'élaboration d'un rapport détaillé et d'une stratégie de rendement énergétique pour le secteur de la réfrigération et de la climatisation. Y étaient inclus les résultats d'une enquête sur le terrain menée auprès des utilisateurs finaux de systèmes de réfrigération domestiques, commerciaux, industriels et mobiles, d'équipements et de systèmes de climatisation, d'entreprises de services d'installation et d'entretien, de fabricants de ce type d'équipements, ainsi que de fabricants de mousses rigides de polyuréthane contenant des substances réglementées. </w:t>
      </w:r>
    </w:p>
    <w:p w14:paraId="2F846860" w14:textId="27BDE587" w:rsidR="0012000E" w:rsidRPr="000F0A60" w:rsidRDefault="0012000E" w:rsidP="0012000E">
      <w:pPr>
        <w:pStyle w:val="Heading1"/>
        <w:rPr>
          <w:u w:val="single"/>
        </w:rPr>
      </w:pPr>
      <w:r>
        <w:t>Conformément à la décision 91/65, un projet visant à maintenir et/ou à améliorer le rendement énergétique des technologies et équipements de remplacement dans le cadre de la réduction des HFC a également été approuvé à la 94</w:t>
      </w:r>
      <w:r>
        <w:rPr>
          <w:vertAlign w:val="superscript"/>
        </w:rPr>
        <w:t>e</w:t>
      </w:r>
      <w:r>
        <w:t> réunion. Les activités du projet comprenaient l'élaboration de normes minimales de performance énergétique (MEPS) pour les petits équipements de réfrigération et de climatisation et les grandes installations ; la mise en place d'un étiquetage énergétique pour les appareils de réfrigération et climatisation ; la mise à jour de la formation et de la certification des techniciens en réfrigération et climatisation afin d'y inclure le rendement énergétique ; la formation des concepteurs et des installateurs de grands systèmes de réfrigération et climatisation ; la mise en place d'activités de sensibilisation ; la mise en œuvre d'un projet de démonstration visant à remplacer les climatiseurs split R-410A par des appareils plus efficaces sur le plan énergétique, fonctionnant au HFC-32 et au R-290, dans un bâtiment du secteur public ; et le soutien à un laboratoire d'essais calorimétriques pour les appareils de réfrigération et de climatisation</w:t>
      </w:r>
      <w:r>
        <w:rPr>
          <w:rStyle w:val="FootnoteReference"/>
        </w:rPr>
        <w:footnoteReference w:id="12"/>
      </w:r>
      <w:r>
        <w:t xml:space="preserve">. Ce dernier était axé sur la mise en œuvre de mesures de sécurité liées à la gestion et à la manipulation des équipements contenant des frigorigènes inflammables, notamment une évaluation technique, la fourniture de détecteurs d'incendie, d'extincteurs, d'interrupteurs anti-étincelles et d'autres équipements et mesures connexes, ainsi que la formation du personnel. Depuis son approbation, un expert local a été engagé pour mettre à jour le programme de formation et de certification et diriger le projet de démonstration, l'Unité nationale pour l'ozone (UNO) a entamé des consultations avec les principales parties prenantes sur la mise à jour des systèmes MEPS et d'étiquetage et, comme indiqué plus en détail au paragraphe 52 du présent document, l'évaluation technique du laboratoire d'essais calorimétriques a également été entreprise. </w:t>
      </w:r>
    </w:p>
    <w:p w14:paraId="129327EE" w14:textId="77777777" w:rsidR="006C7C6A" w:rsidRPr="00545044" w:rsidRDefault="006C7C6A" w:rsidP="00903E88">
      <w:pPr>
        <w:keepNext/>
        <w:keepLines/>
        <w:spacing w:after="240"/>
        <w:rPr>
          <w:b/>
          <w:bCs/>
        </w:rPr>
      </w:pPr>
      <w:r>
        <w:rPr>
          <w:b/>
          <w:bCs/>
        </w:rPr>
        <w:lastRenderedPageBreak/>
        <w:t>Projet pilote écoénergétique</w:t>
      </w:r>
    </w:p>
    <w:p w14:paraId="0A23E202" w14:textId="1AF79510" w:rsidR="00E562B0" w:rsidRDefault="00E562B0" w:rsidP="00E562B0">
      <w:pPr>
        <w:pStyle w:val="Heading1"/>
      </w:pPr>
      <w:r>
        <w:t xml:space="preserve">La Tunisie a ratifié l'Amendement de Kigali le 27 août 2021, et la phase I du </w:t>
      </w:r>
      <w:r w:rsidR="00ED6D22">
        <w:t>PAK</w:t>
      </w:r>
      <w:r>
        <w:t xml:space="preserve"> a été approuvée à la 94</w:t>
      </w:r>
      <w:r>
        <w:rPr>
          <w:vertAlign w:val="superscript"/>
        </w:rPr>
        <w:t>e</w:t>
      </w:r>
      <w:r>
        <w:t> réunion, qui comprenait un projet visant à convertir huit entreprises</w:t>
      </w:r>
      <w:r>
        <w:rPr>
          <w:rStyle w:val="FootnoteReference"/>
        </w:rPr>
        <w:footnoteReference w:id="13"/>
      </w:r>
      <w:r>
        <w:t xml:space="preserve"> du secteur de la fabrication de systèmes de réfrigération et de climatisation à base de R-410A et de HFC-134a au HFC-32 et au R-600a ; une assistance technique à quatre entreprises fabriquant des équipements de réfrigération et de climatisation commerciaux ; des activités dans le secteur de l'entretien ; et des mesures politiques et réglementaires visant à soutenir la réduction des HFC, notamment un système d'étiquetage qui préciserait le frigorigène (y compris les mélanges de HFC, la quantité de HFC contenue dans l'équipement et d'autres informations pertinentes telles que l'inflammabilité) pour les équipements de réfrigération et de climatisation fabriqués et importés en Tunisie.</w:t>
      </w:r>
    </w:p>
    <w:p w14:paraId="27E7DE14" w14:textId="53D84C3E" w:rsidR="0012000E" w:rsidRPr="00BE6C52" w:rsidRDefault="0012000E" w:rsidP="0012000E">
      <w:pPr>
        <w:spacing w:after="240"/>
        <w:rPr>
          <w:u w:val="single"/>
        </w:rPr>
      </w:pPr>
      <w:r>
        <w:rPr>
          <w:u w:val="single"/>
        </w:rPr>
        <w:t>Cadre politique, réglementaire et institutionnel</w:t>
      </w:r>
    </w:p>
    <w:p w14:paraId="053F7358" w14:textId="77777777" w:rsidR="0012000E" w:rsidRPr="003F5DFF" w:rsidRDefault="0012000E" w:rsidP="0012000E">
      <w:pPr>
        <w:pStyle w:val="Heading1"/>
      </w:pPr>
      <w:r>
        <w:t>En Tunisie, le cadre réglementaire relatif aux normes de rendement énergétique, à l'étiquetage et aux mesures connexes est principalement supervisé par l'Agence nationale pour la maîtrise de l'énergie (ANME) et s'appuie sur des instruments juridiques, institutionnels et techniques. Les réglementations concernant l'étiquetage énergétique et les MEPS ont été introduites en 2004 par la loi n° 2004-72 relative à la gestion de l'énergie et son décret d'application n° 2004-2145 relatif à l'étiquetage des appareils, dispositifs et matériaux ménagers</w:t>
      </w:r>
      <w:r>
        <w:rPr>
          <w:vertAlign w:val="superscript"/>
        </w:rPr>
        <w:footnoteReference w:id="14"/>
      </w:r>
      <w:r>
        <w:t>.</w:t>
      </w:r>
      <w:r>
        <w:rPr>
          <w:vertAlign w:val="superscript"/>
        </w:rPr>
        <w:t xml:space="preserve"> </w:t>
      </w:r>
    </w:p>
    <w:p w14:paraId="6E38B4C8" w14:textId="10FC30EA" w:rsidR="0012000E" w:rsidRDefault="0012000E" w:rsidP="0012000E">
      <w:pPr>
        <w:pStyle w:val="Heading1"/>
      </w:pPr>
      <w:r>
        <w:t xml:space="preserve">Le laboratoire calorimétrique du Centre technique des industries mécaniques et électriques (CETIME) est le seul laboratoire d'essais certifié en Tunisie. Il procède à la certification et au contrôle ponctuel des unités importées et vendues localement. Le laboratoire est équipé pour tester des appareils fonctionnant avec des substances ininflammables. Une étude préliminaire a été menée dans le but de moderniser le laboratoire calorimétrique afin de renforcer les systèmes de détection des gaz inflammables et de renouvellement de l'air. </w:t>
      </w:r>
    </w:p>
    <w:p w14:paraId="107C573E" w14:textId="4ED2E09A" w:rsidR="0012000E" w:rsidRDefault="0012000E" w:rsidP="0012000E">
      <w:pPr>
        <w:pStyle w:val="Heading1"/>
      </w:pPr>
      <w:r>
        <w:t>Les exigences en matière d'étiquetage énergétique et de MEPS pour les climatiseurs individuels mis sur le marché tunisien ont été mises en œuvre le 21 juillet 2009, ces exigences étant exprimées en termes de coefficient de performance frigorifique (EER) de l'appareil. Depuis 2012, seuls les climatiseurs individuels de classe 1 (EER &gt; 3,38), classe 2 (3,38 ≥ EER ≥ 3,2) ou classe 3 (3,2 ≥ EER ≥ 3,0) bénéficient d'une autorisation de mise sur le marché. Les MEPS n'ont pas été mises à jour depuis 2012 ; les travaux entrepris dans le cadre du projet de rendement énergétique approuvé à la 94</w:t>
      </w:r>
      <w:r>
        <w:rPr>
          <w:vertAlign w:val="superscript"/>
        </w:rPr>
        <w:t>e</w:t>
      </w:r>
      <w:r>
        <w:t> réunion permettront de mettre à jour les MEPS</w:t>
      </w:r>
      <w:r>
        <w:rPr>
          <w:rStyle w:val="FootnoteReference"/>
        </w:rPr>
        <w:footnoteReference w:id="15"/>
      </w:r>
      <w:r>
        <w:t>. L'ANME devrait renforcer les MEPS dans les 18 à 24 mois, ce qui permettrait uniquement la commercialisation de climatiseurs de classe 1 ou supérieure</w:t>
      </w:r>
      <w:r>
        <w:rPr>
          <w:rStyle w:val="FootnoteReference"/>
        </w:rPr>
        <w:footnoteReference w:id="16"/>
      </w:r>
      <w:r>
        <w:t xml:space="preserve"> et l'introduction de mesures de performance saisonnière (par exemple, le coefficient de performance frigorifique saisonnier (SEER).</w:t>
      </w:r>
    </w:p>
    <w:p w14:paraId="0D2B9F4C" w14:textId="6614735A" w:rsidR="0012000E" w:rsidRPr="003F5DFF" w:rsidRDefault="0012000E" w:rsidP="0012000E">
      <w:pPr>
        <w:pStyle w:val="Heading1"/>
      </w:pPr>
      <w:r>
        <w:t xml:space="preserve">La conformité aux MEPS est contrôlée via une plateforme électronique intégrée au système de test CETIME, sur laquelle les fournisseurs de climatiseurs doivent soumettre les spécifications techniques des </w:t>
      </w:r>
      <w:r>
        <w:lastRenderedPageBreak/>
        <w:t xml:space="preserve">produits, qui sont ensuite validées par l'ANME. L'ANME effectue des audits et une surveillance périodique du marché en collaboration avec les douanes et les autorités de régulation du marché afin de garantir le respect continu des normes. </w:t>
      </w:r>
    </w:p>
    <w:p w14:paraId="3AEB08F8" w14:textId="77777777" w:rsidR="00A34B62" w:rsidRPr="00C50A84" w:rsidRDefault="00A34B62" w:rsidP="00A34B62">
      <w:pPr>
        <w:pStyle w:val="Heading1"/>
        <w:keepNext/>
        <w:keepLines/>
        <w:widowControl w:val="0"/>
        <w:numPr>
          <w:ilvl w:val="0"/>
          <w:numId w:val="0"/>
        </w:numPr>
        <w:rPr>
          <w:u w:val="single"/>
        </w:rPr>
      </w:pPr>
      <w:r>
        <w:rPr>
          <w:u w:val="single"/>
        </w:rPr>
        <w:t>Rapport sur la consommation d'énergie et de HFC</w:t>
      </w:r>
    </w:p>
    <w:p w14:paraId="65C3DA2C" w14:textId="48C400F0" w:rsidR="00A34B62" w:rsidRDefault="00A34B62" w:rsidP="00A34B62">
      <w:pPr>
        <w:pStyle w:val="Heading1"/>
      </w:pPr>
      <w:r>
        <w:t>Comme indiqué à la 94</w:t>
      </w:r>
      <w:r>
        <w:rPr>
          <w:vertAlign w:val="superscript"/>
        </w:rPr>
        <w:t>e</w:t>
      </w:r>
      <w:r>
        <w:t xml:space="preserve"> réunion, la consommation énergétique des équipements et systèmes de réfrigération et de climatisation en Tunisie s'élevait, en 2022, à 5 431 gigawattheures (GWh), soit environ 28 % de la consommation électrique nationale totale (19 516 GWh). Actuellement, les sous-secteurs de la réfrigération domestique et de la climatisation commerciale sont ceux qui consomment le plus d'électricité. Le tableau 1 ci-dessous présente la consommation de R-410A dans le secteur de la fabrication de climatiseurs, telle que déclarée dans les rapports du programme de pays pour la période 2020-2024. </w:t>
      </w:r>
    </w:p>
    <w:p w14:paraId="39561449" w14:textId="6EF40A4D" w:rsidR="00AE3305" w:rsidRDefault="00A34B62" w:rsidP="00903E88">
      <w:pPr>
        <w:keepNext/>
        <w:keepLines/>
        <w:rPr>
          <w:b/>
          <w:bCs/>
        </w:rPr>
      </w:pPr>
      <w:r>
        <w:rPr>
          <w:b/>
          <w:bCs/>
        </w:rPr>
        <w:t>Tableau 1. Consommation des HFC dans le secteur de la fabrication de climatiseurs (données du programme de pays pour 2020-2024)</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46"/>
        <w:gridCol w:w="1047"/>
        <w:gridCol w:w="1047"/>
        <w:gridCol w:w="1224"/>
        <w:gridCol w:w="1223"/>
        <w:gridCol w:w="1223"/>
        <w:gridCol w:w="1161"/>
        <w:gridCol w:w="1173"/>
      </w:tblGrid>
      <w:tr w:rsidR="006415C3" w:rsidRPr="00A352BA" w14:paraId="016529E1" w14:textId="77777777" w:rsidTr="00903E88">
        <w:trPr>
          <w:trHeight w:val="342"/>
        </w:trPr>
        <w:tc>
          <w:tcPr>
            <w:tcW w:w="1246" w:type="dxa"/>
            <w:hideMark/>
          </w:tcPr>
          <w:p w14:paraId="7CF93670" w14:textId="77777777" w:rsidR="00A34B62" w:rsidRPr="00A352BA" w:rsidRDefault="00A34B62" w:rsidP="00B468E3">
            <w:pPr>
              <w:widowControl w:val="0"/>
              <w:jc w:val="center"/>
              <w:rPr>
                <w:b/>
                <w:bCs/>
                <w:color w:val="000000"/>
                <w:sz w:val="20"/>
                <w:szCs w:val="20"/>
                <w:lang w:eastAsia="en-CA"/>
              </w:rPr>
            </w:pPr>
            <w:r>
              <w:rPr>
                <w:b/>
                <w:bCs/>
                <w:color w:val="000000"/>
                <w:sz w:val="20"/>
                <w:szCs w:val="20"/>
              </w:rPr>
              <w:t>Substance</w:t>
            </w:r>
          </w:p>
        </w:tc>
        <w:tc>
          <w:tcPr>
            <w:tcW w:w="1047" w:type="dxa"/>
            <w:hideMark/>
          </w:tcPr>
          <w:p w14:paraId="7FAA4F35" w14:textId="77777777" w:rsidR="00A34B62" w:rsidRPr="00A352BA" w:rsidRDefault="00A34B62" w:rsidP="00B468E3">
            <w:pPr>
              <w:widowControl w:val="0"/>
              <w:jc w:val="center"/>
              <w:rPr>
                <w:b/>
                <w:bCs/>
                <w:color w:val="000000"/>
                <w:sz w:val="20"/>
                <w:szCs w:val="20"/>
                <w:lang w:eastAsia="en-CA"/>
              </w:rPr>
            </w:pPr>
            <w:r>
              <w:rPr>
                <w:b/>
                <w:bCs/>
                <w:color w:val="000000"/>
                <w:sz w:val="20"/>
                <w:szCs w:val="20"/>
              </w:rPr>
              <w:t>PRP</w:t>
            </w:r>
          </w:p>
        </w:tc>
        <w:tc>
          <w:tcPr>
            <w:tcW w:w="1047" w:type="dxa"/>
            <w:hideMark/>
          </w:tcPr>
          <w:p w14:paraId="43ADB371" w14:textId="77777777" w:rsidR="00A34B62" w:rsidRPr="00A352BA" w:rsidRDefault="00A34B62" w:rsidP="00B468E3">
            <w:pPr>
              <w:widowControl w:val="0"/>
              <w:jc w:val="center"/>
              <w:rPr>
                <w:b/>
                <w:bCs/>
                <w:color w:val="000000"/>
                <w:sz w:val="20"/>
                <w:szCs w:val="20"/>
                <w:lang w:eastAsia="en-CA"/>
              </w:rPr>
            </w:pPr>
            <w:r>
              <w:rPr>
                <w:b/>
                <w:bCs/>
                <w:color w:val="000000"/>
                <w:sz w:val="20"/>
                <w:szCs w:val="20"/>
              </w:rPr>
              <w:t>2020</w:t>
            </w:r>
          </w:p>
        </w:tc>
        <w:tc>
          <w:tcPr>
            <w:tcW w:w="1224" w:type="dxa"/>
            <w:hideMark/>
          </w:tcPr>
          <w:p w14:paraId="79C9D462" w14:textId="77777777" w:rsidR="00A34B62" w:rsidRPr="00A352BA" w:rsidRDefault="00A34B62" w:rsidP="00B468E3">
            <w:pPr>
              <w:widowControl w:val="0"/>
              <w:jc w:val="center"/>
              <w:rPr>
                <w:b/>
                <w:bCs/>
                <w:color w:val="000000"/>
                <w:sz w:val="20"/>
                <w:szCs w:val="20"/>
                <w:lang w:eastAsia="en-CA"/>
              </w:rPr>
            </w:pPr>
            <w:r>
              <w:rPr>
                <w:b/>
                <w:bCs/>
                <w:color w:val="000000"/>
                <w:sz w:val="20"/>
                <w:szCs w:val="20"/>
              </w:rPr>
              <w:t>2021</w:t>
            </w:r>
          </w:p>
        </w:tc>
        <w:tc>
          <w:tcPr>
            <w:tcW w:w="1223" w:type="dxa"/>
            <w:hideMark/>
          </w:tcPr>
          <w:p w14:paraId="4EE5A7BD" w14:textId="77777777" w:rsidR="00A34B62" w:rsidRPr="00A352BA" w:rsidRDefault="00A34B62" w:rsidP="00B468E3">
            <w:pPr>
              <w:widowControl w:val="0"/>
              <w:jc w:val="center"/>
              <w:rPr>
                <w:b/>
                <w:bCs/>
                <w:color w:val="000000"/>
                <w:sz w:val="20"/>
                <w:szCs w:val="20"/>
                <w:lang w:eastAsia="en-CA"/>
              </w:rPr>
            </w:pPr>
            <w:r>
              <w:rPr>
                <w:b/>
                <w:bCs/>
                <w:color w:val="000000"/>
                <w:sz w:val="20"/>
                <w:szCs w:val="20"/>
              </w:rPr>
              <w:t>2022</w:t>
            </w:r>
          </w:p>
        </w:tc>
        <w:tc>
          <w:tcPr>
            <w:tcW w:w="1223" w:type="dxa"/>
            <w:hideMark/>
          </w:tcPr>
          <w:p w14:paraId="5B60EC7A" w14:textId="77777777" w:rsidR="00A34B62" w:rsidRPr="00A352BA" w:rsidRDefault="00A34B62" w:rsidP="00B468E3">
            <w:pPr>
              <w:widowControl w:val="0"/>
              <w:jc w:val="center"/>
              <w:rPr>
                <w:b/>
                <w:bCs/>
                <w:color w:val="000000"/>
                <w:sz w:val="20"/>
                <w:szCs w:val="20"/>
                <w:lang w:eastAsia="en-CA"/>
              </w:rPr>
            </w:pPr>
            <w:r>
              <w:rPr>
                <w:b/>
                <w:bCs/>
                <w:color w:val="000000"/>
                <w:sz w:val="20"/>
                <w:szCs w:val="20"/>
              </w:rPr>
              <w:t>2023</w:t>
            </w:r>
          </w:p>
        </w:tc>
        <w:tc>
          <w:tcPr>
            <w:tcW w:w="1161" w:type="dxa"/>
            <w:hideMark/>
          </w:tcPr>
          <w:p w14:paraId="305CF6F6" w14:textId="77777777" w:rsidR="00A34B62" w:rsidRPr="00A352BA" w:rsidRDefault="00A34B62" w:rsidP="00B468E3">
            <w:pPr>
              <w:widowControl w:val="0"/>
              <w:jc w:val="center"/>
              <w:rPr>
                <w:b/>
                <w:bCs/>
                <w:color w:val="000000"/>
                <w:sz w:val="20"/>
                <w:szCs w:val="20"/>
                <w:lang w:eastAsia="en-CA"/>
              </w:rPr>
            </w:pPr>
            <w:r>
              <w:rPr>
                <w:b/>
                <w:bCs/>
                <w:color w:val="000000"/>
                <w:sz w:val="20"/>
                <w:szCs w:val="20"/>
              </w:rPr>
              <w:t>2024</w:t>
            </w:r>
          </w:p>
        </w:tc>
        <w:tc>
          <w:tcPr>
            <w:tcW w:w="1168" w:type="dxa"/>
          </w:tcPr>
          <w:p w14:paraId="797B11C2" w14:textId="77777777" w:rsidR="00A34B62" w:rsidRPr="00A352BA" w:rsidRDefault="00A34B62" w:rsidP="00B468E3">
            <w:pPr>
              <w:widowControl w:val="0"/>
              <w:jc w:val="center"/>
              <w:rPr>
                <w:b/>
                <w:bCs/>
                <w:color w:val="000000"/>
                <w:sz w:val="20"/>
                <w:szCs w:val="20"/>
                <w:lang w:eastAsia="en-CA"/>
              </w:rPr>
            </w:pPr>
            <w:r>
              <w:rPr>
                <w:b/>
                <w:bCs/>
                <w:color w:val="000000"/>
                <w:sz w:val="20"/>
                <w:szCs w:val="20"/>
              </w:rPr>
              <w:t>Moyenne 2020</w:t>
            </w:r>
            <w:r>
              <w:rPr>
                <w:b/>
                <w:bCs/>
                <w:color w:val="000000"/>
                <w:sz w:val="20"/>
                <w:szCs w:val="20"/>
              </w:rPr>
              <w:noBreakHyphen/>
              <w:t>2022</w:t>
            </w:r>
          </w:p>
        </w:tc>
      </w:tr>
      <w:tr w:rsidR="006415C3" w:rsidRPr="00A352BA" w14:paraId="3D1EA44F" w14:textId="77777777" w:rsidTr="00903E88">
        <w:trPr>
          <w:trHeight w:val="160"/>
        </w:trPr>
        <w:tc>
          <w:tcPr>
            <w:tcW w:w="9344" w:type="dxa"/>
            <w:gridSpan w:val="8"/>
            <w:noWrap/>
          </w:tcPr>
          <w:p w14:paraId="21044D85" w14:textId="3EE65285" w:rsidR="00A34B62" w:rsidRPr="00822CBF" w:rsidRDefault="001838A8" w:rsidP="00B468E3">
            <w:pPr>
              <w:widowControl w:val="0"/>
              <w:jc w:val="left"/>
              <w:rPr>
                <w:b/>
                <w:bCs/>
                <w:color w:val="000000"/>
                <w:sz w:val="20"/>
                <w:szCs w:val="20"/>
                <w:lang w:eastAsia="en-CA"/>
              </w:rPr>
            </w:pPr>
            <w:r>
              <w:rPr>
                <w:b/>
                <w:color w:val="000000"/>
                <w:sz w:val="20"/>
                <w:szCs w:val="20"/>
              </w:rPr>
              <w:t xml:space="preserve"> Mt</w:t>
            </w:r>
          </w:p>
        </w:tc>
      </w:tr>
      <w:tr w:rsidR="006415C3" w:rsidRPr="00A352BA" w14:paraId="6F37829A" w14:textId="77777777" w:rsidTr="00903E88">
        <w:trPr>
          <w:trHeight w:val="126"/>
        </w:trPr>
        <w:tc>
          <w:tcPr>
            <w:tcW w:w="1246" w:type="dxa"/>
            <w:noWrap/>
            <w:hideMark/>
          </w:tcPr>
          <w:p w14:paraId="5B924A7E" w14:textId="77777777" w:rsidR="00A34B62" w:rsidRPr="00AF4C78" w:rsidRDefault="00A34B62" w:rsidP="00B468E3">
            <w:pPr>
              <w:widowControl w:val="0"/>
              <w:jc w:val="left"/>
              <w:rPr>
                <w:color w:val="000000"/>
                <w:sz w:val="20"/>
                <w:szCs w:val="20"/>
                <w:lang w:eastAsia="en-CA"/>
              </w:rPr>
            </w:pPr>
            <w:r>
              <w:rPr>
                <w:color w:val="000000"/>
                <w:sz w:val="20"/>
                <w:szCs w:val="20"/>
              </w:rPr>
              <w:t>R-410A</w:t>
            </w:r>
          </w:p>
        </w:tc>
        <w:tc>
          <w:tcPr>
            <w:tcW w:w="1047" w:type="dxa"/>
            <w:noWrap/>
            <w:hideMark/>
          </w:tcPr>
          <w:p w14:paraId="1640B990" w14:textId="67E60765" w:rsidR="00A34B62" w:rsidRPr="00A352BA" w:rsidRDefault="00A34B62" w:rsidP="00B468E3">
            <w:pPr>
              <w:widowControl w:val="0"/>
              <w:jc w:val="right"/>
              <w:rPr>
                <w:color w:val="000000"/>
                <w:sz w:val="20"/>
                <w:szCs w:val="20"/>
                <w:lang w:eastAsia="en-CA"/>
              </w:rPr>
            </w:pPr>
            <w:r>
              <w:rPr>
                <w:color w:val="000000"/>
                <w:sz w:val="20"/>
                <w:szCs w:val="20"/>
              </w:rPr>
              <w:t>2 087,5</w:t>
            </w:r>
          </w:p>
        </w:tc>
        <w:tc>
          <w:tcPr>
            <w:tcW w:w="1047" w:type="dxa"/>
            <w:noWrap/>
          </w:tcPr>
          <w:p w14:paraId="4C1B9178" w14:textId="77777777" w:rsidR="00A34B62" w:rsidRPr="00A352BA" w:rsidRDefault="00A34B62" w:rsidP="00B468E3">
            <w:pPr>
              <w:widowControl w:val="0"/>
              <w:jc w:val="right"/>
              <w:rPr>
                <w:color w:val="000000"/>
                <w:sz w:val="20"/>
                <w:szCs w:val="20"/>
                <w:lang w:eastAsia="en-CA"/>
              </w:rPr>
            </w:pPr>
            <w:r>
              <w:rPr>
                <w:color w:val="000000"/>
                <w:sz w:val="20"/>
                <w:szCs w:val="20"/>
              </w:rPr>
              <w:t>100,93</w:t>
            </w:r>
          </w:p>
        </w:tc>
        <w:tc>
          <w:tcPr>
            <w:tcW w:w="1224" w:type="dxa"/>
            <w:noWrap/>
          </w:tcPr>
          <w:p w14:paraId="58A87F5C" w14:textId="77777777" w:rsidR="00A34B62" w:rsidRPr="00A352BA" w:rsidRDefault="00A34B62" w:rsidP="00B468E3">
            <w:pPr>
              <w:widowControl w:val="0"/>
              <w:jc w:val="right"/>
              <w:rPr>
                <w:color w:val="000000"/>
                <w:sz w:val="20"/>
                <w:szCs w:val="20"/>
                <w:lang w:eastAsia="en-CA"/>
              </w:rPr>
            </w:pPr>
            <w:r>
              <w:rPr>
                <w:color w:val="000000"/>
                <w:sz w:val="20"/>
                <w:szCs w:val="20"/>
              </w:rPr>
              <w:t>102,67</w:t>
            </w:r>
          </w:p>
        </w:tc>
        <w:tc>
          <w:tcPr>
            <w:tcW w:w="1223" w:type="dxa"/>
            <w:noWrap/>
          </w:tcPr>
          <w:p w14:paraId="532AD34C" w14:textId="77777777" w:rsidR="00A34B62" w:rsidRPr="00A352BA" w:rsidRDefault="00A34B62" w:rsidP="00B468E3">
            <w:pPr>
              <w:widowControl w:val="0"/>
              <w:jc w:val="right"/>
              <w:rPr>
                <w:color w:val="000000"/>
                <w:sz w:val="20"/>
                <w:szCs w:val="20"/>
                <w:lang w:eastAsia="en-CA"/>
              </w:rPr>
            </w:pPr>
            <w:r>
              <w:rPr>
                <w:color w:val="000000"/>
                <w:sz w:val="20"/>
                <w:szCs w:val="20"/>
              </w:rPr>
              <w:t>89,05</w:t>
            </w:r>
          </w:p>
        </w:tc>
        <w:tc>
          <w:tcPr>
            <w:tcW w:w="1223" w:type="dxa"/>
            <w:noWrap/>
          </w:tcPr>
          <w:p w14:paraId="2CF8F383" w14:textId="77777777" w:rsidR="00A34B62" w:rsidRPr="00A352BA" w:rsidRDefault="00A34B62" w:rsidP="00B468E3">
            <w:pPr>
              <w:widowControl w:val="0"/>
              <w:jc w:val="right"/>
              <w:rPr>
                <w:color w:val="000000"/>
                <w:sz w:val="20"/>
                <w:szCs w:val="20"/>
                <w:lang w:eastAsia="en-CA"/>
              </w:rPr>
            </w:pPr>
            <w:r>
              <w:rPr>
                <w:color w:val="000000"/>
                <w:sz w:val="20"/>
                <w:szCs w:val="20"/>
              </w:rPr>
              <w:t>112,50</w:t>
            </w:r>
          </w:p>
        </w:tc>
        <w:tc>
          <w:tcPr>
            <w:tcW w:w="1161" w:type="dxa"/>
            <w:noWrap/>
          </w:tcPr>
          <w:p w14:paraId="65A2A774" w14:textId="77777777" w:rsidR="00A34B62" w:rsidRPr="00B468E3" w:rsidRDefault="00A34B62" w:rsidP="00B468E3">
            <w:pPr>
              <w:widowControl w:val="0"/>
              <w:jc w:val="right"/>
              <w:rPr>
                <w:color w:val="000000"/>
                <w:sz w:val="20"/>
                <w:szCs w:val="20"/>
                <w:lang w:eastAsia="en-CA"/>
              </w:rPr>
            </w:pPr>
            <w:r>
              <w:rPr>
                <w:color w:val="000000"/>
                <w:sz w:val="20"/>
                <w:szCs w:val="20"/>
              </w:rPr>
              <w:t>150,98</w:t>
            </w:r>
          </w:p>
        </w:tc>
        <w:tc>
          <w:tcPr>
            <w:tcW w:w="1168" w:type="dxa"/>
          </w:tcPr>
          <w:p w14:paraId="2BFEF631" w14:textId="2EC4EC93" w:rsidR="00A34B62" w:rsidRPr="00B468E3" w:rsidRDefault="0036099C" w:rsidP="00B468E3">
            <w:pPr>
              <w:widowControl w:val="0"/>
              <w:jc w:val="right"/>
              <w:rPr>
                <w:color w:val="000000"/>
                <w:sz w:val="20"/>
                <w:szCs w:val="20"/>
                <w:lang w:eastAsia="en-CA"/>
              </w:rPr>
            </w:pPr>
            <w:r>
              <w:rPr>
                <w:color w:val="000000"/>
                <w:sz w:val="20"/>
                <w:szCs w:val="20"/>
              </w:rPr>
              <w:t>97,55</w:t>
            </w:r>
          </w:p>
        </w:tc>
      </w:tr>
      <w:tr w:rsidR="006415C3" w:rsidRPr="00A352BA" w14:paraId="19006FAB" w14:textId="77777777" w:rsidTr="00903E88">
        <w:trPr>
          <w:trHeight w:val="205"/>
        </w:trPr>
        <w:tc>
          <w:tcPr>
            <w:tcW w:w="9344" w:type="dxa"/>
            <w:gridSpan w:val="8"/>
            <w:noWrap/>
            <w:vAlign w:val="bottom"/>
          </w:tcPr>
          <w:p w14:paraId="3F9A2EC1" w14:textId="22BDA05F" w:rsidR="00A34B62" w:rsidRPr="00B468E3" w:rsidRDefault="00A34B62" w:rsidP="00B468E3">
            <w:pPr>
              <w:widowControl w:val="0"/>
              <w:jc w:val="left"/>
              <w:rPr>
                <w:b/>
                <w:bCs/>
                <w:color w:val="000000"/>
                <w:sz w:val="20"/>
                <w:szCs w:val="20"/>
                <w:lang w:eastAsia="en-CA"/>
              </w:rPr>
            </w:pPr>
            <w:r>
              <w:rPr>
                <w:b/>
                <w:bCs/>
                <w:color w:val="000000"/>
                <w:sz w:val="20"/>
                <w:szCs w:val="20"/>
              </w:rPr>
              <w:t>t éq. CO</w:t>
            </w:r>
            <w:r>
              <w:rPr>
                <w:b/>
                <w:bCs/>
                <w:color w:val="000000"/>
                <w:sz w:val="20"/>
                <w:szCs w:val="20"/>
                <w:vertAlign w:val="subscript"/>
              </w:rPr>
              <w:t>2</w:t>
            </w:r>
          </w:p>
        </w:tc>
      </w:tr>
      <w:tr w:rsidR="006415C3" w:rsidRPr="00E1113C" w14:paraId="52A0BCD9" w14:textId="77777777" w:rsidTr="009A1269">
        <w:trPr>
          <w:trHeight w:val="133"/>
        </w:trPr>
        <w:tc>
          <w:tcPr>
            <w:tcW w:w="1246" w:type="dxa"/>
            <w:noWrap/>
            <w:hideMark/>
          </w:tcPr>
          <w:p w14:paraId="40C8A686" w14:textId="77777777" w:rsidR="00A34B62" w:rsidRPr="00AF4C78" w:rsidRDefault="00A34B62" w:rsidP="00B468E3">
            <w:pPr>
              <w:widowControl w:val="0"/>
              <w:jc w:val="left"/>
              <w:rPr>
                <w:color w:val="000000"/>
                <w:sz w:val="20"/>
                <w:szCs w:val="20"/>
                <w:lang w:eastAsia="en-CA"/>
              </w:rPr>
            </w:pPr>
            <w:r>
              <w:rPr>
                <w:color w:val="000000"/>
                <w:sz w:val="20"/>
                <w:szCs w:val="20"/>
              </w:rPr>
              <w:t>R-410A</w:t>
            </w:r>
          </w:p>
        </w:tc>
        <w:tc>
          <w:tcPr>
            <w:tcW w:w="1047" w:type="dxa"/>
            <w:noWrap/>
            <w:hideMark/>
          </w:tcPr>
          <w:p w14:paraId="6CA92D61" w14:textId="424E4846" w:rsidR="00A34B62" w:rsidRPr="00E1113C" w:rsidRDefault="00A34B62" w:rsidP="00B468E3">
            <w:pPr>
              <w:widowControl w:val="0"/>
              <w:jc w:val="right"/>
              <w:rPr>
                <w:color w:val="000000"/>
                <w:sz w:val="20"/>
                <w:szCs w:val="20"/>
                <w:lang w:eastAsia="en-CA"/>
              </w:rPr>
            </w:pPr>
            <w:r>
              <w:rPr>
                <w:color w:val="000000"/>
                <w:sz w:val="20"/>
                <w:szCs w:val="20"/>
              </w:rPr>
              <w:t>2 087,5</w:t>
            </w:r>
          </w:p>
        </w:tc>
        <w:tc>
          <w:tcPr>
            <w:tcW w:w="1047" w:type="dxa"/>
            <w:noWrap/>
            <w:hideMark/>
          </w:tcPr>
          <w:p w14:paraId="313EE61D" w14:textId="77777777" w:rsidR="00A34B62" w:rsidRPr="00E1113C" w:rsidRDefault="00A34B62" w:rsidP="00B468E3">
            <w:pPr>
              <w:widowControl w:val="0"/>
              <w:jc w:val="right"/>
              <w:rPr>
                <w:color w:val="000000"/>
                <w:sz w:val="20"/>
                <w:szCs w:val="20"/>
                <w:lang w:eastAsia="en-CA"/>
              </w:rPr>
            </w:pPr>
            <w:r>
              <w:rPr>
                <w:color w:val="000000"/>
                <w:sz w:val="20"/>
                <w:szCs w:val="20"/>
              </w:rPr>
              <w:t>210 691</w:t>
            </w:r>
          </w:p>
        </w:tc>
        <w:tc>
          <w:tcPr>
            <w:tcW w:w="1224" w:type="dxa"/>
            <w:noWrap/>
          </w:tcPr>
          <w:p w14:paraId="550EB462" w14:textId="3F1ADE6D" w:rsidR="00A34B62" w:rsidRPr="00E1113C" w:rsidRDefault="00A34B62" w:rsidP="00B468E3">
            <w:pPr>
              <w:widowControl w:val="0"/>
              <w:jc w:val="right"/>
              <w:rPr>
                <w:color w:val="000000"/>
                <w:sz w:val="20"/>
                <w:szCs w:val="20"/>
                <w:lang w:eastAsia="en-CA"/>
              </w:rPr>
            </w:pPr>
            <w:r>
              <w:rPr>
                <w:color w:val="000000"/>
                <w:sz w:val="20"/>
                <w:szCs w:val="20"/>
              </w:rPr>
              <w:t>214 313</w:t>
            </w:r>
          </w:p>
        </w:tc>
        <w:tc>
          <w:tcPr>
            <w:tcW w:w="1223" w:type="dxa"/>
            <w:noWrap/>
          </w:tcPr>
          <w:p w14:paraId="302B093E" w14:textId="77777777" w:rsidR="00A34B62" w:rsidRPr="00E1113C" w:rsidRDefault="00A34B62" w:rsidP="00B468E3">
            <w:pPr>
              <w:widowControl w:val="0"/>
              <w:jc w:val="right"/>
              <w:rPr>
                <w:color w:val="000000"/>
                <w:sz w:val="20"/>
                <w:szCs w:val="20"/>
                <w:lang w:eastAsia="en-CA"/>
              </w:rPr>
            </w:pPr>
            <w:r>
              <w:rPr>
                <w:color w:val="000000"/>
                <w:sz w:val="20"/>
                <w:szCs w:val="20"/>
              </w:rPr>
              <w:t>185 884</w:t>
            </w:r>
          </w:p>
        </w:tc>
        <w:tc>
          <w:tcPr>
            <w:tcW w:w="1223" w:type="dxa"/>
            <w:noWrap/>
          </w:tcPr>
          <w:p w14:paraId="7E0E49BD" w14:textId="77777777" w:rsidR="00A34B62" w:rsidRPr="00E1113C" w:rsidRDefault="00A34B62" w:rsidP="00B468E3">
            <w:pPr>
              <w:widowControl w:val="0"/>
              <w:jc w:val="right"/>
              <w:rPr>
                <w:color w:val="000000"/>
                <w:sz w:val="20"/>
                <w:szCs w:val="20"/>
                <w:lang w:eastAsia="en-CA"/>
              </w:rPr>
            </w:pPr>
            <w:r>
              <w:rPr>
                <w:color w:val="000000"/>
                <w:sz w:val="20"/>
                <w:szCs w:val="20"/>
              </w:rPr>
              <w:t>234 844</w:t>
            </w:r>
          </w:p>
        </w:tc>
        <w:tc>
          <w:tcPr>
            <w:tcW w:w="1161" w:type="dxa"/>
            <w:noWrap/>
          </w:tcPr>
          <w:p w14:paraId="052FDD09" w14:textId="4990D30A" w:rsidR="00A34B62" w:rsidRPr="00B468E3" w:rsidRDefault="00A34B62" w:rsidP="00B468E3">
            <w:pPr>
              <w:widowControl w:val="0"/>
              <w:jc w:val="right"/>
              <w:rPr>
                <w:color w:val="000000"/>
                <w:sz w:val="20"/>
                <w:szCs w:val="20"/>
                <w:lang w:eastAsia="en-CA"/>
              </w:rPr>
            </w:pPr>
            <w:r>
              <w:rPr>
                <w:color w:val="000000"/>
                <w:sz w:val="20"/>
                <w:szCs w:val="20"/>
              </w:rPr>
              <w:t>315 169</w:t>
            </w:r>
          </w:p>
        </w:tc>
        <w:tc>
          <w:tcPr>
            <w:tcW w:w="1168" w:type="dxa"/>
          </w:tcPr>
          <w:p w14:paraId="183F6209" w14:textId="69ECCE27" w:rsidR="00A34B62" w:rsidRPr="00B468E3" w:rsidRDefault="008759C6" w:rsidP="00B468E3">
            <w:pPr>
              <w:widowControl w:val="0"/>
              <w:jc w:val="right"/>
              <w:rPr>
                <w:color w:val="000000"/>
                <w:sz w:val="20"/>
                <w:szCs w:val="20"/>
                <w:lang w:eastAsia="en-CA"/>
              </w:rPr>
            </w:pPr>
            <w:r>
              <w:rPr>
                <w:color w:val="000000"/>
                <w:sz w:val="20"/>
                <w:szCs w:val="20"/>
              </w:rPr>
              <w:t>203 629</w:t>
            </w:r>
          </w:p>
        </w:tc>
      </w:tr>
    </w:tbl>
    <w:p w14:paraId="331F6CB1" w14:textId="77777777" w:rsidR="0012000E" w:rsidRPr="004650B5" w:rsidRDefault="0012000E" w:rsidP="00903E88">
      <w:pPr>
        <w:pStyle w:val="Heading1"/>
        <w:numPr>
          <w:ilvl w:val="0"/>
          <w:numId w:val="0"/>
        </w:numPr>
        <w:spacing w:before="240"/>
        <w:rPr>
          <w:u w:val="single"/>
        </w:rPr>
      </w:pPr>
      <w:r>
        <w:rPr>
          <w:u w:val="single"/>
        </w:rPr>
        <w:t>Objectif du projet</w:t>
      </w:r>
    </w:p>
    <w:p w14:paraId="579989A2" w14:textId="4F724640" w:rsidR="0012000E" w:rsidRPr="00F8330D" w:rsidRDefault="0012000E" w:rsidP="00757F6D">
      <w:pPr>
        <w:pStyle w:val="Heading1"/>
        <w:spacing w:after="120"/>
      </w:pPr>
      <w:r>
        <w:t xml:space="preserve">L'objectif du projet est de soutenir l'amélioration du rendement énergétique dans huit entreprises fabriquant des climatiseurs résidentiels. Toutes les entreprises passent du R-410A au HFC-32 dans le cadre de la phase I du </w:t>
      </w:r>
      <w:r w:rsidR="00ED6D22">
        <w:t>PAK</w:t>
      </w:r>
      <w:r>
        <w:t>, et l'une d'entre elles</w:t>
      </w:r>
      <w:r>
        <w:rPr>
          <w:rStyle w:val="FootnoteReference"/>
        </w:rPr>
        <w:footnoteReference w:id="17"/>
      </w:r>
      <w:r>
        <w:t xml:space="preserve"> effectue cette conversion avec ses propres ressources. L'objectif du projet est d'améliorer le rendement énergétique des climatiseurs fabriqués par les huit entreprises à des taux compris entre 1,33 et 1,4, selon l'entreprise (c'est-à-dire l'EER par rapport aux MEPS actuelles), ce qui se situe entre les proportions faible et moyenne décrites dans le tableau 4 du document UNEP/OzL.Pro/ExCom/94/61.</w:t>
      </w:r>
    </w:p>
    <w:p w14:paraId="3841E2B2" w14:textId="77777777" w:rsidR="0012000E" w:rsidRDefault="0012000E" w:rsidP="00757F6D">
      <w:pPr>
        <w:spacing w:after="120"/>
        <w:rPr>
          <w:i/>
          <w:iCs/>
        </w:rPr>
      </w:pPr>
      <w:r>
        <w:rPr>
          <w:i/>
          <w:iCs/>
        </w:rPr>
        <w:t>Profil des entreprises et équipements fabriqués</w:t>
      </w:r>
    </w:p>
    <w:p w14:paraId="41340638" w14:textId="7F646B03" w:rsidR="0012000E" w:rsidRPr="006B0C3F" w:rsidRDefault="0012000E" w:rsidP="00757F6D">
      <w:pPr>
        <w:pStyle w:val="Heading1"/>
        <w:spacing w:after="120"/>
      </w:pPr>
      <w:r>
        <w:t>Les entreprises bénéficiaires sont détenues à 100 % par des intérêts tunisiens. Toutes les entreprises fabriquent des climatiseurs équipés de compresseurs à vitesse fixe et à vitesse variable d'une capacité comprise entre 9 000 BTU/h</w:t>
      </w:r>
      <w:r>
        <w:rPr>
          <w:rStyle w:val="FootnoteReference"/>
        </w:rPr>
        <w:footnoteReference w:id="18"/>
      </w:r>
      <w:r>
        <w:t xml:space="preserve"> et 24 000 BTU/h, à l'exception de Novatech, qui fabrique uniquement des climatiseurs équipés de compresseurs à vitesse variable. À l'exception de la Société New Star, toutes les entreprises possèdent également d'autres chaînes de production (par exemple, réfrigérateurs domestiques, distributeurs d'eau et machines à laver). Pour toutes les entreprises, toutes les chaînes qui fabriquent des climatiseurs participeraient au projet. Pour déterminer le volume de production de climatiseurs de chaque entreprise, l'ONUDI a utilisé le nombre maximal d'unités de chaque modèle fabriquées chaque année au cours de la période 2022-2024. Le tableau 2 ci-dessous fournit des détails sur le nombre de modèles, les chaînes de fabrication, le volume de production et l'année de création des huit fabricants de climatiseurs. </w:t>
      </w:r>
    </w:p>
    <w:p w14:paraId="06062633" w14:textId="77777777" w:rsidR="00B7639C" w:rsidRDefault="00B7639C">
      <w:pPr>
        <w:jc w:val="left"/>
        <w:rPr>
          <w:b/>
          <w:bCs/>
        </w:rPr>
      </w:pPr>
      <w:r>
        <w:rPr>
          <w:b/>
          <w:bCs/>
        </w:rPr>
        <w:br w:type="page"/>
      </w:r>
    </w:p>
    <w:p w14:paraId="03DF77F3" w14:textId="185EC05B" w:rsidR="0012000E" w:rsidRPr="006B0C3F" w:rsidRDefault="0012000E" w:rsidP="0012000E">
      <w:pPr>
        <w:rPr>
          <w:b/>
          <w:bCs/>
        </w:rPr>
      </w:pPr>
      <w:r>
        <w:rPr>
          <w:b/>
          <w:bCs/>
        </w:rPr>
        <w:lastRenderedPageBreak/>
        <w:t>Tableau 2. Entreprises participantes du secteur de la climatisation et détails de fabrication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67"/>
        <w:gridCol w:w="1103"/>
        <w:gridCol w:w="1638"/>
        <w:gridCol w:w="1419"/>
        <w:gridCol w:w="1189"/>
        <w:gridCol w:w="1234"/>
      </w:tblGrid>
      <w:tr w:rsidR="0012000E" w:rsidRPr="00F6173C" w14:paraId="44C39B30" w14:textId="77777777" w:rsidTr="00B7639C">
        <w:trPr>
          <w:trHeight w:val="351"/>
          <w:tblHeader/>
        </w:trPr>
        <w:tc>
          <w:tcPr>
            <w:tcW w:w="1479" w:type="pct"/>
            <w:vAlign w:val="center"/>
          </w:tcPr>
          <w:p w14:paraId="2F096471" w14:textId="77777777" w:rsidR="0012000E" w:rsidRPr="00F6173C" w:rsidRDefault="0012000E" w:rsidP="00D6140E">
            <w:pPr>
              <w:pStyle w:val="ListParagraph"/>
              <w:ind w:left="0"/>
              <w:jc w:val="center"/>
              <w:rPr>
                <w:b/>
                <w:bCs/>
                <w:sz w:val="20"/>
                <w:szCs w:val="20"/>
                <w:lang w:val="en-US"/>
              </w:rPr>
            </w:pPr>
            <w:r>
              <w:rPr>
                <w:b/>
                <w:bCs/>
                <w:sz w:val="20"/>
                <w:szCs w:val="20"/>
              </w:rPr>
              <w:t xml:space="preserve">Entreprise </w:t>
            </w:r>
          </w:p>
        </w:tc>
        <w:tc>
          <w:tcPr>
            <w:tcW w:w="590" w:type="pct"/>
            <w:noWrap/>
            <w:vAlign w:val="center"/>
          </w:tcPr>
          <w:p w14:paraId="58175A0D" w14:textId="77777777" w:rsidR="00B7639C" w:rsidRDefault="0012000E" w:rsidP="00D6140E">
            <w:pPr>
              <w:jc w:val="center"/>
              <w:rPr>
                <w:b/>
                <w:bCs/>
                <w:sz w:val="20"/>
                <w:szCs w:val="20"/>
              </w:rPr>
            </w:pPr>
            <w:r>
              <w:rPr>
                <w:b/>
                <w:bCs/>
                <w:sz w:val="20"/>
                <w:szCs w:val="20"/>
              </w:rPr>
              <w:t>Nombre</w:t>
            </w:r>
          </w:p>
          <w:p w14:paraId="165F219D" w14:textId="6DD323F5" w:rsidR="0012000E" w:rsidRPr="00F6173C" w:rsidRDefault="0012000E" w:rsidP="00D6140E">
            <w:pPr>
              <w:jc w:val="center"/>
              <w:rPr>
                <w:b/>
                <w:bCs/>
                <w:sz w:val="20"/>
                <w:szCs w:val="20"/>
                <w:lang w:val="en-GB" w:eastAsia="en-GB"/>
              </w:rPr>
            </w:pPr>
            <w:r>
              <w:rPr>
                <w:b/>
                <w:bCs/>
                <w:sz w:val="20"/>
                <w:szCs w:val="20"/>
              </w:rPr>
              <w:t xml:space="preserve"> de modèles </w:t>
            </w:r>
          </w:p>
        </w:tc>
        <w:tc>
          <w:tcPr>
            <w:tcW w:w="876" w:type="pct"/>
            <w:vAlign w:val="center"/>
          </w:tcPr>
          <w:p w14:paraId="5A99405A" w14:textId="77777777" w:rsidR="0012000E" w:rsidRPr="00F6173C" w:rsidRDefault="0012000E" w:rsidP="00D6140E">
            <w:pPr>
              <w:jc w:val="center"/>
              <w:rPr>
                <w:b/>
                <w:bCs/>
                <w:sz w:val="20"/>
                <w:szCs w:val="20"/>
                <w:lang w:val="en-GB" w:eastAsia="en-GB"/>
              </w:rPr>
            </w:pPr>
            <w:r>
              <w:rPr>
                <w:b/>
                <w:bCs/>
                <w:sz w:val="20"/>
                <w:szCs w:val="20"/>
              </w:rPr>
              <w:t xml:space="preserve">Chaînes intégrées au projet </w:t>
            </w:r>
          </w:p>
        </w:tc>
        <w:tc>
          <w:tcPr>
            <w:tcW w:w="759" w:type="pct"/>
            <w:vAlign w:val="center"/>
          </w:tcPr>
          <w:p w14:paraId="10279BC0" w14:textId="77777777" w:rsidR="00B7639C" w:rsidRDefault="0012000E" w:rsidP="00D6140E">
            <w:pPr>
              <w:jc w:val="center"/>
              <w:rPr>
                <w:b/>
                <w:bCs/>
                <w:sz w:val="20"/>
                <w:szCs w:val="20"/>
              </w:rPr>
            </w:pPr>
            <w:r>
              <w:rPr>
                <w:b/>
                <w:bCs/>
                <w:sz w:val="20"/>
                <w:szCs w:val="20"/>
              </w:rPr>
              <w:t>Chaînes non intégrées</w:t>
            </w:r>
          </w:p>
          <w:p w14:paraId="44469F00" w14:textId="65E15285" w:rsidR="0012000E" w:rsidRPr="00763771" w:rsidRDefault="0012000E" w:rsidP="00D6140E">
            <w:pPr>
              <w:jc w:val="center"/>
              <w:rPr>
                <w:b/>
                <w:bCs/>
                <w:sz w:val="20"/>
                <w:szCs w:val="20"/>
                <w:lang w:val="fr-FR" w:eastAsia="en-GB"/>
              </w:rPr>
            </w:pPr>
            <w:r>
              <w:rPr>
                <w:b/>
                <w:bCs/>
                <w:sz w:val="20"/>
                <w:szCs w:val="20"/>
              </w:rPr>
              <w:t xml:space="preserve"> au projet*</w:t>
            </w:r>
          </w:p>
        </w:tc>
        <w:tc>
          <w:tcPr>
            <w:tcW w:w="636" w:type="pct"/>
            <w:vAlign w:val="center"/>
          </w:tcPr>
          <w:p w14:paraId="644EA8D3" w14:textId="77777777" w:rsidR="0012000E" w:rsidRPr="00F6173C" w:rsidRDefault="0012000E" w:rsidP="00D6140E">
            <w:pPr>
              <w:jc w:val="center"/>
              <w:rPr>
                <w:b/>
                <w:bCs/>
                <w:sz w:val="20"/>
                <w:szCs w:val="20"/>
                <w:lang w:val="en-GB" w:eastAsia="en-GB"/>
              </w:rPr>
            </w:pPr>
            <w:r>
              <w:rPr>
                <w:b/>
                <w:bCs/>
                <w:sz w:val="20"/>
                <w:szCs w:val="20"/>
              </w:rPr>
              <w:t>Volume de fabrication (unités)**</w:t>
            </w:r>
          </w:p>
        </w:tc>
        <w:tc>
          <w:tcPr>
            <w:tcW w:w="661" w:type="pct"/>
            <w:vAlign w:val="center"/>
          </w:tcPr>
          <w:p w14:paraId="38AFA116" w14:textId="77777777" w:rsidR="0012000E" w:rsidRPr="00F6173C" w:rsidRDefault="0012000E" w:rsidP="00D6140E">
            <w:pPr>
              <w:jc w:val="center"/>
              <w:rPr>
                <w:b/>
                <w:bCs/>
                <w:sz w:val="20"/>
                <w:szCs w:val="20"/>
                <w:lang w:val="en-GB" w:eastAsia="en-GB"/>
              </w:rPr>
            </w:pPr>
            <w:r>
              <w:rPr>
                <w:b/>
                <w:bCs/>
                <w:sz w:val="20"/>
                <w:szCs w:val="20"/>
              </w:rPr>
              <w:t xml:space="preserve">Année de création*** </w:t>
            </w:r>
          </w:p>
        </w:tc>
      </w:tr>
      <w:tr w:rsidR="0012000E" w:rsidRPr="00F6173C" w14:paraId="0315FE22" w14:textId="77777777" w:rsidTr="00B7639C">
        <w:tc>
          <w:tcPr>
            <w:tcW w:w="1479" w:type="pct"/>
            <w:noWrap/>
          </w:tcPr>
          <w:p w14:paraId="1F25643F" w14:textId="77777777" w:rsidR="0012000E" w:rsidRPr="00F6173C" w:rsidRDefault="0012000E" w:rsidP="00D6140E">
            <w:pPr>
              <w:pStyle w:val="ListParagraph"/>
              <w:ind w:left="0"/>
              <w:jc w:val="left"/>
              <w:rPr>
                <w:sz w:val="20"/>
                <w:szCs w:val="20"/>
                <w:lang w:val="en-US"/>
              </w:rPr>
            </w:pPr>
            <w:r>
              <w:rPr>
                <w:sz w:val="20"/>
                <w:szCs w:val="20"/>
              </w:rPr>
              <w:t>Société Industrielle Méga</w:t>
            </w:r>
          </w:p>
        </w:tc>
        <w:tc>
          <w:tcPr>
            <w:tcW w:w="590" w:type="pct"/>
            <w:noWrap/>
          </w:tcPr>
          <w:p w14:paraId="78837643" w14:textId="77777777" w:rsidR="0012000E" w:rsidRPr="00F6173C" w:rsidRDefault="0012000E" w:rsidP="00D6140E">
            <w:pPr>
              <w:jc w:val="center"/>
              <w:rPr>
                <w:sz w:val="20"/>
                <w:szCs w:val="20"/>
                <w:lang w:val="en-GB" w:eastAsia="en-GB"/>
              </w:rPr>
            </w:pPr>
            <w:r>
              <w:rPr>
                <w:sz w:val="20"/>
                <w:szCs w:val="20"/>
              </w:rPr>
              <w:t>8</w:t>
            </w:r>
          </w:p>
        </w:tc>
        <w:tc>
          <w:tcPr>
            <w:tcW w:w="876" w:type="pct"/>
          </w:tcPr>
          <w:p w14:paraId="665CDD13" w14:textId="77777777" w:rsidR="0012000E" w:rsidRPr="00F6173C" w:rsidRDefault="0012000E" w:rsidP="00D6140E">
            <w:pPr>
              <w:jc w:val="center"/>
              <w:rPr>
                <w:sz w:val="20"/>
                <w:szCs w:val="20"/>
                <w:lang w:val="en-GB" w:eastAsia="en-GB"/>
              </w:rPr>
            </w:pPr>
            <w:r>
              <w:rPr>
                <w:sz w:val="20"/>
                <w:szCs w:val="20"/>
              </w:rPr>
              <w:t>1</w:t>
            </w:r>
          </w:p>
        </w:tc>
        <w:tc>
          <w:tcPr>
            <w:tcW w:w="759" w:type="pct"/>
          </w:tcPr>
          <w:p w14:paraId="139A221C" w14:textId="77777777" w:rsidR="0012000E" w:rsidRPr="00F6173C" w:rsidRDefault="0012000E" w:rsidP="00D6140E">
            <w:pPr>
              <w:jc w:val="center"/>
              <w:rPr>
                <w:sz w:val="20"/>
                <w:szCs w:val="20"/>
                <w:lang w:val="en-GB" w:eastAsia="en-GB"/>
              </w:rPr>
            </w:pPr>
            <w:r>
              <w:rPr>
                <w:sz w:val="20"/>
                <w:szCs w:val="20"/>
              </w:rPr>
              <w:t>1 (R)</w:t>
            </w:r>
          </w:p>
        </w:tc>
        <w:tc>
          <w:tcPr>
            <w:tcW w:w="636" w:type="pct"/>
          </w:tcPr>
          <w:p w14:paraId="1B1B377C" w14:textId="77777777" w:rsidR="0012000E" w:rsidRPr="00F6173C" w:rsidRDefault="0012000E" w:rsidP="00D6140E">
            <w:pPr>
              <w:jc w:val="center"/>
              <w:rPr>
                <w:sz w:val="20"/>
                <w:szCs w:val="20"/>
                <w:lang w:val="en-GB" w:eastAsia="en-GB"/>
              </w:rPr>
            </w:pPr>
            <w:r>
              <w:rPr>
                <w:sz w:val="20"/>
                <w:szCs w:val="20"/>
              </w:rPr>
              <w:t>A</w:t>
            </w:r>
          </w:p>
        </w:tc>
        <w:tc>
          <w:tcPr>
            <w:tcW w:w="661" w:type="pct"/>
          </w:tcPr>
          <w:p w14:paraId="7E2C4312" w14:textId="77777777" w:rsidR="0012000E" w:rsidRPr="00F6173C" w:rsidRDefault="0012000E" w:rsidP="00D6140E">
            <w:pPr>
              <w:jc w:val="center"/>
              <w:rPr>
                <w:sz w:val="20"/>
                <w:szCs w:val="20"/>
                <w:lang w:val="en-GB" w:eastAsia="en-GB"/>
              </w:rPr>
            </w:pPr>
            <w:r>
              <w:rPr>
                <w:sz w:val="20"/>
                <w:szCs w:val="20"/>
              </w:rPr>
              <w:t>1997</w:t>
            </w:r>
          </w:p>
        </w:tc>
      </w:tr>
      <w:tr w:rsidR="0012000E" w:rsidRPr="00F6173C" w14:paraId="3BC60690" w14:textId="77777777" w:rsidTr="00B7639C">
        <w:trPr>
          <w:trHeight w:val="114"/>
        </w:trPr>
        <w:tc>
          <w:tcPr>
            <w:tcW w:w="1479" w:type="pct"/>
            <w:noWrap/>
          </w:tcPr>
          <w:p w14:paraId="7DC303BD" w14:textId="77777777" w:rsidR="0012000E" w:rsidRPr="00F6173C" w:rsidRDefault="0012000E" w:rsidP="00D6140E">
            <w:pPr>
              <w:pStyle w:val="ListParagraph"/>
              <w:ind w:left="0"/>
              <w:jc w:val="left"/>
              <w:rPr>
                <w:sz w:val="20"/>
                <w:szCs w:val="20"/>
                <w:lang w:val="en-US"/>
              </w:rPr>
            </w:pPr>
            <w:r>
              <w:rPr>
                <w:sz w:val="20"/>
                <w:szCs w:val="20"/>
              </w:rPr>
              <w:t>El Athir</w:t>
            </w:r>
          </w:p>
        </w:tc>
        <w:tc>
          <w:tcPr>
            <w:tcW w:w="590" w:type="pct"/>
            <w:noWrap/>
          </w:tcPr>
          <w:p w14:paraId="3D735C01" w14:textId="77777777" w:rsidR="0012000E" w:rsidRPr="00F6173C" w:rsidRDefault="0012000E" w:rsidP="00D6140E">
            <w:pPr>
              <w:jc w:val="center"/>
              <w:rPr>
                <w:sz w:val="20"/>
                <w:szCs w:val="20"/>
                <w:lang w:val="en-GB" w:eastAsia="en-GB"/>
              </w:rPr>
            </w:pPr>
            <w:r>
              <w:rPr>
                <w:sz w:val="20"/>
                <w:szCs w:val="20"/>
              </w:rPr>
              <w:t>17</w:t>
            </w:r>
          </w:p>
        </w:tc>
        <w:tc>
          <w:tcPr>
            <w:tcW w:w="876" w:type="pct"/>
          </w:tcPr>
          <w:p w14:paraId="0D9D63F7" w14:textId="77777777" w:rsidR="0012000E" w:rsidRPr="00F6173C" w:rsidRDefault="0012000E" w:rsidP="00D6140E">
            <w:pPr>
              <w:jc w:val="center"/>
              <w:rPr>
                <w:sz w:val="20"/>
                <w:szCs w:val="20"/>
                <w:lang w:val="en-GB" w:eastAsia="en-GB"/>
              </w:rPr>
            </w:pPr>
            <w:r>
              <w:rPr>
                <w:sz w:val="20"/>
                <w:szCs w:val="20"/>
              </w:rPr>
              <w:t>2</w:t>
            </w:r>
          </w:p>
        </w:tc>
        <w:tc>
          <w:tcPr>
            <w:tcW w:w="759" w:type="pct"/>
          </w:tcPr>
          <w:p w14:paraId="6A10A6C9" w14:textId="77777777" w:rsidR="0012000E" w:rsidRPr="00F6173C" w:rsidRDefault="0012000E" w:rsidP="00D6140E">
            <w:pPr>
              <w:jc w:val="center"/>
              <w:rPr>
                <w:sz w:val="20"/>
                <w:szCs w:val="20"/>
                <w:lang w:val="en-GB" w:eastAsia="en-GB"/>
              </w:rPr>
            </w:pPr>
            <w:r>
              <w:rPr>
                <w:sz w:val="20"/>
                <w:szCs w:val="20"/>
              </w:rPr>
              <w:t>2 (R, ML)</w:t>
            </w:r>
          </w:p>
        </w:tc>
        <w:tc>
          <w:tcPr>
            <w:tcW w:w="636" w:type="pct"/>
          </w:tcPr>
          <w:p w14:paraId="1BDB65BB" w14:textId="77777777" w:rsidR="0012000E" w:rsidRPr="00F6173C" w:rsidRDefault="0012000E" w:rsidP="00D6140E">
            <w:pPr>
              <w:jc w:val="center"/>
              <w:rPr>
                <w:sz w:val="20"/>
                <w:szCs w:val="20"/>
                <w:lang w:val="en-GB" w:eastAsia="en-GB"/>
              </w:rPr>
            </w:pPr>
            <w:r>
              <w:rPr>
                <w:sz w:val="20"/>
                <w:szCs w:val="20"/>
              </w:rPr>
              <w:t>E</w:t>
            </w:r>
          </w:p>
        </w:tc>
        <w:tc>
          <w:tcPr>
            <w:tcW w:w="661" w:type="pct"/>
          </w:tcPr>
          <w:p w14:paraId="4ADA8250" w14:textId="77777777" w:rsidR="0012000E" w:rsidRPr="00F6173C" w:rsidRDefault="0012000E" w:rsidP="00D6140E">
            <w:pPr>
              <w:jc w:val="center"/>
              <w:rPr>
                <w:sz w:val="20"/>
                <w:szCs w:val="20"/>
                <w:lang w:val="en-GB" w:eastAsia="en-GB"/>
              </w:rPr>
            </w:pPr>
            <w:r>
              <w:rPr>
                <w:sz w:val="20"/>
                <w:szCs w:val="20"/>
              </w:rPr>
              <w:t>2007</w:t>
            </w:r>
          </w:p>
        </w:tc>
      </w:tr>
      <w:tr w:rsidR="0012000E" w:rsidRPr="00F6173C" w14:paraId="5C73A1F7" w14:textId="77777777" w:rsidTr="00B7639C">
        <w:trPr>
          <w:trHeight w:val="124"/>
        </w:trPr>
        <w:tc>
          <w:tcPr>
            <w:tcW w:w="1479" w:type="pct"/>
            <w:noWrap/>
          </w:tcPr>
          <w:p w14:paraId="36F69170" w14:textId="77777777" w:rsidR="0012000E" w:rsidRPr="00F6173C" w:rsidRDefault="0012000E" w:rsidP="00D6140E">
            <w:pPr>
              <w:pStyle w:val="ListParagraph"/>
              <w:ind w:left="0"/>
              <w:jc w:val="left"/>
              <w:rPr>
                <w:sz w:val="20"/>
                <w:szCs w:val="20"/>
                <w:lang w:val="en-US"/>
              </w:rPr>
            </w:pPr>
            <w:r>
              <w:rPr>
                <w:sz w:val="20"/>
                <w:szCs w:val="20"/>
              </w:rPr>
              <w:t>Sicad Coala</w:t>
            </w:r>
          </w:p>
        </w:tc>
        <w:tc>
          <w:tcPr>
            <w:tcW w:w="590" w:type="pct"/>
            <w:noWrap/>
          </w:tcPr>
          <w:p w14:paraId="2C364856" w14:textId="77777777" w:rsidR="0012000E" w:rsidRPr="00F6173C" w:rsidRDefault="0012000E" w:rsidP="00D6140E">
            <w:pPr>
              <w:jc w:val="center"/>
              <w:rPr>
                <w:sz w:val="20"/>
                <w:szCs w:val="20"/>
                <w:lang w:val="en-GB" w:eastAsia="en-GB"/>
              </w:rPr>
            </w:pPr>
            <w:r>
              <w:rPr>
                <w:sz w:val="20"/>
                <w:szCs w:val="20"/>
              </w:rPr>
              <w:t>8</w:t>
            </w:r>
          </w:p>
        </w:tc>
        <w:tc>
          <w:tcPr>
            <w:tcW w:w="876" w:type="pct"/>
          </w:tcPr>
          <w:p w14:paraId="3981CC21" w14:textId="77777777" w:rsidR="0012000E" w:rsidRPr="00F6173C" w:rsidRDefault="0012000E" w:rsidP="00D6140E">
            <w:pPr>
              <w:jc w:val="center"/>
              <w:rPr>
                <w:sz w:val="20"/>
                <w:szCs w:val="20"/>
                <w:lang w:val="en-GB" w:eastAsia="en-GB"/>
              </w:rPr>
            </w:pPr>
            <w:r>
              <w:rPr>
                <w:sz w:val="20"/>
                <w:szCs w:val="20"/>
              </w:rPr>
              <w:t>1</w:t>
            </w:r>
          </w:p>
        </w:tc>
        <w:tc>
          <w:tcPr>
            <w:tcW w:w="759" w:type="pct"/>
          </w:tcPr>
          <w:p w14:paraId="4380F35E" w14:textId="77777777" w:rsidR="0012000E" w:rsidRPr="00F6173C" w:rsidRDefault="0012000E" w:rsidP="00D6140E">
            <w:pPr>
              <w:jc w:val="center"/>
              <w:rPr>
                <w:sz w:val="20"/>
                <w:szCs w:val="20"/>
                <w:lang w:val="en-GB" w:eastAsia="en-GB"/>
              </w:rPr>
            </w:pPr>
            <w:r>
              <w:rPr>
                <w:sz w:val="20"/>
                <w:szCs w:val="20"/>
              </w:rPr>
              <w:t>1 (DE)</w:t>
            </w:r>
          </w:p>
        </w:tc>
        <w:tc>
          <w:tcPr>
            <w:tcW w:w="636" w:type="pct"/>
          </w:tcPr>
          <w:p w14:paraId="45052DC5" w14:textId="77777777" w:rsidR="0012000E" w:rsidRPr="00F6173C" w:rsidRDefault="0012000E" w:rsidP="00D6140E">
            <w:pPr>
              <w:jc w:val="center"/>
              <w:rPr>
                <w:sz w:val="20"/>
                <w:szCs w:val="20"/>
                <w:lang w:val="en-GB" w:eastAsia="en-GB"/>
              </w:rPr>
            </w:pPr>
            <w:r>
              <w:rPr>
                <w:sz w:val="20"/>
                <w:szCs w:val="20"/>
              </w:rPr>
              <w:t>E</w:t>
            </w:r>
          </w:p>
        </w:tc>
        <w:tc>
          <w:tcPr>
            <w:tcW w:w="661" w:type="pct"/>
          </w:tcPr>
          <w:p w14:paraId="72B9C97C" w14:textId="77777777" w:rsidR="0012000E" w:rsidRPr="00F6173C" w:rsidRDefault="0012000E" w:rsidP="00D6140E">
            <w:pPr>
              <w:jc w:val="center"/>
              <w:rPr>
                <w:sz w:val="20"/>
                <w:szCs w:val="20"/>
                <w:lang w:val="en-GB" w:eastAsia="en-GB"/>
              </w:rPr>
            </w:pPr>
            <w:r>
              <w:rPr>
                <w:sz w:val="20"/>
                <w:szCs w:val="20"/>
              </w:rPr>
              <w:t>1980</w:t>
            </w:r>
          </w:p>
        </w:tc>
      </w:tr>
      <w:tr w:rsidR="0012000E" w:rsidRPr="00F6173C" w14:paraId="28C9F840" w14:textId="77777777" w:rsidTr="00B7639C">
        <w:trPr>
          <w:trHeight w:val="124"/>
        </w:trPr>
        <w:tc>
          <w:tcPr>
            <w:tcW w:w="1479" w:type="pct"/>
            <w:noWrap/>
          </w:tcPr>
          <w:p w14:paraId="5B196DC0" w14:textId="77777777" w:rsidR="0012000E" w:rsidRPr="00F6173C" w:rsidRDefault="0012000E" w:rsidP="00D6140E">
            <w:pPr>
              <w:pStyle w:val="ListParagraph"/>
              <w:ind w:left="0"/>
              <w:jc w:val="left"/>
              <w:rPr>
                <w:sz w:val="20"/>
                <w:szCs w:val="20"/>
                <w:lang w:val="en-US"/>
              </w:rPr>
            </w:pPr>
            <w:r>
              <w:rPr>
                <w:sz w:val="20"/>
                <w:szCs w:val="20"/>
              </w:rPr>
              <w:t>3 Stars Electronics</w:t>
            </w:r>
          </w:p>
        </w:tc>
        <w:tc>
          <w:tcPr>
            <w:tcW w:w="590" w:type="pct"/>
            <w:noWrap/>
          </w:tcPr>
          <w:p w14:paraId="7994439A" w14:textId="77777777" w:rsidR="0012000E" w:rsidRPr="00F6173C" w:rsidRDefault="0012000E" w:rsidP="00D6140E">
            <w:pPr>
              <w:jc w:val="center"/>
              <w:rPr>
                <w:sz w:val="20"/>
                <w:szCs w:val="20"/>
                <w:lang w:val="en-GB" w:eastAsia="en-GB"/>
              </w:rPr>
            </w:pPr>
            <w:r>
              <w:rPr>
                <w:sz w:val="20"/>
                <w:szCs w:val="20"/>
              </w:rPr>
              <w:t>8</w:t>
            </w:r>
          </w:p>
        </w:tc>
        <w:tc>
          <w:tcPr>
            <w:tcW w:w="876" w:type="pct"/>
          </w:tcPr>
          <w:p w14:paraId="47F25784" w14:textId="77777777" w:rsidR="0012000E" w:rsidRPr="00F6173C" w:rsidRDefault="0012000E" w:rsidP="00D6140E">
            <w:pPr>
              <w:jc w:val="center"/>
              <w:rPr>
                <w:sz w:val="20"/>
                <w:szCs w:val="20"/>
                <w:lang w:val="en-GB" w:eastAsia="en-GB"/>
              </w:rPr>
            </w:pPr>
            <w:r>
              <w:rPr>
                <w:sz w:val="20"/>
                <w:szCs w:val="20"/>
              </w:rPr>
              <w:t>1</w:t>
            </w:r>
          </w:p>
        </w:tc>
        <w:tc>
          <w:tcPr>
            <w:tcW w:w="759" w:type="pct"/>
          </w:tcPr>
          <w:p w14:paraId="37144470" w14:textId="77777777" w:rsidR="0012000E" w:rsidRPr="00F6173C" w:rsidRDefault="0012000E" w:rsidP="00D6140E">
            <w:pPr>
              <w:jc w:val="center"/>
              <w:rPr>
                <w:sz w:val="20"/>
                <w:szCs w:val="20"/>
                <w:lang w:val="en-GB" w:eastAsia="en-GB"/>
              </w:rPr>
            </w:pPr>
            <w:r>
              <w:rPr>
                <w:sz w:val="20"/>
                <w:szCs w:val="20"/>
              </w:rPr>
              <w:t>1 (R)</w:t>
            </w:r>
          </w:p>
        </w:tc>
        <w:tc>
          <w:tcPr>
            <w:tcW w:w="636" w:type="pct"/>
          </w:tcPr>
          <w:p w14:paraId="1F923C3B" w14:textId="77777777" w:rsidR="0012000E" w:rsidRPr="00F6173C" w:rsidRDefault="0012000E" w:rsidP="00D6140E">
            <w:pPr>
              <w:jc w:val="center"/>
              <w:rPr>
                <w:sz w:val="20"/>
                <w:szCs w:val="20"/>
                <w:lang w:val="en-GB" w:eastAsia="en-GB"/>
              </w:rPr>
            </w:pPr>
            <w:r>
              <w:rPr>
                <w:sz w:val="20"/>
                <w:szCs w:val="20"/>
              </w:rPr>
              <w:t>F</w:t>
            </w:r>
          </w:p>
        </w:tc>
        <w:tc>
          <w:tcPr>
            <w:tcW w:w="661" w:type="pct"/>
          </w:tcPr>
          <w:p w14:paraId="481D581C" w14:textId="77777777" w:rsidR="0012000E" w:rsidRPr="00F6173C" w:rsidRDefault="0012000E" w:rsidP="00D6140E">
            <w:pPr>
              <w:jc w:val="center"/>
              <w:rPr>
                <w:sz w:val="20"/>
                <w:szCs w:val="20"/>
                <w:lang w:val="en-GB" w:eastAsia="en-GB"/>
              </w:rPr>
            </w:pPr>
            <w:r>
              <w:rPr>
                <w:sz w:val="20"/>
                <w:szCs w:val="20"/>
              </w:rPr>
              <w:t>2019</w:t>
            </w:r>
          </w:p>
        </w:tc>
      </w:tr>
      <w:tr w:rsidR="0012000E" w:rsidRPr="00F6173C" w14:paraId="00F471AC" w14:textId="77777777" w:rsidTr="00B7639C">
        <w:trPr>
          <w:trHeight w:val="180"/>
        </w:trPr>
        <w:tc>
          <w:tcPr>
            <w:tcW w:w="1479" w:type="pct"/>
            <w:noWrap/>
          </w:tcPr>
          <w:p w14:paraId="67456D10" w14:textId="77777777" w:rsidR="0012000E" w:rsidRPr="00F6173C" w:rsidRDefault="0012000E" w:rsidP="00D6140E">
            <w:pPr>
              <w:pStyle w:val="ListParagraph"/>
              <w:ind w:left="0"/>
              <w:jc w:val="left"/>
              <w:rPr>
                <w:sz w:val="20"/>
                <w:szCs w:val="20"/>
                <w:lang w:val="en-US"/>
              </w:rPr>
            </w:pPr>
            <w:r>
              <w:rPr>
                <w:sz w:val="20"/>
                <w:szCs w:val="20"/>
              </w:rPr>
              <w:t>Star One</w:t>
            </w:r>
          </w:p>
        </w:tc>
        <w:tc>
          <w:tcPr>
            <w:tcW w:w="590" w:type="pct"/>
            <w:noWrap/>
          </w:tcPr>
          <w:p w14:paraId="6D75F965" w14:textId="77777777" w:rsidR="0012000E" w:rsidRPr="00F6173C" w:rsidRDefault="0012000E" w:rsidP="00D6140E">
            <w:pPr>
              <w:jc w:val="center"/>
              <w:rPr>
                <w:sz w:val="20"/>
                <w:szCs w:val="20"/>
                <w:lang w:val="en-GB" w:eastAsia="en-GB"/>
              </w:rPr>
            </w:pPr>
            <w:r>
              <w:rPr>
                <w:sz w:val="20"/>
                <w:szCs w:val="20"/>
              </w:rPr>
              <w:t>6</w:t>
            </w:r>
          </w:p>
        </w:tc>
        <w:tc>
          <w:tcPr>
            <w:tcW w:w="876" w:type="pct"/>
          </w:tcPr>
          <w:p w14:paraId="61ED77D3" w14:textId="77777777" w:rsidR="0012000E" w:rsidRPr="00F6173C" w:rsidRDefault="0012000E" w:rsidP="00D6140E">
            <w:pPr>
              <w:jc w:val="center"/>
              <w:rPr>
                <w:sz w:val="20"/>
                <w:szCs w:val="20"/>
                <w:lang w:val="en-GB" w:eastAsia="en-GB"/>
              </w:rPr>
            </w:pPr>
            <w:r>
              <w:rPr>
                <w:sz w:val="20"/>
                <w:szCs w:val="20"/>
              </w:rPr>
              <w:t>1</w:t>
            </w:r>
          </w:p>
        </w:tc>
        <w:tc>
          <w:tcPr>
            <w:tcW w:w="759" w:type="pct"/>
          </w:tcPr>
          <w:p w14:paraId="6E1AB54A" w14:textId="77777777" w:rsidR="0012000E" w:rsidRPr="00F6173C" w:rsidRDefault="0012000E" w:rsidP="00D6140E">
            <w:pPr>
              <w:jc w:val="center"/>
              <w:rPr>
                <w:sz w:val="20"/>
                <w:szCs w:val="20"/>
                <w:lang w:val="en-GB" w:eastAsia="en-GB"/>
              </w:rPr>
            </w:pPr>
            <w:r>
              <w:rPr>
                <w:sz w:val="20"/>
                <w:szCs w:val="20"/>
              </w:rPr>
              <w:t>1 (R)</w:t>
            </w:r>
          </w:p>
        </w:tc>
        <w:tc>
          <w:tcPr>
            <w:tcW w:w="636" w:type="pct"/>
          </w:tcPr>
          <w:p w14:paraId="11A9B758" w14:textId="77777777" w:rsidR="0012000E" w:rsidRPr="00F6173C" w:rsidRDefault="0012000E" w:rsidP="00D6140E">
            <w:pPr>
              <w:jc w:val="center"/>
              <w:rPr>
                <w:sz w:val="20"/>
                <w:szCs w:val="20"/>
                <w:lang w:val="en-GB" w:eastAsia="en-GB"/>
              </w:rPr>
            </w:pPr>
            <w:r>
              <w:rPr>
                <w:sz w:val="20"/>
                <w:szCs w:val="20"/>
              </w:rPr>
              <w:t>G</w:t>
            </w:r>
          </w:p>
        </w:tc>
        <w:tc>
          <w:tcPr>
            <w:tcW w:w="661" w:type="pct"/>
          </w:tcPr>
          <w:p w14:paraId="36EB6E55" w14:textId="77777777" w:rsidR="0012000E" w:rsidRPr="00F6173C" w:rsidRDefault="0012000E" w:rsidP="00D6140E">
            <w:pPr>
              <w:jc w:val="center"/>
              <w:rPr>
                <w:sz w:val="20"/>
                <w:szCs w:val="20"/>
                <w:lang w:val="en-GB" w:eastAsia="en-GB"/>
              </w:rPr>
            </w:pPr>
            <w:r>
              <w:rPr>
                <w:sz w:val="20"/>
                <w:szCs w:val="20"/>
              </w:rPr>
              <w:t>2011</w:t>
            </w:r>
          </w:p>
        </w:tc>
      </w:tr>
      <w:tr w:rsidR="0012000E" w:rsidRPr="00F6173C" w14:paraId="56725EB7" w14:textId="77777777" w:rsidTr="00B7639C">
        <w:trPr>
          <w:trHeight w:val="184"/>
        </w:trPr>
        <w:tc>
          <w:tcPr>
            <w:tcW w:w="1479" w:type="pct"/>
            <w:noWrap/>
          </w:tcPr>
          <w:p w14:paraId="3CB98F34" w14:textId="62AD38D6" w:rsidR="0012000E" w:rsidRPr="00F6173C" w:rsidRDefault="0012000E" w:rsidP="00D6140E">
            <w:pPr>
              <w:jc w:val="left"/>
              <w:rPr>
                <w:sz w:val="20"/>
                <w:szCs w:val="20"/>
                <w:lang w:val="en-US"/>
              </w:rPr>
            </w:pPr>
            <w:r>
              <w:rPr>
                <w:color w:val="000000"/>
                <w:sz w:val="20"/>
                <w:szCs w:val="20"/>
              </w:rPr>
              <w:t>Novatech West Point (Novatech)</w:t>
            </w:r>
          </w:p>
        </w:tc>
        <w:tc>
          <w:tcPr>
            <w:tcW w:w="590" w:type="pct"/>
            <w:noWrap/>
          </w:tcPr>
          <w:p w14:paraId="35B78ED1" w14:textId="77777777" w:rsidR="0012000E" w:rsidRPr="00F6173C" w:rsidRDefault="0012000E" w:rsidP="00D6140E">
            <w:pPr>
              <w:jc w:val="center"/>
              <w:rPr>
                <w:sz w:val="20"/>
                <w:szCs w:val="20"/>
                <w:lang w:val="en-GB" w:eastAsia="en-GB"/>
              </w:rPr>
            </w:pPr>
            <w:r>
              <w:rPr>
                <w:sz w:val="20"/>
                <w:szCs w:val="20"/>
              </w:rPr>
              <w:t>4</w:t>
            </w:r>
          </w:p>
        </w:tc>
        <w:tc>
          <w:tcPr>
            <w:tcW w:w="876" w:type="pct"/>
          </w:tcPr>
          <w:p w14:paraId="5DEEAD75" w14:textId="77777777" w:rsidR="0012000E" w:rsidRPr="00F6173C" w:rsidRDefault="0012000E" w:rsidP="00D6140E">
            <w:pPr>
              <w:jc w:val="center"/>
              <w:rPr>
                <w:sz w:val="20"/>
                <w:szCs w:val="20"/>
                <w:lang w:val="en-GB" w:eastAsia="en-GB"/>
              </w:rPr>
            </w:pPr>
            <w:r>
              <w:rPr>
                <w:sz w:val="20"/>
                <w:szCs w:val="20"/>
              </w:rPr>
              <w:t>1</w:t>
            </w:r>
          </w:p>
        </w:tc>
        <w:tc>
          <w:tcPr>
            <w:tcW w:w="759" w:type="pct"/>
          </w:tcPr>
          <w:p w14:paraId="288150ED" w14:textId="77777777" w:rsidR="0012000E" w:rsidRPr="00F6173C" w:rsidRDefault="0012000E" w:rsidP="00D6140E">
            <w:pPr>
              <w:jc w:val="center"/>
              <w:rPr>
                <w:sz w:val="20"/>
                <w:szCs w:val="20"/>
                <w:lang w:val="en-GB" w:eastAsia="en-GB"/>
              </w:rPr>
            </w:pPr>
            <w:r>
              <w:rPr>
                <w:sz w:val="20"/>
                <w:szCs w:val="20"/>
              </w:rPr>
              <w:t>2 (R, ML)</w:t>
            </w:r>
          </w:p>
        </w:tc>
        <w:tc>
          <w:tcPr>
            <w:tcW w:w="636" w:type="pct"/>
          </w:tcPr>
          <w:p w14:paraId="040A4B66" w14:textId="77777777" w:rsidR="0012000E" w:rsidRPr="00F6173C" w:rsidRDefault="0012000E" w:rsidP="00D6140E">
            <w:pPr>
              <w:jc w:val="center"/>
              <w:rPr>
                <w:sz w:val="20"/>
                <w:szCs w:val="20"/>
                <w:lang w:val="en-GB" w:eastAsia="en-GB"/>
              </w:rPr>
            </w:pPr>
            <w:r>
              <w:rPr>
                <w:sz w:val="20"/>
                <w:szCs w:val="20"/>
              </w:rPr>
              <w:t>H</w:t>
            </w:r>
          </w:p>
        </w:tc>
        <w:tc>
          <w:tcPr>
            <w:tcW w:w="661" w:type="pct"/>
          </w:tcPr>
          <w:p w14:paraId="19FB3D7B" w14:textId="77777777" w:rsidR="0012000E" w:rsidRPr="00F6173C" w:rsidRDefault="0012000E" w:rsidP="00D6140E">
            <w:pPr>
              <w:tabs>
                <w:tab w:val="left" w:pos="714"/>
              </w:tabs>
              <w:jc w:val="center"/>
              <w:rPr>
                <w:sz w:val="20"/>
                <w:szCs w:val="20"/>
                <w:lang w:val="en-GB" w:eastAsia="en-GB"/>
              </w:rPr>
            </w:pPr>
            <w:r>
              <w:rPr>
                <w:sz w:val="20"/>
                <w:szCs w:val="20"/>
              </w:rPr>
              <w:t>2004</w:t>
            </w:r>
          </w:p>
        </w:tc>
      </w:tr>
      <w:tr w:rsidR="0012000E" w:rsidRPr="00F6173C" w14:paraId="703EFA70" w14:textId="77777777" w:rsidTr="00B7639C">
        <w:trPr>
          <w:trHeight w:val="124"/>
        </w:trPr>
        <w:tc>
          <w:tcPr>
            <w:tcW w:w="1479" w:type="pct"/>
            <w:noWrap/>
          </w:tcPr>
          <w:p w14:paraId="7CA873CF" w14:textId="5939EC05" w:rsidR="0012000E" w:rsidRPr="00F6173C" w:rsidRDefault="0012000E" w:rsidP="00D6140E">
            <w:pPr>
              <w:jc w:val="left"/>
              <w:rPr>
                <w:sz w:val="20"/>
                <w:szCs w:val="20"/>
                <w:lang w:val="en-US"/>
              </w:rPr>
            </w:pPr>
            <w:r>
              <w:rPr>
                <w:color w:val="000000"/>
                <w:sz w:val="20"/>
                <w:szCs w:val="20"/>
              </w:rPr>
              <w:t>Société New Star (New Star)</w:t>
            </w:r>
          </w:p>
        </w:tc>
        <w:tc>
          <w:tcPr>
            <w:tcW w:w="590" w:type="pct"/>
            <w:noWrap/>
          </w:tcPr>
          <w:p w14:paraId="656FCA87" w14:textId="77777777" w:rsidR="0012000E" w:rsidRPr="00F6173C" w:rsidRDefault="0012000E" w:rsidP="00D6140E">
            <w:pPr>
              <w:jc w:val="center"/>
              <w:rPr>
                <w:sz w:val="20"/>
                <w:szCs w:val="20"/>
                <w:lang w:val="en-GB" w:eastAsia="en-GB"/>
              </w:rPr>
            </w:pPr>
            <w:r>
              <w:rPr>
                <w:sz w:val="20"/>
                <w:szCs w:val="20"/>
              </w:rPr>
              <w:t>7</w:t>
            </w:r>
          </w:p>
        </w:tc>
        <w:tc>
          <w:tcPr>
            <w:tcW w:w="876" w:type="pct"/>
          </w:tcPr>
          <w:p w14:paraId="0CB9807A" w14:textId="77777777" w:rsidR="0012000E" w:rsidRPr="00F6173C" w:rsidRDefault="0012000E" w:rsidP="00D6140E">
            <w:pPr>
              <w:jc w:val="center"/>
              <w:rPr>
                <w:sz w:val="20"/>
                <w:szCs w:val="20"/>
                <w:lang w:val="en-GB" w:eastAsia="en-GB"/>
              </w:rPr>
            </w:pPr>
            <w:r>
              <w:rPr>
                <w:sz w:val="20"/>
                <w:szCs w:val="20"/>
              </w:rPr>
              <w:t>1</w:t>
            </w:r>
          </w:p>
        </w:tc>
        <w:tc>
          <w:tcPr>
            <w:tcW w:w="759" w:type="pct"/>
          </w:tcPr>
          <w:p w14:paraId="43827D38" w14:textId="77777777" w:rsidR="0012000E" w:rsidRPr="00F6173C" w:rsidRDefault="0012000E" w:rsidP="00D6140E">
            <w:pPr>
              <w:jc w:val="center"/>
              <w:rPr>
                <w:sz w:val="20"/>
                <w:szCs w:val="20"/>
                <w:lang w:val="en-GB" w:eastAsia="en-GB"/>
              </w:rPr>
            </w:pPr>
            <w:r>
              <w:rPr>
                <w:sz w:val="20"/>
                <w:szCs w:val="20"/>
              </w:rPr>
              <w:t>0</w:t>
            </w:r>
          </w:p>
        </w:tc>
        <w:tc>
          <w:tcPr>
            <w:tcW w:w="636" w:type="pct"/>
          </w:tcPr>
          <w:p w14:paraId="000AB054" w14:textId="77777777" w:rsidR="0012000E" w:rsidRPr="00F6173C" w:rsidRDefault="0012000E" w:rsidP="00D6140E">
            <w:pPr>
              <w:jc w:val="center"/>
              <w:rPr>
                <w:sz w:val="20"/>
                <w:szCs w:val="20"/>
                <w:lang w:val="en-GB" w:eastAsia="en-GB"/>
              </w:rPr>
            </w:pPr>
            <w:r>
              <w:rPr>
                <w:sz w:val="20"/>
                <w:szCs w:val="20"/>
              </w:rPr>
              <w:t>E</w:t>
            </w:r>
          </w:p>
        </w:tc>
        <w:tc>
          <w:tcPr>
            <w:tcW w:w="661" w:type="pct"/>
          </w:tcPr>
          <w:p w14:paraId="351B37F8" w14:textId="77777777" w:rsidR="0012000E" w:rsidRPr="00F6173C" w:rsidRDefault="0012000E" w:rsidP="00D6140E">
            <w:pPr>
              <w:jc w:val="center"/>
              <w:rPr>
                <w:sz w:val="20"/>
                <w:szCs w:val="20"/>
                <w:lang w:val="en-GB" w:eastAsia="en-GB"/>
              </w:rPr>
            </w:pPr>
            <w:r>
              <w:rPr>
                <w:sz w:val="20"/>
                <w:szCs w:val="20"/>
              </w:rPr>
              <w:t>1997</w:t>
            </w:r>
          </w:p>
        </w:tc>
      </w:tr>
      <w:tr w:rsidR="0012000E" w:rsidRPr="00F6173C" w14:paraId="65CBE92B" w14:textId="77777777" w:rsidTr="00B7639C">
        <w:trPr>
          <w:trHeight w:val="124"/>
        </w:trPr>
        <w:tc>
          <w:tcPr>
            <w:tcW w:w="1479" w:type="pct"/>
            <w:noWrap/>
          </w:tcPr>
          <w:p w14:paraId="3B1A7DE5" w14:textId="77777777" w:rsidR="0012000E" w:rsidRPr="00F6173C" w:rsidRDefault="0012000E" w:rsidP="00D6140E">
            <w:pPr>
              <w:pStyle w:val="ListParagraph"/>
              <w:ind w:left="0"/>
              <w:jc w:val="left"/>
              <w:rPr>
                <w:sz w:val="20"/>
                <w:szCs w:val="20"/>
                <w:lang w:val="en-US"/>
              </w:rPr>
            </w:pPr>
            <w:r>
              <w:rPr>
                <w:sz w:val="20"/>
                <w:szCs w:val="20"/>
              </w:rPr>
              <w:t>Condor Tunisie</w:t>
            </w:r>
          </w:p>
        </w:tc>
        <w:tc>
          <w:tcPr>
            <w:tcW w:w="590" w:type="pct"/>
            <w:noWrap/>
          </w:tcPr>
          <w:p w14:paraId="025C808E" w14:textId="77777777" w:rsidR="0012000E" w:rsidRPr="00F6173C" w:rsidRDefault="0012000E" w:rsidP="00D6140E">
            <w:pPr>
              <w:jc w:val="center"/>
              <w:rPr>
                <w:sz w:val="20"/>
                <w:szCs w:val="20"/>
                <w:lang w:val="en-GB" w:eastAsia="en-GB"/>
              </w:rPr>
            </w:pPr>
            <w:r>
              <w:rPr>
                <w:sz w:val="20"/>
                <w:szCs w:val="20"/>
              </w:rPr>
              <w:t>8</w:t>
            </w:r>
          </w:p>
        </w:tc>
        <w:tc>
          <w:tcPr>
            <w:tcW w:w="876" w:type="pct"/>
          </w:tcPr>
          <w:p w14:paraId="31BC6A34" w14:textId="77777777" w:rsidR="0012000E" w:rsidRPr="00F6173C" w:rsidRDefault="0012000E" w:rsidP="00D6140E">
            <w:pPr>
              <w:jc w:val="center"/>
              <w:rPr>
                <w:sz w:val="20"/>
                <w:szCs w:val="20"/>
                <w:lang w:val="en-GB" w:eastAsia="en-GB"/>
              </w:rPr>
            </w:pPr>
            <w:r>
              <w:rPr>
                <w:sz w:val="20"/>
                <w:szCs w:val="20"/>
              </w:rPr>
              <w:t>1</w:t>
            </w:r>
          </w:p>
        </w:tc>
        <w:tc>
          <w:tcPr>
            <w:tcW w:w="759" w:type="pct"/>
          </w:tcPr>
          <w:p w14:paraId="24432396" w14:textId="77777777" w:rsidR="0012000E" w:rsidRPr="00F6173C" w:rsidRDefault="0012000E" w:rsidP="00D6140E">
            <w:pPr>
              <w:jc w:val="center"/>
              <w:rPr>
                <w:sz w:val="20"/>
                <w:szCs w:val="20"/>
                <w:lang w:val="en-GB" w:eastAsia="en-GB"/>
              </w:rPr>
            </w:pPr>
            <w:r>
              <w:rPr>
                <w:sz w:val="20"/>
                <w:szCs w:val="20"/>
              </w:rPr>
              <w:t>1 (R)</w:t>
            </w:r>
          </w:p>
        </w:tc>
        <w:tc>
          <w:tcPr>
            <w:tcW w:w="636" w:type="pct"/>
          </w:tcPr>
          <w:p w14:paraId="3EB9020A" w14:textId="77777777" w:rsidR="0012000E" w:rsidRPr="00F6173C" w:rsidRDefault="0012000E" w:rsidP="00D6140E">
            <w:pPr>
              <w:jc w:val="center"/>
              <w:rPr>
                <w:sz w:val="20"/>
                <w:szCs w:val="20"/>
                <w:lang w:val="en-GB" w:eastAsia="en-GB"/>
              </w:rPr>
            </w:pPr>
            <w:r>
              <w:rPr>
                <w:sz w:val="20"/>
                <w:szCs w:val="20"/>
              </w:rPr>
              <w:t>F</w:t>
            </w:r>
          </w:p>
        </w:tc>
        <w:tc>
          <w:tcPr>
            <w:tcW w:w="661" w:type="pct"/>
          </w:tcPr>
          <w:p w14:paraId="5A901D96" w14:textId="77777777" w:rsidR="0012000E" w:rsidRPr="00F6173C" w:rsidRDefault="0012000E" w:rsidP="00D6140E">
            <w:pPr>
              <w:jc w:val="center"/>
              <w:rPr>
                <w:sz w:val="20"/>
                <w:szCs w:val="20"/>
                <w:lang w:val="en-GB" w:eastAsia="en-GB"/>
              </w:rPr>
            </w:pPr>
            <w:r>
              <w:rPr>
                <w:sz w:val="20"/>
                <w:szCs w:val="20"/>
              </w:rPr>
              <w:t>2023</w:t>
            </w:r>
          </w:p>
        </w:tc>
      </w:tr>
    </w:tbl>
    <w:p w14:paraId="5ABD031E" w14:textId="77777777" w:rsidR="0012000E" w:rsidRPr="00FC324B" w:rsidRDefault="0012000E" w:rsidP="00875D3E">
      <w:pPr>
        <w:widowControl w:val="0"/>
        <w:rPr>
          <w:sz w:val="18"/>
          <w:szCs w:val="18"/>
        </w:rPr>
      </w:pPr>
      <w:r>
        <w:rPr>
          <w:sz w:val="18"/>
          <w:szCs w:val="18"/>
          <w:vertAlign w:val="superscript"/>
        </w:rPr>
        <w:t>*</w:t>
      </w:r>
      <w:r>
        <w:rPr>
          <w:sz w:val="18"/>
          <w:szCs w:val="18"/>
        </w:rPr>
        <w:t xml:space="preserve"> R = réfrigérateur domestique ; ML = machine à laver; DE = distributeur d'eau</w:t>
      </w:r>
    </w:p>
    <w:p w14:paraId="202D7057" w14:textId="38475198" w:rsidR="0012000E" w:rsidRDefault="0012000E" w:rsidP="00875D3E">
      <w:pPr>
        <w:widowControl w:val="0"/>
        <w:rPr>
          <w:sz w:val="18"/>
          <w:szCs w:val="18"/>
        </w:rPr>
      </w:pPr>
      <w:r>
        <w:rPr>
          <w:sz w:val="18"/>
          <w:szCs w:val="18"/>
        </w:rPr>
        <w:t xml:space="preserve">** Pour des raisons de confidentialité, le volume de production est indiqué par tranches : A ≥ 50 001 ; 50 000 ≥ B &gt; 40 000 ; 40 000 ≥ C &gt; 30 000 ; 30 000 ≥ D &gt; 20 000 ; 20 000 ≥ E &gt; 10 000 ; 10 000 ≥ F &gt; 5 000 ; 5 000 ≥ G &gt; 2 500 ; et H ≤ 2 500. </w:t>
      </w:r>
    </w:p>
    <w:p w14:paraId="0A3B764D" w14:textId="65B5A9B8" w:rsidR="0012000E" w:rsidRPr="00FC324B" w:rsidRDefault="0012000E" w:rsidP="00875D3E">
      <w:pPr>
        <w:widowControl w:val="0"/>
        <w:rPr>
          <w:sz w:val="18"/>
          <w:szCs w:val="18"/>
        </w:rPr>
      </w:pPr>
      <w:r>
        <w:rPr>
          <w:sz w:val="18"/>
          <w:szCs w:val="18"/>
        </w:rPr>
        <w:t>*** Année de création de la chaîne de fabrication de climatiseurs par opposition à celle de l'entreprise.</w:t>
      </w:r>
    </w:p>
    <w:p w14:paraId="26362065" w14:textId="77777777" w:rsidR="0012000E" w:rsidRDefault="0012000E" w:rsidP="0012000E">
      <w:pPr>
        <w:keepNext/>
        <w:spacing w:before="240" w:after="240"/>
        <w:rPr>
          <w:u w:val="single"/>
        </w:rPr>
      </w:pPr>
      <w:r>
        <w:rPr>
          <w:u w:val="single"/>
        </w:rPr>
        <w:t>Activités proposées et coûts demandés</w:t>
      </w:r>
    </w:p>
    <w:p w14:paraId="058593EB" w14:textId="77777777" w:rsidR="0012000E" w:rsidRPr="003F1AE2" w:rsidRDefault="0012000E" w:rsidP="0012000E">
      <w:pPr>
        <w:keepNext/>
        <w:spacing w:before="240" w:after="240"/>
        <w:rPr>
          <w:i/>
          <w:iCs/>
        </w:rPr>
      </w:pPr>
      <w:r>
        <w:rPr>
          <w:i/>
          <w:iCs/>
        </w:rPr>
        <w:t>Activités de fabrication</w:t>
      </w:r>
    </w:p>
    <w:p w14:paraId="70884DF3" w14:textId="476D9579" w:rsidR="0012000E" w:rsidRPr="00731D34" w:rsidRDefault="0012000E" w:rsidP="0012000E">
      <w:pPr>
        <w:pStyle w:val="Heading1"/>
      </w:pPr>
      <w:r>
        <w:t>Le projet aiderait les entreprises dans la conception des produits, la modification des installations de fabrication et le renforcement des capacités techniques afin de permettre la fabrication d'équipements plus efficaces sur le plan énergétique. Il serait achevé dans les 36 mois à compter de la date d'approbation par le Comité exécutif. Le rendement énergétique des produits concernés serait vérifié à la fin du projet et la quantité de produits fabriqués au cours de l'année suivant l'achèvement du projet permettrait d'évaluer le rendement énergétique.</w:t>
      </w:r>
    </w:p>
    <w:p w14:paraId="38234A3B" w14:textId="1D8D98ED" w:rsidR="0012000E" w:rsidRPr="00763771" w:rsidRDefault="0012000E" w:rsidP="0012000E">
      <w:pPr>
        <w:pStyle w:val="Heading1"/>
        <w:rPr>
          <w:lang w:val="fr-FR"/>
        </w:rPr>
      </w:pPr>
      <w:r>
        <w:t>Chacune des entreprises participantes s'engage à fabriquer des équipements présentant au moins la performance énergétique cible après l'achèvement du projet et à déployer tous les efforts possibles pour continuer à améliorer le rendement énergétique de ces produits au-delà de la durée du projet, à ses propres frais. Bien que les entreprises n'aient pas exporté de climatiseurs à ce jour, si elles devaient le faire à l'avenir, les climatiseurs exportés auraient une performance énergétique supérieure aux MEPS nationales. Les performances des équipements couverts par le projet seront surveillées pendant une période de deux ans à compter de la date d'achèvement du projet par l'UNO et l'ONUDI.</w:t>
      </w:r>
    </w:p>
    <w:p w14:paraId="3CE38317" w14:textId="77777777" w:rsidR="0012000E" w:rsidRDefault="0012000E" w:rsidP="0012000E">
      <w:pPr>
        <w:pStyle w:val="Heading1"/>
      </w:pPr>
      <w:r>
        <w:t>Des coûts d'investissement supplémentaires ont été demandés pour toutes les entreprises en fonction de la conception et des essais des produits ; des modifications apportées aux installations de fabrication ; ainsi que de la formation et du renforcement des capacités, comme suit :</w:t>
      </w:r>
    </w:p>
    <w:p w14:paraId="7F28D208" w14:textId="3DCD0113" w:rsidR="0012000E" w:rsidRDefault="0012000E" w:rsidP="00B7639C">
      <w:pPr>
        <w:pStyle w:val="Heading2"/>
        <w:ind w:left="1440" w:hanging="720"/>
      </w:pPr>
      <w:r>
        <w:t>Conception et essais des produits : 50 000 $US pour la conception, les logiciels de simulation, la mise au point de prototypes, les essais et la certification dans un laboratoire agréé, par entreprise, sauf pour Star One et New Star, qui ont importé des nécessaires en pièces détachées (NED) et n'ont donc pas eu besoin d'une telle aide, et Sicad Coala, pour laquelle 60 000 $US ont été demandés, car l'entreprise souhaitait acheter une chambre calorimétrique standard (58 000 $US) et un logiciel de simulation (2 000 $US) ;</w:t>
      </w:r>
    </w:p>
    <w:p w14:paraId="5C0E8473" w14:textId="611313AE" w:rsidR="0012000E" w:rsidRDefault="0012000E" w:rsidP="00B7639C">
      <w:pPr>
        <w:pStyle w:val="Heading2"/>
        <w:ind w:left="1440" w:hanging="720"/>
      </w:pPr>
      <w:r>
        <w:t xml:space="preserve">Modifications apportées aux installations de fabrication : niveaux de financement allant de 35 000 $US (3 Stars Electronics) à 300 000 $US (Société Industrielle Méga), selon l'utilisation ou non de NED (bancs d'essai de performance) et la nécessité et l'ampleur des modifications à apporter aux équipements d'échangeurs de chaleur pour passer à des tubes plus étroits (dérouleur de cuivre, presse à ailettes en T, cintreuse, machine d'expansion de tubes et four de contrôle) ; et </w:t>
      </w:r>
    </w:p>
    <w:p w14:paraId="33FC203F" w14:textId="33E6DDA4" w:rsidR="0012000E" w:rsidRDefault="0012000E" w:rsidP="00B7639C">
      <w:pPr>
        <w:pStyle w:val="Heading2"/>
        <w:ind w:left="1440" w:hanging="720"/>
      </w:pPr>
      <w:r>
        <w:t xml:space="preserve">Formation et renforcement des capacités : 15 000 $US pour la formation de 10 employés </w:t>
      </w:r>
      <w:r>
        <w:lastRenderedPageBreak/>
        <w:t xml:space="preserve">de toutes les entreprises, à l'exception de Sicad Coala (9 000 $US pour six employés) et Novatech (7 500 $US pour cinq employés). </w:t>
      </w:r>
    </w:p>
    <w:p w14:paraId="6A6DDD03" w14:textId="36651CA3" w:rsidR="0012000E" w:rsidRPr="003977A6" w:rsidRDefault="0012000E" w:rsidP="0012000E">
      <w:pPr>
        <w:pStyle w:val="Heading1"/>
      </w:pPr>
      <w:r>
        <w:t xml:space="preserve">L'ONUDI a présenté des informations détaillées sur chaque modèle fabriqué par les entreprises, notamment le nombre d'unités vendues entre 2022 et 2024, la capacité de chaque modèle et s'il était équipé d'un compresseur à vitesse fixe ou variable, le prix des composants de référence et des composants qui seront utilisés dans les climatiseurs plus efficaces sur le plan énergétique, ainsi que les performances énergétiques de référence et cibles de chaque modèle. Ces informations sont considérées comme confidentielles et sont disponibles sur demande des membres du Comité exécutif, étant entendu qu'elles ne seront pas divulguées et qu'elles seront utilisées uniquement pour évaluer le projet. Le coût supplémentaire des composants nécessaires pour atteindre les objectifs de rendement énergétique a été calculé à partir de ces informations, notamment le coût des compresseurs à haut rendement énergétique, des échangeurs de chaleur, des moteurs à commutation électronique (ECM) et des cartes électroniques par rapport aux composants de base. Il en résulte des coûts supplémentaires variables pour les composants, qui dépendent notamment du fait que le climatiseur de base est équipé d'un compresseur à vitesse fixe ou variable et du prix relatif des autres composants. Les coûts minimaux, moyens et maximaux des composants supplémentaires sont respectivement de 42 $US/unité, 95,75 $US/unité et 189 $US/unité. </w:t>
      </w:r>
    </w:p>
    <w:p w14:paraId="13C4AAE9" w14:textId="4B97CE9B" w:rsidR="0012000E" w:rsidRPr="00871869" w:rsidRDefault="0012000E" w:rsidP="0012000E">
      <w:pPr>
        <w:pStyle w:val="Heading1"/>
        <w:rPr>
          <w:b/>
          <w:bCs/>
        </w:rPr>
      </w:pPr>
      <w:r>
        <w:t xml:space="preserve">Les coûts d'investissement supplémentaires admissibles par entreprise ont été calculés sur la base du volume de production annuel de chaque entreprise, conformément au tableau 3 du document UNEP/OzL.Pro/ExCom/94/61, tandis que les coûts supplémentaires admissibles des composants ont été calculés sur la base du tableau 4. D'après ces calculs, le montant total demandé s'élevait à 1 661 962 $US, dont 820 000 $US pour les coûts d'investissement supplémentaires et 841 962 $US pour les coûts supplémentaires liés aux composants, comme indiqué dans le tableau 3 ci-dessous. </w:t>
      </w:r>
    </w:p>
    <w:p w14:paraId="7ADD78EB" w14:textId="16B38857" w:rsidR="0012000E" w:rsidRPr="005764C2" w:rsidRDefault="0012000E" w:rsidP="00B468E3">
      <w:pPr>
        <w:pStyle w:val="Heading1"/>
        <w:keepNext/>
        <w:keepLines/>
        <w:numPr>
          <w:ilvl w:val="0"/>
          <w:numId w:val="0"/>
        </w:numPr>
        <w:spacing w:after="0"/>
        <w:rPr>
          <w:b/>
          <w:bCs/>
        </w:rPr>
      </w:pPr>
      <w:r>
        <w:rPr>
          <w:b/>
          <w:bCs/>
        </w:rPr>
        <w:t>Tableau 3. Performance énergétique de base, performance énergétique cible, investissements initiaux et coûts supplémentaires liés aux composants, tels que présentés</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
        <w:gridCol w:w="1275"/>
        <w:gridCol w:w="1102"/>
        <w:gridCol w:w="753"/>
        <w:gridCol w:w="753"/>
        <w:gridCol w:w="1047"/>
        <w:gridCol w:w="9"/>
        <w:gridCol w:w="747"/>
        <w:gridCol w:w="15"/>
        <w:gridCol w:w="961"/>
        <w:gridCol w:w="850"/>
        <w:gridCol w:w="851"/>
        <w:gridCol w:w="992"/>
      </w:tblGrid>
      <w:tr w:rsidR="009B5CC1" w:rsidRPr="006415C3" w14:paraId="3288CAA1" w14:textId="5A7E58D7" w:rsidTr="00ED6D22">
        <w:trPr>
          <w:trHeight w:val="189"/>
          <w:tblHeader/>
        </w:trPr>
        <w:tc>
          <w:tcPr>
            <w:tcW w:w="1281" w:type="dxa"/>
            <w:gridSpan w:val="2"/>
            <w:noWrap/>
            <w:vAlign w:val="center"/>
            <w:hideMark/>
          </w:tcPr>
          <w:p w14:paraId="1D74CC21" w14:textId="77777777" w:rsidR="00805D16" w:rsidRPr="009B5CC1" w:rsidRDefault="00805D16" w:rsidP="00B468E3">
            <w:pPr>
              <w:keepNext/>
              <w:keepLines/>
              <w:jc w:val="center"/>
              <w:rPr>
                <w:b/>
                <w:bCs/>
                <w:color w:val="000000"/>
                <w:sz w:val="19"/>
                <w:szCs w:val="19"/>
                <w:lang w:eastAsia="en-CA"/>
              </w:rPr>
            </w:pPr>
            <w:r>
              <w:rPr>
                <w:b/>
                <w:bCs/>
                <w:color w:val="000000"/>
                <w:sz w:val="19"/>
                <w:szCs w:val="19"/>
              </w:rPr>
              <w:t>Concept</w:t>
            </w:r>
          </w:p>
        </w:tc>
        <w:tc>
          <w:tcPr>
            <w:tcW w:w="1102" w:type="dxa"/>
            <w:noWrap/>
            <w:vAlign w:val="center"/>
            <w:hideMark/>
          </w:tcPr>
          <w:p w14:paraId="24C7D21A" w14:textId="77777777" w:rsidR="00805D16" w:rsidRPr="009B5CC1" w:rsidRDefault="00805D16" w:rsidP="00B468E3">
            <w:pPr>
              <w:keepNext/>
              <w:keepLines/>
              <w:jc w:val="center"/>
              <w:rPr>
                <w:b/>
                <w:bCs/>
                <w:color w:val="000000"/>
                <w:sz w:val="19"/>
                <w:szCs w:val="19"/>
                <w:lang w:eastAsia="en-CA"/>
              </w:rPr>
            </w:pPr>
            <w:bookmarkStart w:id="15" w:name="_Hlk212570528"/>
            <w:r>
              <w:rPr>
                <w:b/>
                <w:bCs/>
                <w:color w:val="000000"/>
                <w:sz w:val="19"/>
                <w:szCs w:val="19"/>
              </w:rPr>
              <w:t>Société Industrielle Méga</w:t>
            </w:r>
            <w:bookmarkEnd w:id="15"/>
          </w:p>
        </w:tc>
        <w:tc>
          <w:tcPr>
            <w:tcW w:w="753" w:type="dxa"/>
            <w:noWrap/>
            <w:vAlign w:val="center"/>
            <w:hideMark/>
          </w:tcPr>
          <w:p w14:paraId="20D3E732" w14:textId="77777777" w:rsidR="00805D16" w:rsidRPr="009B5CC1" w:rsidRDefault="00805D16" w:rsidP="00B468E3">
            <w:pPr>
              <w:keepNext/>
              <w:keepLines/>
              <w:jc w:val="center"/>
              <w:rPr>
                <w:b/>
                <w:bCs/>
                <w:color w:val="000000"/>
                <w:sz w:val="19"/>
                <w:szCs w:val="19"/>
                <w:lang w:eastAsia="en-CA"/>
              </w:rPr>
            </w:pPr>
            <w:r>
              <w:rPr>
                <w:b/>
                <w:bCs/>
                <w:color w:val="000000"/>
                <w:sz w:val="19"/>
                <w:szCs w:val="19"/>
              </w:rPr>
              <w:t>El Athir</w:t>
            </w:r>
          </w:p>
        </w:tc>
        <w:tc>
          <w:tcPr>
            <w:tcW w:w="753" w:type="dxa"/>
            <w:noWrap/>
            <w:vAlign w:val="center"/>
            <w:hideMark/>
          </w:tcPr>
          <w:p w14:paraId="7C592208" w14:textId="77777777" w:rsidR="00805D16" w:rsidRPr="009B5CC1" w:rsidRDefault="00805D16" w:rsidP="00B468E3">
            <w:pPr>
              <w:keepNext/>
              <w:keepLines/>
              <w:jc w:val="center"/>
              <w:rPr>
                <w:b/>
                <w:bCs/>
                <w:color w:val="000000"/>
                <w:sz w:val="19"/>
                <w:szCs w:val="19"/>
                <w:lang w:eastAsia="en-CA"/>
              </w:rPr>
            </w:pPr>
            <w:r>
              <w:rPr>
                <w:b/>
                <w:bCs/>
                <w:color w:val="000000"/>
                <w:sz w:val="19"/>
                <w:szCs w:val="19"/>
              </w:rPr>
              <w:t>Sicad Coala</w:t>
            </w:r>
          </w:p>
        </w:tc>
        <w:tc>
          <w:tcPr>
            <w:tcW w:w="1056" w:type="dxa"/>
            <w:gridSpan w:val="2"/>
            <w:noWrap/>
            <w:vAlign w:val="center"/>
            <w:hideMark/>
          </w:tcPr>
          <w:p w14:paraId="027B87F1" w14:textId="77777777" w:rsidR="00805D16" w:rsidRPr="009B5CC1" w:rsidRDefault="00805D16" w:rsidP="00B468E3">
            <w:pPr>
              <w:keepNext/>
              <w:keepLines/>
              <w:jc w:val="center"/>
              <w:rPr>
                <w:b/>
                <w:bCs/>
                <w:color w:val="000000"/>
                <w:sz w:val="19"/>
                <w:szCs w:val="19"/>
                <w:lang w:eastAsia="en-CA"/>
              </w:rPr>
            </w:pPr>
            <w:r>
              <w:rPr>
                <w:b/>
                <w:bCs/>
                <w:color w:val="000000"/>
                <w:sz w:val="19"/>
                <w:szCs w:val="19"/>
              </w:rPr>
              <w:t>3 Stars Electronics</w:t>
            </w:r>
          </w:p>
        </w:tc>
        <w:tc>
          <w:tcPr>
            <w:tcW w:w="762" w:type="dxa"/>
            <w:gridSpan w:val="2"/>
            <w:noWrap/>
            <w:vAlign w:val="center"/>
            <w:hideMark/>
          </w:tcPr>
          <w:p w14:paraId="581AE5EA" w14:textId="77777777" w:rsidR="00805D16" w:rsidRPr="009B5CC1" w:rsidRDefault="00805D16" w:rsidP="00B468E3">
            <w:pPr>
              <w:keepNext/>
              <w:keepLines/>
              <w:jc w:val="center"/>
              <w:rPr>
                <w:b/>
                <w:bCs/>
                <w:color w:val="000000"/>
                <w:sz w:val="19"/>
                <w:szCs w:val="19"/>
                <w:lang w:eastAsia="en-CA"/>
              </w:rPr>
            </w:pPr>
            <w:r>
              <w:rPr>
                <w:b/>
                <w:bCs/>
                <w:color w:val="000000"/>
                <w:sz w:val="19"/>
                <w:szCs w:val="19"/>
              </w:rPr>
              <w:t>Star One</w:t>
            </w:r>
          </w:p>
        </w:tc>
        <w:tc>
          <w:tcPr>
            <w:tcW w:w="961" w:type="dxa"/>
            <w:noWrap/>
            <w:vAlign w:val="center"/>
            <w:hideMark/>
          </w:tcPr>
          <w:p w14:paraId="1AF33926" w14:textId="7397EF43" w:rsidR="00805D16" w:rsidRPr="009B5CC1" w:rsidRDefault="00805D16" w:rsidP="00B468E3">
            <w:pPr>
              <w:keepNext/>
              <w:keepLines/>
              <w:jc w:val="center"/>
              <w:rPr>
                <w:b/>
                <w:bCs/>
                <w:color w:val="000000"/>
                <w:sz w:val="19"/>
                <w:szCs w:val="19"/>
                <w:lang w:eastAsia="en-CA"/>
              </w:rPr>
            </w:pPr>
            <w:r>
              <w:rPr>
                <w:b/>
                <w:bCs/>
                <w:color w:val="000000"/>
                <w:sz w:val="19"/>
                <w:szCs w:val="19"/>
              </w:rPr>
              <w:t>Novatech</w:t>
            </w:r>
          </w:p>
        </w:tc>
        <w:tc>
          <w:tcPr>
            <w:tcW w:w="850" w:type="dxa"/>
            <w:noWrap/>
            <w:vAlign w:val="center"/>
            <w:hideMark/>
          </w:tcPr>
          <w:p w14:paraId="7FE429F0" w14:textId="18B2EF68" w:rsidR="00805D16" w:rsidRPr="009B5CC1" w:rsidRDefault="00805D16" w:rsidP="00B468E3">
            <w:pPr>
              <w:keepNext/>
              <w:keepLines/>
              <w:jc w:val="center"/>
              <w:rPr>
                <w:b/>
                <w:bCs/>
                <w:color w:val="000000"/>
                <w:sz w:val="19"/>
                <w:szCs w:val="19"/>
                <w:lang w:eastAsia="en-CA"/>
              </w:rPr>
            </w:pPr>
            <w:r>
              <w:rPr>
                <w:b/>
                <w:bCs/>
                <w:color w:val="000000"/>
                <w:sz w:val="19"/>
                <w:szCs w:val="19"/>
              </w:rPr>
              <w:t>New Star</w:t>
            </w:r>
          </w:p>
        </w:tc>
        <w:tc>
          <w:tcPr>
            <w:tcW w:w="851" w:type="dxa"/>
            <w:noWrap/>
            <w:vAlign w:val="center"/>
            <w:hideMark/>
          </w:tcPr>
          <w:p w14:paraId="6F29D2CC" w14:textId="77777777" w:rsidR="00805D16" w:rsidRPr="009B5CC1" w:rsidRDefault="00805D16" w:rsidP="00B468E3">
            <w:pPr>
              <w:keepNext/>
              <w:keepLines/>
              <w:jc w:val="center"/>
              <w:rPr>
                <w:b/>
                <w:bCs/>
                <w:color w:val="000000"/>
                <w:sz w:val="19"/>
                <w:szCs w:val="19"/>
                <w:lang w:eastAsia="en-CA"/>
              </w:rPr>
            </w:pPr>
            <w:r>
              <w:rPr>
                <w:b/>
                <w:bCs/>
                <w:color w:val="000000"/>
                <w:sz w:val="19"/>
                <w:szCs w:val="19"/>
              </w:rPr>
              <w:t>Condor Tunisie</w:t>
            </w:r>
          </w:p>
        </w:tc>
        <w:tc>
          <w:tcPr>
            <w:tcW w:w="992" w:type="dxa"/>
            <w:vAlign w:val="center"/>
          </w:tcPr>
          <w:p w14:paraId="3C2308BF" w14:textId="12302442" w:rsidR="00805D16" w:rsidRPr="009B5CC1" w:rsidRDefault="00805D16" w:rsidP="00B468E3">
            <w:pPr>
              <w:keepNext/>
              <w:keepLines/>
              <w:jc w:val="center"/>
              <w:rPr>
                <w:b/>
                <w:bCs/>
                <w:color w:val="000000"/>
                <w:sz w:val="19"/>
                <w:szCs w:val="19"/>
                <w:lang w:eastAsia="en-CA"/>
              </w:rPr>
            </w:pPr>
            <w:r>
              <w:rPr>
                <w:b/>
                <w:bCs/>
                <w:color w:val="000000"/>
                <w:sz w:val="19"/>
                <w:szCs w:val="19"/>
              </w:rPr>
              <w:t>Total</w:t>
            </w:r>
          </w:p>
        </w:tc>
      </w:tr>
      <w:tr w:rsidR="006415C3" w:rsidRPr="006415C3" w14:paraId="54B9D95C" w14:textId="38527A15" w:rsidTr="009B5CC1">
        <w:trPr>
          <w:trHeight w:val="117"/>
        </w:trPr>
        <w:tc>
          <w:tcPr>
            <w:tcW w:w="9361" w:type="dxa"/>
            <w:gridSpan w:val="13"/>
            <w:noWrap/>
            <w:vAlign w:val="center"/>
            <w:hideMark/>
          </w:tcPr>
          <w:p w14:paraId="4F22555D" w14:textId="2A407BEA" w:rsidR="00805D16" w:rsidRPr="009B5CC1" w:rsidRDefault="00805D16" w:rsidP="00B468E3">
            <w:pPr>
              <w:keepNext/>
              <w:keepLines/>
              <w:jc w:val="center"/>
              <w:rPr>
                <w:b/>
                <w:bCs/>
                <w:color w:val="000000"/>
                <w:sz w:val="19"/>
                <w:szCs w:val="19"/>
                <w:lang w:eastAsia="en-CA"/>
              </w:rPr>
            </w:pPr>
            <w:r>
              <w:rPr>
                <w:b/>
                <w:bCs/>
                <w:color w:val="000000"/>
                <w:sz w:val="19"/>
                <w:szCs w:val="19"/>
              </w:rPr>
              <w:t>Investissements supplémentaires</w:t>
            </w:r>
          </w:p>
        </w:tc>
      </w:tr>
      <w:tr w:rsidR="009B5CC1" w:rsidRPr="006415C3" w14:paraId="28259905" w14:textId="22E6DD91" w:rsidTr="00F54C52">
        <w:trPr>
          <w:trHeight w:val="184"/>
        </w:trPr>
        <w:tc>
          <w:tcPr>
            <w:tcW w:w="1281" w:type="dxa"/>
            <w:gridSpan w:val="2"/>
            <w:noWrap/>
            <w:vAlign w:val="center"/>
            <w:hideMark/>
          </w:tcPr>
          <w:p w14:paraId="78D48333" w14:textId="77777777" w:rsidR="0060504F" w:rsidRPr="009B5CC1" w:rsidRDefault="0060504F" w:rsidP="00B468E3">
            <w:pPr>
              <w:keepNext/>
              <w:keepLines/>
              <w:jc w:val="left"/>
              <w:rPr>
                <w:color w:val="000000"/>
                <w:sz w:val="19"/>
                <w:szCs w:val="19"/>
                <w:lang w:eastAsia="en-CA"/>
              </w:rPr>
            </w:pPr>
            <w:r>
              <w:rPr>
                <w:color w:val="000000"/>
                <w:sz w:val="19"/>
                <w:szCs w:val="19"/>
              </w:rPr>
              <w:t>Effectif</w:t>
            </w:r>
          </w:p>
        </w:tc>
        <w:tc>
          <w:tcPr>
            <w:tcW w:w="1102" w:type="dxa"/>
            <w:noWrap/>
            <w:hideMark/>
          </w:tcPr>
          <w:p w14:paraId="0BBA2122" w14:textId="77777777" w:rsidR="0060504F" w:rsidRPr="009B5CC1" w:rsidRDefault="0060504F" w:rsidP="00B468E3">
            <w:pPr>
              <w:keepNext/>
              <w:keepLines/>
              <w:jc w:val="right"/>
              <w:rPr>
                <w:color w:val="000000"/>
                <w:sz w:val="19"/>
                <w:szCs w:val="19"/>
                <w:lang w:eastAsia="en-CA"/>
              </w:rPr>
            </w:pPr>
            <w:r>
              <w:rPr>
                <w:color w:val="000000"/>
                <w:sz w:val="19"/>
                <w:szCs w:val="19"/>
              </w:rPr>
              <w:t>365 000</w:t>
            </w:r>
          </w:p>
        </w:tc>
        <w:tc>
          <w:tcPr>
            <w:tcW w:w="753" w:type="dxa"/>
            <w:noWrap/>
            <w:hideMark/>
          </w:tcPr>
          <w:p w14:paraId="7E95D483" w14:textId="77777777" w:rsidR="0060504F" w:rsidRPr="009B5CC1" w:rsidRDefault="0060504F" w:rsidP="00B468E3">
            <w:pPr>
              <w:keepNext/>
              <w:keepLines/>
              <w:jc w:val="right"/>
              <w:rPr>
                <w:color w:val="000000"/>
                <w:sz w:val="19"/>
                <w:szCs w:val="19"/>
                <w:lang w:eastAsia="en-CA"/>
              </w:rPr>
            </w:pPr>
            <w:r>
              <w:rPr>
                <w:color w:val="000000"/>
                <w:sz w:val="19"/>
                <w:szCs w:val="19"/>
              </w:rPr>
              <w:t>200 000</w:t>
            </w:r>
          </w:p>
        </w:tc>
        <w:tc>
          <w:tcPr>
            <w:tcW w:w="753" w:type="dxa"/>
            <w:noWrap/>
            <w:hideMark/>
          </w:tcPr>
          <w:p w14:paraId="5506AA83" w14:textId="77777777" w:rsidR="0060504F" w:rsidRPr="009B5CC1" w:rsidRDefault="0060504F" w:rsidP="00B468E3">
            <w:pPr>
              <w:keepNext/>
              <w:keepLines/>
              <w:jc w:val="right"/>
              <w:rPr>
                <w:color w:val="000000"/>
                <w:sz w:val="19"/>
                <w:szCs w:val="19"/>
                <w:lang w:eastAsia="en-CA"/>
              </w:rPr>
            </w:pPr>
            <w:r>
              <w:rPr>
                <w:color w:val="000000"/>
                <w:sz w:val="19"/>
                <w:szCs w:val="19"/>
              </w:rPr>
              <w:t>200 000</w:t>
            </w:r>
          </w:p>
        </w:tc>
        <w:tc>
          <w:tcPr>
            <w:tcW w:w="1056" w:type="dxa"/>
            <w:gridSpan w:val="2"/>
            <w:noWrap/>
            <w:hideMark/>
          </w:tcPr>
          <w:p w14:paraId="7BC8466B"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762" w:type="dxa"/>
            <w:gridSpan w:val="2"/>
            <w:noWrap/>
            <w:hideMark/>
          </w:tcPr>
          <w:p w14:paraId="4D42671D"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961" w:type="dxa"/>
            <w:noWrap/>
            <w:hideMark/>
          </w:tcPr>
          <w:p w14:paraId="077AA146" w14:textId="77777777" w:rsidR="0060504F" w:rsidRPr="009B5CC1" w:rsidRDefault="0060504F" w:rsidP="00B468E3">
            <w:pPr>
              <w:keepNext/>
              <w:keepLines/>
              <w:jc w:val="right"/>
              <w:rPr>
                <w:color w:val="000000"/>
                <w:sz w:val="19"/>
                <w:szCs w:val="19"/>
                <w:lang w:eastAsia="en-CA"/>
              </w:rPr>
            </w:pPr>
            <w:r>
              <w:rPr>
                <w:color w:val="000000"/>
                <w:sz w:val="19"/>
                <w:szCs w:val="19"/>
              </w:rPr>
              <w:t>152 000</w:t>
            </w:r>
          </w:p>
        </w:tc>
        <w:tc>
          <w:tcPr>
            <w:tcW w:w="850" w:type="dxa"/>
            <w:noWrap/>
            <w:hideMark/>
          </w:tcPr>
          <w:p w14:paraId="0689B6D3"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851" w:type="dxa"/>
            <w:noWrap/>
            <w:hideMark/>
          </w:tcPr>
          <w:p w14:paraId="6C377F90" w14:textId="77777777" w:rsidR="0060504F" w:rsidRPr="009B5CC1" w:rsidRDefault="0060504F" w:rsidP="00B468E3">
            <w:pPr>
              <w:keepNext/>
              <w:keepLines/>
              <w:jc w:val="right"/>
              <w:rPr>
                <w:color w:val="000000"/>
                <w:sz w:val="19"/>
                <w:szCs w:val="19"/>
                <w:lang w:eastAsia="en-CA"/>
              </w:rPr>
            </w:pPr>
            <w:r>
              <w:rPr>
                <w:color w:val="000000"/>
                <w:sz w:val="19"/>
                <w:szCs w:val="19"/>
              </w:rPr>
              <w:t>196 000</w:t>
            </w:r>
          </w:p>
        </w:tc>
        <w:tc>
          <w:tcPr>
            <w:tcW w:w="992" w:type="dxa"/>
          </w:tcPr>
          <w:p w14:paraId="0DCEB8BA" w14:textId="476D8D50" w:rsidR="0060504F" w:rsidRPr="009B5CC1" w:rsidRDefault="0060504F" w:rsidP="00B468E3">
            <w:pPr>
              <w:keepNext/>
              <w:keepLines/>
              <w:jc w:val="right"/>
              <w:rPr>
                <w:color w:val="000000"/>
                <w:sz w:val="19"/>
                <w:szCs w:val="19"/>
                <w:lang w:eastAsia="en-CA"/>
              </w:rPr>
            </w:pPr>
            <w:r>
              <w:rPr>
                <w:sz w:val="19"/>
                <w:szCs w:val="19"/>
              </w:rPr>
              <w:t>1 413 000</w:t>
            </w:r>
          </w:p>
        </w:tc>
      </w:tr>
      <w:tr w:rsidR="009B5CC1" w:rsidRPr="006415C3" w14:paraId="210B5A7B" w14:textId="28B4DB9F" w:rsidTr="00F54C52">
        <w:trPr>
          <w:trHeight w:val="184"/>
        </w:trPr>
        <w:tc>
          <w:tcPr>
            <w:tcW w:w="1281" w:type="dxa"/>
            <w:gridSpan w:val="2"/>
            <w:noWrap/>
            <w:vAlign w:val="center"/>
            <w:hideMark/>
          </w:tcPr>
          <w:p w14:paraId="456C2943" w14:textId="77777777" w:rsidR="0060504F" w:rsidRPr="009B5CC1" w:rsidRDefault="0060504F" w:rsidP="00B468E3">
            <w:pPr>
              <w:keepNext/>
              <w:keepLines/>
              <w:jc w:val="left"/>
              <w:rPr>
                <w:color w:val="000000"/>
                <w:sz w:val="19"/>
                <w:szCs w:val="19"/>
                <w:lang w:eastAsia="en-CA"/>
              </w:rPr>
            </w:pPr>
            <w:r>
              <w:rPr>
                <w:color w:val="000000"/>
                <w:sz w:val="19"/>
                <w:szCs w:val="19"/>
              </w:rPr>
              <w:t>Demandé</w:t>
            </w:r>
          </w:p>
        </w:tc>
        <w:tc>
          <w:tcPr>
            <w:tcW w:w="1102" w:type="dxa"/>
            <w:noWrap/>
            <w:hideMark/>
          </w:tcPr>
          <w:p w14:paraId="6177BE03" w14:textId="77777777" w:rsidR="0060504F" w:rsidRPr="009B5CC1" w:rsidRDefault="0060504F" w:rsidP="00B468E3">
            <w:pPr>
              <w:keepNext/>
              <w:keepLines/>
              <w:jc w:val="right"/>
              <w:rPr>
                <w:color w:val="000000"/>
                <w:sz w:val="19"/>
                <w:szCs w:val="19"/>
                <w:lang w:eastAsia="en-CA"/>
              </w:rPr>
            </w:pPr>
            <w:r>
              <w:rPr>
                <w:color w:val="000000"/>
                <w:sz w:val="19"/>
                <w:szCs w:val="19"/>
              </w:rPr>
              <w:t>120 000</w:t>
            </w:r>
          </w:p>
        </w:tc>
        <w:tc>
          <w:tcPr>
            <w:tcW w:w="753" w:type="dxa"/>
            <w:noWrap/>
            <w:hideMark/>
          </w:tcPr>
          <w:p w14:paraId="49C16EA7"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753" w:type="dxa"/>
            <w:noWrap/>
            <w:hideMark/>
          </w:tcPr>
          <w:p w14:paraId="1CBED649"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1056" w:type="dxa"/>
            <w:gridSpan w:val="2"/>
            <w:noWrap/>
            <w:hideMark/>
          </w:tcPr>
          <w:p w14:paraId="602F6B49"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762" w:type="dxa"/>
            <w:gridSpan w:val="2"/>
            <w:noWrap/>
            <w:hideMark/>
          </w:tcPr>
          <w:p w14:paraId="1633B546"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961" w:type="dxa"/>
            <w:noWrap/>
            <w:hideMark/>
          </w:tcPr>
          <w:p w14:paraId="58BE0B88"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850" w:type="dxa"/>
            <w:noWrap/>
            <w:hideMark/>
          </w:tcPr>
          <w:p w14:paraId="0DCD36BA"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851" w:type="dxa"/>
            <w:noWrap/>
            <w:hideMark/>
          </w:tcPr>
          <w:p w14:paraId="14B93AA4" w14:textId="77777777" w:rsidR="0060504F" w:rsidRPr="009B5CC1" w:rsidRDefault="0060504F" w:rsidP="00B468E3">
            <w:pPr>
              <w:keepNext/>
              <w:keepLines/>
              <w:jc w:val="right"/>
              <w:rPr>
                <w:color w:val="000000"/>
                <w:sz w:val="19"/>
                <w:szCs w:val="19"/>
                <w:lang w:eastAsia="en-CA"/>
              </w:rPr>
            </w:pPr>
            <w:r>
              <w:rPr>
                <w:color w:val="000000"/>
                <w:sz w:val="19"/>
                <w:szCs w:val="19"/>
              </w:rPr>
              <w:t>100 000</w:t>
            </w:r>
          </w:p>
        </w:tc>
        <w:tc>
          <w:tcPr>
            <w:tcW w:w="992" w:type="dxa"/>
          </w:tcPr>
          <w:p w14:paraId="3D5A3149" w14:textId="50D2FE5E" w:rsidR="0060504F" w:rsidRPr="009B5CC1" w:rsidRDefault="0060504F" w:rsidP="00B468E3">
            <w:pPr>
              <w:keepNext/>
              <w:keepLines/>
              <w:jc w:val="right"/>
              <w:rPr>
                <w:color w:val="000000"/>
                <w:sz w:val="19"/>
                <w:szCs w:val="19"/>
                <w:lang w:eastAsia="en-CA"/>
              </w:rPr>
            </w:pPr>
            <w:r>
              <w:rPr>
                <w:sz w:val="19"/>
                <w:szCs w:val="19"/>
              </w:rPr>
              <w:t>820 000</w:t>
            </w:r>
          </w:p>
        </w:tc>
      </w:tr>
      <w:tr w:rsidR="00F54C52" w:rsidRPr="006415C3" w14:paraId="0F28AACB" w14:textId="41336BFE">
        <w:trPr>
          <w:trHeight w:val="167"/>
        </w:trPr>
        <w:tc>
          <w:tcPr>
            <w:tcW w:w="9361" w:type="dxa"/>
            <w:gridSpan w:val="13"/>
            <w:noWrap/>
            <w:vAlign w:val="center"/>
            <w:hideMark/>
          </w:tcPr>
          <w:p w14:paraId="6CC2B5B4" w14:textId="50BA5CC9" w:rsidR="00F54C52" w:rsidRPr="009B5CC1" w:rsidRDefault="00F54C52" w:rsidP="00F54C52">
            <w:pPr>
              <w:jc w:val="center"/>
              <w:rPr>
                <w:b/>
                <w:bCs/>
                <w:color w:val="000000"/>
                <w:sz w:val="19"/>
                <w:szCs w:val="19"/>
                <w:lang w:eastAsia="en-CA"/>
              </w:rPr>
            </w:pPr>
            <w:r>
              <w:rPr>
                <w:b/>
                <w:bCs/>
                <w:color w:val="000000"/>
                <w:sz w:val="19"/>
                <w:szCs w:val="19"/>
              </w:rPr>
              <w:t>Coûts supplémentaires liés aux composants</w:t>
            </w:r>
          </w:p>
        </w:tc>
      </w:tr>
      <w:tr w:rsidR="009B5CC1" w:rsidRPr="006415C3" w14:paraId="5971390F" w14:textId="6BCE8C85" w:rsidTr="00F54C52">
        <w:trPr>
          <w:trHeight w:val="501"/>
        </w:trPr>
        <w:tc>
          <w:tcPr>
            <w:tcW w:w="1281" w:type="dxa"/>
            <w:gridSpan w:val="2"/>
            <w:noWrap/>
            <w:hideMark/>
          </w:tcPr>
          <w:p w14:paraId="262CDCBA" w14:textId="77777777" w:rsidR="00805D16" w:rsidRPr="009B5CC1" w:rsidRDefault="00805D16" w:rsidP="00D6140E">
            <w:pPr>
              <w:jc w:val="left"/>
              <w:rPr>
                <w:color w:val="000000"/>
                <w:sz w:val="19"/>
                <w:szCs w:val="19"/>
                <w:lang w:eastAsia="en-CA"/>
              </w:rPr>
            </w:pPr>
            <w:r>
              <w:rPr>
                <w:color w:val="000000"/>
                <w:sz w:val="19"/>
                <w:szCs w:val="19"/>
              </w:rPr>
              <w:t>Coût supplémentaire moyen lié aux composants ($US/unité)</w:t>
            </w:r>
          </w:p>
        </w:tc>
        <w:tc>
          <w:tcPr>
            <w:tcW w:w="1102" w:type="dxa"/>
            <w:noWrap/>
            <w:hideMark/>
          </w:tcPr>
          <w:p w14:paraId="221CA124" w14:textId="77777777" w:rsidR="00805D16" w:rsidRPr="009B5CC1" w:rsidRDefault="00805D16" w:rsidP="00D6140E">
            <w:pPr>
              <w:jc w:val="right"/>
              <w:rPr>
                <w:color w:val="000000"/>
                <w:sz w:val="19"/>
                <w:szCs w:val="19"/>
                <w:lang w:eastAsia="en-CA"/>
              </w:rPr>
            </w:pPr>
            <w:r>
              <w:rPr>
                <w:color w:val="000000"/>
                <w:sz w:val="19"/>
                <w:szCs w:val="19"/>
              </w:rPr>
              <w:t>110,23</w:t>
            </w:r>
          </w:p>
        </w:tc>
        <w:tc>
          <w:tcPr>
            <w:tcW w:w="753" w:type="dxa"/>
            <w:noWrap/>
            <w:hideMark/>
          </w:tcPr>
          <w:p w14:paraId="3F5EA630" w14:textId="77777777" w:rsidR="00805D16" w:rsidRPr="009B5CC1" w:rsidRDefault="00805D16" w:rsidP="00D6140E">
            <w:pPr>
              <w:jc w:val="right"/>
              <w:rPr>
                <w:color w:val="000000"/>
                <w:sz w:val="19"/>
                <w:szCs w:val="19"/>
                <w:lang w:eastAsia="en-CA"/>
              </w:rPr>
            </w:pPr>
            <w:r>
              <w:rPr>
                <w:color w:val="000000"/>
                <w:sz w:val="19"/>
                <w:szCs w:val="19"/>
              </w:rPr>
              <w:t>97,01</w:t>
            </w:r>
          </w:p>
        </w:tc>
        <w:tc>
          <w:tcPr>
            <w:tcW w:w="753" w:type="dxa"/>
            <w:noWrap/>
            <w:hideMark/>
          </w:tcPr>
          <w:p w14:paraId="2D1A5D8D" w14:textId="77777777" w:rsidR="00805D16" w:rsidRPr="009B5CC1" w:rsidRDefault="00805D16" w:rsidP="00D6140E">
            <w:pPr>
              <w:jc w:val="right"/>
              <w:rPr>
                <w:color w:val="000000"/>
                <w:sz w:val="19"/>
                <w:szCs w:val="19"/>
                <w:lang w:eastAsia="en-CA"/>
              </w:rPr>
            </w:pPr>
            <w:r>
              <w:rPr>
                <w:color w:val="000000"/>
                <w:sz w:val="19"/>
                <w:szCs w:val="19"/>
              </w:rPr>
              <w:t>96,05</w:t>
            </w:r>
          </w:p>
        </w:tc>
        <w:tc>
          <w:tcPr>
            <w:tcW w:w="1056" w:type="dxa"/>
            <w:gridSpan w:val="2"/>
            <w:noWrap/>
            <w:hideMark/>
          </w:tcPr>
          <w:p w14:paraId="6783A317" w14:textId="77777777" w:rsidR="00805D16" w:rsidRPr="009B5CC1" w:rsidRDefault="00805D16" w:rsidP="00D6140E">
            <w:pPr>
              <w:jc w:val="right"/>
              <w:rPr>
                <w:color w:val="000000"/>
                <w:sz w:val="19"/>
                <w:szCs w:val="19"/>
                <w:lang w:eastAsia="en-CA"/>
              </w:rPr>
            </w:pPr>
            <w:r>
              <w:rPr>
                <w:color w:val="000000"/>
                <w:sz w:val="19"/>
                <w:szCs w:val="19"/>
              </w:rPr>
              <w:t>119,09</w:t>
            </w:r>
          </w:p>
        </w:tc>
        <w:tc>
          <w:tcPr>
            <w:tcW w:w="762" w:type="dxa"/>
            <w:gridSpan w:val="2"/>
            <w:noWrap/>
            <w:hideMark/>
          </w:tcPr>
          <w:p w14:paraId="4014A463" w14:textId="77777777" w:rsidR="00805D16" w:rsidRPr="009B5CC1" w:rsidRDefault="00805D16" w:rsidP="00D6140E">
            <w:pPr>
              <w:jc w:val="right"/>
              <w:rPr>
                <w:color w:val="000000"/>
                <w:sz w:val="19"/>
                <w:szCs w:val="19"/>
                <w:lang w:eastAsia="en-CA"/>
              </w:rPr>
            </w:pPr>
            <w:r>
              <w:rPr>
                <w:color w:val="000000"/>
                <w:sz w:val="19"/>
                <w:szCs w:val="19"/>
              </w:rPr>
              <w:t>75,72</w:t>
            </w:r>
          </w:p>
        </w:tc>
        <w:tc>
          <w:tcPr>
            <w:tcW w:w="961" w:type="dxa"/>
            <w:noWrap/>
            <w:hideMark/>
          </w:tcPr>
          <w:p w14:paraId="72F34D8B" w14:textId="77777777" w:rsidR="00805D16" w:rsidRPr="009B5CC1" w:rsidRDefault="00805D16" w:rsidP="00D6140E">
            <w:pPr>
              <w:jc w:val="right"/>
              <w:rPr>
                <w:color w:val="000000"/>
                <w:sz w:val="19"/>
                <w:szCs w:val="19"/>
                <w:lang w:eastAsia="en-CA"/>
              </w:rPr>
            </w:pPr>
            <w:r>
              <w:rPr>
                <w:color w:val="000000"/>
                <w:sz w:val="19"/>
                <w:szCs w:val="19"/>
              </w:rPr>
              <w:t>101,75</w:t>
            </w:r>
          </w:p>
        </w:tc>
        <w:tc>
          <w:tcPr>
            <w:tcW w:w="850" w:type="dxa"/>
            <w:noWrap/>
            <w:hideMark/>
          </w:tcPr>
          <w:p w14:paraId="7AF2B6B1" w14:textId="77777777" w:rsidR="00805D16" w:rsidRPr="009B5CC1" w:rsidRDefault="00805D16" w:rsidP="00D6140E">
            <w:pPr>
              <w:jc w:val="right"/>
              <w:rPr>
                <w:color w:val="000000"/>
                <w:sz w:val="19"/>
                <w:szCs w:val="19"/>
                <w:lang w:eastAsia="en-CA"/>
              </w:rPr>
            </w:pPr>
            <w:r>
              <w:rPr>
                <w:color w:val="000000"/>
                <w:sz w:val="19"/>
                <w:szCs w:val="19"/>
              </w:rPr>
              <w:t>90,42</w:t>
            </w:r>
          </w:p>
        </w:tc>
        <w:tc>
          <w:tcPr>
            <w:tcW w:w="851" w:type="dxa"/>
            <w:noWrap/>
            <w:hideMark/>
          </w:tcPr>
          <w:p w14:paraId="4C57A567" w14:textId="77777777" w:rsidR="00805D16" w:rsidRPr="009B5CC1" w:rsidRDefault="00805D16" w:rsidP="00D6140E">
            <w:pPr>
              <w:jc w:val="right"/>
              <w:rPr>
                <w:color w:val="000000"/>
                <w:sz w:val="19"/>
                <w:szCs w:val="19"/>
                <w:lang w:eastAsia="en-CA"/>
              </w:rPr>
            </w:pPr>
            <w:r>
              <w:rPr>
                <w:color w:val="000000"/>
                <w:sz w:val="19"/>
                <w:szCs w:val="19"/>
              </w:rPr>
              <w:t>108,76</w:t>
            </w:r>
          </w:p>
        </w:tc>
        <w:tc>
          <w:tcPr>
            <w:tcW w:w="992" w:type="dxa"/>
          </w:tcPr>
          <w:p w14:paraId="6DF1AFB1" w14:textId="039B56E2" w:rsidR="00805D16" w:rsidRPr="009B5CC1" w:rsidRDefault="0060504F" w:rsidP="00D6140E">
            <w:pPr>
              <w:jc w:val="right"/>
              <w:rPr>
                <w:color w:val="000000"/>
                <w:sz w:val="19"/>
                <w:szCs w:val="19"/>
                <w:lang w:eastAsia="en-CA"/>
              </w:rPr>
            </w:pPr>
            <w:r>
              <w:rPr>
                <w:color w:val="000000"/>
                <w:sz w:val="19"/>
                <w:szCs w:val="19"/>
              </w:rPr>
              <w:t>s.o.</w:t>
            </w:r>
          </w:p>
        </w:tc>
      </w:tr>
      <w:tr w:rsidR="009B5CC1" w:rsidRPr="006415C3" w14:paraId="20C188CB" w14:textId="5B4E3971" w:rsidTr="00F54C52">
        <w:trPr>
          <w:trHeight w:val="493"/>
        </w:trPr>
        <w:tc>
          <w:tcPr>
            <w:tcW w:w="1281" w:type="dxa"/>
            <w:gridSpan w:val="2"/>
            <w:noWrap/>
            <w:hideMark/>
          </w:tcPr>
          <w:p w14:paraId="67A6C9B7" w14:textId="77777777" w:rsidR="00805D16" w:rsidRPr="009B5CC1" w:rsidRDefault="00805D16" w:rsidP="00D6140E">
            <w:pPr>
              <w:jc w:val="left"/>
              <w:rPr>
                <w:color w:val="000000"/>
                <w:sz w:val="19"/>
                <w:szCs w:val="19"/>
                <w:lang w:eastAsia="en-CA"/>
              </w:rPr>
            </w:pPr>
            <w:r>
              <w:rPr>
                <w:color w:val="000000"/>
                <w:sz w:val="19"/>
                <w:szCs w:val="19"/>
              </w:rPr>
              <w:t>Niveau de performance de base moyen (EER)</w:t>
            </w:r>
          </w:p>
        </w:tc>
        <w:tc>
          <w:tcPr>
            <w:tcW w:w="1102" w:type="dxa"/>
            <w:noWrap/>
            <w:hideMark/>
          </w:tcPr>
          <w:p w14:paraId="04956673" w14:textId="77777777" w:rsidR="00805D16" w:rsidRPr="009B5CC1" w:rsidRDefault="00805D16" w:rsidP="00D6140E">
            <w:pPr>
              <w:jc w:val="right"/>
              <w:rPr>
                <w:color w:val="000000"/>
                <w:sz w:val="19"/>
                <w:szCs w:val="19"/>
                <w:lang w:eastAsia="en-CA"/>
              </w:rPr>
            </w:pPr>
            <w:r>
              <w:rPr>
                <w:color w:val="000000"/>
                <w:sz w:val="19"/>
                <w:szCs w:val="19"/>
              </w:rPr>
              <w:t>3,35</w:t>
            </w:r>
          </w:p>
        </w:tc>
        <w:tc>
          <w:tcPr>
            <w:tcW w:w="753" w:type="dxa"/>
            <w:noWrap/>
            <w:hideMark/>
          </w:tcPr>
          <w:p w14:paraId="7287EBA4" w14:textId="77777777" w:rsidR="00805D16" w:rsidRPr="009B5CC1" w:rsidRDefault="00805D16" w:rsidP="00D6140E">
            <w:pPr>
              <w:jc w:val="right"/>
              <w:rPr>
                <w:color w:val="000000"/>
                <w:sz w:val="19"/>
                <w:szCs w:val="19"/>
                <w:lang w:eastAsia="en-CA"/>
              </w:rPr>
            </w:pPr>
            <w:r>
              <w:rPr>
                <w:color w:val="000000"/>
                <w:sz w:val="19"/>
                <w:szCs w:val="19"/>
              </w:rPr>
              <w:t>3,12</w:t>
            </w:r>
          </w:p>
        </w:tc>
        <w:tc>
          <w:tcPr>
            <w:tcW w:w="753" w:type="dxa"/>
            <w:noWrap/>
            <w:hideMark/>
          </w:tcPr>
          <w:p w14:paraId="6367F6AD" w14:textId="77777777" w:rsidR="00805D16" w:rsidRPr="009B5CC1" w:rsidRDefault="00805D16" w:rsidP="00D6140E">
            <w:pPr>
              <w:jc w:val="right"/>
              <w:rPr>
                <w:color w:val="000000"/>
                <w:sz w:val="19"/>
                <w:szCs w:val="19"/>
                <w:lang w:eastAsia="en-CA"/>
              </w:rPr>
            </w:pPr>
            <w:r>
              <w:rPr>
                <w:color w:val="000000"/>
                <w:sz w:val="19"/>
                <w:szCs w:val="19"/>
              </w:rPr>
              <w:t>3,35</w:t>
            </w:r>
          </w:p>
        </w:tc>
        <w:tc>
          <w:tcPr>
            <w:tcW w:w="1056" w:type="dxa"/>
            <w:gridSpan w:val="2"/>
            <w:noWrap/>
            <w:hideMark/>
          </w:tcPr>
          <w:p w14:paraId="266F2DAE" w14:textId="77777777" w:rsidR="00805D16" w:rsidRPr="009B5CC1" w:rsidRDefault="00805D16" w:rsidP="00D6140E">
            <w:pPr>
              <w:jc w:val="right"/>
              <w:rPr>
                <w:color w:val="000000"/>
                <w:sz w:val="19"/>
                <w:szCs w:val="19"/>
                <w:lang w:eastAsia="en-CA"/>
              </w:rPr>
            </w:pPr>
            <w:r>
              <w:rPr>
                <w:color w:val="000000"/>
                <w:sz w:val="19"/>
                <w:szCs w:val="19"/>
              </w:rPr>
              <w:t>3,25</w:t>
            </w:r>
          </w:p>
        </w:tc>
        <w:tc>
          <w:tcPr>
            <w:tcW w:w="762" w:type="dxa"/>
            <w:gridSpan w:val="2"/>
            <w:noWrap/>
            <w:hideMark/>
          </w:tcPr>
          <w:p w14:paraId="12383618" w14:textId="77777777" w:rsidR="00805D16" w:rsidRPr="009B5CC1" w:rsidRDefault="00805D16" w:rsidP="00D6140E">
            <w:pPr>
              <w:jc w:val="right"/>
              <w:rPr>
                <w:color w:val="000000"/>
                <w:sz w:val="19"/>
                <w:szCs w:val="19"/>
                <w:lang w:eastAsia="en-CA"/>
              </w:rPr>
            </w:pPr>
            <w:r>
              <w:rPr>
                <w:color w:val="000000"/>
                <w:sz w:val="19"/>
                <w:szCs w:val="19"/>
              </w:rPr>
              <w:t>3,25</w:t>
            </w:r>
          </w:p>
        </w:tc>
        <w:tc>
          <w:tcPr>
            <w:tcW w:w="961" w:type="dxa"/>
            <w:noWrap/>
            <w:hideMark/>
          </w:tcPr>
          <w:p w14:paraId="117FEDF2" w14:textId="77777777" w:rsidR="00805D16" w:rsidRPr="009B5CC1" w:rsidRDefault="00805D16" w:rsidP="00D6140E">
            <w:pPr>
              <w:jc w:val="right"/>
              <w:rPr>
                <w:color w:val="000000"/>
                <w:sz w:val="19"/>
                <w:szCs w:val="19"/>
                <w:lang w:eastAsia="en-CA"/>
              </w:rPr>
            </w:pPr>
            <w:r>
              <w:rPr>
                <w:color w:val="000000"/>
                <w:sz w:val="19"/>
                <w:szCs w:val="19"/>
              </w:rPr>
              <w:t>3,20</w:t>
            </w:r>
          </w:p>
        </w:tc>
        <w:tc>
          <w:tcPr>
            <w:tcW w:w="850" w:type="dxa"/>
            <w:noWrap/>
            <w:hideMark/>
          </w:tcPr>
          <w:p w14:paraId="73D80B5E" w14:textId="77777777" w:rsidR="00805D16" w:rsidRPr="009B5CC1" w:rsidRDefault="00805D16" w:rsidP="00D6140E">
            <w:pPr>
              <w:jc w:val="right"/>
              <w:rPr>
                <w:color w:val="000000"/>
                <w:sz w:val="19"/>
                <w:szCs w:val="19"/>
                <w:lang w:eastAsia="en-CA"/>
              </w:rPr>
            </w:pPr>
            <w:r>
              <w:rPr>
                <w:color w:val="000000"/>
                <w:sz w:val="19"/>
                <w:szCs w:val="19"/>
              </w:rPr>
              <w:t>3,11</w:t>
            </w:r>
          </w:p>
        </w:tc>
        <w:tc>
          <w:tcPr>
            <w:tcW w:w="851" w:type="dxa"/>
            <w:noWrap/>
            <w:hideMark/>
          </w:tcPr>
          <w:p w14:paraId="423906AA" w14:textId="77777777" w:rsidR="00805D16" w:rsidRPr="009B5CC1" w:rsidRDefault="00805D16" w:rsidP="00D6140E">
            <w:pPr>
              <w:jc w:val="right"/>
              <w:rPr>
                <w:color w:val="000000"/>
                <w:sz w:val="19"/>
                <w:szCs w:val="19"/>
                <w:lang w:eastAsia="en-CA"/>
              </w:rPr>
            </w:pPr>
            <w:r>
              <w:rPr>
                <w:color w:val="000000"/>
                <w:sz w:val="19"/>
                <w:szCs w:val="19"/>
              </w:rPr>
              <w:t>3,33</w:t>
            </w:r>
          </w:p>
        </w:tc>
        <w:tc>
          <w:tcPr>
            <w:tcW w:w="992" w:type="dxa"/>
          </w:tcPr>
          <w:p w14:paraId="62FE9424" w14:textId="77777777" w:rsidR="00805D16" w:rsidRPr="009B5CC1" w:rsidRDefault="00805D16" w:rsidP="00D6140E">
            <w:pPr>
              <w:jc w:val="right"/>
              <w:rPr>
                <w:color w:val="000000"/>
                <w:sz w:val="19"/>
                <w:szCs w:val="19"/>
                <w:lang w:eastAsia="en-CA"/>
              </w:rPr>
            </w:pPr>
          </w:p>
        </w:tc>
      </w:tr>
      <w:tr w:rsidR="009B5CC1" w:rsidRPr="006415C3" w14:paraId="0146F55B" w14:textId="5DF4DD46" w:rsidTr="00F54C52">
        <w:trPr>
          <w:trHeight w:val="247"/>
        </w:trPr>
        <w:tc>
          <w:tcPr>
            <w:tcW w:w="1281" w:type="dxa"/>
            <w:gridSpan w:val="2"/>
            <w:noWrap/>
            <w:hideMark/>
          </w:tcPr>
          <w:p w14:paraId="3BA98FD7" w14:textId="77777777" w:rsidR="00805D16" w:rsidRPr="009B5CC1" w:rsidRDefault="00805D16" w:rsidP="00D6140E">
            <w:pPr>
              <w:jc w:val="left"/>
              <w:rPr>
                <w:color w:val="000000"/>
                <w:sz w:val="19"/>
                <w:szCs w:val="19"/>
                <w:lang w:eastAsia="en-CA"/>
              </w:rPr>
            </w:pPr>
            <w:r>
              <w:rPr>
                <w:color w:val="000000"/>
                <w:sz w:val="19"/>
                <w:szCs w:val="19"/>
              </w:rPr>
              <w:t>EER / MEPS de base</w:t>
            </w:r>
            <w:r>
              <w:rPr>
                <w:rStyle w:val="FootnoteReference"/>
                <w:color w:val="000000"/>
                <w:sz w:val="19"/>
                <w:szCs w:val="19"/>
              </w:rPr>
              <w:footnoteReference w:id="19"/>
            </w:r>
          </w:p>
        </w:tc>
        <w:tc>
          <w:tcPr>
            <w:tcW w:w="1102" w:type="dxa"/>
            <w:noWrap/>
            <w:hideMark/>
          </w:tcPr>
          <w:p w14:paraId="72FFF881" w14:textId="77777777" w:rsidR="00805D16" w:rsidRPr="009B5CC1" w:rsidRDefault="00805D16" w:rsidP="00D6140E">
            <w:pPr>
              <w:jc w:val="right"/>
              <w:rPr>
                <w:color w:val="000000"/>
                <w:sz w:val="19"/>
                <w:szCs w:val="19"/>
                <w:lang w:eastAsia="en-CA"/>
              </w:rPr>
            </w:pPr>
            <w:r>
              <w:rPr>
                <w:color w:val="000000"/>
                <w:sz w:val="19"/>
                <w:szCs w:val="19"/>
              </w:rPr>
              <w:t>1,12</w:t>
            </w:r>
          </w:p>
        </w:tc>
        <w:tc>
          <w:tcPr>
            <w:tcW w:w="753" w:type="dxa"/>
            <w:noWrap/>
            <w:hideMark/>
          </w:tcPr>
          <w:p w14:paraId="60ED5F0D" w14:textId="77777777" w:rsidR="00805D16" w:rsidRPr="009B5CC1" w:rsidRDefault="00805D16" w:rsidP="00D6140E">
            <w:pPr>
              <w:jc w:val="right"/>
              <w:rPr>
                <w:color w:val="000000"/>
                <w:sz w:val="19"/>
                <w:szCs w:val="19"/>
                <w:lang w:eastAsia="en-CA"/>
              </w:rPr>
            </w:pPr>
            <w:r>
              <w:rPr>
                <w:color w:val="000000"/>
                <w:sz w:val="19"/>
                <w:szCs w:val="19"/>
              </w:rPr>
              <w:t>1,04</w:t>
            </w:r>
          </w:p>
        </w:tc>
        <w:tc>
          <w:tcPr>
            <w:tcW w:w="753" w:type="dxa"/>
            <w:noWrap/>
            <w:hideMark/>
          </w:tcPr>
          <w:p w14:paraId="0D646F09" w14:textId="77777777" w:rsidR="00805D16" w:rsidRPr="009B5CC1" w:rsidRDefault="00805D16" w:rsidP="00D6140E">
            <w:pPr>
              <w:jc w:val="right"/>
              <w:rPr>
                <w:color w:val="000000"/>
                <w:sz w:val="19"/>
                <w:szCs w:val="19"/>
                <w:lang w:eastAsia="en-CA"/>
              </w:rPr>
            </w:pPr>
            <w:r>
              <w:rPr>
                <w:color w:val="000000"/>
                <w:sz w:val="19"/>
                <w:szCs w:val="19"/>
              </w:rPr>
              <w:t>1,12</w:t>
            </w:r>
          </w:p>
        </w:tc>
        <w:tc>
          <w:tcPr>
            <w:tcW w:w="1056" w:type="dxa"/>
            <w:gridSpan w:val="2"/>
            <w:noWrap/>
            <w:hideMark/>
          </w:tcPr>
          <w:p w14:paraId="610462AA" w14:textId="77777777" w:rsidR="00805D16" w:rsidRPr="009B5CC1" w:rsidRDefault="00805D16" w:rsidP="00D6140E">
            <w:pPr>
              <w:jc w:val="right"/>
              <w:rPr>
                <w:color w:val="000000"/>
                <w:sz w:val="19"/>
                <w:szCs w:val="19"/>
                <w:lang w:eastAsia="en-CA"/>
              </w:rPr>
            </w:pPr>
            <w:r>
              <w:rPr>
                <w:color w:val="000000"/>
                <w:sz w:val="19"/>
                <w:szCs w:val="19"/>
              </w:rPr>
              <w:t>1,08</w:t>
            </w:r>
          </w:p>
        </w:tc>
        <w:tc>
          <w:tcPr>
            <w:tcW w:w="762" w:type="dxa"/>
            <w:gridSpan w:val="2"/>
            <w:noWrap/>
            <w:hideMark/>
          </w:tcPr>
          <w:p w14:paraId="004A0F05" w14:textId="77777777" w:rsidR="00805D16" w:rsidRPr="009B5CC1" w:rsidRDefault="00805D16" w:rsidP="00D6140E">
            <w:pPr>
              <w:jc w:val="right"/>
              <w:rPr>
                <w:color w:val="000000"/>
                <w:sz w:val="19"/>
                <w:szCs w:val="19"/>
                <w:lang w:eastAsia="en-CA"/>
              </w:rPr>
            </w:pPr>
            <w:r>
              <w:rPr>
                <w:color w:val="000000"/>
                <w:sz w:val="19"/>
                <w:szCs w:val="19"/>
              </w:rPr>
              <w:t>1,08</w:t>
            </w:r>
          </w:p>
        </w:tc>
        <w:tc>
          <w:tcPr>
            <w:tcW w:w="961" w:type="dxa"/>
            <w:noWrap/>
            <w:hideMark/>
          </w:tcPr>
          <w:p w14:paraId="342EDE93" w14:textId="77777777" w:rsidR="00805D16" w:rsidRPr="009B5CC1" w:rsidRDefault="00805D16" w:rsidP="00D6140E">
            <w:pPr>
              <w:jc w:val="right"/>
              <w:rPr>
                <w:color w:val="000000"/>
                <w:sz w:val="19"/>
                <w:szCs w:val="19"/>
                <w:lang w:eastAsia="en-CA"/>
              </w:rPr>
            </w:pPr>
            <w:r>
              <w:rPr>
                <w:color w:val="000000"/>
                <w:sz w:val="19"/>
                <w:szCs w:val="19"/>
              </w:rPr>
              <w:t>1,07</w:t>
            </w:r>
          </w:p>
        </w:tc>
        <w:tc>
          <w:tcPr>
            <w:tcW w:w="850" w:type="dxa"/>
            <w:noWrap/>
            <w:hideMark/>
          </w:tcPr>
          <w:p w14:paraId="051D8A3E" w14:textId="77777777" w:rsidR="00805D16" w:rsidRPr="009B5CC1" w:rsidRDefault="00805D16" w:rsidP="00D6140E">
            <w:pPr>
              <w:jc w:val="right"/>
              <w:rPr>
                <w:color w:val="000000"/>
                <w:sz w:val="19"/>
                <w:szCs w:val="19"/>
                <w:lang w:eastAsia="en-CA"/>
              </w:rPr>
            </w:pPr>
            <w:r>
              <w:rPr>
                <w:color w:val="000000"/>
                <w:sz w:val="19"/>
                <w:szCs w:val="19"/>
              </w:rPr>
              <w:t>1,04</w:t>
            </w:r>
          </w:p>
        </w:tc>
        <w:tc>
          <w:tcPr>
            <w:tcW w:w="851" w:type="dxa"/>
            <w:noWrap/>
            <w:hideMark/>
          </w:tcPr>
          <w:p w14:paraId="594D3068" w14:textId="77777777" w:rsidR="00805D16" w:rsidRPr="009B5CC1" w:rsidRDefault="00805D16" w:rsidP="00D6140E">
            <w:pPr>
              <w:jc w:val="right"/>
              <w:rPr>
                <w:color w:val="000000"/>
                <w:sz w:val="19"/>
                <w:szCs w:val="19"/>
                <w:lang w:eastAsia="en-CA"/>
              </w:rPr>
            </w:pPr>
            <w:r>
              <w:rPr>
                <w:color w:val="000000"/>
                <w:sz w:val="19"/>
                <w:szCs w:val="19"/>
              </w:rPr>
              <w:t>1,11</w:t>
            </w:r>
          </w:p>
        </w:tc>
        <w:tc>
          <w:tcPr>
            <w:tcW w:w="992" w:type="dxa"/>
          </w:tcPr>
          <w:p w14:paraId="15D9AE6F" w14:textId="7750D836" w:rsidR="00805D16" w:rsidRPr="009B5CC1" w:rsidRDefault="0060504F" w:rsidP="00D6140E">
            <w:pPr>
              <w:jc w:val="right"/>
              <w:rPr>
                <w:color w:val="000000"/>
                <w:sz w:val="19"/>
                <w:szCs w:val="19"/>
                <w:lang w:eastAsia="en-CA"/>
              </w:rPr>
            </w:pPr>
            <w:r>
              <w:rPr>
                <w:color w:val="000000"/>
                <w:sz w:val="19"/>
                <w:szCs w:val="19"/>
              </w:rPr>
              <w:t>s.o.</w:t>
            </w:r>
          </w:p>
        </w:tc>
      </w:tr>
      <w:tr w:rsidR="009B5CC1" w:rsidRPr="006415C3" w14:paraId="66A514FB" w14:textId="0CD97B46" w:rsidTr="00F54C52">
        <w:trPr>
          <w:trHeight w:val="120"/>
        </w:trPr>
        <w:tc>
          <w:tcPr>
            <w:tcW w:w="1281" w:type="dxa"/>
            <w:gridSpan w:val="2"/>
            <w:noWrap/>
            <w:hideMark/>
          </w:tcPr>
          <w:p w14:paraId="1A3F42EF" w14:textId="77777777" w:rsidR="00805D16" w:rsidRPr="009B5CC1" w:rsidRDefault="00805D16" w:rsidP="00D6140E">
            <w:pPr>
              <w:jc w:val="left"/>
              <w:rPr>
                <w:color w:val="000000"/>
                <w:sz w:val="19"/>
                <w:szCs w:val="19"/>
                <w:lang w:eastAsia="en-CA"/>
              </w:rPr>
            </w:pPr>
            <w:r>
              <w:rPr>
                <w:color w:val="000000"/>
                <w:sz w:val="19"/>
                <w:szCs w:val="19"/>
              </w:rPr>
              <w:t>EER cible</w:t>
            </w:r>
          </w:p>
        </w:tc>
        <w:tc>
          <w:tcPr>
            <w:tcW w:w="1102" w:type="dxa"/>
            <w:noWrap/>
            <w:hideMark/>
          </w:tcPr>
          <w:p w14:paraId="07F77803" w14:textId="77777777" w:rsidR="00805D16" w:rsidRPr="009B5CC1" w:rsidRDefault="00805D16" w:rsidP="00D6140E">
            <w:pPr>
              <w:jc w:val="right"/>
              <w:rPr>
                <w:color w:val="000000"/>
                <w:sz w:val="19"/>
                <w:szCs w:val="19"/>
                <w:lang w:eastAsia="en-CA"/>
              </w:rPr>
            </w:pPr>
            <w:r>
              <w:rPr>
                <w:color w:val="000000"/>
                <w:sz w:val="19"/>
                <w:szCs w:val="19"/>
              </w:rPr>
              <w:t>4,00</w:t>
            </w:r>
          </w:p>
        </w:tc>
        <w:tc>
          <w:tcPr>
            <w:tcW w:w="753" w:type="dxa"/>
            <w:noWrap/>
            <w:hideMark/>
          </w:tcPr>
          <w:p w14:paraId="3BC3B803" w14:textId="77777777" w:rsidR="00805D16" w:rsidRPr="009B5CC1" w:rsidRDefault="00805D16" w:rsidP="00D6140E">
            <w:pPr>
              <w:jc w:val="right"/>
              <w:rPr>
                <w:color w:val="000000"/>
                <w:sz w:val="19"/>
                <w:szCs w:val="19"/>
                <w:lang w:eastAsia="en-CA"/>
              </w:rPr>
            </w:pPr>
            <w:r>
              <w:rPr>
                <w:color w:val="000000"/>
                <w:sz w:val="19"/>
                <w:szCs w:val="19"/>
              </w:rPr>
              <w:t>4,20</w:t>
            </w:r>
          </w:p>
        </w:tc>
        <w:tc>
          <w:tcPr>
            <w:tcW w:w="753" w:type="dxa"/>
            <w:noWrap/>
            <w:hideMark/>
          </w:tcPr>
          <w:p w14:paraId="5E770DA9" w14:textId="77777777" w:rsidR="00805D16" w:rsidRPr="009B5CC1" w:rsidRDefault="00805D16" w:rsidP="00D6140E">
            <w:pPr>
              <w:jc w:val="right"/>
              <w:rPr>
                <w:color w:val="000000"/>
                <w:sz w:val="19"/>
                <w:szCs w:val="19"/>
                <w:lang w:eastAsia="en-CA"/>
              </w:rPr>
            </w:pPr>
            <w:r>
              <w:rPr>
                <w:color w:val="000000"/>
                <w:sz w:val="19"/>
                <w:szCs w:val="19"/>
              </w:rPr>
              <w:t>4,00</w:t>
            </w:r>
          </w:p>
        </w:tc>
        <w:tc>
          <w:tcPr>
            <w:tcW w:w="1056" w:type="dxa"/>
            <w:gridSpan w:val="2"/>
            <w:noWrap/>
            <w:hideMark/>
          </w:tcPr>
          <w:p w14:paraId="18540854" w14:textId="77777777" w:rsidR="00805D16" w:rsidRPr="009B5CC1" w:rsidRDefault="00805D16" w:rsidP="00D6140E">
            <w:pPr>
              <w:jc w:val="right"/>
              <w:rPr>
                <w:color w:val="000000"/>
                <w:sz w:val="19"/>
                <w:szCs w:val="19"/>
                <w:lang w:eastAsia="en-CA"/>
              </w:rPr>
            </w:pPr>
            <w:r>
              <w:rPr>
                <w:color w:val="000000"/>
                <w:sz w:val="19"/>
                <w:szCs w:val="19"/>
              </w:rPr>
              <w:t>4,00</w:t>
            </w:r>
          </w:p>
        </w:tc>
        <w:tc>
          <w:tcPr>
            <w:tcW w:w="762" w:type="dxa"/>
            <w:gridSpan w:val="2"/>
            <w:noWrap/>
            <w:hideMark/>
          </w:tcPr>
          <w:p w14:paraId="6AD042A0" w14:textId="77777777" w:rsidR="00805D16" w:rsidRPr="009B5CC1" w:rsidRDefault="00805D16" w:rsidP="00D6140E">
            <w:pPr>
              <w:jc w:val="right"/>
              <w:rPr>
                <w:color w:val="000000"/>
                <w:sz w:val="19"/>
                <w:szCs w:val="19"/>
                <w:lang w:eastAsia="en-CA"/>
              </w:rPr>
            </w:pPr>
            <w:r>
              <w:rPr>
                <w:color w:val="000000"/>
                <w:sz w:val="19"/>
                <w:szCs w:val="19"/>
              </w:rPr>
              <w:t>4,20</w:t>
            </w:r>
          </w:p>
        </w:tc>
        <w:tc>
          <w:tcPr>
            <w:tcW w:w="961" w:type="dxa"/>
            <w:noWrap/>
            <w:hideMark/>
          </w:tcPr>
          <w:p w14:paraId="5298D23C" w14:textId="77777777" w:rsidR="00805D16" w:rsidRPr="009B5CC1" w:rsidRDefault="00805D16" w:rsidP="00D6140E">
            <w:pPr>
              <w:jc w:val="right"/>
              <w:rPr>
                <w:color w:val="000000"/>
                <w:sz w:val="19"/>
                <w:szCs w:val="19"/>
                <w:lang w:eastAsia="en-CA"/>
              </w:rPr>
            </w:pPr>
            <w:r>
              <w:rPr>
                <w:color w:val="000000"/>
                <w:sz w:val="19"/>
                <w:szCs w:val="19"/>
              </w:rPr>
              <w:t>4,00</w:t>
            </w:r>
          </w:p>
        </w:tc>
        <w:tc>
          <w:tcPr>
            <w:tcW w:w="850" w:type="dxa"/>
            <w:noWrap/>
            <w:hideMark/>
          </w:tcPr>
          <w:p w14:paraId="4BC62708" w14:textId="77777777" w:rsidR="00805D16" w:rsidRPr="009B5CC1" w:rsidRDefault="00805D16" w:rsidP="00D6140E">
            <w:pPr>
              <w:jc w:val="right"/>
              <w:rPr>
                <w:color w:val="000000"/>
                <w:sz w:val="19"/>
                <w:szCs w:val="19"/>
                <w:lang w:eastAsia="en-CA"/>
              </w:rPr>
            </w:pPr>
            <w:r>
              <w:rPr>
                <w:color w:val="000000"/>
                <w:sz w:val="19"/>
                <w:szCs w:val="19"/>
              </w:rPr>
              <w:t>4,00</w:t>
            </w:r>
          </w:p>
        </w:tc>
        <w:tc>
          <w:tcPr>
            <w:tcW w:w="851" w:type="dxa"/>
            <w:noWrap/>
            <w:hideMark/>
          </w:tcPr>
          <w:p w14:paraId="0BD43294" w14:textId="77777777" w:rsidR="00805D16" w:rsidRPr="009B5CC1" w:rsidRDefault="00805D16" w:rsidP="00D6140E">
            <w:pPr>
              <w:jc w:val="right"/>
              <w:rPr>
                <w:color w:val="000000"/>
                <w:sz w:val="19"/>
                <w:szCs w:val="19"/>
                <w:lang w:eastAsia="en-CA"/>
              </w:rPr>
            </w:pPr>
            <w:r>
              <w:rPr>
                <w:color w:val="000000"/>
                <w:sz w:val="19"/>
                <w:szCs w:val="19"/>
              </w:rPr>
              <w:t>4,20</w:t>
            </w:r>
          </w:p>
        </w:tc>
        <w:tc>
          <w:tcPr>
            <w:tcW w:w="992" w:type="dxa"/>
          </w:tcPr>
          <w:p w14:paraId="0E5AEAD9" w14:textId="6ABBE76C" w:rsidR="00805D16" w:rsidRPr="009B5CC1" w:rsidRDefault="0060504F" w:rsidP="00D6140E">
            <w:pPr>
              <w:jc w:val="right"/>
              <w:rPr>
                <w:color w:val="000000"/>
                <w:sz w:val="19"/>
                <w:szCs w:val="19"/>
                <w:lang w:eastAsia="en-CA"/>
              </w:rPr>
            </w:pPr>
            <w:r>
              <w:rPr>
                <w:color w:val="000000"/>
                <w:sz w:val="19"/>
                <w:szCs w:val="19"/>
              </w:rPr>
              <w:t>s.o.</w:t>
            </w:r>
          </w:p>
        </w:tc>
      </w:tr>
      <w:tr w:rsidR="009B5CC1" w:rsidRPr="006415C3" w14:paraId="06E3F412" w14:textId="6A9E98BC" w:rsidTr="00F54C52">
        <w:trPr>
          <w:trHeight w:val="240"/>
        </w:trPr>
        <w:tc>
          <w:tcPr>
            <w:tcW w:w="1281" w:type="dxa"/>
            <w:gridSpan w:val="2"/>
            <w:noWrap/>
            <w:hideMark/>
          </w:tcPr>
          <w:p w14:paraId="6622CA62" w14:textId="77777777" w:rsidR="00805D16" w:rsidRPr="009B5CC1" w:rsidRDefault="00805D16" w:rsidP="00D6140E">
            <w:pPr>
              <w:jc w:val="left"/>
              <w:rPr>
                <w:color w:val="000000"/>
                <w:sz w:val="19"/>
                <w:szCs w:val="19"/>
                <w:lang w:eastAsia="en-CA"/>
              </w:rPr>
            </w:pPr>
            <w:r>
              <w:rPr>
                <w:color w:val="000000"/>
                <w:sz w:val="19"/>
                <w:szCs w:val="19"/>
              </w:rPr>
              <w:t>EER / MEPS cible</w:t>
            </w:r>
          </w:p>
        </w:tc>
        <w:tc>
          <w:tcPr>
            <w:tcW w:w="1102" w:type="dxa"/>
            <w:noWrap/>
            <w:hideMark/>
          </w:tcPr>
          <w:p w14:paraId="5FBAEC57" w14:textId="77777777" w:rsidR="00805D16" w:rsidRPr="009B5CC1" w:rsidRDefault="00805D16" w:rsidP="00D6140E">
            <w:pPr>
              <w:jc w:val="right"/>
              <w:rPr>
                <w:color w:val="000000"/>
                <w:sz w:val="19"/>
                <w:szCs w:val="19"/>
                <w:lang w:eastAsia="en-CA"/>
              </w:rPr>
            </w:pPr>
            <w:r>
              <w:rPr>
                <w:color w:val="000000"/>
                <w:sz w:val="19"/>
                <w:szCs w:val="19"/>
              </w:rPr>
              <w:t>1,33</w:t>
            </w:r>
          </w:p>
        </w:tc>
        <w:tc>
          <w:tcPr>
            <w:tcW w:w="753" w:type="dxa"/>
            <w:noWrap/>
            <w:hideMark/>
          </w:tcPr>
          <w:p w14:paraId="21099E2C" w14:textId="77777777" w:rsidR="00805D16" w:rsidRPr="009B5CC1" w:rsidRDefault="00805D16" w:rsidP="00D6140E">
            <w:pPr>
              <w:jc w:val="right"/>
              <w:rPr>
                <w:color w:val="000000"/>
                <w:sz w:val="19"/>
                <w:szCs w:val="19"/>
                <w:lang w:eastAsia="en-CA"/>
              </w:rPr>
            </w:pPr>
            <w:r>
              <w:rPr>
                <w:color w:val="000000"/>
                <w:sz w:val="19"/>
                <w:szCs w:val="19"/>
              </w:rPr>
              <w:t>1,40</w:t>
            </w:r>
          </w:p>
        </w:tc>
        <w:tc>
          <w:tcPr>
            <w:tcW w:w="753" w:type="dxa"/>
            <w:noWrap/>
            <w:hideMark/>
          </w:tcPr>
          <w:p w14:paraId="0905CC4A" w14:textId="77777777" w:rsidR="00805D16" w:rsidRPr="009B5CC1" w:rsidRDefault="00805D16" w:rsidP="00D6140E">
            <w:pPr>
              <w:jc w:val="right"/>
              <w:rPr>
                <w:color w:val="000000"/>
                <w:sz w:val="19"/>
                <w:szCs w:val="19"/>
                <w:lang w:eastAsia="en-CA"/>
              </w:rPr>
            </w:pPr>
            <w:r>
              <w:rPr>
                <w:color w:val="000000"/>
                <w:sz w:val="19"/>
                <w:szCs w:val="19"/>
              </w:rPr>
              <w:t>1,33</w:t>
            </w:r>
          </w:p>
        </w:tc>
        <w:tc>
          <w:tcPr>
            <w:tcW w:w="1056" w:type="dxa"/>
            <w:gridSpan w:val="2"/>
            <w:noWrap/>
            <w:hideMark/>
          </w:tcPr>
          <w:p w14:paraId="3E7ADF3E" w14:textId="77777777" w:rsidR="00805D16" w:rsidRPr="009B5CC1" w:rsidRDefault="00805D16" w:rsidP="00D6140E">
            <w:pPr>
              <w:jc w:val="right"/>
              <w:rPr>
                <w:color w:val="000000"/>
                <w:sz w:val="19"/>
                <w:szCs w:val="19"/>
                <w:lang w:eastAsia="en-CA"/>
              </w:rPr>
            </w:pPr>
            <w:r>
              <w:rPr>
                <w:color w:val="000000"/>
                <w:sz w:val="19"/>
                <w:szCs w:val="19"/>
              </w:rPr>
              <w:t>1,33</w:t>
            </w:r>
          </w:p>
        </w:tc>
        <w:tc>
          <w:tcPr>
            <w:tcW w:w="762" w:type="dxa"/>
            <w:gridSpan w:val="2"/>
            <w:noWrap/>
            <w:hideMark/>
          </w:tcPr>
          <w:p w14:paraId="0AD31562" w14:textId="77777777" w:rsidR="00805D16" w:rsidRPr="009B5CC1" w:rsidRDefault="00805D16" w:rsidP="00D6140E">
            <w:pPr>
              <w:jc w:val="right"/>
              <w:rPr>
                <w:color w:val="000000"/>
                <w:sz w:val="19"/>
                <w:szCs w:val="19"/>
                <w:lang w:eastAsia="en-CA"/>
              </w:rPr>
            </w:pPr>
            <w:r>
              <w:rPr>
                <w:color w:val="000000"/>
                <w:sz w:val="19"/>
                <w:szCs w:val="19"/>
              </w:rPr>
              <w:t>1,40</w:t>
            </w:r>
          </w:p>
        </w:tc>
        <w:tc>
          <w:tcPr>
            <w:tcW w:w="961" w:type="dxa"/>
            <w:noWrap/>
            <w:hideMark/>
          </w:tcPr>
          <w:p w14:paraId="5EE80B7E" w14:textId="77777777" w:rsidR="00805D16" w:rsidRPr="009B5CC1" w:rsidRDefault="00805D16" w:rsidP="00D6140E">
            <w:pPr>
              <w:jc w:val="right"/>
              <w:rPr>
                <w:color w:val="000000"/>
                <w:sz w:val="19"/>
                <w:szCs w:val="19"/>
                <w:lang w:eastAsia="en-CA"/>
              </w:rPr>
            </w:pPr>
            <w:r>
              <w:rPr>
                <w:color w:val="000000"/>
                <w:sz w:val="19"/>
                <w:szCs w:val="19"/>
              </w:rPr>
              <w:t>1,33</w:t>
            </w:r>
          </w:p>
        </w:tc>
        <w:tc>
          <w:tcPr>
            <w:tcW w:w="850" w:type="dxa"/>
            <w:noWrap/>
            <w:hideMark/>
          </w:tcPr>
          <w:p w14:paraId="070DD823" w14:textId="77777777" w:rsidR="00805D16" w:rsidRPr="009B5CC1" w:rsidRDefault="00805D16" w:rsidP="00D6140E">
            <w:pPr>
              <w:jc w:val="right"/>
              <w:rPr>
                <w:color w:val="000000"/>
                <w:sz w:val="19"/>
                <w:szCs w:val="19"/>
                <w:lang w:eastAsia="en-CA"/>
              </w:rPr>
            </w:pPr>
            <w:r>
              <w:rPr>
                <w:color w:val="000000"/>
                <w:sz w:val="19"/>
                <w:szCs w:val="19"/>
              </w:rPr>
              <w:t>1,33</w:t>
            </w:r>
          </w:p>
        </w:tc>
        <w:tc>
          <w:tcPr>
            <w:tcW w:w="851" w:type="dxa"/>
            <w:noWrap/>
            <w:hideMark/>
          </w:tcPr>
          <w:p w14:paraId="392977C1" w14:textId="77777777" w:rsidR="00805D16" w:rsidRPr="009B5CC1" w:rsidRDefault="00805D16" w:rsidP="00D6140E">
            <w:pPr>
              <w:jc w:val="right"/>
              <w:rPr>
                <w:color w:val="000000"/>
                <w:sz w:val="19"/>
                <w:szCs w:val="19"/>
                <w:lang w:eastAsia="en-CA"/>
              </w:rPr>
            </w:pPr>
            <w:r>
              <w:rPr>
                <w:color w:val="000000"/>
                <w:sz w:val="19"/>
                <w:szCs w:val="19"/>
              </w:rPr>
              <w:t>1,40</w:t>
            </w:r>
          </w:p>
        </w:tc>
        <w:tc>
          <w:tcPr>
            <w:tcW w:w="992" w:type="dxa"/>
          </w:tcPr>
          <w:p w14:paraId="615646FA" w14:textId="05C601E7" w:rsidR="00805D16" w:rsidRPr="009B5CC1" w:rsidRDefault="0060504F" w:rsidP="00D6140E">
            <w:pPr>
              <w:jc w:val="right"/>
              <w:rPr>
                <w:color w:val="000000"/>
                <w:sz w:val="19"/>
                <w:szCs w:val="19"/>
                <w:lang w:eastAsia="en-CA"/>
              </w:rPr>
            </w:pPr>
            <w:r>
              <w:rPr>
                <w:color w:val="000000"/>
                <w:sz w:val="19"/>
                <w:szCs w:val="19"/>
              </w:rPr>
              <w:t>s.o.</w:t>
            </w:r>
          </w:p>
        </w:tc>
      </w:tr>
      <w:tr w:rsidR="007131D9" w:rsidRPr="006415C3" w14:paraId="0CB2CD32" w14:textId="7D6DC235" w:rsidTr="00F54C52">
        <w:trPr>
          <w:gridBefore w:val="1"/>
          <w:wBefore w:w="6" w:type="dxa"/>
          <w:trHeight w:val="375"/>
        </w:trPr>
        <w:tc>
          <w:tcPr>
            <w:tcW w:w="1275" w:type="dxa"/>
            <w:noWrap/>
            <w:hideMark/>
          </w:tcPr>
          <w:p w14:paraId="7216F88E" w14:textId="77777777" w:rsidR="00805D16" w:rsidRPr="009B5CC1" w:rsidRDefault="00805D16" w:rsidP="00D6140E">
            <w:pPr>
              <w:jc w:val="left"/>
              <w:rPr>
                <w:color w:val="000000"/>
                <w:sz w:val="19"/>
                <w:szCs w:val="19"/>
                <w:lang w:eastAsia="en-CA"/>
              </w:rPr>
            </w:pPr>
            <w:r>
              <w:rPr>
                <w:color w:val="000000"/>
                <w:sz w:val="19"/>
                <w:szCs w:val="19"/>
              </w:rPr>
              <w:t>Coût supplémentaire lié aux composants ($US/unité)*</w:t>
            </w:r>
          </w:p>
        </w:tc>
        <w:tc>
          <w:tcPr>
            <w:tcW w:w="1102" w:type="dxa"/>
            <w:noWrap/>
            <w:hideMark/>
          </w:tcPr>
          <w:p w14:paraId="764A4B41" w14:textId="3BC2BC0D" w:rsidR="00805D16" w:rsidRPr="009B5CC1" w:rsidRDefault="00805D16" w:rsidP="00D6140E">
            <w:pPr>
              <w:jc w:val="right"/>
              <w:rPr>
                <w:color w:val="000000"/>
                <w:sz w:val="19"/>
                <w:szCs w:val="19"/>
                <w:lang w:eastAsia="en-CA"/>
              </w:rPr>
            </w:pPr>
            <w:r>
              <w:rPr>
                <w:color w:val="000000"/>
                <w:sz w:val="19"/>
                <w:szCs w:val="19"/>
              </w:rPr>
              <w:t>14,7</w:t>
            </w:r>
            <w:r>
              <w:rPr>
                <w:color w:val="000000"/>
                <w:sz w:val="20"/>
                <w:szCs w:val="20"/>
              </w:rPr>
              <w:t>1</w:t>
            </w:r>
          </w:p>
        </w:tc>
        <w:tc>
          <w:tcPr>
            <w:tcW w:w="753" w:type="dxa"/>
            <w:noWrap/>
            <w:hideMark/>
          </w:tcPr>
          <w:p w14:paraId="1B35FD91" w14:textId="77777777" w:rsidR="00805D16" w:rsidRPr="009B5CC1" w:rsidRDefault="00805D16" w:rsidP="00D6140E">
            <w:pPr>
              <w:jc w:val="right"/>
              <w:rPr>
                <w:color w:val="000000"/>
                <w:sz w:val="19"/>
                <w:szCs w:val="19"/>
                <w:lang w:eastAsia="en-CA"/>
              </w:rPr>
            </w:pPr>
            <w:r>
              <w:rPr>
                <w:color w:val="000000"/>
                <w:sz w:val="19"/>
                <w:szCs w:val="19"/>
              </w:rPr>
              <w:t>24,40</w:t>
            </w:r>
          </w:p>
        </w:tc>
        <w:tc>
          <w:tcPr>
            <w:tcW w:w="753" w:type="dxa"/>
            <w:noWrap/>
            <w:hideMark/>
          </w:tcPr>
          <w:p w14:paraId="014D6E62" w14:textId="77777777" w:rsidR="00805D16" w:rsidRPr="009B5CC1" w:rsidRDefault="00805D16" w:rsidP="00D6140E">
            <w:pPr>
              <w:jc w:val="right"/>
              <w:rPr>
                <w:color w:val="000000"/>
                <w:sz w:val="19"/>
                <w:szCs w:val="19"/>
                <w:lang w:eastAsia="en-CA"/>
              </w:rPr>
            </w:pPr>
            <w:r>
              <w:rPr>
                <w:color w:val="000000"/>
                <w:sz w:val="19"/>
                <w:szCs w:val="19"/>
              </w:rPr>
              <w:t>14,84</w:t>
            </w:r>
          </w:p>
        </w:tc>
        <w:tc>
          <w:tcPr>
            <w:tcW w:w="1047" w:type="dxa"/>
            <w:noWrap/>
            <w:hideMark/>
          </w:tcPr>
          <w:p w14:paraId="12905CC0" w14:textId="77777777" w:rsidR="00805D16" w:rsidRPr="009B5CC1" w:rsidRDefault="00805D16" w:rsidP="00D6140E">
            <w:pPr>
              <w:jc w:val="right"/>
              <w:rPr>
                <w:color w:val="000000"/>
                <w:sz w:val="19"/>
                <w:szCs w:val="19"/>
                <w:lang w:eastAsia="en-CA"/>
              </w:rPr>
            </w:pPr>
            <w:r>
              <w:rPr>
                <w:color w:val="000000"/>
                <w:sz w:val="19"/>
                <w:szCs w:val="19"/>
              </w:rPr>
              <w:t>17,00</w:t>
            </w:r>
          </w:p>
        </w:tc>
        <w:tc>
          <w:tcPr>
            <w:tcW w:w="756" w:type="dxa"/>
            <w:gridSpan w:val="2"/>
            <w:noWrap/>
            <w:hideMark/>
          </w:tcPr>
          <w:p w14:paraId="4742FF9A" w14:textId="77777777" w:rsidR="00805D16" w:rsidRPr="009B5CC1" w:rsidRDefault="00805D16" w:rsidP="00D6140E">
            <w:pPr>
              <w:jc w:val="right"/>
              <w:rPr>
                <w:color w:val="000000"/>
                <w:sz w:val="19"/>
                <w:szCs w:val="19"/>
                <w:lang w:eastAsia="en-CA"/>
              </w:rPr>
            </w:pPr>
            <w:r>
              <w:rPr>
                <w:color w:val="000000"/>
                <w:sz w:val="19"/>
                <w:szCs w:val="19"/>
              </w:rPr>
              <w:t>21,40</w:t>
            </w:r>
          </w:p>
        </w:tc>
        <w:tc>
          <w:tcPr>
            <w:tcW w:w="976" w:type="dxa"/>
            <w:gridSpan w:val="2"/>
            <w:noWrap/>
            <w:hideMark/>
          </w:tcPr>
          <w:p w14:paraId="705491B8" w14:textId="77777777" w:rsidR="00805D16" w:rsidRPr="009B5CC1" w:rsidRDefault="00805D16" w:rsidP="00D6140E">
            <w:pPr>
              <w:jc w:val="right"/>
              <w:rPr>
                <w:color w:val="000000"/>
                <w:sz w:val="19"/>
                <w:szCs w:val="19"/>
                <w:lang w:eastAsia="en-CA"/>
              </w:rPr>
            </w:pPr>
            <w:r>
              <w:rPr>
                <w:color w:val="000000"/>
                <w:sz w:val="19"/>
                <w:szCs w:val="19"/>
              </w:rPr>
              <w:t>18,04</w:t>
            </w:r>
          </w:p>
        </w:tc>
        <w:tc>
          <w:tcPr>
            <w:tcW w:w="850" w:type="dxa"/>
            <w:noWrap/>
            <w:hideMark/>
          </w:tcPr>
          <w:p w14:paraId="77672F09" w14:textId="77777777" w:rsidR="00805D16" w:rsidRPr="009B5CC1" w:rsidRDefault="00805D16" w:rsidP="00D6140E">
            <w:pPr>
              <w:jc w:val="right"/>
              <w:rPr>
                <w:color w:val="000000"/>
                <w:sz w:val="19"/>
                <w:szCs w:val="19"/>
                <w:lang w:eastAsia="en-CA"/>
              </w:rPr>
            </w:pPr>
            <w:r>
              <w:rPr>
                <w:color w:val="000000"/>
                <w:sz w:val="19"/>
                <w:szCs w:val="19"/>
              </w:rPr>
              <w:t>20,00</w:t>
            </w:r>
          </w:p>
        </w:tc>
        <w:tc>
          <w:tcPr>
            <w:tcW w:w="851" w:type="dxa"/>
            <w:noWrap/>
            <w:hideMark/>
          </w:tcPr>
          <w:p w14:paraId="4C845B63" w14:textId="0CD4820F" w:rsidR="00805D16" w:rsidRPr="009B5CC1" w:rsidRDefault="00805D16" w:rsidP="00D6140E">
            <w:pPr>
              <w:jc w:val="right"/>
              <w:rPr>
                <w:color w:val="000000"/>
                <w:sz w:val="19"/>
                <w:szCs w:val="19"/>
                <w:lang w:eastAsia="en-CA"/>
              </w:rPr>
            </w:pPr>
            <w:r>
              <w:rPr>
                <w:color w:val="000000"/>
                <w:sz w:val="19"/>
                <w:szCs w:val="19"/>
              </w:rPr>
              <w:t>19</w:t>
            </w:r>
            <w:r>
              <w:rPr>
                <w:color w:val="000000"/>
                <w:sz w:val="20"/>
                <w:szCs w:val="20"/>
              </w:rPr>
              <w:t>,73**</w:t>
            </w:r>
          </w:p>
        </w:tc>
        <w:tc>
          <w:tcPr>
            <w:tcW w:w="992" w:type="dxa"/>
          </w:tcPr>
          <w:p w14:paraId="76C063CF" w14:textId="459F748A" w:rsidR="00805D16" w:rsidRPr="009B5CC1" w:rsidRDefault="0060504F" w:rsidP="0060504F">
            <w:pPr>
              <w:jc w:val="right"/>
              <w:rPr>
                <w:color w:val="000000"/>
                <w:sz w:val="19"/>
                <w:szCs w:val="19"/>
                <w:lang w:eastAsia="en-CA"/>
              </w:rPr>
            </w:pPr>
            <w:r>
              <w:rPr>
                <w:color w:val="000000"/>
                <w:sz w:val="19"/>
                <w:szCs w:val="19"/>
              </w:rPr>
              <w:t>s.o.</w:t>
            </w:r>
          </w:p>
        </w:tc>
      </w:tr>
      <w:tr w:rsidR="009B5CC1" w:rsidRPr="006415C3" w14:paraId="3D25873F" w14:textId="273311F7" w:rsidTr="00F54C52">
        <w:trPr>
          <w:trHeight w:val="366"/>
        </w:trPr>
        <w:tc>
          <w:tcPr>
            <w:tcW w:w="1281" w:type="dxa"/>
            <w:gridSpan w:val="2"/>
            <w:hideMark/>
          </w:tcPr>
          <w:p w14:paraId="42769DAD" w14:textId="3E8F2523" w:rsidR="00805D16" w:rsidRPr="009B5CC1" w:rsidRDefault="00805D16" w:rsidP="00D6140E">
            <w:pPr>
              <w:jc w:val="left"/>
              <w:rPr>
                <w:color w:val="000000"/>
                <w:sz w:val="19"/>
                <w:szCs w:val="19"/>
                <w:lang w:eastAsia="en-CA"/>
              </w:rPr>
            </w:pPr>
            <w:r>
              <w:rPr>
                <w:color w:val="000000"/>
                <w:sz w:val="19"/>
                <w:szCs w:val="19"/>
              </w:rPr>
              <w:lastRenderedPageBreak/>
              <w:t xml:space="preserve">Coût supplémentaire lié aux composants ($US)*** </w:t>
            </w:r>
          </w:p>
        </w:tc>
        <w:tc>
          <w:tcPr>
            <w:tcW w:w="1102" w:type="dxa"/>
            <w:noWrap/>
            <w:hideMark/>
          </w:tcPr>
          <w:p w14:paraId="5B8BDD9F" w14:textId="77777777" w:rsidR="00805D16" w:rsidRPr="009B5CC1" w:rsidRDefault="00805D16" w:rsidP="00D6140E">
            <w:pPr>
              <w:jc w:val="right"/>
              <w:rPr>
                <w:color w:val="000000"/>
                <w:sz w:val="19"/>
                <w:szCs w:val="19"/>
                <w:lang w:eastAsia="en-CA"/>
              </w:rPr>
            </w:pPr>
            <w:r>
              <w:rPr>
                <w:color w:val="000000"/>
                <w:sz w:val="19"/>
                <w:szCs w:val="19"/>
              </w:rPr>
              <w:t>1 029 973</w:t>
            </w:r>
          </w:p>
        </w:tc>
        <w:tc>
          <w:tcPr>
            <w:tcW w:w="753" w:type="dxa"/>
            <w:noWrap/>
            <w:hideMark/>
          </w:tcPr>
          <w:p w14:paraId="1FC20C8F" w14:textId="77777777" w:rsidR="00805D16" w:rsidRPr="009B5CC1" w:rsidRDefault="00805D16" w:rsidP="00D6140E">
            <w:pPr>
              <w:jc w:val="right"/>
              <w:rPr>
                <w:color w:val="000000"/>
                <w:sz w:val="19"/>
                <w:szCs w:val="19"/>
                <w:lang w:eastAsia="en-CA"/>
              </w:rPr>
            </w:pPr>
            <w:r>
              <w:rPr>
                <w:color w:val="000000"/>
                <w:sz w:val="19"/>
                <w:szCs w:val="19"/>
              </w:rPr>
              <w:t>452 260</w:t>
            </w:r>
          </w:p>
        </w:tc>
        <w:tc>
          <w:tcPr>
            <w:tcW w:w="753" w:type="dxa"/>
            <w:noWrap/>
            <w:hideMark/>
          </w:tcPr>
          <w:p w14:paraId="72687DB9" w14:textId="77777777" w:rsidR="00805D16" w:rsidRPr="009B5CC1" w:rsidRDefault="00805D16" w:rsidP="00D6140E">
            <w:pPr>
              <w:jc w:val="right"/>
              <w:rPr>
                <w:color w:val="000000"/>
                <w:sz w:val="19"/>
                <w:szCs w:val="19"/>
                <w:lang w:eastAsia="en-CA"/>
              </w:rPr>
            </w:pPr>
            <w:r>
              <w:rPr>
                <w:color w:val="000000"/>
                <w:sz w:val="19"/>
                <w:szCs w:val="19"/>
              </w:rPr>
              <w:t>296 707</w:t>
            </w:r>
          </w:p>
        </w:tc>
        <w:tc>
          <w:tcPr>
            <w:tcW w:w="1056" w:type="dxa"/>
            <w:gridSpan w:val="2"/>
            <w:noWrap/>
            <w:hideMark/>
          </w:tcPr>
          <w:p w14:paraId="2DAC0FC1" w14:textId="77777777" w:rsidR="00805D16" w:rsidRPr="009B5CC1" w:rsidRDefault="00805D16" w:rsidP="00D6140E">
            <w:pPr>
              <w:jc w:val="right"/>
              <w:rPr>
                <w:color w:val="000000"/>
                <w:sz w:val="19"/>
                <w:szCs w:val="19"/>
                <w:lang w:eastAsia="en-CA"/>
              </w:rPr>
            </w:pPr>
            <w:r>
              <w:rPr>
                <w:color w:val="000000"/>
                <w:sz w:val="19"/>
                <w:szCs w:val="19"/>
              </w:rPr>
              <w:t>135 102</w:t>
            </w:r>
          </w:p>
        </w:tc>
        <w:tc>
          <w:tcPr>
            <w:tcW w:w="762" w:type="dxa"/>
            <w:gridSpan w:val="2"/>
            <w:noWrap/>
            <w:hideMark/>
          </w:tcPr>
          <w:p w14:paraId="3CE5282B" w14:textId="77777777" w:rsidR="00805D16" w:rsidRPr="009B5CC1" w:rsidRDefault="00805D16" w:rsidP="00D6140E">
            <w:pPr>
              <w:jc w:val="right"/>
              <w:rPr>
                <w:color w:val="000000"/>
                <w:sz w:val="19"/>
                <w:szCs w:val="19"/>
                <w:lang w:eastAsia="en-CA"/>
              </w:rPr>
            </w:pPr>
            <w:r>
              <w:rPr>
                <w:color w:val="000000"/>
                <w:sz w:val="19"/>
                <w:szCs w:val="19"/>
              </w:rPr>
              <w:t>59 627</w:t>
            </w:r>
          </w:p>
        </w:tc>
        <w:tc>
          <w:tcPr>
            <w:tcW w:w="961" w:type="dxa"/>
            <w:noWrap/>
            <w:hideMark/>
          </w:tcPr>
          <w:p w14:paraId="3E42D748" w14:textId="77777777" w:rsidR="00805D16" w:rsidRPr="009B5CC1" w:rsidRDefault="00805D16" w:rsidP="00D6140E">
            <w:pPr>
              <w:jc w:val="right"/>
              <w:rPr>
                <w:color w:val="000000"/>
                <w:sz w:val="19"/>
                <w:szCs w:val="19"/>
                <w:lang w:eastAsia="en-CA"/>
              </w:rPr>
            </w:pPr>
            <w:r>
              <w:rPr>
                <w:color w:val="000000"/>
                <w:sz w:val="19"/>
                <w:szCs w:val="19"/>
              </w:rPr>
              <w:t>34 545</w:t>
            </w:r>
          </w:p>
        </w:tc>
        <w:tc>
          <w:tcPr>
            <w:tcW w:w="850" w:type="dxa"/>
            <w:noWrap/>
            <w:hideMark/>
          </w:tcPr>
          <w:p w14:paraId="2549C0F2" w14:textId="77777777" w:rsidR="00805D16" w:rsidRPr="009B5CC1" w:rsidRDefault="00805D16" w:rsidP="00D6140E">
            <w:pPr>
              <w:jc w:val="right"/>
              <w:rPr>
                <w:color w:val="000000"/>
                <w:sz w:val="19"/>
                <w:szCs w:val="19"/>
                <w:lang w:eastAsia="en-CA"/>
              </w:rPr>
            </w:pPr>
            <w:r>
              <w:rPr>
                <w:color w:val="000000"/>
                <w:sz w:val="19"/>
                <w:szCs w:val="19"/>
              </w:rPr>
              <w:t>356 574</w:t>
            </w:r>
          </w:p>
        </w:tc>
        <w:tc>
          <w:tcPr>
            <w:tcW w:w="851" w:type="dxa"/>
            <w:noWrap/>
            <w:hideMark/>
          </w:tcPr>
          <w:p w14:paraId="197BCAF3" w14:textId="77777777" w:rsidR="00805D16" w:rsidRPr="009B5CC1" w:rsidRDefault="00805D16" w:rsidP="00D6140E">
            <w:pPr>
              <w:jc w:val="right"/>
              <w:rPr>
                <w:color w:val="000000"/>
                <w:sz w:val="19"/>
                <w:szCs w:val="19"/>
                <w:lang w:eastAsia="en-CA"/>
              </w:rPr>
            </w:pPr>
            <w:r>
              <w:rPr>
                <w:color w:val="000000"/>
                <w:sz w:val="19"/>
                <w:szCs w:val="19"/>
              </w:rPr>
              <w:t>161 100</w:t>
            </w:r>
          </w:p>
        </w:tc>
        <w:tc>
          <w:tcPr>
            <w:tcW w:w="992" w:type="dxa"/>
          </w:tcPr>
          <w:p w14:paraId="6D4506AC" w14:textId="2088C7EE" w:rsidR="00805D16" w:rsidRPr="009B5CC1" w:rsidRDefault="000632AB" w:rsidP="00D6140E">
            <w:pPr>
              <w:jc w:val="right"/>
              <w:rPr>
                <w:color w:val="000000"/>
                <w:sz w:val="19"/>
                <w:szCs w:val="19"/>
                <w:lang w:eastAsia="en-CA"/>
              </w:rPr>
            </w:pPr>
            <w:r>
              <w:rPr>
                <w:color w:val="000000"/>
                <w:sz w:val="19"/>
                <w:szCs w:val="19"/>
              </w:rPr>
              <w:t>2 525 888</w:t>
            </w:r>
          </w:p>
        </w:tc>
      </w:tr>
      <w:tr w:rsidR="00F54C52" w:rsidRPr="006415C3" w14:paraId="3117B57A" w14:textId="4BA3F5A6">
        <w:trPr>
          <w:trHeight w:val="167"/>
        </w:trPr>
        <w:tc>
          <w:tcPr>
            <w:tcW w:w="9361" w:type="dxa"/>
            <w:gridSpan w:val="13"/>
            <w:hideMark/>
          </w:tcPr>
          <w:p w14:paraId="6C13C2A2" w14:textId="111A84EB" w:rsidR="00F54C52" w:rsidRPr="009B5CC1" w:rsidRDefault="00F54C52" w:rsidP="00D6140E">
            <w:pPr>
              <w:jc w:val="center"/>
              <w:rPr>
                <w:b/>
                <w:bCs/>
                <w:color w:val="000000"/>
                <w:sz w:val="19"/>
                <w:szCs w:val="19"/>
                <w:lang w:eastAsia="en-CA"/>
              </w:rPr>
            </w:pPr>
            <w:r>
              <w:rPr>
                <w:b/>
                <w:bCs/>
                <w:color w:val="000000"/>
                <w:sz w:val="19"/>
                <w:szCs w:val="19"/>
              </w:rPr>
              <w:t>Mesure d'incitation ($US)</w:t>
            </w:r>
          </w:p>
        </w:tc>
      </w:tr>
      <w:tr w:rsidR="009B5CC1" w:rsidRPr="006415C3" w14:paraId="2252E14D" w14:textId="2218DF58" w:rsidTr="00F54C52">
        <w:trPr>
          <w:trHeight w:val="167"/>
        </w:trPr>
        <w:tc>
          <w:tcPr>
            <w:tcW w:w="1281" w:type="dxa"/>
            <w:gridSpan w:val="2"/>
            <w:hideMark/>
          </w:tcPr>
          <w:p w14:paraId="7599D6A5" w14:textId="77777777" w:rsidR="00805D16" w:rsidRPr="009B5CC1" w:rsidRDefault="00805D16" w:rsidP="00D6140E">
            <w:pPr>
              <w:jc w:val="left"/>
              <w:rPr>
                <w:color w:val="000000"/>
                <w:sz w:val="19"/>
                <w:szCs w:val="19"/>
                <w:lang w:eastAsia="en-CA"/>
              </w:rPr>
            </w:pPr>
            <w:r>
              <w:rPr>
                <w:color w:val="000000"/>
                <w:sz w:val="19"/>
                <w:szCs w:val="19"/>
              </w:rPr>
              <w:t>Investissement supplémentaire</w:t>
            </w:r>
          </w:p>
        </w:tc>
        <w:tc>
          <w:tcPr>
            <w:tcW w:w="1102" w:type="dxa"/>
            <w:noWrap/>
            <w:hideMark/>
          </w:tcPr>
          <w:p w14:paraId="29CC632A" w14:textId="77777777" w:rsidR="00805D16" w:rsidRPr="009B5CC1" w:rsidRDefault="00805D16" w:rsidP="00D6140E">
            <w:pPr>
              <w:jc w:val="right"/>
              <w:rPr>
                <w:color w:val="000000"/>
                <w:sz w:val="19"/>
                <w:szCs w:val="19"/>
                <w:lang w:eastAsia="en-CA"/>
              </w:rPr>
            </w:pPr>
            <w:r>
              <w:rPr>
                <w:color w:val="000000"/>
                <w:sz w:val="19"/>
                <w:szCs w:val="19"/>
              </w:rPr>
              <w:t>120 000</w:t>
            </w:r>
          </w:p>
        </w:tc>
        <w:tc>
          <w:tcPr>
            <w:tcW w:w="753" w:type="dxa"/>
            <w:noWrap/>
            <w:hideMark/>
          </w:tcPr>
          <w:p w14:paraId="21051967" w14:textId="77777777" w:rsidR="00805D16" w:rsidRPr="009B5CC1" w:rsidRDefault="00805D16" w:rsidP="00D6140E">
            <w:pPr>
              <w:jc w:val="right"/>
              <w:rPr>
                <w:color w:val="000000"/>
                <w:sz w:val="19"/>
                <w:szCs w:val="19"/>
                <w:lang w:eastAsia="en-CA"/>
              </w:rPr>
            </w:pPr>
            <w:r>
              <w:rPr>
                <w:color w:val="000000"/>
                <w:sz w:val="19"/>
                <w:szCs w:val="19"/>
              </w:rPr>
              <w:t>100 000</w:t>
            </w:r>
          </w:p>
        </w:tc>
        <w:tc>
          <w:tcPr>
            <w:tcW w:w="753" w:type="dxa"/>
            <w:noWrap/>
            <w:hideMark/>
          </w:tcPr>
          <w:p w14:paraId="5BAC4169" w14:textId="77777777" w:rsidR="00805D16" w:rsidRPr="009B5CC1" w:rsidRDefault="00805D16" w:rsidP="00D6140E">
            <w:pPr>
              <w:jc w:val="right"/>
              <w:rPr>
                <w:color w:val="000000"/>
                <w:sz w:val="19"/>
                <w:szCs w:val="19"/>
                <w:lang w:eastAsia="en-CA"/>
              </w:rPr>
            </w:pPr>
            <w:r>
              <w:rPr>
                <w:color w:val="000000"/>
                <w:sz w:val="19"/>
                <w:szCs w:val="19"/>
              </w:rPr>
              <w:t>100 000</w:t>
            </w:r>
          </w:p>
        </w:tc>
        <w:tc>
          <w:tcPr>
            <w:tcW w:w="1056" w:type="dxa"/>
            <w:gridSpan w:val="2"/>
            <w:noWrap/>
            <w:hideMark/>
          </w:tcPr>
          <w:p w14:paraId="7A562D70" w14:textId="77777777" w:rsidR="00805D16" w:rsidRPr="009B5CC1" w:rsidRDefault="00805D16" w:rsidP="00D6140E">
            <w:pPr>
              <w:jc w:val="right"/>
              <w:rPr>
                <w:color w:val="000000"/>
                <w:sz w:val="19"/>
                <w:szCs w:val="19"/>
                <w:lang w:eastAsia="en-CA"/>
              </w:rPr>
            </w:pPr>
            <w:r>
              <w:rPr>
                <w:color w:val="000000"/>
                <w:sz w:val="19"/>
                <w:szCs w:val="19"/>
              </w:rPr>
              <w:t>100 000</w:t>
            </w:r>
          </w:p>
        </w:tc>
        <w:tc>
          <w:tcPr>
            <w:tcW w:w="762" w:type="dxa"/>
            <w:gridSpan w:val="2"/>
            <w:noWrap/>
            <w:hideMark/>
          </w:tcPr>
          <w:p w14:paraId="571A08CA" w14:textId="77777777" w:rsidR="00805D16" w:rsidRPr="009B5CC1" w:rsidRDefault="00805D16" w:rsidP="00D6140E">
            <w:pPr>
              <w:jc w:val="right"/>
              <w:rPr>
                <w:color w:val="000000"/>
                <w:sz w:val="19"/>
                <w:szCs w:val="19"/>
                <w:lang w:eastAsia="en-CA"/>
              </w:rPr>
            </w:pPr>
            <w:r>
              <w:rPr>
                <w:color w:val="000000"/>
                <w:sz w:val="19"/>
                <w:szCs w:val="19"/>
              </w:rPr>
              <w:t>100 000</w:t>
            </w:r>
          </w:p>
        </w:tc>
        <w:tc>
          <w:tcPr>
            <w:tcW w:w="961" w:type="dxa"/>
            <w:noWrap/>
            <w:hideMark/>
          </w:tcPr>
          <w:p w14:paraId="1CD004D4" w14:textId="77777777" w:rsidR="00805D16" w:rsidRPr="009B5CC1" w:rsidRDefault="00805D16" w:rsidP="00D6140E">
            <w:pPr>
              <w:jc w:val="right"/>
              <w:rPr>
                <w:color w:val="000000"/>
                <w:sz w:val="19"/>
                <w:szCs w:val="19"/>
                <w:lang w:eastAsia="en-CA"/>
              </w:rPr>
            </w:pPr>
            <w:r>
              <w:rPr>
                <w:color w:val="000000"/>
                <w:sz w:val="19"/>
                <w:szCs w:val="19"/>
              </w:rPr>
              <w:t>100 000</w:t>
            </w:r>
          </w:p>
        </w:tc>
        <w:tc>
          <w:tcPr>
            <w:tcW w:w="850" w:type="dxa"/>
            <w:noWrap/>
            <w:hideMark/>
          </w:tcPr>
          <w:p w14:paraId="7355EB84" w14:textId="64790B27" w:rsidR="00805D16" w:rsidRPr="009B5CC1" w:rsidRDefault="00805D16" w:rsidP="00D6140E">
            <w:pPr>
              <w:jc w:val="right"/>
              <w:rPr>
                <w:color w:val="000000"/>
                <w:sz w:val="19"/>
                <w:szCs w:val="19"/>
                <w:lang w:eastAsia="en-CA"/>
              </w:rPr>
            </w:pPr>
            <w:r>
              <w:rPr>
                <w:color w:val="000000"/>
                <w:sz w:val="19"/>
                <w:szCs w:val="19"/>
              </w:rPr>
              <w:t>100 000</w:t>
            </w:r>
          </w:p>
        </w:tc>
        <w:tc>
          <w:tcPr>
            <w:tcW w:w="851" w:type="dxa"/>
            <w:noWrap/>
            <w:hideMark/>
          </w:tcPr>
          <w:p w14:paraId="42391120" w14:textId="77777777" w:rsidR="00805D16" w:rsidRPr="009B5CC1" w:rsidRDefault="00805D16" w:rsidP="00D6140E">
            <w:pPr>
              <w:jc w:val="right"/>
              <w:rPr>
                <w:color w:val="000000"/>
                <w:sz w:val="19"/>
                <w:szCs w:val="19"/>
                <w:lang w:eastAsia="en-CA"/>
              </w:rPr>
            </w:pPr>
            <w:r>
              <w:rPr>
                <w:color w:val="000000"/>
                <w:sz w:val="19"/>
                <w:szCs w:val="19"/>
              </w:rPr>
              <w:t>100 000</w:t>
            </w:r>
          </w:p>
        </w:tc>
        <w:tc>
          <w:tcPr>
            <w:tcW w:w="992" w:type="dxa"/>
          </w:tcPr>
          <w:p w14:paraId="2F3CEF96" w14:textId="2CFDD1E8" w:rsidR="00805D16" w:rsidRPr="009B5CC1" w:rsidRDefault="00364802" w:rsidP="00D6140E">
            <w:pPr>
              <w:jc w:val="right"/>
              <w:rPr>
                <w:color w:val="000000"/>
                <w:sz w:val="19"/>
                <w:szCs w:val="19"/>
                <w:lang w:eastAsia="en-CA"/>
              </w:rPr>
            </w:pPr>
            <w:r>
              <w:rPr>
                <w:sz w:val="19"/>
                <w:szCs w:val="19"/>
              </w:rPr>
              <w:t>820 000</w:t>
            </w:r>
          </w:p>
        </w:tc>
      </w:tr>
      <w:tr w:rsidR="009B5CC1" w:rsidRPr="006415C3" w14:paraId="67C169DC" w14:textId="30BB0491" w:rsidTr="00F54C52">
        <w:trPr>
          <w:trHeight w:val="167"/>
        </w:trPr>
        <w:tc>
          <w:tcPr>
            <w:tcW w:w="1281" w:type="dxa"/>
            <w:gridSpan w:val="2"/>
            <w:hideMark/>
          </w:tcPr>
          <w:p w14:paraId="609A174B" w14:textId="77777777" w:rsidR="00805D16" w:rsidRPr="009B5CC1" w:rsidRDefault="00805D16" w:rsidP="00D6140E">
            <w:pPr>
              <w:jc w:val="left"/>
              <w:rPr>
                <w:color w:val="000000"/>
                <w:sz w:val="19"/>
                <w:szCs w:val="19"/>
                <w:lang w:eastAsia="en-CA"/>
              </w:rPr>
            </w:pPr>
            <w:r>
              <w:rPr>
                <w:color w:val="000000"/>
                <w:sz w:val="19"/>
                <w:szCs w:val="19"/>
              </w:rPr>
              <w:t xml:space="preserve">Coût supplémentaire lié aux composants </w:t>
            </w:r>
          </w:p>
        </w:tc>
        <w:tc>
          <w:tcPr>
            <w:tcW w:w="1102" w:type="dxa"/>
            <w:noWrap/>
            <w:hideMark/>
          </w:tcPr>
          <w:p w14:paraId="127C8DA9" w14:textId="77777777" w:rsidR="00805D16" w:rsidRPr="009B5CC1" w:rsidRDefault="00805D16" w:rsidP="00D6140E">
            <w:pPr>
              <w:jc w:val="right"/>
              <w:rPr>
                <w:color w:val="000000"/>
                <w:sz w:val="19"/>
                <w:szCs w:val="19"/>
                <w:lang w:eastAsia="en-CA"/>
              </w:rPr>
            </w:pPr>
            <w:r>
              <w:rPr>
                <w:color w:val="000000"/>
                <w:sz w:val="19"/>
                <w:szCs w:val="19"/>
              </w:rPr>
              <w:t>343 324</w:t>
            </w:r>
          </w:p>
        </w:tc>
        <w:tc>
          <w:tcPr>
            <w:tcW w:w="753" w:type="dxa"/>
            <w:noWrap/>
            <w:hideMark/>
          </w:tcPr>
          <w:p w14:paraId="4F535812" w14:textId="77777777" w:rsidR="00805D16" w:rsidRPr="009B5CC1" w:rsidRDefault="00805D16" w:rsidP="00D6140E">
            <w:pPr>
              <w:jc w:val="right"/>
              <w:rPr>
                <w:color w:val="000000"/>
                <w:sz w:val="19"/>
                <w:szCs w:val="19"/>
                <w:lang w:eastAsia="en-CA"/>
              </w:rPr>
            </w:pPr>
            <w:r>
              <w:rPr>
                <w:color w:val="000000"/>
                <w:sz w:val="19"/>
                <w:szCs w:val="19"/>
              </w:rPr>
              <w:t>150 753</w:t>
            </w:r>
          </w:p>
        </w:tc>
        <w:tc>
          <w:tcPr>
            <w:tcW w:w="753" w:type="dxa"/>
            <w:noWrap/>
            <w:hideMark/>
          </w:tcPr>
          <w:p w14:paraId="4B6695E9" w14:textId="77777777" w:rsidR="00805D16" w:rsidRPr="009B5CC1" w:rsidRDefault="00805D16" w:rsidP="00D6140E">
            <w:pPr>
              <w:jc w:val="right"/>
              <w:rPr>
                <w:color w:val="000000"/>
                <w:sz w:val="19"/>
                <w:szCs w:val="19"/>
                <w:lang w:eastAsia="en-CA"/>
              </w:rPr>
            </w:pPr>
            <w:r>
              <w:rPr>
                <w:color w:val="000000"/>
                <w:sz w:val="19"/>
                <w:szCs w:val="19"/>
              </w:rPr>
              <w:t>98 902</w:t>
            </w:r>
          </w:p>
        </w:tc>
        <w:tc>
          <w:tcPr>
            <w:tcW w:w="1056" w:type="dxa"/>
            <w:gridSpan w:val="2"/>
            <w:noWrap/>
            <w:hideMark/>
          </w:tcPr>
          <w:p w14:paraId="3991F0A6" w14:textId="77777777" w:rsidR="00805D16" w:rsidRPr="009B5CC1" w:rsidRDefault="00805D16" w:rsidP="00D6140E">
            <w:pPr>
              <w:jc w:val="right"/>
              <w:rPr>
                <w:color w:val="000000"/>
                <w:sz w:val="19"/>
                <w:szCs w:val="19"/>
                <w:lang w:eastAsia="en-CA"/>
              </w:rPr>
            </w:pPr>
            <w:r>
              <w:rPr>
                <w:color w:val="000000"/>
                <w:sz w:val="19"/>
                <w:szCs w:val="19"/>
              </w:rPr>
              <w:t>45 034</w:t>
            </w:r>
          </w:p>
        </w:tc>
        <w:tc>
          <w:tcPr>
            <w:tcW w:w="762" w:type="dxa"/>
            <w:gridSpan w:val="2"/>
            <w:noWrap/>
            <w:hideMark/>
          </w:tcPr>
          <w:p w14:paraId="2EC9E473" w14:textId="77777777" w:rsidR="00805D16" w:rsidRPr="009B5CC1" w:rsidRDefault="00805D16" w:rsidP="00D6140E">
            <w:pPr>
              <w:jc w:val="right"/>
              <w:rPr>
                <w:color w:val="000000"/>
                <w:sz w:val="19"/>
                <w:szCs w:val="19"/>
                <w:lang w:eastAsia="en-CA"/>
              </w:rPr>
            </w:pPr>
            <w:r>
              <w:rPr>
                <w:color w:val="000000"/>
                <w:sz w:val="19"/>
                <w:szCs w:val="19"/>
              </w:rPr>
              <w:t>19 876</w:t>
            </w:r>
          </w:p>
        </w:tc>
        <w:tc>
          <w:tcPr>
            <w:tcW w:w="961" w:type="dxa"/>
            <w:noWrap/>
            <w:hideMark/>
          </w:tcPr>
          <w:p w14:paraId="124DE8F2" w14:textId="77777777" w:rsidR="00805D16" w:rsidRPr="009B5CC1" w:rsidRDefault="00805D16" w:rsidP="00D6140E">
            <w:pPr>
              <w:jc w:val="right"/>
              <w:rPr>
                <w:color w:val="000000"/>
                <w:sz w:val="19"/>
                <w:szCs w:val="19"/>
                <w:lang w:eastAsia="en-CA"/>
              </w:rPr>
            </w:pPr>
            <w:r>
              <w:rPr>
                <w:color w:val="000000"/>
                <w:sz w:val="19"/>
                <w:szCs w:val="19"/>
              </w:rPr>
              <w:t>11 515</w:t>
            </w:r>
          </w:p>
        </w:tc>
        <w:tc>
          <w:tcPr>
            <w:tcW w:w="850" w:type="dxa"/>
            <w:noWrap/>
            <w:hideMark/>
          </w:tcPr>
          <w:p w14:paraId="51EE453C" w14:textId="77777777" w:rsidR="00805D16" w:rsidRPr="009B5CC1" w:rsidRDefault="00805D16" w:rsidP="00D6140E">
            <w:pPr>
              <w:jc w:val="right"/>
              <w:rPr>
                <w:color w:val="000000"/>
                <w:sz w:val="19"/>
                <w:szCs w:val="19"/>
                <w:lang w:eastAsia="en-CA"/>
              </w:rPr>
            </w:pPr>
            <w:r>
              <w:rPr>
                <w:color w:val="000000"/>
                <w:sz w:val="19"/>
                <w:szCs w:val="19"/>
              </w:rPr>
              <w:t>118 858</w:t>
            </w:r>
          </w:p>
        </w:tc>
        <w:tc>
          <w:tcPr>
            <w:tcW w:w="851" w:type="dxa"/>
            <w:noWrap/>
            <w:hideMark/>
          </w:tcPr>
          <w:p w14:paraId="3CE2E6EA" w14:textId="77777777" w:rsidR="00805D16" w:rsidRPr="009B5CC1" w:rsidRDefault="00805D16" w:rsidP="00D6140E">
            <w:pPr>
              <w:jc w:val="right"/>
              <w:rPr>
                <w:color w:val="000000"/>
                <w:sz w:val="19"/>
                <w:szCs w:val="19"/>
                <w:lang w:eastAsia="en-CA"/>
              </w:rPr>
            </w:pPr>
            <w:r>
              <w:rPr>
                <w:color w:val="000000"/>
                <w:sz w:val="19"/>
                <w:szCs w:val="19"/>
              </w:rPr>
              <w:t>53 700</w:t>
            </w:r>
          </w:p>
        </w:tc>
        <w:tc>
          <w:tcPr>
            <w:tcW w:w="992" w:type="dxa"/>
          </w:tcPr>
          <w:p w14:paraId="11AAF2CA" w14:textId="3BE7FD0F" w:rsidR="00805D16" w:rsidRPr="009B5CC1" w:rsidRDefault="00364802" w:rsidP="00D6140E">
            <w:pPr>
              <w:jc w:val="right"/>
              <w:rPr>
                <w:color w:val="000000"/>
                <w:sz w:val="19"/>
                <w:szCs w:val="19"/>
                <w:lang w:eastAsia="en-CA"/>
              </w:rPr>
            </w:pPr>
            <w:r>
              <w:rPr>
                <w:color w:val="000000"/>
                <w:sz w:val="19"/>
                <w:szCs w:val="19"/>
              </w:rPr>
              <w:t>841 962</w:t>
            </w:r>
          </w:p>
        </w:tc>
      </w:tr>
      <w:tr w:rsidR="009B5CC1" w:rsidRPr="006415C3" w14:paraId="6A50BD07" w14:textId="4584AB60" w:rsidTr="00F54C52">
        <w:trPr>
          <w:trHeight w:val="167"/>
        </w:trPr>
        <w:tc>
          <w:tcPr>
            <w:tcW w:w="1281" w:type="dxa"/>
            <w:gridSpan w:val="2"/>
            <w:hideMark/>
          </w:tcPr>
          <w:p w14:paraId="02070860" w14:textId="77777777" w:rsidR="00805D16" w:rsidRPr="009B5CC1" w:rsidRDefault="00805D16" w:rsidP="00D6140E">
            <w:pPr>
              <w:jc w:val="left"/>
              <w:rPr>
                <w:b/>
                <w:bCs/>
                <w:color w:val="000000"/>
                <w:sz w:val="19"/>
                <w:szCs w:val="19"/>
                <w:lang w:eastAsia="en-CA"/>
              </w:rPr>
            </w:pPr>
            <w:r>
              <w:rPr>
                <w:b/>
                <w:bCs/>
                <w:color w:val="000000"/>
                <w:sz w:val="19"/>
                <w:szCs w:val="19"/>
              </w:rPr>
              <w:t xml:space="preserve">Total </w:t>
            </w:r>
          </w:p>
        </w:tc>
        <w:tc>
          <w:tcPr>
            <w:tcW w:w="1102" w:type="dxa"/>
            <w:noWrap/>
            <w:hideMark/>
          </w:tcPr>
          <w:p w14:paraId="62D8EA1E" w14:textId="77777777" w:rsidR="00805D16" w:rsidRPr="009B5CC1" w:rsidRDefault="00805D16" w:rsidP="00D6140E">
            <w:pPr>
              <w:jc w:val="right"/>
              <w:rPr>
                <w:b/>
                <w:bCs/>
                <w:color w:val="000000"/>
                <w:sz w:val="19"/>
                <w:szCs w:val="19"/>
                <w:lang w:eastAsia="en-CA"/>
              </w:rPr>
            </w:pPr>
            <w:r>
              <w:rPr>
                <w:b/>
                <w:bCs/>
                <w:color w:val="000000"/>
                <w:sz w:val="19"/>
                <w:szCs w:val="19"/>
              </w:rPr>
              <w:t>463 324</w:t>
            </w:r>
          </w:p>
        </w:tc>
        <w:tc>
          <w:tcPr>
            <w:tcW w:w="753" w:type="dxa"/>
            <w:noWrap/>
            <w:hideMark/>
          </w:tcPr>
          <w:p w14:paraId="369A774A" w14:textId="77777777" w:rsidR="00805D16" w:rsidRPr="009B5CC1" w:rsidRDefault="00805D16" w:rsidP="00D6140E">
            <w:pPr>
              <w:jc w:val="right"/>
              <w:rPr>
                <w:b/>
                <w:bCs/>
                <w:color w:val="000000"/>
                <w:sz w:val="19"/>
                <w:szCs w:val="19"/>
                <w:lang w:eastAsia="en-CA"/>
              </w:rPr>
            </w:pPr>
            <w:r>
              <w:rPr>
                <w:b/>
                <w:bCs/>
                <w:color w:val="000000"/>
                <w:sz w:val="19"/>
                <w:szCs w:val="19"/>
              </w:rPr>
              <w:t>250 753</w:t>
            </w:r>
          </w:p>
        </w:tc>
        <w:tc>
          <w:tcPr>
            <w:tcW w:w="753" w:type="dxa"/>
            <w:noWrap/>
            <w:hideMark/>
          </w:tcPr>
          <w:p w14:paraId="5EDF1C0F" w14:textId="77777777" w:rsidR="00805D16" w:rsidRPr="009B5CC1" w:rsidRDefault="00805D16" w:rsidP="00D6140E">
            <w:pPr>
              <w:jc w:val="right"/>
              <w:rPr>
                <w:b/>
                <w:bCs/>
                <w:color w:val="000000"/>
                <w:sz w:val="19"/>
                <w:szCs w:val="19"/>
                <w:lang w:eastAsia="en-CA"/>
              </w:rPr>
            </w:pPr>
            <w:r>
              <w:rPr>
                <w:b/>
                <w:bCs/>
                <w:color w:val="000000"/>
                <w:sz w:val="19"/>
                <w:szCs w:val="19"/>
              </w:rPr>
              <w:t>198 902</w:t>
            </w:r>
          </w:p>
        </w:tc>
        <w:tc>
          <w:tcPr>
            <w:tcW w:w="1056" w:type="dxa"/>
            <w:gridSpan w:val="2"/>
            <w:noWrap/>
            <w:hideMark/>
          </w:tcPr>
          <w:p w14:paraId="304464E9" w14:textId="77777777" w:rsidR="00805D16" w:rsidRPr="009B5CC1" w:rsidRDefault="00805D16" w:rsidP="00D6140E">
            <w:pPr>
              <w:jc w:val="right"/>
              <w:rPr>
                <w:b/>
                <w:bCs/>
                <w:color w:val="000000"/>
                <w:sz w:val="19"/>
                <w:szCs w:val="19"/>
                <w:lang w:eastAsia="en-CA"/>
              </w:rPr>
            </w:pPr>
            <w:r>
              <w:rPr>
                <w:b/>
                <w:bCs/>
                <w:color w:val="000000"/>
                <w:sz w:val="19"/>
                <w:szCs w:val="19"/>
              </w:rPr>
              <w:t>145 034</w:t>
            </w:r>
          </w:p>
        </w:tc>
        <w:tc>
          <w:tcPr>
            <w:tcW w:w="762" w:type="dxa"/>
            <w:gridSpan w:val="2"/>
            <w:noWrap/>
            <w:hideMark/>
          </w:tcPr>
          <w:p w14:paraId="4AE002FB" w14:textId="77777777" w:rsidR="00805D16" w:rsidRPr="009B5CC1" w:rsidRDefault="00805D16" w:rsidP="00D6140E">
            <w:pPr>
              <w:jc w:val="right"/>
              <w:rPr>
                <w:b/>
                <w:bCs/>
                <w:color w:val="000000"/>
                <w:sz w:val="19"/>
                <w:szCs w:val="19"/>
                <w:lang w:eastAsia="en-CA"/>
              </w:rPr>
            </w:pPr>
            <w:r>
              <w:rPr>
                <w:b/>
                <w:bCs/>
                <w:color w:val="000000"/>
                <w:sz w:val="19"/>
                <w:szCs w:val="19"/>
              </w:rPr>
              <w:t>119 876</w:t>
            </w:r>
          </w:p>
        </w:tc>
        <w:tc>
          <w:tcPr>
            <w:tcW w:w="961" w:type="dxa"/>
            <w:noWrap/>
            <w:hideMark/>
          </w:tcPr>
          <w:p w14:paraId="0EDF23D7" w14:textId="77777777" w:rsidR="00805D16" w:rsidRPr="009B5CC1" w:rsidRDefault="00805D16" w:rsidP="00D6140E">
            <w:pPr>
              <w:jc w:val="right"/>
              <w:rPr>
                <w:b/>
                <w:bCs/>
                <w:color w:val="000000"/>
                <w:sz w:val="19"/>
                <w:szCs w:val="19"/>
                <w:lang w:eastAsia="en-CA"/>
              </w:rPr>
            </w:pPr>
            <w:r>
              <w:rPr>
                <w:b/>
                <w:bCs/>
                <w:color w:val="000000"/>
                <w:sz w:val="19"/>
                <w:szCs w:val="19"/>
              </w:rPr>
              <w:t>111 515</w:t>
            </w:r>
          </w:p>
        </w:tc>
        <w:tc>
          <w:tcPr>
            <w:tcW w:w="850" w:type="dxa"/>
            <w:noWrap/>
            <w:hideMark/>
          </w:tcPr>
          <w:p w14:paraId="216E9B9D" w14:textId="77777777" w:rsidR="00805D16" w:rsidRPr="009B5CC1" w:rsidRDefault="00805D16" w:rsidP="00D6140E">
            <w:pPr>
              <w:jc w:val="right"/>
              <w:rPr>
                <w:b/>
                <w:bCs/>
                <w:color w:val="000000"/>
                <w:sz w:val="19"/>
                <w:szCs w:val="19"/>
                <w:lang w:eastAsia="en-CA"/>
              </w:rPr>
            </w:pPr>
            <w:r>
              <w:rPr>
                <w:b/>
                <w:bCs/>
                <w:color w:val="000000"/>
                <w:sz w:val="19"/>
                <w:szCs w:val="19"/>
              </w:rPr>
              <w:t>218 858</w:t>
            </w:r>
          </w:p>
        </w:tc>
        <w:tc>
          <w:tcPr>
            <w:tcW w:w="851" w:type="dxa"/>
            <w:noWrap/>
            <w:hideMark/>
          </w:tcPr>
          <w:p w14:paraId="2B54ABD4" w14:textId="77777777" w:rsidR="00805D16" w:rsidRPr="009B5CC1" w:rsidRDefault="00805D16" w:rsidP="00D6140E">
            <w:pPr>
              <w:jc w:val="right"/>
              <w:rPr>
                <w:b/>
                <w:bCs/>
                <w:color w:val="000000"/>
                <w:sz w:val="19"/>
                <w:szCs w:val="19"/>
                <w:lang w:eastAsia="en-CA"/>
              </w:rPr>
            </w:pPr>
            <w:r>
              <w:rPr>
                <w:b/>
                <w:bCs/>
                <w:color w:val="000000"/>
                <w:sz w:val="19"/>
                <w:szCs w:val="19"/>
              </w:rPr>
              <w:t>153 700</w:t>
            </w:r>
          </w:p>
        </w:tc>
        <w:tc>
          <w:tcPr>
            <w:tcW w:w="992" w:type="dxa"/>
          </w:tcPr>
          <w:p w14:paraId="0DAF659C" w14:textId="23973104" w:rsidR="00805D16" w:rsidRPr="009B5CC1" w:rsidRDefault="00364802" w:rsidP="00D6140E">
            <w:pPr>
              <w:jc w:val="right"/>
              <w:rPr>
                <w:b/>
                <w:bCs/>
                <w:color w:val="000000"/>
                <w:sz w:val="19"/>
                <w:szCs w:val="19"/>
                <w:lang w:eastAsia="en-CA"/>
              </w:rPr>
            </w:pPr>
            <w:r>
              <w:rPr>
                <w:b/>
                <w:bCs/>
                <w:color w:val="000000"/>
                <w:sz w:val="19"/>
                <w:szCs w:val="19"/>
              </w:rPr>
              <w:t>1 661 962</w:t>
            </w:r>
          </w:p>
        </w:tc>
      </w:tr>
    </w:tbl>
    <w:p w14:paraId="3670ADA7" w14:textId="77777777" w:rsidR="0012000E" w:rsidRPr="006875D1" w:rsidRDefault="0012000E" w:rsidP="0012000E">
      <w:pPr>
        <w:rPr>
          <w:sz w:val="18"/>
          <w:szCs w:val="18"/>
        </w:rPr>
      </w:pPr>
      <w:r>
        <w:rPr>
          <w:sz w:val="18"/>
          <w:szCs w:val="18"/>
        </w:rPr>
        <w:t>* Basé sur le tableau 4 du document UNEP/OzL.Pro/ExCom/94/61</w:t>
      </w:r>
    </w:p>
    <w:p w14:paraId="7771AA9C" w14:textId="77777777" w:rsidR="00934015" w:rsidRDefault="0012000E" w:rsidP="0012000E">
      <w:pPr>
        <w:rPr>
          <w:sz w:val="18"/>
          <w:szCs w:val="18"/>
        </w:rPr>
      </w:pPr>
      <w:r>
        <w:rPr>
          <w:sz w:val="18"/>
          <w:szCs w:val="18"/>
        </w:rPr>
        <w:t>** Tel que présenté</w:t>
      </w:r>
    </w:p>
    <w:p w14:paraId="194D96A6" w14:textId="5E978FBA" w:rsidR="0012000E" w:rsidRPr="006875D1" w:rsidRDefault="0012000E" w:rsidP="0012000E">
      <w:pPr>
        <w:rPr>
          <w:sz w:val="18"/>
          <w:szCs w:val="18"/>
        </w:rPr>
      </w:pPr>
      <w:r>
        <w:rPr>
          <w:sz w:val="18"/>
          <w:szCs w:val="18"/>
        </w:rPr>
        <w:t>*** Basé sur le volume de fabrication</w:t>
      </w:r>
    </w:p>
    <w:p w14:paraId="1EFDACC8" w14:textId="77777777" w:rsidR="0012000E" w:rsidRPr="00731D34" w:rsidRDefault="0012000E" w:rsidP="009B5CC1">
      <w:pPr>
        <w:keepNext/>
        <w:keepLines/>
        <w:spacing w:before="240"/>
        <w:rPr>
          <w:i/>
          <w:iCs/>
        </w:rPr>
      </w:pPr>
      <w:r>
        <w:rPr>
          <w:i/>
          <w:iCs/>
        </w:rPr>
        <w:t>Activités stratégiques</w:t>
      </w:r>
    </w:p>
    <w:p w14:paraId="04DA40F0" w14:textId="77777777" w:rsidR="0012000E" w:rsidRPr="00731D34" w:rsidRDefault="0012000E" w:rsidP="0012000E">
      <w:pPr>
        <w:keepNext/>
        <w:keepLines/>
      </w:pPr>
    </w:p>
    <w:p w14:paraId="43F9E737" w14:textId="71ED88B2" w:rsidR="0012000E" w:rsidRPr="005811FA" w:rsidRDefault="0012000E" w:rsidP="0012000E">
      <w:pPr>
        <w:pStyle w:val="Heading1"/>
        <w:rPr>
          <w:i/>
          <w:iCs/>
        </w:rPr>
      </w:pPr>
      <w:r>
        <w:t>Le Gouvernement s'engage à mettre à jour régulièrement les réglementations MEPS et les programmes d'étiquetage, et à mener des activités de sensibilisation et de rayonnement afin de garantir que les informations relatives aux niveaux de rendement énergétique visés dans le cadre du projet pour les équipements soient diffusées auprès des différentes parties prenantes. Le Gouvernement s'engage également à prendre des mesures pour mettre en œuvre des réglementations visant à garantir que la fabrication, l'importation et la vente de climatiseurs atteignent au moins les niveaux de performance énergétique cibles, au plus tard en décembre 2028.</w:t>
      </w:r>
      <w:bookmarkStart w:id="16" w:name="_Toc207016200"/>
    </w:p>
    <w:p w14:paraId="65281360" w14:textId="77777777" w:rsidR="0012000E" w:rsidRDefault="0012000E" w:rsidP="00B468E3">
      <w:pPr>
        <w:widowControl w:val="0"/>
        <w:rPr>
          <w:i/>
          <w:iCs/>
        </w:rPr>
      </w:pPr>
      <w:r>
        <w:rPr>
          <w:i/>
          <w:iCs/>
        </w:rPr>
        <w:t>Financement supplémentaire pour le laboratoire calorimétrique</w:t>
      </w:r>
    </w:p>
    <w:p w14:paraId="4D7C4761" w14:textId="77777777" w:rsidR="0012000E" w:rsidRDefault="0012000E" w:rsidP="00B468E3">
      <w:pPr>
        <w:widowControl w:val="0"/>
        <w:rPr>
          <w:i/>
          <w:iCs/>
        </w:rPr>
      </w:pPr>
    </w:p>
    <w:p w14:paraId="33CB3798" w14:textId="5D86CB9C" w:rsidR="0012000E" w:rsidRPr="009979C3" w:rsidRDefault="0012000E" w:rsidP="00B468E3">
      <w:pPr>
        <w:pStyle w:val="Heading1"/>
        <w:widowControl w:val="0"/>
        <w:rPr>
          <w:i/>
          <w:iCs/>
        </w:rPr>
      </w:pPr>
      <w:r>
        <w:t>L'évaluation technique du laboratoire calorimétrique du CETIME, réalisée dans le cadre du projet pilote de rendement énergétique approuvé à la 94</w:t>
      </w:r>
      <w:r>
        <w:rPr>
          <w:vertAlign w:val="superscript"/>
        </w:rPr>
        <w:t>e</w:t>
      </w:r>
      <w:r>
        <w:t> réunion, a déterminé que des améliorations supplémentaires, autres que celles identifiées à 94</w:t>
      </w:r>
      <w:r>
        <w:rPr>
          <w:vertAlign w:val="superscript"/>
        </w:rPr>
        <w:t>e</w:t>
      </w:r>
      <w:r>
        <w:t> réunion, étaient nécessaires, en particulier l'installation de deux systèmes de détection de gaz et de renouvellement de l'air (un pour les salles d'essai intérieures et un pour les salles d'essai extérieures) capables de détecter les gaz inflammables, de surveiller les niveaux d'oxygène et d'activer un système de ventilation forcée pour renouveler l'air à l'intérieur des salles d'essai en cas d'incident. Chaque système de détection de gaz et de renouvellement de l'air comprend un contrôleur logique programmable de surveillance des gaz avec activation de relais programmables et connexion Ethernet ; des transducteurs de gaz antidéflagrants pour l'oxygène, le R-290 et le propane ; et un système de renouvellement d'air comprenant des registres motorisés et des ventilateurs certifiés ATEX</w:t>
      </w:r>
      <w:r>
        <w:rPr>
          <w:rStyle w:val="FootnoteReference"/>
        </w:rPr>
        <w:footnoteReference w:id="20"/>
      </w:r>
      <w:r>
        <w:t>, alimentés par un système d'alimentation électrique ininterrompue. En conséquence, le Gouvernement a demandé un financement supplémentaire de 93 262 $US pour moderniser davantage le laboratoire, comprenant deux systèmes de renouvellement d'air (35 977 $US), deux systèmes de détection de gaz (9 945 $US), des systèmes électriques et de contrôle (34 340 $US), ainsi que le transport, l'installation, la mise en service et la formation (13 000 $US).</w:t>
      </w:r>
    </w:p>
    <w:p w14:paraId="16209684" w14:textId="77777777" w:rsidR="0012000E" w:rsidRPr="000529DC" w:rsidRDefault="0012000E" w:rsidP="0012000E">
      <w:pPr>
        <w:keepNext/>
        <w:keepLines/>
        <w:rPr>
          <w:i/>
          <w:iCs/>
        </w:rPr>
      </w:pPr>
      <w:r>
        <w:rPr>
          <w:i/>
          <w:iCs/>
        </w:rPr>
        <w:t>Suivi et vérification du projet</w:t>
      </w:r>
      <w:bookmarkEnd w:id="16"/>
    </w:p>
    <w:p w14:paraId="7B3B06B0" w14:textId="77777777" w:rsidR="0012000E" w:rsidRPr="006A3F00" w:rsidRDefault="0012000E" w:rsidP="0012000E"/>
    <w:p w14:paraId="227C8BBF" w14:textId="73C8DA43" w:rsidR="0012000E" w:rsidRPr="00EF1A8C" w:rsidRDefault="0012000E" w:rsidP="0012000E">
      <w:pPr>
        <w:pStyle w:val="Heading1"/>
      </w:pPr>
      <w:r>
        <w:t xml:space="preserve">Le Gouvernement tunisien demande un montant total de 160 000 $US pour la mise en œuvre, le suivi, la vérification et la présentation de rapports sur le projet, sur la base d'une allocation de 20 000 $US </w:t>
      </w:r>
      <w:r>
        <w:lastRenderedPageBreak/>
        <w:t>par entreprise. Le financement couvrira les services de consultation technique et de supervision, y compris les visites régulières sur place et la vérification des performances tout au long de la période de mise en œuvre de trois ans, ainsi que le suivi et la production de rapports pendant deux années supplémentaires après l'achèvement du projet, prolongeant ainsi le soutien jusqu'en 2030.</w:t>
      </w:r>
    </w:p>
    <w:p w14:paraId="1F09D0F7" w14:textId="77777777" w:rsidR="0012000E" w:rsidRPr="00BE6C52" w:rsidRDefault="0012000E" w:rsidP="0012000E">
      <w:pPr>
        <w:spacing w:after="240"/>
        <w:outlineLvl w:val="0"/>
        <w:rPr>
          <w:u w:val="single"/>
        </w:rPr>
      </w:pPr>
      <w:r>
        <w:rPr>
          <w:u w:val="single"/>
        </w:rPr>
        <w:t>Coût total du projet pilote</w:t>
      </w:r>
    </w:p>
    <w:p w14:paraId="56A25E82" w14:textId="7B352293" w:rsidR="0012000E" w:rsidRPr="00052B51" w:rsidRDefault="0012000E" w:rsidP="0012000E">
      <w:pPr>
        <w:pStyle w:val="Heading1"/>
      </w:pPr>
      <w:r>
        <w:t>Le coût total du projet visant à améliorer le rendement énergétique dans le secteur de la fabrication de climatiseurs résidentiels s'élève à 1 915 224 $US, dont 1 661 962 $US pour les améliorations en matière de rendement énergétique, 93 262 $US pour les mises à niveau supplémentaires du laboratoire calorimétrique et 160 000 $US pour la vérification et la présentation de rapports. Le projet serait mis en œuvre entre janvier 2026 et décembre 2028.</w:t>
      </w:r>
    </w:p>
    <w:p w14:paraId="2E1085B5" w14:textId="77777777" w:rsidR="0012000E" w:rsidRPr="00BE6C52" w:rsidRDefault="0012000E" w:rsidP="0012000E">
      <w:pPr>
        <w:keepNext/>
        <w:spacing w:before="360"/>
        <w:jc w:val="center"/>
        <w:rPr>
          <w:b/>
        </w:rPr>
      </w:pPr>
      <w:r>
        <w:rPr>
          <w:b/>
        </w:rPr>
        <w:t>COMMENTAIRES ET RECOMMANDATIONS DU SECRÉTARIAT</w:t>
      </w:r>
    </w:p>
    <w:p w14:paraId="4AE63A7C" w14:textId="77777777" w:rsidR="0012000E" w:rsidRPr="00A6593F" w:rsidRDefault="0012000E" w:rsidP="0012000E">
      <w:pPr>
        <w:keepNext/>
        <w:spacing w:before="240" w:after="240"/>
        <w:rPr>
          <w:b/>
        </w:rPr>
      </w:pPr>
      <w:r>
        <w:rPr>
          <w:b/>
        </w:rPr>
        <w:t>COMMENTAIRES</w:t>
      </w:r>
    </w:p>
    <w:p w14:paraId="7D5E76B1" w14:textId="40195EE1" w:rsidR="0012000E" w:rsidRPr="00FA79E8" w:rsidRDefault="0012000E" w:rsidP="0012000E">
      <w:pPr>
        <w:rPr>
          <w:u w:val="single"/>
        </w:rPr>
      </w:pPr>
      <w:r>
        <w:rPr>
          <w:u w:val="single"/>
        </w:rPr>
        <w:t xml:space="preserve">Progrès réalisés dans la mise en œuvre de la phase I du </w:t>
      </w:r>
      <w:r w:rsidR="00ED6D22">
        <w:rPr>
          <w:u w:val="single"/>
        </w:rPr>
        <w:t>PAK</w:t>
      </w:r>
    </w:p>
    <w:p w14:paraId="2BFC67BA" w14:textId="77777777" w:rsidR="0012000E" w:rsidRPr="00FA79E8" w:rsidRDefault="0012000E" w:rsidP="0012000E"/>
    <w:p w14:paraId="0D241521" w14:textId="162C2BB2" w:rsidR="0012000E" w:rsidRDefault="0012000E" w:rsidP="0012000E">
      <w:pPr>
        <w:pStyle w:val="Heading1"/>
      </w:pPr>
      <w:r>
        <w:t xml:space="preserve">L'ONUDI a connu quelques retards dans la mise en œuvre de la conversion des entreprises de fabrication de climatiseurs dans le cadre de la phase I du </w:t>
      </w:r>
      <w:r w:rsidR="00ED6D22">
        <w:t>PAK</w:t>
      </w:r>
      <w:r>
        <w:t>, en raison de la nécessité d'obtenir le cofinancement nécessaire de la part des bénéficiaires et de l'achèvement du processus d'appel d'offres pour sélectionner le fournisseur d'équipements, qui a pris plus de temps que prévu. En conséquence, la conversion des huit entreprises devrait désormais être achevée d'ici le troisième trimestre 2026. Par conséquent, l'interdiction de l'importation et de la fabrication de climatiseurs résidentiels à base de HFC dont le potentiel de réchauffement de la planète est supérieur à 700, qui était prévue pour le 1</w:t>
      </w:r>
      <w:r>
        <w:rPr>
          <w:vertAlign w:val="superscript"/>
        </w:rPr>
        <w:t>er</w:t>
      </w:r>
      <w:r>
        <w:t> janvier 2027 (décision 94/53 c) ii)), devrait être reportée au 1</w:t>
      </w:r>
      <w:r>
        <w:rPr>
          <w:vertAlign w:val="superscript"/>
        </w:rPr>
        <w:t>er</w:t>
      </w:r>
      <w:r>
        <w:t> janvier 2028, afin de laisser suffisamment de temps pour entreprendre et finaliser la procédure juridique et institutionnelle correspondante pour son élaboration et sa publication.</w:t>
      </w:r>
    </w:p>
    <w:p w14:paraId="3C4B3C33" w14:textId="2DD0F071" w:rsidR="0012000E" w:rsidRPr="005A50BD" w:rsidRDefault="0012000E" w:rsidP="0012000E">
      <w:pPr>
        <w:pStyle w:val="Heading1"/>
      </w:pPr>
      <w:r>
        <w:t>À la 94</w:t>
      </w:r>
      <w:r>
        <w:rPr>
          <w:vertAlign w:val="superscript"/>
        </w:rPr>
        <w:t>e</w:t>
      </w:r>
      <w:r>
        <w:t xml:space="preserve"> réunion, il a été noté que l'entreprise Star One avait une très faible consommation et n'avait fabriqué qu'un petit nombre de climatiseurs. En conséquence, il a été convenu que si l'entreprise ne fabriquait pas à l'échelle commerciale des climatiseurs résidentiels à base de HFC-32 à l'issue de sa conversion et ne poursuivait pas cette fabrication pendant au moins trois ans, l'ONUDI rembourserait au Fonds multilatéral les fonds associés à la conversion, ainsi que les fonds associés à l'unité de gestion du projet et aux coûts d'appui de l'agence (décision 94/53 c) iii)). L'ONUDI a présenté une mise à jour sur l'état de la fabrication dans l'entreprise : en 2024, l'entreprise avait fabriqué 2 780 climatiseurs, et cette production était passée à 6 500 unités entre janvier et octobre 2025. L'ONUDI a donc continué à considérer que la fabrication de climatiseurs dans l'entreprise était financièrement viable. </w:t>
      </w:r>
    </w:p>
    <w:p w14:paraId="2D51469F" w14:textId="77777777" w:rsidR="0012000E" w:rsidRPr="00C57095" w:rsidRDefault="0012000E" w:rsidP="0012000E">
      <w:pPr>
        <w:keepNext/>
        <w:rPr>
          <w:rFonts w:asciiTheme="majorBidi" w:hAnsiTheme="majorBidi" w:cstheme="majorBidi"/>
          <w:u w:val="single"/>
        </w:rPr>
      </w:pPr>
      <w:r>
        <w:rPr>
          <w:rFonts w:asciiTheme="majorBidi" w:hAnsiTheme="majorBidi" w:cstheme="majorBidi"/>
          <w:u w:val="single"/>
        </w:rPr>
        <w:t>Cadre politique, réglementaire et institutionnel</w:t>
      </w:r>
    </w:p>
    <w:p w14:paraId="220F104A" w14:textId="77777777" w:rsidR="0012000E" w:rsidRDefault="0012000E" w:rsidP="0012000E">
      <w:pPr>
        <w:keepNext/>
        <w:rPr>
          <w:rFonts w:asciiTheme="majorBidi" w:hAnsiTheme="majorBidi" w:cstheme="majorBidi"/>
          <w:i/>
          <w:iCs/>
        </w:rPr>
      </w:pPr>
    </w:p>
    <w:p w14:paraId="36F0A825" w14:textId="46B0F1F8" w:rsidR="0012000E" w:rsidRPr="000405B9" w:rsidRDefault="0012000E" w:rsidP="0012000E">
      <w:pPr>
        <w:pStyle w:val="Heading1"/>
        <w:rPr>
          <w:shd w:val="clear" w:color="auto" w:fill="FFFFFF"/>
        </w:rPr>
      </w:pPr>
      <w:r>
        <w:rPr>
          <w:rStyle w:val="normaltextrun"/>
          <w:shd w:val="clear" w:color="auto" w:fill="FFFFFF"/>
        </w:rPr>
        <w:t xml:space="preserve">Alors que les MEPS qui devraient être mises en œuvre d'ici à décembre 2027 (c'est-à-dire 3,38) seraient nettement supérieures à celles actuellement en vigueur dans le pays (c'est-à-dire 3,00), le secrétariat a noté que ce niveau était inférieur à l'EER cible qui serait atteint par les entreprises d'ici à décembre 2028, soit 4,0 pour toutes les entreprises à l'exception d'El Athir, Star One et Condor Tunisie, qui atteindraient un EER cible de 4,2. </w:t>
      </w:r>
      <w:r>
        <w:t xml:space="preserve">Le secrétariat a donc cherché à mieux comprendre comment les MEPS proposées de 3,38 se rapportent aux niveaux minimaux de rendement énergétique spécifiés dans les lignes directrices et réglementations types pour les climatiseurs écoénergétiques et respectueux du climat publiées par United </w:t>
      </w:r>
      <w:r>
        <w:lastRenderedPageBreak/>
        <w:t>for Efficiency (U4E) en septembre 2019</w:t>
      </w:r>
      <w:r>
        <w:rPr>
          <w:rStyle w:val="FootnoteReference"/>
        </w:rPr>
        <w:footnoteReference w:id="21"/>
      </w:r>
      <w:r>
        <w:t>, et a demandé si le pays pouvait s'engager à respecter les niveaux minimaux applicables à la Tunisie, tels que décrits dans ces réglementations types d'ici au 1</w:t>
      </w:r>
      <w:r>
        <w:rPr>
          <w:vertAlign w:val="superscript"/>
        </w:rPr>
        <w:t>er</w:t>
      </w:r>
      <w:r>
        <w:t> janvier 2030</w:t>
      </w:r>
      <w:r>
        <w:rPr>
          <w:rStyle w:val="FootnoteReference"/>
        </w:rPr>
        <w:footnoteReference w:id="22"/>
      </w:r>
      <w:r>
        <w:t xml:space="preserve">. </w:t>
      </w:r>
    </w:p>
    <w:p w14:paraId="496F754C" w14:textId="211BCF5D" w:rsidR="0012000E" w:rsidRPr="003F7AC9" w:rsidRDefault="0012000E" w:rsidP="0012000E">
      <w:pPr>
        <w:pStyle w:val="Heading1"/>
        <w:rPr>
          <w:shd w:val="clear" w:color="auto" w:fill="FFFFFF"/>
        </w:rPr>
      </w:pPr>
      <w:r>
        <w:t>L'ONUDI a noté que le projet avait été élaboré conformément au document UNEP/OzL.Pro/ExCom/94/61, en particulier son paragraphe 31, qui considère les MEPS locales comme la référence pour estimer le rapport entre les niveaux de performance énergétique ; que le facteur de performance saisonnier de refroidissement (CSPF) utilisé dans les réglementations types de l'U4E n'avait donc pas été appliqué ; et que la comparaison des MEPS attendues, qui sont spécifiées en termes d'EER, avec les niveaux de CSPF indiqués dans les réglementations types de l'U4E serait à la fois longue et coûteuse en ressources et ne pouvait être effectuée à ce stade. Le secrétariat a souscrit à cette évaluation et a rappelé que le projet pilote approuvé à la 94</w:t>
      </w:r>
      <w:r>
        <w:rPr>
          <w:vertAlign w:val="superscript"/>
        </w:rPr>
        <w:t>e</w:t>
      </w:r>
      <w:r>
        <w:t> réunion prévoyait, entre autres, la mise à jour et le renforcement des MEPS du pays. Il a également noté que le Gouvernement prévoyait d'introduire d'ici à 2030 des indicateurs de performance saisonniers plutôt que des valeurs EER statiques. En conséquence, il a été convenu que l'ONUDI inclura dans le rapport qu'elle soumettra conformément à la décision 94/57 a) ii), une comparaison détaillée entre les MEPS que le pays prévoit de mettre en œuvre d'ici à décembre 2027 et celles spécifiées dans le règlement type de l'U4E, ainsi qu'une évaluation de la manière dont la prochaine mise à jour des MEPS (prévue d'ici à décembre 2031) se situera par rapport aux niveaux spécifiés dans les règlements types de l'U4E de 2019. Tout en reconnaissant que le pays ne peut s'engager à respecter des MEPS spécifiques à l'heure actuelle, cette comparaison et cette évaluation lui permettront au moins d'atteindre les niveaux minimaux de performance énergétique spécifiés dans le règlement type U4E de 2019 d'ici à 2031, voire avant.</w:t>
      </w:r>
    </w:p>
    <w:p w14:paraId="53F3C6FD" w14:textId="77B5ED58" w:rsidR="0012000E" w:rsidRPr="00763771" w:rsidRDefault="0012000E" w:rsidP="0012000E">
      <w:pPr>
        <w:pStyle w:val="Heading1"/>
        <w:rPr>
          <w:lang w:val="fr-FR"/>
        </w:rPr>
      </w:pPr>
      <w:r>
        <w:t xml:space="preserve">En ce qui concerne la préoccupation du secrétariat sur le fait que les MEPS qui devraient être appliquées d'ici à décembre 2027 (c'est-à-dire 3,38) sont inférieures à l'EER que l'industrie locale fabriquera d'ici à l'achèvement du projet (c'est-à-dire 4,00 ou 4,20), ce qui pourrait mettre en péril l'industrie locale, car des équipements moins chers et moins efficaces sur le plan énergétique pourraient continuer à être importés sur le marché, l'ONUDI a confirmé que, conformément à la décision 94/60 b) i) et au paragraphe 38 du document UNEP/OzL.Pro/ExCom/94/61, le Gouvernement s'engage à actualiser périodiquement les réglementations relatives aux MEPS, les programmes d'étiquetage et les activités de sensibilisation et de rayonnement. En outre, il prendra des mesures visant à mettre en œuvre des réglementations visant à garantir que la fabrication, l'importation et la vente des équipements atteignent au moins les niveaux de performance énergétique cibles, au plus tard trois ans après la date d'achèvement du projet. </w:t>
      </w:r>
    </w:p>
    <w:p w14:paraId="4A25C4B5" w14:textId="1716DE5E" w:rsidR="0012000E" w:rsidRPr="00635DED" w:rsidRDefault="0012000E" w:rsidP="0012000E">
      <w:pPr>
        <w:pStyle w:val="Heading1"/>
      </w:pPr>
      <w:r>
        <w:t xml:space="preserve">L'ONUDI a également confirmé que, conformément à la décision 94/60 b) i) et au paragraphe 37 du document UNEP/OzL.Pro/ExCom/94/61, les entreprises s'engagent à fabriquer des équipements atteignant au moins les niveaux cibles de rendement énergétique après l'achèvement du projet, et à continuer à déployer tous les efforts possibles pour améliorer le rendement énergétique de ces produits au-delà de la durée du projet, à leurs propres frais. Concernant ce qui précède, les entreprises s'engagent à ne fabriquer que des climatiseurs dotés de la technologie à vitesse variable d'ici la fin du projet. En ce qui concerne une éventuelle interdiction de l'importation et de la fabrication de climatiseurs à vitesse unique, l'ONUDI a précisé qu'une telle interdiction nécessiterait des consultations entre différents ministères et parties prenantes, ainsi que l'élaboration, l'approbation et l'entrée en vigueur de la réglementation nécessaire, ce qui pourrait prendre un temps considérable. Par conséquent, l'UNO n'a pas été en mesure de confirmer à ce stade si une telle interdiction pourrait être mise en œuvre à l'issue du projet. Le secrétariat a noté que des </w:t>
      </w:r>
      <w:r>
        <w:lastRenderedPageBreak/>
        <w:t xml:space="preserve">MEPS fixées à un niveau approprié seraient susceptibles d'exclure efficacement du marché les climatiseurs équipés de compresseurs à vitesse unique. </w:t>
      </w:r>
    </w:p>
    <w:p w14:paraId="25F823B4" w14:textId="77777777" w:rsidR="0012000E" w:rsidRDefault="0012000E" w:rsidP="0012000E">
      <w:pPr>
        <w:pStyle w:val="Heading1"/>
        <w:numPr>
          <w:ilvl w:val="0"/>
          <w:numId w:val="0"/>
        </w:numPr>
        <w:rPr>
          <w:rStyle w:val="eop"/>
          <w:color w:val="000000"/>
          <w:shd w:val="clear" w:color="auto" w:fill="FFFFFF"/>
        </w:rPr>
      </w:pPr>
      <w:r>
        <w:rPr>
          <w:rStyle w:val="normaltextrun"/>
          <w:color w:val="000000"/>
          <w:u w:val="single"/>
          <w:shd w:val="clear" w:color="auto" w:fill="FFFFFF"/>
        </w:rPr>
        <w:t>Questions techniques et relatives aux coûts</w:t>
      </w:r>
    </w:p>
    <w:p w14:paraId="3B7E82F6" w14:textId="77777777" w:rsidR="0012000E" w:rsidRPr="007E1CDA" w:rsidRDefault="0012000E" w:rsidP="0012000E">
      <w:pPr>
        <w:rPr>
          <w:i/>
          <w:iCs/>
          <w:color w:val="000000"/>
          <w:shd w:val="clear" w:color="auto" w:fill="FFFFFF"/>
        </w:rPr>
      </w:pPr>
      <w:r>
        <w:rPr>
          <w:i/>
          <w:iCs/>
          <w:color w:val="000000"/>
          <w:shd w:val="clear" w:color="auto" w:fill="FFFFFF"/>
        </w:rPr>
        <w:t>Activités menées à l'échelle des entreprises</w:t>
      </w:r>
    </w:p>
    <w:p w14:paraId="7F72F7A6" w14:textId="77777777" w:rsidR="0012000E" w:rsidRDefault="0012000E" w:rsidP="0012000E">
      <w:pPr>
        <w:rPr>
          <w:color w:val="000000"/>
          <w:shd w:val="clear" w:color="auto" w:fill="FFFFFF"/>
        </w:rPr>
      </w:pPr>
    </w:p>
    <w:p w14:paraId="789384CD" w14:textId="1602ADD3" w:rsidR="0012000E" w:rsidRPr="00272B3E" w:rsidRDefault="0012000E" w:rsidP="0012000E">
      <w:pPr>
        <w:pStyle w:val="Heading1"/>
        <w:rPr>
          <w:shd w:val="clear" w:color="auto" w:fill="FFFFFF"/>
        </w:rPr>
      </w:pPr>
      <w:r>
        <w:t>Le secrétariat a noté que l'ONUDI avait indiqué à la 94</w:t>
      </w:r>
      <w:r>
        <w:rPr>
          <w:vertAlign w:val="superscript"/>
        </w:rPr>
        <w:t>e</w:t>
      </w:r>
      <w:r>
        <w:t> session et à la présente session que Condor Tunisie avait été créée après le 1</w:t>
      </w:r>
      <w:r>
        <w:rPr>
          <w:vertAlign w:val="superscript"/>
        </w:rPr>
        <w:t>er</w:t>
      </w:r>
      <w:r>
        <w:t> janvier 2023 et n'était donc pas éligible, conformément à la décision 96/21 a)</w:t>
      </w:r>
      <w:r>
        <w:rPr>
          <w:rStyle w:val="FootnoteReference"/>
        </w:rPr>
        <w:footnoteReference w:id="23"/>
      </w:r>
      <w:r>
        <w:t xml:space="preserve">. L'ONUDI a précisé que l'entreprise avait été créée en juillet 2019 et a fourni des documents montrant qu'une chaîne de fabrication de réfrigérateurs domestiques avait été mise en place en décembre 2020, suggérant que cette même chaîne pouvait également fabriquer des climatiseurs. Étant donné que l'entreprise n'avait commencé à fabriquer des climatiseurs qu'en 2023 et n'en avait fabriqué aucun en 2021 et 2022, et qu'aucun document ne permettait de déterminer quand les équipements supplémentaires nécessaires à la fabrication des climatiseurs avaient été achetés et installés, il a été convenu de retirer l'entreprise du projet. </w:t>
      </w:r>
    </w:p>
    <w:p w14:paraId="4E5AA315" w14:textId="1DDB93B4" w:rsidR="0012000E" w:rsidRPr="00763771" w:rsidRDefault="0012000E" w:rsidP="0012000E">
      <w:pPr>
        <w:pStyle w:val="Heading1"/>
        <w:rPr>
          <w:lang w:val="fr-FR"/>
        </w:rPr>
      </w:pPr>
      <w:r>
        <w:t xml:space="preserve">Conformément à la décision 94/60, l'ONUDI a soumis trois projets à la présente réunion et a proposé une méthode différente pour calculer le volume de fabrication pour les coûts supplémentaires liés aux composants dans chaque projet. Dans le cas de la Tunisie, l'ONUDI a utilisé le plus grand nombre d'unités de chaque modèle fabriqué entre 2022 et 2024, ce qui pourrait entraîner des volumes de fabrication incompatibles avec la capacité des chaînes de fabrication respectives. En revanche, les autres projets ont utilisé la production de l'année précédant la soumission du projet ou la moyenne des trois années précédentes (conformément à la décision figurant au paragraphe 32 b) du document UNEP/OzL.Pro/ExCom/16/20). Le secrétariat recommande d'utiliser cette approche pour les projets visés par la décision 94/60. La Tunisie a accepté le volume de fabrication moyen pour la période 2022-2024 et a décidé de l'utiliser, ce qui a entraîné une révision des volumes de fabrication et une réduction des coûts supplémentaires admissibles liés aux composants de 467 098 $US, comme indiqué plus en détail à l'annexe I du présent document. </w:t>
      </w:r>
    </w:p>
    <w:p w14:paraId="062F4B27" w14:textId="56D7E7B9" w:rsidR="0012000E" w:rsidRPr="00763771" w:rsidRDefault="0012000E" w:rsidP="0012000E">
      <w:pPr>
        <w:pStyle w:val="Heading1"/>
        <w:rPr>
          <w:lang w:val="fr-FR"/>
        </w:rPr>
      </w:pPr>
      <w:r>
        <w:t xml:space="preserve">Sur les sept entreprises éligibles pour participer au projet, quatre (3 Star Electronics, Star One, Novatech et New Star) utilisent des NED dans leur processus de fabrication. Ces NED fournissent tous les composants nécessaires à un climatiseur ; ils sont assemblés sur place, y compris le vide et le chargement en frigorigène, et leurs performances sont testées avant d'être commercialisés. </w:t>
      </w:r>
    </w:p>
    <w:p w14:paraId="5F62C792" w14:textId="7386E4AE" w:rsidR="0012000E" w:rsidRPr="00763771" w:rsidRDefault="0012000E" w:rsidP="0012000E">
      <w:pPr>
        <w:pStyle w:val="Heading1"/>
        <w:rPr>
          <w:lang w:val="fr-FR"/>
        </w:rPr>
      </w:pPr>
      <w:r>
        <w:t xml:space="preserve">Le secrétariat estime que les entreprises de fabrication de climatiseurs qui utilisent des NED devraient être traitées différemment des entreprises qui n'en utilisent pas. Ces derniers fabriquent certains composants (par exemple, dans certains cas, des échangeurs de chaleur) et en achètent d'autres. Ils devraient donc avoir besoin d'un soutien accru pour leurs investissements initiaux, par exemple en matière de conception et de développement de produits. En outre, les coûts d'investissement supplémentaires indiqués dans le tableau 3 du document UNEP/OzL.Pro/ExCom/94/61 ont été calculés sur la base des entreprises de fabrication qui n'utilisent pas de NED. </w:t>
      </w:r>
    </w:p>
    <w:p w14:paraId="6B8F12EA" w14:textId="1BF5F8A5" w:rsidR="0012000E" w:rsidRDefault="0012000E" w:rsidP="0012000E">
      <w:pPr>
        <w:pStyle w:val="Heading1"/>
      </w:pPr>
      <w:r>
        <w:t xml:space="preserve">De même, le tableau 4 du document UNEP/OzL.Pro/ExCom/94/61 a été établi sur la base des fabricants de climatiseurs qui n'utilisent pas de NED. Le secrétariat estime que l'achat de NED offrant un niveau spécifique d'amélioration du rendement énergétique serait probablement plus coûteux que l'achat de composants individuels qui, une fois assemblés par le fabricant, permettent d'obtenir la même amélioration. En d'autres termes, les entreprises qui utilisent des NED auront des coûts d'investissement supplémentaires moins élevés, mais devront probablement supporter des coûts supplémentaires plus élevés pour les </w:t>
      </w:r>
      <w:r>
        <w:lastRenderedPageBreak/>
        <w:t xml:space="preserve">composants. De plus, bien que les quatre entreprises tunisiennes ne soient pas considérées comme des petites et moyennes entreprises (PME), il est probable que des PME d'autres pays visés à l'article 5 utilisent des NED dans leur fabrication, et le secrétariat ne souhaite pas créer un précédent qui réduirait leur financement. En conséquence, le secrétariat propose de ne pas modifier le niveau de financement admissible accordé aux entreprises qui fabriquent des NED, mais plutôt de modifier la manière dont les coûts d'investissement supplémentaires sont octroyés : la moitié des coûts d'investissement supplémentaires serait fournie dès l'approbation du projet, tandis que l'autre moitié serait fournie un an après l'approbation du projet, une fois qu'il serait confirmé que les entreprises ont fabriqué au moins le nombre de climatiseurs prévu dans les objectifs proposés. En effet, cette seconde moitié des coûts d'investissement supplémentaires serait traitée comme un coût supplémentaire venant s'ajouter aux coûts supplémentaires, ce qui donnerait lieu à des coûts supplémentaires convenus de 200 000 $US pour les quatre entreprises, comme indiqué plus en détail à l'annexe I du présent document. </w:t>
      </w:r>
    </w:p>
    <w:p w14:paraId="6AD583E8" w14:textId="616225C0" w:rsidR="0012000E" w:rsidRPr="002207B3" w:rsidRDefault="0012000E" w:rsidP="0012000E">
      <w:pPr>
        <w:pStyle w:val="Heading1"/>
      </w:pPr>
      <w:r>
        <w:t>Le montant total convenu de la mesure d'incitation pour les sept entreprises de fabrication de climatiseurs s'élève à 1 187 098 $US, sur la base de coûts d'investissement supplémentaires de 520 000 $US, de coûts supplémentaires pour les composants de 467 098 $US et de coûts supplémentaires en sus pour les composants s'élevant à 200 000 $US, comme indiqué à l'annexe I. D'après la consommation énergétique de base par modèle, le rendement énergétique cible et le nombre d'unités de chaque modèle fabriquées par les entreprises</w:t>
      </w:r>
      <w:r>
        <w:rPr>
          <w:rStyle w:val="FootnoteReference"/>
        </w:rPr>
        <w:footnoteReference w:id="24"/>
      </w:r>
      <w:r>
        <w:t>, les économies d'énergie cumulées s'élèvent à 8 906 805 kWh/an. Compte tenu des coûts convenus, soit 1 187 098 $US, cela se traduit par un rapport coût-efficacité de 7,50 $US/kWh/an pour cette composante du projet, pour la première année suivant l'achèvement du projet. Des avantages supplémentaires viendront s'ajouter pour chaque année suivante, en fonction du fonctionnement des équipements fabriqués au cours de cette année et des années suivantes.</w:t>
      </w:r>
    </w:p>
    <w:p w14:paraId="1C324083" w14:textId="77777777" w:rsidR="0012000E" w:rsidRDefault="0012000E" w:rsidP="0012000E">
      <w:pPr>
        <w:rPr>
          <w:i/>
          <w:iCs/>
        </w:rPr>
      </w:pPr>
      <w:r>
        <w:rPr>
          <w:i/>
          <w:iCs/>
        </w:rPr>
        <w:t>Améliorations supplémentaires apportées au laboratoire calorimétrique</w:t>
      </w:r>
    </w:p>
    <w:p w14:paraId="4EE1A45A" w14:textId="77777777" w:rsidR="0012000E" w:rsidRDefault="0012000E" w:rsidP="0012000E">
      <w:pPr>
        <w:rPr>
          <w:i/>
          <w:iCs/>
        </w:rPr>
      </w:pPr>
    </w:p>
    <w:p w14:paraId="416AE477" w14:textId="0C1E4163" w:rsidR="0012000E" w:rsidRDefault="0012000E" w:rsidP="0012000E">
      <w:pPr>
        <w:pStyle w:val="Heading1"/>
      </w:pPr>
      <w:r>
        <w:t xml:space="preserve">Conformément à la décision 95/87 d), la demande de financement supplémentaire visant à moderniser davantage le laboratoire du CETIME a été examinée et jugée irrecevable en vertu de la décision 91/65, car le laboratoire est utilisé par les fabricants et ne relève pas des activités du secteur de l'entretien. Toutefois, le secrétariat estime qu'un laboratoire fonctionnant correctement aidera la Tunisie à mettre en œuvre le projet soumis en vertu de la décision 94/60. Bien qu'il soit possible pour les fabricants d'expédier des climatiseurs à un laboratoire situé dans un autre pays pour les faire tester, cela engendre des coûts et prend du temps. Les entreprises participant au projet ont exprimé leur préoccupation quant au coût élevé et à la durée de la procédure d'obtention d'un rapport d'essai de performance énergétique auprès du CETIME, qui peut prendre plusieurs semaines, ce qui ne correspond généralement pas au calendrier de développement et de fabrication des entreprises. De plus, le laboratoire aidera le Gouvernement à garantir que les équipements importés dans le pays sont conformes aux MEPS nationales et soutiendra une surveillance périodique significative du rendement énergétique des équipements sur le marché, ce qui contribuera également à assurer la mise en œuvre réussie du projet prévu en vertu de la décision 94/60. </w:t>
      </w:r>
    </w:p>
    <w:p w14:paraId="3CCB85EB" w14:textId="25E4B943" w:rsidR="0012000E" w:rsidRDefault="0012000E" w:rsidP="0012000E">
      <w:pPr>
        <w:pStyle w:val="Heading1"/>
      </w:pPr>
      <w:r>
        <w:t>La Tunisie ne demandait pas la création d'un nouveau laboratoire. Le pays sollicitait plutôt un financement permettant d'utiliser le laboratoire existant pour appuyer la mise en œuvre du projet présenté en vertu de la décision 94/60. Le fait qu'il y ait huit fabricants dans le pays et que le laboratoire soit déjà établi et opérationnel suggère qu'il existe un volume suffisant d'équipements à tester pour permettre son fonctionnement durable. En conséquence, le secrétariat recommande que l'assistance supplémentaire au laboratoire soit fournie en vertu de la décision 94/60, conformément à la recommandation formulée par le secrétariat au titre du point 10 de l'ordre du jour de la présente réunion</w:t>
      </w:r>
      <w:r>
        <w:rPr>
          <w:rStyle w:val="FootnoteReference"/>
        </w:rPr>
        <w:footnoteReference w:id="25"/>
      </w:r>
      <w:r>
        <w:t xml:space="preserve">. </w:t>
      </w:r>
    </w:p>
    <w:p w14:paraId="66DD564B" w14:textId="6A05CFBF" w:rsidR="0012000E" w:rsidRPr="00CD4ACF" w:rsidRDefault="0012000E" w:rsidP="0012000E">
      <w:pPr>
        <w:pStyle w:val="Heading1"/>
      </w:pPr>
      <w:r>
        <w:lastRenderedPageBreak/>
        <w:t>Sur cette base, l'ONUDI et le secrétariat ont mené des discussions approfondies sur le coût des améliorations proposées, notamment pour s'assurer qu'il n'y a pas de double emploi entre l'aide demandée dans le cadre du présent projet et celle approuvée à la 94</w:t>
      </w:r>
      <w:r>
        <w:rPr>
          <w:vertAlign w:val="superscript"/>
        </w:rPr>
        <w:t>e</w:t>
      </w:r>
      <w:r>
        <w:t> réunion. L'ONUDI a souligné qu'il n'y avait pas de double emploi, car l'aide prévue dans le cadre du projet approuvé à la 94</w:t>
      </w:r>
      <w:r>
        <w:rPr>
          <w:vertAlign w:val="superscript"/>
        </w:rPr>
        <w:t>e</w:t>
      </w:r>
      <w:r>
        <w:t xml:space="preserve"> réunion concernait principalement la fourniture d'équipements de sécurité incendie, notamment des détecteurs d'incendie, des extincteurs, des interrupteurs anti-étincelles, une issue de secours et la création d'un point de rassemblement, tandis que le financement demandé dans la proposition soumise à la présente réunion était distinct et portait sur l'installation de systèmes de détection de gaz inflammables et de renouvellement de l'air. À la suite de discussions constructives supplémentaires, il a été convenu que le laboratoire cofinancerait le transport, l'installation, la mise en service et la formation demandés, ce qui a abouti à des coûts convenus pour le Fonds multilatéral de 80 262 $US, étant entendu qu'aucun financement supplémentaire ne serait demandé pour soutenir le laboratoire. </w:t>
      </w:r>
    </w:p>
    <w:p w14:paraId="544477DA" w14:textId="77777777" w:rsidR="0012000E" w:rsidRPr="002207B3" w:rsidRDefault="0012000E" w:rsidP="0012000E">
      <w:pPr>
        <w:rPr>
          <w:i/>
          <w:iCs/>
          <w:shd w:val="clear" w:color="auto" w:fill="FFFFFF"/>
        </w:rPr>
      </w:pPr>
      <w:r>
        <w:rPr>
          <w:i/>
          <w:iCs/>
          <w:shd w:val="clear" w:color="auto" w:fill="FFFFFF"/>
        </w:rPr>
        <w:t>Activités de gestion de projet et d'assistance technique</w:t>
      </w:r>
    </w:p>
    <w:p w14:paraId="61B6C2A8" w14:textId="77777777" w:rsidR="0012000E" w:rsidRPr="002207B3" w:rsidRDefault="0012000E" w:rsidP="0012000E"/>
    <w:p w14:paraId="3B56866A" w14:textId="335D646E" w:rsidR="0012000E" w:rsidRPr="00136A16" w:rsidRDefault="0012000E" w:rsidP="0012000E">
      <w:pPr>
        <w:pStyle w:val="Heading1"/>
      </w:pPr>
      <w:r>
        <w:t xml:space="preserve">L'UGP, créée dans le cadre de la phase I du </w:t>
      </w:r>
      <w:r w:rsidR="00ED6D22">
        <w:t>PAK</w:t>
      </w:r>
      <w:r>
        <w:t xml:space="preserve">, fonctionnerait jusqu'en 2031 et effectuerait un suivi périodique et des visites sur place au sein des entreprises. De plus, le pays a l'intention de soumettre une demande pour la phase III de son PGEH en 2026, ce qui signifierait que trois UGP fonctionneraient simultanément dans le pays : pour le </w:t>
      </w:r>
      <w:r w:rsidR="00ED6D22">
        <w:t>PAK</w:t>
      </w:r>
      <w:r>
        <w:t xml:space="preserve">, pour le PGEH et pour le présent projet. En conséquence, le secrétariat a estimé qu'il serait possible d'améliorer l'efficacité de la gestion, du suivi et de la vérification du projet, tout en notant que certaines activités de suivi et d'assistance de l'UGP seraient spécifiques au projet de rendement énergétique, notamment en ce qui concerne la collecte de données relatives aux ventes et à la conformité des équipements aux objectifs de rendement énergétique. Il a donc été convenu d'allouer 10 000 $US par entreprise (y compris Condor Tunisie qui, bien que non éligible, devra tout de même respecter les MEPS), ce qui a abouti à un financement convenu de 80 000 $US pour le suivi et la vérification du projet. </w:t>
      </w:r>
    </w:p>
    <w:p w14:paraId="016F731E" w14:textId="77777777" w:rsidR="0012000E" w:rsidRDefault="0012000E" w:rsidP="0012000E">
      <w:pPr>
        <w:rPr>
          <w:rStyle w:val="normaltextrun"/>
          <w:color w:val="000000"/>
          <w:u w:val="single"/>
          <w:shd w:val="clear" w:color="auto" w:fill="FFFFFF"/>
          <w:lang w:val="en-GB"/>
        </w:rPr>
      </w:pPr>
      <w:r>
        <w:rPr>
          <w:rStyle w:val="normaltextrun"/>
          <w:color w:val="000000"/>
          <w:u w:val="single"/>
          <w:shd w:val="clear" w:color="auto" w:fill="FFFFFF"/>
        </w:rPr>
        <w:t>Cofinancement</w:t>
      </w:r>
    </w:p>
    <w:p w14:paraId="2B9FFAE0" w14:textId="77777777" w:rsidR="0012000E" w:rsidRPr="00DE5211" w:rsidRDefault="0012000E" w:rsidP="0012000E">
      <w:pPr>
        <w:pStyle w:val="Heading1"/>
        <w:keepNext/>
        <w:spacing w:before="240"/>
        <w:rPr>
          <w:color w:val="000000"/>
          <w:shd w:val="clear" w:color="auto" w:fill="FFFFFF"/>
        </w:rPr>
      </w:pPr>
      <w:r>
        <w:t xml:space="preserve">Les entreprises participantes peuvent apporter des ressources en nature pour contribuer à la bonne mise en œuvre des activités proposées. Ces contributions pourraient notamment couvrir les coûts différentiels liés aux équipements et aux composants, entre autres. </w:t>
      </w:r>
    </w:p>
    <w:p w14:paraId="336826F6" w14:textId="77777777" w:rsidR="0012000E" w:rsidRDefault="0012000E" w:rsidP="0012000E">
      <w:pPr>
        <w:pStyle w:val="Heading1"/>
        <w:keepNext/>
        <w:numPr>
          <w:ilvl w:val="0"/>
          <w:numId w:val="0"/>
        </w:numPr>
        <w:spacing w:before="240"/>
        <w:rPr>
          <w:rStyle w:val="eop"/>
          <w:color w:val="000000"/>
          <w:shd w:val="clear" w:color="auto" w:fill="FFFFFF"/>
        </w:rPr>
      </w:pPr>
      <w:r>
        <w:rPr>
          <w:rStyle w:val="normaltextrun"/>
          <w:color w:val="000000"/>
          <w:u w:val="single"/>
          <w:shd w:val="clear" w:color="auto" w:fill="FFFFFF"/>
        </w:rPr>
        <w:t>Viabilité du projet pilote et évaluation des risques</w:t>
      </w:r>
    </w:p>
    <w:p w14:paraId="3DAB8A90" w14:textId="323453AC" w:rsidR="0012000E" w:rsidRPr="00EC5F20" w:rsidRDefault="0012000E" w:rsidP="0012000E">
      <w:pPr>
        <w:pStyle w:val="Heading1"/>
        <w:keepNext/>
        <w:spacing w:before="240"/>
      </w:pPr>
      <w:r>
        <w:t>Le secrétariat considère que le risque le plus important pour le projet est que si les MEPS sont fixées à un niveau trop bas, les entreprises participantes devront concurrencer des climatiseurs importés qui seront moins écoénergétiques et potentiellement moins chers. Ce risque est exacerbé par le volume relativement faible de production des entreprises qui doivent concurrencer des équipements importés fabriqués par des entreprises nettement plus importantes pouvant bénéficier d'économies d'échelle et de chaînes d'approvisionnement plus intégrées. L'engagement pris par le Gouvernement de mettre à jour périodiquement les réglementations MEPS et les programmes d'étiquetage, de mener des activités de sensibilisation et de rayonnement, et de prendre des mesures pour mettre en œuvre des réglementations visant à garantir que la fabrication, l'importation et la vente des équipements atteignent au moins les niveaux de performance énergétique cibles, au plus tard trois ans après la date d'achèvement du projet, permettra d'atténuer ces risques. La mise en œuvre du projet pilote approuvé à la 94</w:t>
      </w:r>
      <w:r>
        <w:rPr>
          <w:vertAlign w:val="superscript"/>
        </w:rPr>
        <w:t>e</w:t>
      </w:r>
      <w:r>
        <w:t xml:space="preserve"> réunion permettra également d'atténuer les risques, de sensibiliser le public et de renforcer les capacités dans le pays. La modernisation du laboratoire calorimétrique du CETIME permettra aux entreprises de garantir que les climatiseurs qu'elles fabriquent sont économes en énergie. En outre, elle permettra au Gouvernement d'assurer la surveillance du marché et de veiller à ce que les climatiseurs fabriqués et importés respectent les MEPS applicables. La pérennité du projet sera renforcée par l'aide apportée aux entreprises dans le cadre du présent projet, au titre </w:t>
      </w:r>
      <w:r>
        <w:lastRenderedPageBreak/>
        <w:t xml:space="preserve">du </w:t>
      </w:r>
      <w:r w:rsidR="00ED6D22">
        <w:t>PAK</w:t>
      </w:r>
      <w:r>
        <w:t xml:space="preserve">, et grâce à la réduction des coûts énergétiques dont bénéficieront les consommateurs équipés de climatiseurs plus efficaces sur le plan énergétique. </w:t>
      </w:r>
    </w:p>
    <w:p w14:paraId="78EF9AAD" w14:textId="77777777" w:rsidR="0012000E" w:rsidRPr="00D92D3C" w:rsidRDefault="0012000E" w:rsidP="0012000E">
      <w:pPr>
        <w:keepNext/>
        <w:spacing w:before="240" w:after="240"/>
      </w:pPr>
      <w:r>
        <w:rPr>
          <w:b/>
          <w:bCs/>
        </w:rPr>
        <w:t>Recommandation</w:t>
      </w:r>
      <w:r>
        <w:t> </w:t>
      </w:r>
    </w:p>
    <w:p w14:paraId="1B0DD7A2" w14:textId="497B264E" w:rsidR="0012000E" w:rsidRPr="00D44EE1" w:rsidRDefault="0012000E" w:rsidP="0012000E">
      <w:pPr>
        <w:pStyle w:val="Heading1"/>
        <w:keepNext/>
      </w:pPr>
      <w:r>
        <w:t xml:space="preserve">Le Comité exécutif souhaitera peut-être envisager d'approuver le projet pilote visant à améliorer le rendement énergétique dans le secteur de la fabrication de climatiseurs résidentiels en Tunisie dans le cadre de la réduction des HFC, pour un montant de 1 347 360 $US, auxquels s'ajoutent les coûts d'appui de l'ONUDI s'élevant à 94 315 $US, en notant ce qui suit : </w:t>
      </w:r>
    </w:p>
    <w:p w14:paraId="7D163432" w14:textId="63177770" w:rsidR="0012000E" w:rsidRPr="00D44EE1" w:rsidRDefault="0012000E" w:rsidP="00F41B45">
      <w:pPr>
        <w:pStyle w:val="Heading2"/>
        <w:ind w:left="1440" w:hanging="720"/>
      </w:pPr>
      <w:r>
        <w:t>Le financement convenu serait alloué au titre du créneau de financement établi par la décision 94/60, notamment 80 262 $US, plus les coûts d'appui des organismes de 5 618 $US pour l'ONUDI, liés à la poursuite de la modernisation du laboratoire calorimétrique du Centre technique des industries mécaniques et électriques (CETIME), étant entendu qu'aucun financement supplémentaire ne serait demandé pour soutenir le laboratoire ;</w:t>
      </w:r>
    </w:p>
    <w:p w14:paraId="57DD53E7" w14:textId="4F985459" w:rsidR="0012000E" w:rsidRDefault="0012000E" w:rsidP="00F41B45">
      <w:pPr>
        <w:pStyle w:val="Heading2"/>
        <w:ind w:left="1440" w:hanging="720"/>
      </w:pPr>
      <w:r>
        <w:t>L'engagement des entreprises participant au projet de ne fabriquer que des climatiseurs à technologie à vitesse variable à l'issue du projet ;</w:t>
      </w:r>
    </w:p>
    <w:p w14:paraId="60E8BAEE" w14:textId="012AEAC3" w:rsidR="0012000E" w:rsidRDefault="0012000E" w:rsidP="00F41B45">
      <w:pPr>
        <w:pStyle w:val="Heading2"/>
        <w:ind w:left="1440" w:hanging="720"/>
      </w:pPr>
      <w:r>
        <w:t>L'ONUDI inclura, dans le rapport qu'elle soumettra en vertu de la décision 94/57 a) ii), une comparaison détaillée entre les normes minimales de performance énergétique (MEPS) que la Tunisie prévoit de mettre en œuvre d'ici décembre 2027 avec celles spécifiées dans les lignes directrices relatives à la réglementation type pour les climatiseurs écoénergétiques et respectueux du climat publiées par United for Efficiency, ainsi qu'une évaluation de la manière dont la prochaine mise à jour des MEPS se situera par rapport aux niveaux spécifiés dans ces réglementations types ; et</w:t>
      </w:r>
    </w:p>
    <w:p w14:paraId="64617D53" w14:textId="77777777" w:rsidR="0012000E" w:rsidRDefault="0012000E" w:rsidP="00F41B45">
      <w:pPr>
        <w:pStyle w:val="Heading2"/>
        <w:ind w:left="1440" w:hanging="720"/>
        <w:sectPr w:rsidR="0012000E" w:rsidSect="00AA6C04">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docGrid w:linePitch="299"/>
        </w:sectPr>
      </w:pPr>
      <w:r>
        <w:t xml:space="preserve">Le projet serait achevé sur le plan opérationnel au plus tard en décembre 2028 et un rapport détaillé sur le projet serait soumis au Comité exécutif dans les six mois suivant la date d'achèvement du projet. </w:t>
      </w:r>
    </w:p>
    <w:p w14:paraId="604FDC52" w14:textId="3C089924" w:rsidR="002072B3" w:rsidRPr="00DA5577" w:rsidRDefault="002072B3" w:rsidP="002072B3">
      <w:pPr>
        <w:jc w:val="center"/>
        <w:rPr>
          <w:b/>
          <w:bCs/>
        </w:rPr>
      </w:pPr>
      <w:r>
        <w:rPr>
          <w:b/>
          <w:bCs/>
        </w:rPr>
        <w:lastRenderedPageBreak/>
        <w:t xml:space="preserve">Annexe I </w:t>
      </w:r>
    </w:p>
    <w:p w14:paraId="72C419AA" w14:textId="77777777" w:rsidR="002072B3" w:rsidRPr="00DA5577" w:rsidRDefault="002072B3" w:rsidP="002072B3">
      <w:pPr>
        <w:jc w:val="center"/>
        <w:rPr>
          <w:b/>
          <w:bCs/>
        </w:rPr>
      </w:pPr>
    </w:p>
    <w:p w14:paraId="681993D4" w14:textId="77777777" w:rsidR="002072B3" w:rsidRPr="00DA5577" w:rsidRDefault="002072B3" w:rsidP="002072B3">
      <w:pPr>
        <w:jc w:val="center"/>
        <w:rPr>
          <w:b/>
          <w:bCs/>
        </w:rPr>
      </w:pPr>
      <w:r>
        <w:rPr>
          <w:b/>
          <w:bCs/>
        </w:rPr>
        <w:t>COÛTS CONVENUS (EN $US)</w:t>
      </w:r>
    </w:p>
    <w:p w14:paraId="38491CA2" w14:textId="77777777" w:rsidR="002072B3" w:rsidRDefault="002072B3" w:rsidP="002072B3">
      <w:pPr>
        <w:rPr>
          <w:highlight w:val="yellow"/>
        </w:rPr>
      </w:pPr>
    </w:p>
    <w:tbl>
      <w:tblPr>
        <w:tblW w:w="5000" w:type="pct"/>
        <w:tblLayout w:type="fixed"/>
        <w:tblLook w:val="04A0" w:firstRow="1" w:lastRow="0" w:firstColumn="1" w:lastColumn="0" w:noHBand="0" w:noVBand="1"/>
      </w:tblPr>
      <w:tblGrid>
        <w:gridCol w:w="2407"/>
        <w:gridCol w:w="1319"/>
        <w:gridCol w:w="1318"/>
        <w:gridCol w:w="1318"/>
        <w:gridCol w:w="1318"/>
        <w:gridCol w:w="1318"/>
        <w:gridCol w:w="1318"/>
        <w:gridCol w:w="1445"/>
        <w:gridCol w:w="1189"/>
      </w:tblGrid>
      <w:tr w:rsidR="006B3658" w:rsidRPr="00486267" w14:paraId="1F8D8783" w14:textId="77777777" w:rsidTr="00B468E3">
        <w:trPr>
          <w:trHeight w:val="510"/>
        </w:trPr>
        <w:tc>
          <w:tcPr>
            <w:tcW w:w="929" w:type="pct"/>
            <w:tcBorders>
              <w:top w:val="single" w:sz="4" w:space="0" w:color="auto"/>
              <w:left w:val="single" w:sz="4" w:space="0" w:color="auto"/>
              <w:bottom w:val="single" w:sz="4" w:space="0" w:color="auto"/>
              <w:right w:val="single" w:sz="4" w:space="0" w:color="auto"/>
            </w:tcBorders>
            <w:noWrap/>
            <w:vAlign w:val="center"/>
            <w:hideMark/>
          </w:tcPr>
          <w:p w14:paraId="67DC4CEA" w14:textId="77777777" w:rsidR="002072B3" w:rsidRPr="00486267" w:rsidRDefault="002072B3" w:rsidP="00D6140E">
            <w:pPr>
              <w:jc w:val="center"/>
              <w:rPr>
                <w:b/>
                <w:bCs/>
                <w:color w:val="000000"/>
                <w:sz w:val="20"/>
                <w:szCs w:val="20"/>
                <w:lang w:eastAsia="en-CA"/>
              </w:rPr>
            </w:pPr>
            <w:r>
              <w:rPr>
                <w:b/>
                <w:bCs/>
                <w:color w:val="000000"/>
                <w:sz w:val="20"/>
                <w:szCs w:val="20"/>
              </w:rPr>
              <w:t>Coûts</w:t>
            </w:r>
          </w:p>
        </w:tc>
        <w:tc>
          <w:tcPr>
            <w:tcW w:w="509" w:type="pct"/>
            <w:tcBorders>
              <w:top w:val="single" w:sz="4" w:space="0" w:color="auto"/>
              <w:left w:val="nil"/>
              <w:bottom w:val="single" w:sz="4" w:space="0" w:color="auto"/>
              <w:right w:val="single" w:sz="4" w:space="0" w:color="auto"/>
            </w:tcBorders>
            <w:vAlign w:val="center"/>
            <w:hideMark/>
          </w:tcPr>
          <w:p w14:paraId="097F9397" w14:textId="77777777" w:rsidR="002072B3" w:rsidRPr="00486267" w:rsidRDefault="002072B3" w:rsidP="00D6140E">
            <w:pPr>
              <w:jc w:val="center"/>
              <w:rPr>
                <w:b/>
                <w:bCs/>
                <w:color w:val="000000"/>
                <w:sz w:val="20"/>
                <w:szCs w:val="20"/>
                <w:lang w:eastAsia="en-CA"/>
              </w:rPr>
            </w:pPr>
            <w:r>
              <w:rPr>
                <w:b/>
                <w:bCs/>
                <w:color w:val="000000"/>
                <w:sz w:val="20"/>
                <w:szCs w:val="20"/>
              </w:rPr>
              <w:t>Société Industrielle Méga</w:t>
            </w:r>
          </w:p>
        </w:tc>
        <w:tc>
          <w:tcPr>
            <w:tcW w:w="509" w:type="pct"/>
            <w:tcBorders>
              <w:top w:val="single" w:sz="4" w:space="0" w:color="auto"/>
              <w:left w:val="nil"/>
              <w:bottom w:val="single" w:sz="4" w:space="0" w:color="auto"/>
              <w:right w:val="single" w:sz="4" w:space="0" w:color="auto"/>
            </w:tcBorders>
            <w:vAlign w:val="center"/>
            <w:hideMark/>
          </w:tcPr>
          <w:p w14:paraId="7E4DAE84" w14:textId="77777777" w:rsidR="002072B3" w:rsidRPr="00486267" w:rsidRDefault="002072B3" w:rsidP="00D6140E">
            <w:pPr>
              <w:jc w:val="center"/>
              <w:rPr>
                <w:b/>
                <w:bCs/>
                <w:color w:val="000000"/>
                <w:sz w:val="20"/>
                <w:szCs w:val="20"/>
                <w:lang w:eastAsia="en-CA"/>
              </w:rPr>
            </w:pPr>
            <w:r>
              <w:rPr>
                <w:b/>
                <w:bCs/>
                <w:color w:val="000000"/>
                <w:sz w:val="20"/>
                <w:szCs w:val="20"/>
              </w:rPr>
              <w:t>El Athir</w:t>
            </w:r>
          </w:p>
        </w:tc>
        <w:tc>
          <w:tcPr>
            <w:tcW w:w="509" w:type="pct"/>
            <w:tcBorders>
              <w:top w:val="single" w:sz="4" w:space="0" w:color="auto"/>
              <w:left w:val="nil"/>
              <w:bottom w:val="single" w:sz="4" w:space="0" w:color="auto"/>
              <w:right w:val="single" w:sz="4" w:space="0" w:color="auto"/>
            </w:tcBorders>
            <w:vAlign w:val="center"/>
            <w:hideMark/>
          </w:tcPr>
          <w:p w14:paraId="052CF3AB" w14:textId="77777777" w:rsidR="002072B3" w:rsidRPr="00486267" w:rsidRDefault="002072B3" w:rsidP="00D6140E">
            <w:pPr>
              <w:jc w:val="center"/>
              <w:rPr>
                <w:b/>
                <w:bCs/>
                <w:color w:val="000000"/>
                <w:sz w:val="20"/>
                <w:szCs w:val="20"/>
                <w:lang w:eastAsia="en-CA"/>
              </w:rPr>
            </w:pPr>
            <w:r>
              <w:rPr>
                <w:b/>
                <w:bCs/>
                <w:color w:val="000000"/>
                <w:sz w:val="20"/>
                <w:szCs w:val="20"/>
              </w:rPr>
              <w:t>Sicad Coala</w:t>
            </w:r>
          </w:p>
        </w:tc>
        <w:tc>
          <w:tcPr>
            <w:tcW w:w="509" w:type="pct"/>
            <w:tcBorders>
              <w:top w:val="single" w:sz="4" w:space="0" w:color="auto"/>
              <w:left w:val="nil"/>
              <w:bottom w:val="single" w:sz="4" w:space="0" w:color="auto"/>
              <w:right w:val="single" w:sz="4" w:space="0" w:color="auto"/>
            </w:tcBorders>
            <w:vAlign w:val="center"/>
            <w:hideMark/>
          </w:tcPr>
          <w:p w14:paraId="288CA863" w14:textId="77777777" w:rsidR="002072B3" w:rsidRPr="00486267" w:rsidRDefault="002072B3" w:rsidP="00D6140E">
            <w:pPr>
              <w:jc w:val="center"/>
              <w:rPr>
                <w:b/>
                <w:bCs/>
                <w:color w:val="000000"/>
                <w:sz w:val="20"/>
                <w:szCs w:val="20"/>
                <w:lang w:eastAsia="en-CA"/>
              </w:rPr>
            </w:pPr>
            <w:r>
              <w:rPr>
                <w:b/>
                <w:bCs/>
                <w:color w:val="000000"/>
                <w:sz w:val="20"/>
                <w:szCs w:val="20"/>
              </w:rPr>
              <w:t>3 Stars Electronics</w:t>
            </w:r>
          </w:p>
        </w:tc>
        <w:tc>
          <w:tcPr>
            <w:tcW w:w="509" w:type="pct"/>
            <w:tcBorders>
              <w:top w:val="single" w:sz="4" w:space="0" w:color="auto"/>
              <w:left w:val="nil"/>
              <w:bottom w:val="single" w:sz="4" w:space="0" w:color="auto"/>
              <w:right w:val="single" w:sz="4" w:space="0" w:color="auto"/>
            </w:tcBorders>
            <w:vAlign w:val="center"/>
            <w:hideMark/>
          </w:tcPr>
          <w:p w14:paraId="37249975" w14:textId="77777777" w:rsidR="002072B3" w:rsidRPr="00486267" w:rsidRDefault="002072B3" w:rsidP="00D6140E">
            <w:pPr>
              <w:jc w:val="center"/>
              <w:rPr>
                <w:b/>
                <w:bCs/>
                <w:color w:val="000000"/>
                <w:sz w:val="20"/>
                <w:szCs w:val="20"/>
                <w:lang w:eastAsia="en-CA"/>
              </w:rPr>
            </w:pPr>
            <w:r>
              <w:rPr>
                <w:b/>
                <w:bCs/>
                <w:color w:val="000000"/>
                <w:sz w:val="20"/>
                <w:szCs w:val="20"/>
              </w:rPr>
              <w:t>Star One</w:t>
            </w:r>
          </w:p>
        </w:tc>
        <w:tc>
          <w:tcPr>
            <w:tcW w:w="509" w:type="pct"/>
            <w:tcBorders>
              <w:top w:val="single" w:sz="4" w:space="0" w:color="auto"/>
              <w:left w:val="nil"/>
              <w:bottom w:val="single" w:sz="4" w:space="0" w:color="auto"/>
              <w:right w:val="single" w:sz="4" w:space="0" w:color="auto"/>
            </w:tcBorders>
            <w:vAlign w:val="center"/>
            <w:hideMark/>
          </w:tcPr>
          <w:p w14:paraId="121FFFE3" w14:textId="23D4E183" w:rsidR="002072B3" w:rsidRPr="00486267" w:rsidRDefault="002072B3" w:rsidP="00D6140E">
            <w:pPr>
              <w:jc w:val="center"/>
              <w:rPr>
                <w:b/>
                <w:bCs/>
                <w:color w:val="000000"/>
                <w:sz w:val="20"/>
                <w:szCs w:val="20"/>
                <w:lang w:eastAsia="en-CA"/>
              </w:rPr>
            </w:pPr>
            <w:r>
              <w:rPr>
                <w:b/>
                <w:bCs/>
                <w:color w:val="000000"/>
                <w:sz w:val="20"/>
                <w:szCs w:val="20"/>
              </w:rPr>
              <w:t>Novatech</w:t>
            </w:r>
          </w:p>
        </w:tc>
        <w:tc>
          <w:tcPr>
            <w:tcW w:w="558" w:type="pct"/>
            <w:tcBorders>
              <w:top w:val="single" w:sz="4" w:space="0" w:color="auto"/>
              <w:left w:val="nil"/>
              <w:bottom w:val="single" w:sz="4" w:space="0" w:color="auto"/>
              <w:right w:val="single" w:sz="4" w:space="0" w:color="auto"/>
            </w:tcBorders>
            <w:vAlign w:val="center"/>
            <w:hideMark/>
          </w:tcPr>
          <w:p w14:paraId="70A86DE5" w14:textId="7E2E7D81" w:rsidR="002072B3" w:rsidRPr="00486267" w:rsidRDefault="00E6302E" w:rsidP="00D6140E">
            <w:pPr>
              <w:jc w:val="center"/>
              <w:rPr>
                <w:b/>
                <w:bCs/>
                <w:color w:val="000000"/>
                <w:sz w:val="20"/>
                <w:szCs w:val="20"/>
                <w:lang w:eastAsia="en-CA"/>
              </w:rPr>
            </w:pPr>
            <w:r>
              <w:rPr>
                <w:b/>
                <w:bCs/>
                <w:color w:val="000000"/>
                <w:sz w:val="20"/>
                <w:szCs w:val="20"/>
              </w:rPr>
              <w:t>Société New Star</w:t>
            </w:r>
          </w:p>
        </w:tc>
        <w:tc>
          <w:tcPr>
            <w:tcW w:w="459" w:type="pct"/>
            <w:tcBorders>
              <w:top w:val="single" w:sz="4" w:space="0" w:color="auto"/>
              <w:left w:val="nil"/>
              <w:bottom w:val="single" w:sz="4" w:space="0" w:color="auto"/>
              <w:right w:val="single" w:sz="4" w:space="0" w:color="auto"/>
            </w:tcBorders>
            <w:vAlign w:val="center"/>
            <w:hideMark/>
          </w:tcPr>
          <w:p w14:paraId="088CE082" w14:textId="77777777" w:rsidR="002072B3" w:rsidRPr="00486267" w:rsidRDefault="002072B3" w:rsidP="00D6140E">
            <w:pPr>
              <w:jc w:val="center"/>
              <w:rPr>
                <w:b/>
                <w:bCs/>
                <w:color w:val="000000"/>
                <w:sz w:val="20"/>
                <w:szCs w:val="20"/>
                <w:lang w:eastAsia="en-CA"/>
              </w:rPr>
            </w:pPr>
            <w:r>
              <w:rPr>
                <w:b/>
                <w:bCs/>
                <w:color w:val="000000"/>
                <w:sz w:val="20"/>
                <w:szCs w:val="20"/>
              </w:rPr>
              <w:t>Total</w:t>
            </w:r>
          </w:p>
        </w:tc>
      </w:tr>
      <w:tr w:rsidR="00BF228F" w:rsidRPr="00486267" w14:paraId="6D07FCD0" w14:textId="77777777" w:rsidTr="00B468E3">
        <w:trPr>
          <w:trHeight w:val="255"/>
        </w:trPr>
        <w:tc>
          <w:tcPr>
            <w:tcW w:w="929" w:type="pct"/>
            <w:tcBorders>
              <w:top w:val="nil"/>
              <w:left w:val="single" w:sz="4" w:space="0" w:color="auto"/>
              <w:bottom w:val="single" w:sz="4" w:space="0" w:color="auto"/>
              <w:right w:val="single" w:sz="4" w:space="0" w:color="auto"/>
            </w:tcBorders>
            <w:noWrap/>
            <w:hideMark/>
          </w:tcPr>
          <w:p w14:paraId="13946D7B" w14:textId="77777777" w:rsidR="002072B3" w:rsidRPr="00486267" w:rsidRDefault="002072B3" w:rsidP="00486267">
            <w:pPr>
              <w:jc w:val="left"/>
              <w:rPr>
                <w:color w:val="000000"/>
                <w:sz w:val="20"/>
                <w:szCs w:val="20"/>
                <w:lang w:eastAsia="en-CA"/>
              </w:rPr>
            </w:pPr>
            <w:r>
              <w:rPr>
                <w:color w:val="000000"/>
                <w:sz w:val="20"/>
                <w:szCs w:val="20"/>
              </w:rPr>
              <w:t>Investissement supplémentaire</w:t>
            </w:r>
          </w:p>
        </w:tc>
        <w:tc>
          <w:tcPr>
            <w:tcW w:w="509" w:type="pct"/>
            <w:tcBorders>
              <w:top w:val="nil"/>
              <w:left w:val="nil"/>
              <w:bottom w:val="single" w:sz="4" w:space="0" w:color="auto"/>
              <w:right w:val="single" w:sz="4" w:space="0" w:color="auto"/>
            </w:tcBorders>
            <w:noWrap/>
            <w:hideMark/>
          </w:tcPr>
          <w:p w14:paraId="4038C6B3" w14:textId="77777777" w:rsidR="002072B3" w:rsidRPr="00486267" w:rsidRDefault="002072B3" w:rsidP="00486267">
            <w:pPr>
              <w:jc w:val="right"/>
              <w:rPr>
                <w:color w:val="000000"/>
                <w:sz w:val="20"/>
                <w:szCs w:val="20"/>
                <w:lang w:eastAsia="en-CA"/>
              </w:rPr>
            </w:pPr>
            <w:r>
              <w:rPr>
                <w:color w:val="000000"/>
                <w:sz w:val="20"/>
                <w:szCs w:val="20"/>
              </w:rPr>
              <w:t>120 000</w:t>
            </w:r>
          </w:p>
        </w:tc>
        <w:tc>
          <w:tcPr>
            <w:tcW w:w="509" w:type="pct"/>
            <w:tcBorders>
              <w:top w:val="nil"/>
              <w:left w:val="nil"/>
              <w:bottom w:val="single" w:sz="4" w:space="0" w:color="auto"/>
              <w:right w:val="single" w:sz="4" w:space="0" w:color="auto"/>
            </w:tcBorders>
            <w:noWrap/>
            <w:hideMark/>
          </w:tcPr>
          <w:p w14:paraId="5D2B91A6" w14:textId="77777777" w:rsidR="002072B3" w:rsidRPr="00486267" w:rsidRDefault="002072B3" w:rsidP="00486267">
            <w:pPr>
              <w:jc w:val="right"/>
              <w:rPr>
                <w:color w:val="000000"/>
                <w:sz w:val="20"/>
                <w:szCs w:val="20"/>
                <w:lang w:eastAsia="en-CA"/>
              </w:rPr>
            </w:pPr>
            <w:r>
              <w:rPr>
                <w:color w:val="000000"/>
                <w:sz w:val="20"/>
                <w:szCs w:val="20"/>
              </w:rPr>
              <w:t>100 000</w:t>
            </w:r>
          </w:p>
        </w:tc>
        <w:tc>
          <w:tcPr>
            <w:tcW w:w="509" w:type="pct"/>
            <w:tcBorders>
              <w:top w:val="nil"/>
              <w:left w:val="nil"/>
              <w:bottom w:val="single" w:sz="4" w:space="0" w:color="auto"/>
              <w:right w:val="single" w:sz="4" w:space="0" w:color="auto"/>
            </w:tcBorders>
            <w:noWrap/>
            <w:hideMark/>
          </w:tcPr>
          <w:p w14:paraId="6B7F783A" w14:textId="77777777" w:rsidR="002072B3" w:rsidRPr="00486267" w:rsidRDefault="002072B3" w:rsidP="00486267">
            <w:pPr>
              <w:jc w:val="right"/>
              <w:rPr>
                <w:color w:val="000000"/>
                <w:sz w:val="20"/>
                <w:szCs w:val="20"/>
                <w:lang w:eastAsia="en-CA"/>
              </w:rPr>
            </w:pPr>
            <w:r>
              <w:rPr>
                <w:color w:val="000000"/>
                <w:sz w:val="20"/>
                <w:szCs w:val="20"/>
              </w:rPr>
              <w:t>100 000</w:t>
            </w:r>
          </w:p>
        </w:tc>
        <w:tc>
          <w:tcPr>
            <w:tcW w:w="509" w:type="pct"/>
            <w:tcBorders>
              <w:top w:val="nil"/>
              <w:left w:val="nil"/>
              <w:bottom w:val="single" w:sz="4" w:space="0" w:color="auto"/>
              <w:right w:val="single" w:sz="4" w:space="0" w:color="auto"/>
            </w:tcBorders>
            <w:noWrap/>
            <w:hideMark/>
          </w:tcPr>
          <w:p w14:paraId="14342AA1" w14:textId="77777777" w:rsidR="002072B3" w:rsidRPr="00486267" w:rsidRDefault="002072B3" w:rsidP="00486267">
            <w:pPr>
              <w:jc w:val="right"/>
              <w:rPr>
                <w:color w:val="000000"/>
                <w:sz w:val="20"/>
                <w:szCs w:val="20"/>
                <w:lang w:eastAsia="en-CA"/>
              </w:rPr>
            </w:pPr>
            <w:r>
              <w:rPr>
                <w:sz w:val="20"/>
                <w:szCs w:val="20"/>
              </w:rPr>
              <w:t>50 000</w:t>
            </w:r>
          </w:p>
        </w:tc>
        <w:tc>
          <w:tcPr>
            <w:tcW w:w="509" w:type="pct"/>
            <w:tcBorders>
              <w:top w:val="nil"/>
              <w:left w:val="nil"/>
              <w:bottom w:val="single" w:sz="4" w:space="0" w:color="auto"/>
              <w:right w:val="single" w:sz="4" w:space="0" w:color="auto"/>
            </w:tcBorders>
            <w:noWrap/>
            <w:hideMark/>
          </w:tcPr>
          <w:p w14:paraId="30542926" w14:textId="77777777" w:rsidR="002072B3" w:rsidRPr="00486267" w:rsidRDefault="002072B3" w:rsidP="00486267">
            <w:pPr>
              <w:jc w:val="right"/>
              <w:rPr>
                <w:color w:val="000000"/>
                <w:sz w:val="20"/>
                <w:szCs w:val="20"/>
                <w:lang w:eastAsia="en-CA"/>
              </w:rPr>
            </w:pPr>
            <w:r>
              <w:rPr>
                <w:sz w:val="20"/>
                <w:szCs w:val="20"/>
              </w:rPr>
              <w:t>50 000</w:t>
            </w:r>
          </w:p>
        </w:tc>
        <w:tc>
          <w:tcPr>
            <w:tcW w:w="509" w:type="pct"/>
            <w:tcBorders>
              <w:top w:val="nil"/>
              <w:left w:val="nil"/>
              <w:bottom w:val="single" w:sz="4" w:space="0" w:color="auto"/>
              <w:right w:val="single" w:sz="4" w:space="0" w:color="auto"/>
            </w:tcBorders>
            <w:noWrap/>
            <w:hideMark/>
          </w:tcPr>
          <w:p w14:paraId="27BB554C" w14:textId="77777777" w:rsidR="002072B3" w:rsidRPr="00486267" w:rsidRDefault="002072B3" w:rsidP="00486267">
            <w:pPr>
              <w:jc w:val="right"/>
              <w:rPr>
                <w:color w:val="000000"/>
                <w:sz w:val="20"/>
                <w:szCs w:val="20"/>
                <w:lang w:eastAsia="en-CA"/>
              </w:rPr>
            </w:pPr>
            <w:r>
              <w:rPr>
                <w:sz w:val="20"/>
                <w:szCs w:val="20"/>
              </w:rPr>
              <w:t>50 000</w:t>
            </w:r>
          </w:p>
        </w:tc>
        <w:tc>
          <w:tcPr>
            <w:tcW w:w="558" w:type="pct"/>
            <w:tcBorders>
              <w:top w:val="nil"/>
              <w:left w:val="nil"/>
              <w:bottom w:val="single" w:sz="4" w:space="0" w:color="auto"/>
              <w:right w:val="single" w:sz="4" w:space="0" w:color="auto"/>
            </w:tcBorders>
            <w:noWrap/>
            <w:hideMark/>
          </w:tcPr>
          <w:p w14:paraId="58C40AD1" w14:textId="77777777" w:rsidR="002072B3" w:rsidRPr="00486267" w:rsidRDefault="002072B3" w:rsidP="00486267">
            <w:pPr>
              <w:jc w:val="right"/>
              <w:rPr>
                <w:color w:val="000000"/>
                <w:sz w:val="20"/>
                <w:szCs w:val="20"/>
                <w:lang w:eastAsia="en-CA"/>
              </w:rPr>
            </w:pPr>
            <w:r>
              <w:rPr>
                <w:sz w:val="20"/>
                <w:szCs w:val="20"/>
              </w:rPr>
              <w:t>50 000</w:t>
            </w:r>
          </w:p>
        </w:tc>
        <w:tc>
          <w:tcPr>
            <w:tcW w:w="459" w:type="pct"/>
            <w:tcBorders>
              <w:top w:val="nil"/>
              <w:left w:val="nil"/>
              <w:bottom w:val="single" w:sz="4" w:space="0" w:color="auto"/>
              <w:right w:val="single" w:sz="4" w:space="0" w:color="auto"/>
            </w:tcBorders>
            <w:noWrap/>
            <w:hideMark/>
          </w:tcPr>
          <w:p w14:paraId="73DFD554" w14:textId="223AD1B3" w:rsidR="002072B3" w:rsidRPr="00486267" w:rsidRDefault="00DA1DA2" w:rsidP="00486267">
            <w:pPr>
              <w:jc w:val="right"/>
              <w:rPr>
                <w:color w:val="000000"/>
                <w:sz w:val="20"/>
                <w:szCs w:val="20"/>
                <w:lang w:eastAsia="en-CA"/>
              </w:rPr>
            </w:pPr>
            <w:r>
              <w:rPr>
                <w:sz w:val="20"/>
                <w:szCs w:val="20"/>
              </w:rPr>
              <w:t>520 000</w:t>
            </w:r>
          </w:p>
        </w:tc>
      </w:tr>
      <w:tr w:rsidR="00BF228F" w:rsidRPr="00486267" w14:paraId="6827E3FE" w14:textId="77777777" w:rsidTr="00B468E3">
        <w:trPr>
          <w:trHeight w:val="255"/>
        </w:trPr>
        <w:tc>
          <w:tcPr>
            <w:tcW w:w="929" w:type="pct"/>
            <w:tcBorders>
              <w:top w:val="nil"/>
              <w:left w:val="single" w:sz="4" w:space="0" w:color="auto"/>
              <w:bottom w:val="single" w:sz="4" w:space="0" w:color="auto"/>
              <w:right w:val="single" w:sz="4" w:space="0" w:color="auto"/>
            </w:tcBorders>
            <w:noWrap/>
            <w:hideMark/>
          </w:tcPr>
          <w:p w14:paraId="667A96CB" w14:textId="77777777" w:rsidR="002072B3" w:rsidRPr="00486267" w:rsidRDefault="002072B3" w:rsidP="00486267">
            <w:pPr>
              <w:jc w:val="left"/>
              <w:rPr>
                <w:color w:val="000000"/>
                <w:sz w:val="20"/>
                <w:szCs w:val="20"/>
                <w:lang w:eastAsia="en-CA"/>
              </w:rPr>
            </w:pPr>
            <w:r>
              <w:rPr>
                <w:color w:val="000000"/>
                <w:sz w:val="20"/>
                <w:szCs w:val="20"/>
              </w:rPr>
              <w:t>Coût supplémentaire lié aux composants</w:t>
            </w:r>
          </w:p>
        </w:tc>
        <w:tc>
          <w:tcPr>
            <w:tcW w:w="509" w:type="pct"/>
            <w:tcBorders>
              <w:top w:val="nil"/>
              <w:left w:val="nil"/>
              <w:bottom w:val="single" w:sz="4" w:space="0" w:color="auto"/>
              <w:right w:val="single" w:sz="4" w:space="0" w:color="auto"/>
            </w:tcBorders>
            <w:noWrap/>
            <w:hideMark/>
          </w:tcPr>
          <w:p w14:paraId="07F7E4DB" w14:textId="77777777" w:rsidR="002072B3" w:rsidRPr="00486267" w:rsidRDefault="002072B3" w:rsidP="00486267">
            <w:pPr>
              <w:jc w:val="right"/>
              <w:rPr>
                <w:color w:val="000000"/>
                <w:sz w:val="20"/>
                <w:szCs w:val="20"/>
                <w:lang w:eastAsia="en-CA"/>
              </w:rPr>
            </w:pPr>
            <w:r>
              <w:rPr>
                <w:color w:val="000000"/>
                <w:sz w:val="20"/>
                <w:szCs w:val="20"/>
              </w:rPr>
              <w:t>224 916</w:t>
            </w:r>
          </w:p>
        </w:tc>
        <w:tc>
          <w:tcPr>
            <w:tcW w:w="509" w:type="pct"/>
            <w:tcBorders>
              <w:top w:val="nil"/>
              <w:left w:val="nil"/>
              <w:bottom w:val="single" w:sz="4" w:space="0" w:color="auto"/>
              <w:right w:val="single" w:sz="4" w:space="0" w:color="auto"/>
            </w:tcBorders>
            <w:noWrap/>
            <w:hideMark/>
          </w:tcPr>
          <w:p w14:paraId="4C1369BE" w14:textId="77777777" w:rsidR="002072B3" w:rsidRPr="00486267" w:rsidRDefault="002072B3" w:rsidP="00486267">
            <w:pPr>
              <w:jc w:val="right"/>
              <w:rPr>
                <w:color w:val="000000"/>
                <w:sz w:val="20"/>
                <w:szCs w:val="20"/>
                <w:lang w:eastAsia="en-CA"/>
              </w:rPr>
            </w:pPr>
            <w:r>
              <w:rPr>
                <w:color w:val="000000"/>
                <w:sz w:val="20"/>
                <w:szCs w:val="20"/>
              </w:rPr>
              <w:t>85 923</w:t>
            </w:r>
          </w:p>
        </w:tc>
        <w:tc>
          <w:tcPr>
            <w:tcW w:w="509" w:type="pct"/>
            <w:tcBorders>
              <w:top w:val="nil"/>
              <w:left w:val="nil"/>
              <w:bottom w:val="single" w:sz="4" w:space="0" w:color="auto"/>
              <w:right w:val="single" w:sz="4" w:space="0" w:color="auto"/>
            </w:tcBorders>
            <w:noWrap/>
            <w:hideMark/>
          </w:tcPr>
          <w:p w14:paraId="1FCC831B" w14:textId="77777777" w:rsidR="002072B3" w:rsidRPr="00486267" w:rsidRDefault="002072B3" w:rsidP="00486267">
            <w:pPr>
              <w:jc w:val="right"/>
              <w:rPr>
                <w:color w:val="000000"/>
                <w:sz w:val="20"/>
                <w:szCs w:val="20"/>
                <w:lang w:eastAsia="en-CA"/>
              </w:rPr>
            </w:pPr>
            <w:r>
              <w:rPr>
                <w:color w:val="000000"/>
                <w:sz w:val="20"/>
                <w:szCs w:val="20"/>
              </w:rPr>
              <w:t>80 190</w:t>
            </w:r>
          </w:p>
        </w:tc>
        <w:tc>
          <w:tcPr>
            <w:tcW w:w="509" w:type="pct"/>
            <w:tcBorders>
              <w:top w:val="nil"/>
              <w:left w:val="nil"/>
              <w:bottom w:val="single" w:sz="4" w:space="0" w:color="auto"/>
              <w:right w:val="single" w:sz="4" w:space="0" w:color="auto"/>
            </w:tcBorders>
            <w:noWrap/>
            <w:hideMark/>
          </w:tcPr>
          <w:p w14:paraId="03CE5790" w14:textId="77777777" w:rsidR="002072B3" w:rsidRPr="00486267" w:rsidRDefault="002072B3" w:rsidP="00486267">
            <w:pPr>
              <w:jc w:val="right"/>
              <w:rPr>
                <w:color w:val="000000"/>
                <w:sz w:val="20"/>
                <w:szCs w:val="20"/>
                <w:lang w:eastAsia="en-CA"/>
              </w:rPr>
            </w:pPr>
            <w:r>
              <w:rPr>
                <w:color w:val="000000"/>
                <w:sz w:val="20"/>
                <w:szCs w:val="20"/>
              </w:rPr>
              <w:t>22 040</w:t>
            </w:r>
          </w:p>
        </w:tc>
        <w:tc>
          <w:tcPr>
            <w:tcW w:w="509" w:type="pct"/>
            <w:tcBorders>
              <w:top w:val="nil"/>
              <w:left w:val="nil"/>
              <w:bottom w:val="single" w:sz="4" w:space="0" w:color="auto"/>
              <w:right w:val="single" w:sz="4" w:space="0" w:color="auto"/>
            </w:tcBorders>
            <w:noWrap/>
            <w:hideMark/>
          </w:tcPr>
          <w:p w14:paraId="1E01DDFF" w14:textId="77777777" w:rsidR="002072B3" w:rsidRPr="00486267" w:rsidRDefault="002072B3" w:rsidP="00486267">
            <w:pPr>
              <w:jc w:val="right"/>
              <w:rPr>
                <w:color w:val="000000"/>
                <w:sz w:val="20"/>
                <w:szCs w:val="20"/>
                <w:lang w:eastAsia="en-CA"/>
              </w:rPr>
            </w:pPr>
            <w:r>
              <w:rPr>
                <w:color w:val="000000"/>
                <w:sz w:val="20"/>
                <w:szCs w:val="20"/>
              </w:rPr>
              <w:t>6 625</w:t>
            </w:r>
          </w:p>
        </w:tc>
        <w:tc>
          <w:tcPr>
            <w:tcW w:w="509" w:type="pct"/>
            <w:tcBorders>
              <w:top w:val="nil"/>
              <w:left w:val="nil"/>
              <w:bottom w:val="single" w:sz="4" w:space="0" w:color="auto"/>
              <w:right w:val="single" w:sz="4" w:space="0" w:color="auto"/>
            </w:tcBorders>
            <w:noWrap/>
            <w:hideMark/>
          </w:tcPr>
          <w:p w14:paraId="48AE3955" w14:textId="77777777" w:rsidR="002072B3" w:rsidRPr="00486267" w:rsidRDefault="002072B3" w:rsidP="00486267">
            <w:pPr>
              <w:jc w:val="right"/>
              <w:rPr>
                <w:color w:val="000000"/>
                <w:sz w:val="20"/>
                <w:szCs w:val="20"/>
                <w:lang w:eastAsia="en-CA"/>
              </w:rPr>
            </w:pPr>
            <w:r>
              <w:rPr>
                <w:color w:val="000000"/>
                <w:sz w:val="20"/>
                <w:szCs w:val="20"/>
              </w:rPr>
              <w:t>7 785</w:t>
            </w:r>
          </w:p>
        </w:tc>
        <w:tc>
          <w:tcPr>
            <w:tcW w:w="558" w:type="pct"/>
            <w:tcBorders>
              <w:top w:val="nil"/>
              <w:left w:val="nil"/>
              <w:bottom w:val="single" w:sz="4" w:space="0" w:color="auto"/>
              <w:right w:val="single" w:sz="4" w:space="0" w:color="auto"/>
            </w:tcBorders>
            <w:noWrap/>
            <w:hideMark/>
          </w:tcPr>
          <w:p w14:paraId="5EDA4679" w14:textId="77777777" w:rsidR="002072B3" w:rsidRPr="00486267" w:rsidRDefault="002072B3" w:rsidP="00486267">
            <w:pPr>
              <w:jc w:val="right"/>
              <w:rPr>
                <w:color w:val="000000"/>
                <w:sz w:val="20"/>
                <w:szCs w:val="20"/>
                <w:lang w:eastAsia="en-CA"/>
              </w:rPr>
            </w:pPr>
            <w:r>
              <w:rPr>
                <w:color w:val="000000"/>
                <w:sz w:val="20"/>
                <w:szCs w:val="20"/>
              </w:rPr>
              <w:t>39 619</w:t>
            </w:r>
          </w:p>
        </w:tc>
        <w:tc>
          <w:tcPr>
            <w:tcW w:w="459" w:type="pct"/>
            <w:tcBorders>
              <w:top w:val="nil"/>
              <w:left w:val="nil"/>
              <w:bottom w:val="single" w:sz="4" w:space="0" w:color="auto"/>
              <w:right w:val="single" w:sz="4" w:space="0" w:color="auto"/>
            </w:tcBorders>
            <w:noWrap/>
            <w:hideMark/>
          </w:tcPr>
          <w:p w14:paraId="76CE6C91" w14:textId="294A6FE5" w:rsidR="002072B3" w:rsidRPr="00486267" w:rsidRDefault="002072B3" w:rsidP="00486267">
            <w:pPr>
              <w:jc w:val="right"/>
              <w:rPr>
                <w:color w:val="000000"/>
                <w:sz w:val="20"/>
                <w:szCs w:val="20"/>
                <w:lang w:eastAsia="en-CA"/>
              </w:rPr>
            </w:pPr>
            <w:r>
              <w:rPr>
                <w:color w:val="000000"/>
                <w:sz w:val="20"/>
                <w:szCs w:val="20"/>
              </w:rPr>
              <w:t>467 098</w:t>
            </w:r>
          </w:p>
        </w:tc>
      </w:tr>
      <w:tr w:rsidR="00BF228F" w:rsidRPr="00486267" w14:paraId="6C8DB8F0" w14:textId="77777777" w:rsidTr="00B468E3">
        <w:trPr>
          <w:trHeight w:val="510"/>
        </w:trPr>
        <w:tc>
          <w:tcPr>
            <w:tcW w:w="929" w:type="pct"/>
            <w:tcBorders>
              <w:top w:val="nil"/>
              <w:left w:val="single" w:sz="4" w:space="0" w:color="auto"/>
              <w:bottom w:val="single" w:sz="4" w:space="0" w:color="auto"/>
              <w:right w:val="single" w:sz="4" w:space="0" w:color="auto"/>
            </w:tcBorders>
            <w:hideMark/>
          </w:tcPr>
          <w:p w14:paraId="5D628813" w14:textId="77777777" w:rsidR="002072B3" w:rsidRPr="00486267" w:rsidRDefault="002072B3" w:rsidP="00486267">
            <w:pPr>
              <w:jc w:val="left"/>
              <w:rPr>
                <w:color w:val="000000"/>
                <w:sz w:val="20"/>
                <w:szCs w:val="20"/>
                <w:lang w:eastAsia="en-CA"/>
              </w:rPr>
            </w:pPr>
            <w:r>
              <w:rPr>
                <w:color w:val="000000"/>
                <w:sz w:val="20"/>
                <w:szCs w:val="20"/>
              </w:rPr>
              <w:t>Coût supplémentaire en sus lié aux composants*</w:t>
            </w:r>
          </w:p>
        </w:tc>
        <w:tc>
          <w:tcPr>
            <w:tcW w:w="509" w:type="pct"/>
            <w:tcBorders>
              <w:top w:val="nil"/>
              <w:left w:val="nil"/>
              <w:bottom w:val="single" w:sz="4" w:space="0" w:color="auto"/>
              <w:right w:val="single" w:sz="4" w:space="0" w:color="auto"/>
            </w:tcBorders>
            <w:noWrap/>
            <w:hideMark/>
          </w:tcPr>
          <w:p w14:paraId="280B23F6" w14:textId="77777777" w:rsidR="002072B3" w:rsidRPr="00486267" w:rsidRDefault="002072B3" w:rsidP="00486267">
            <w:pPr>
              <w:jc w:val="right"/>
              <w:rPr>
                <w:color w:val="000000"/>
                <w:sz w:val="20"/>
                <w:szCs w:val="20"/>
                <w:lang w:eastAsia="en-CA"/>
              </w:rPr>
            </w:pPr>
            <w:r>
              <w:rPr>
                <w:color w:val="000000"/>
                <w:sz w:val="20"/>
                <w:szCs w:val="20"/>
              </w:rPr>
              <w:t>0</w:t>
            </w:r>
          </w:p>
        </w:tc>
        <w:tc>
          <w:tcPr>
            <w:tcW w:w="509" w:type="pct"/>
            <w:tcBorders>
              <w:top w:val="nil"/>
              <w:left w:val="nil"/>
              <w:bottom w:val="single" w:sz="4" w:space="0" w:color="auto"/>
              <w:right w:val="single" w:sz="4" w:space="0" w:color="auto"/>
            </w:tcBorders>
            <w:noWrap/>
            <w:hideMark/>
          </w:tcPr>
          <w:p w14:paraId="4E6F4CCA" w14:textId="77777777" w:rsidR="002072B3" w:rsidRPr="00486267" w:rsidRDefault="002072B3" w:rsidP="00486267">
            <w:pPr>
              <w:jc w:val="right"/>
              <w:rPr>
                <w:color w:val="000000"/>
                <w:sz w:val="20"/>
                <w:szCs w:val="20"/>
                <w:lang w:eastAsia="en-CA"/>
              </w:rPr>
            </w:pPr>
            <w:r>
              <w:rPr>
                <w:color w:val="000000"/>
                <w:sz w:val="20"/>
                <w:szCs w:val="20"/>
              </w:rPr>
              <w:t>0</w:t>
            </w:r>
          </w:p>
        </w:tc>
        <w:tc>
          <w:tcPr>
            <w:tcW w:w="509" w:type="pct"/>
            <w:tcBorders>
              <w:top w:val="nil"/>
              <w:left w:val="nil"/>
              <w:bottom w:val="single" w:sz="4" w:space="0" w:color="auto"/>
              <w:right w:val="single" w:sz="4" w:space="0" w:color="auto"/>
            </w:tcBorders>
            <w:noWrap/>
            <w:hideMark/>
          </w:tcPr>
          <w:p w14:paraId="1EE1B29C" w14:textId="77777777" w:rsidR="002072B3" w:rsidRPr="00486267" w:rsidRDefault="002072B3" w:rsidP="00486267">
            <w:pPr>
              <w:jc w:val="right"/>
              <w:rPr>
                <w:color w:val="000000"/>
                <w:sz w:val="20"/>
                <w:szCs w:val="20"/>
                <w:lang w:eastAsia="en-CA"/>
              </w:rPr>
            </w:pPr>
            <w:r>
              <w:rPr>
                <w:color w:val="000000"/>
                <w:sz w:val="20"/>
                <w:szCs w:val="20"/>
              </w:rPr>
              <w:t>0</w:t>
            </w:r>
          </w:p>
        </w:tc>
        <w:tc>
          <w:tcPr>
            <w:tcW w:w="509" w:type="pct"/>
            <w:tcBorders>
              <w:top w:val="nil"/>
              <w:left w:val="nil"/>
              <w:bottom w:val="single" w:sz="4" w:space="0" w:color="auto"/>
              <w:right w:val="single" w:sz="4" w:space="0" w:color="auto"/>
            </w:tcBorders>
            <w:noWrap/>
            <w:hideMark/>
          </w:tcPr>
          <w:p w14:paraId="538DBA40" w14:textId="77777777" w:rsidR="002072B3" w:rsidRPr="00486267" w:rsidRDefault="002072B3" w:rsidP="00486267">
            <w:pPr>
              <w:jc w:val="right"/>
              <w:rPr>
                <w:color w:val="000000"/>
                <w:sz w:val="20"/>
                <w:szCs w:val="20"/>
                <w:lang w:eastAsia="en-CA"/>
              </w:rPr>
            </w:pPr>
            <w:r>
              <w:rPr>
                <w:sz w:val="20"/>
                <w:szCs w:val="20"/>
              </w:rPr>
              <w:t>50 000</w:t>
            </w:r>
          </w:p>
        </w:tc>
        <w:tc>
          <w:tcPr>
            <w:tcW w:w="509" w:type="pct"/>
            <w:tcBorders>
              <w:top w:val="nil"/>
              <w:left w:val="nil"/>
              <w:bottom w:val="single" w:sz="4" w:space="0" w:color="auto"/>
              <w:right w:val="single" w:sz="4" w:space="0" w:color="auto"/>
            </w:tcBorders>
            <w:noWrap/>
            <w:hideMark/>
          </w:tcPr>
          <w:p w14:paraId="7F2F1033" w14:textId="77777777" w:rsidR="002072B3" w:rsidRPr="00486267" w:rsidRDefault="002072B3" w:rsidP="00486267">
            <w:pPr>
              <w:jc w:val="right"/>
              <w:rPr>
                <w:color w:val="000000"/>
                <w:sz w:val="20"/>
                <w:szCs w:val="20"/>
                <w:lang w:eastAsia="en-CA"/>
              </w:rPr>
            </w:pPr>
            <w:r>
              <w:rPr>
                <w:sz w:val="20"/>
                <w:szCs w:val="20"/>
              </w:rPr>
              <w:t>50 000</w:t>
            </w:r>
          </w:p>
        </w:tc>
        <w:tc>
          <w:tcPr>
            <w:tcW w:w="509" w:type="pct"/>
            <w:tcBorders>
              <w:top w:val="nil"/>
              <w:left w:val="nil"/>
              <w:bottom w:val="single" w:sz="4" w:space="0" w:color="auto"/>
              <w:right w:val="single" w:sz="4" w:space="0" w:color="auto"/>
            </w:tcBorders>
            <w:noWrap/>
            <w:hideMark/>
          </w:tcPr>
          <w:p w14:paraId="4B8D6465" w14:textId="77777777" w:rsidR="002072B3" w:rsidRPr="00486267" w:rsidRDefault="002072B3" w:rsidP="00486267">
            <w:pPr>
              <w:jc w:val="right"/>
              <w:rPr>
                <w:color w:val="000000"/>
                <w:sz w:val="20"/>
                <w:szCs w:val="20"/>
                <w:lang w:eastAsia="en-CA"/>
              </w:rPr>
            </w:pPr>
            <w:r>
              <w:rPr>
                <w:sz w:val="20"/>
                <w:szCs w:val="20"/>
              </w:rPr>
              <w:t>50 000</w:t>
            </w:r>
          </w:p>
        </w:tc>
        <w:tc>
          <w:tcPr>
            <w:tcW w:w="558" w:type="pct"/>
            <w:tcBorders>
              <w:top w:val="nil"/>
              <w:left w:val="nil"/>
              <w:bottom w:val="single" w:sz="4" w:space="0" w:color="auto"/>
              <w:right w:val="single" w:sz="4" w:space="0" w:color="auto"/>
            </w:tcBorders>
            <w:noWrap/>
            <w:hideMark/>
          </w:tcPr>
          <w:p w14:paraId="0A5157E1" w14:textId="77777777" w:rsidR="002072B3" w:rsidRPr="00486267" w:rsidRDefault="002072B3" w:rsidP="00486267">
            <w:pPr>
              <w:jc w:val="right"/>
              <w:rPr>
                <w:color w:val="000000"/>
                <w:sz w:val="20"/>
                <w:szCs w:val="20"/>
                <w:lang w:eastAsia="en-CA"/>
              </w:rPr>
            </w:pPr>
            <w:r>
              <w:rPr>
                <w:sz w:val="20"/>
                <w:szCs w:val="20"/>
              </w:rPr>
              <w:t>50 000</w:t>
            </w:r>
          </w:p>
        </w:tc>
        <w:tc>
          <w:tcPr>
            <w:tcW w:w="459" w:type="pct"/>
            <w:tcBorders>
              <w:top w:val="nil"/>
              <w:left w:val="nil"/>
              <w:bottom w:val="single" w:sz="4" w:space="0" w:color="auto"/>
              <w:right w:val="single" w:sz="4" w:space="0" w:color="auto"/>
            </w:tcBorders>
            <w:noWrap/>
            <w:hideMark/>
          </w:tcPr>
          <w:p w14:paraId="6DA4F667" w14:textId="40935D41" w:rsidR="002072B3" w:rsidRPr="00486267" w:rsidRDefault="00DA1DA2" w:rsidP="00486267">
            <w:pPr>
              <w:jc w:val="right"/>
              <w:rPr>
                <w:color w:val="000000"/>
                <w:sz w:val="20"/>
                <w:szCs w:val="20"/>
                <w:lang w:eastAsia="en-CA"/>
              </w:rPr>
            </w:pPr>
            <w:r>
              <w:rPr>
                <w:sz w:val="20"/>
                <w:szCs w:val="20"/>
              </w:rPr>
              <w:t>200 000</w:t>
            </w:r>
          </w:p>
        </w:tc>
      </w:tr>
      <w:tr w:rsidR="00BF228F" w:rsidRPr="00486267" w14:paraId="0371E341" w14:textId="77777777" w:rsidTr="00B468E3">
        <w:trPr>
          <w:trHeight w:val="255"/>
        </w:trPr>
        <w:tc>
          <w:tcPr>
            <w:tcW w:w="929" w:type="pct"/>
            <w:tcBorders>
              <w:top w:val="nil"/>
              <w:left w:val="single" w:sz="4" w:space="0" w:color="auto"/>
              <w:bottom w:val="single" w:sz="4" w:space="0" w:color="auto"/>
              <w:right w:val="single" w:sz="4" w:space="0" w:color="auto"/>
            </w:tcBorders>
            <w:noWrap/>
            <w:hideMark/>
          </w:tcPr>
          <w:p w14:paraId="581EE23F" w14:textId="77777777" w:rsidR="002072B3" w:rsidRPr="00486267" w:rsidRDefault="002072B3" w:rsidP="00486267">
            <w:pPr>
              <w:jc w:val="left"/>
              <w:rPr>
                <w:color w:val="000000"/>
                <w:sz w:val="20"/>
                <w:szCs w:val="20"/>
                <w:lang w:eastAsia="en-CA"/>
              </w:rPr>
            </w:pPr>
            <w:r>
              <w:rPr>
                <w:color w:val="000000"/>
                <w:sz w:val="20"/>
                <w:szCs w:val="20"/>
              </w:rPr>
              <w:t>Sous-total</w:t>
            </w:r>
          </w:p>
        </w:tc>
        <w:tc>
          <w:tcPr>
            <w:tcW w:w="509" w:type="pct"/>
            <w:tcBorders>
              <w:top w:val="nil"/>
              <w:left w:val="nil"/>
              <w:bottom w:val="single" w:sz="4" w:space="0" w:color="auto"/>
              <w:right w:val="single" w:sz="4" w:space="0" w:color="auto"/>
            </w:tcBorders>
            <w:noWrap/>
            <w:hideMark/>
          </w:tcPr>
          <w:p w14:paraId="33DA69F9" w14:textId="77777777" w:rsidR="002072B3" w:rsidRPr="00486267" w:rsidRDefault="002072B3" w:rsidP="00486267">
            <w:pPr>
              <w:jc w:val="right"/>
              <w:rPr>
                <w:color w:val="000000"/>
                <w:sz w:val="20"/>
                <w:szCs w:val="20"/>
                <w:lang w:eastAsia="en-CA"/>
              </w:rPr>
            </w:pPr>
            <w:r>
              <w:rPr>
                <w:color w:val="000000"/>
                <w:sz w:val="20"/>
                <w:szCs w:val="20"/>
              </w:rPr>
              <w:t>344 916</w:t>
            </w:r>
          </w:p>
        </w:tc>
        <w:tc>
          <w:tcPr>
            <w:tcW w:w="509" w:type="pct"/>
            <w:tcBorders>
              <w:top w:val="nil"/>
              <w:left w:val="nil"/>
              <w:bottom w:val="single" w:sz="4" w:space="0" w:color="auto"/>
              <w:right w:val="single" w:sz="4" w:space="0" w:color="auto"/>
            </w:tcBorders>
            <w:noWrap/>
            <w:hideMark/>
          </w:tcPr>
          <w:p w14:paraId="5D203C30" w14:textId="77777777" w:rsidR="002072B3" w:rsidRPr="00486267" w:rsidRDefault="002072B3" w:rsidP="00486267">
            <w:pPr>
              <w:jc w:val="right"/>
              <w:rPr>
                <w:color w:val="000000"/>
                <w:sz w:val="20"/>
                <w:szCs w:val="20"/>
                <w:lang w:eastAsia="en-CA"/>
              </w:rPr>
            </w:pPr>
            <w:r>
              <w:rPr>
                <w:color w:val="000000"/>
                <w:sz w:val="20"/>
                <w:szCs w:val="20"/>
              </w:rPr>
              <w:t>185 923</w:t>
            </w:r>
          </w:p>
        </w:tc>
        <w:tc>
          <w:tcPr>
            <w:tcW w:w="509" w:type="pct"/>
            <w:tcBorders>
              <w:top w:val="nil"/>
              <w:left w:val="nil"/>
              <w:bottom w:val="single" w:sz="4" w:space="0" w:color="auto"/>
              <w:right w:val="single" w:sz="4" w:space="0" w:color="auto"/>
            </w:tcBorders>
            <w:noWrap/>
            <w:hideMark/>
          </w:tcPr>
          <w:p w14:paraId="38B1E943" w14:textId="77777777" w:rsidR="002072B3" w:rsidRPr="00486267" w:rsidRDefault="002072B3" w:rsidP="00486267">
            <w:pPr>
              <w:jc w:val="right"/>
              <w:rPr>
                <w:color w:val="000000"/>
                <w:sz w:val="20"/>
                <w:szCs w:val="20"/>
                <w:lang w:eastAsia="en-CA"/>
              </w:rPr>
            </w:pPr>
            <w:r>
              <w:rPr>
                <w:color w:val="000000"/>
                <w:sz w:val="20"/>
                <w:szCs w:val="20"/>
              </w:rPr>
              <w:t>180 190</w:t>
            </w:r>
          </w:p>
        </w:tc>
        <w:tc>
          <w:tcPr>
            <w:tcW w:w="509" w:type="pct"/>
            <w:tcBorders>
              <w:top w:val="nil"/>
              <w:left w:val="nil"/>
              <w:bottom w:val="single" w:sz="4" w:space="0" w:color="auto"/>
              <w:right w:val="single" w:sz="4" w:space="0" w:color="auto"/>
            </w:tcBorders>
            <w:noWrap/>
            <w:hideMark/>
          </w:tcPr>
          <w:p w14:paraId="1C4E716E" w14:textId="77777777" w:rsidR="002072B3" w:rsidRPr="00486267" w:rsidRDefault="002072B3" w:rsidP="00486267">
            <w:pPr>
              <w:jc w:val="right"/>
              <w:rPr>
                <w:color w:val="000000"/>
                <w:sz w:val="20"/>
                <w:szCs w:val="20"/>
                <w:lang w:eastAsia="en-CA"/>
              </w:rPr>
            </w:pPr>
            <w:r>
              <w:rPr>
                <w:color w:val="000000"/>
                <w:sz w:val="20"/>
                <w:szCs w:val="20"/>
              </w:rPr>
              <w:t>122 040</w:t>
            </w:r>
          </w:p>
        </w:tc>
        <w:tc>
          <w:tcPr>
            <w:tcW w:w="509" w:type="pct"/>
            <w:tcBorders>
              <w:top w:val="nil"/>
              <w:left w:val="nil"/>
              <w:bottom w:val="single" w:sz="4" w:space="0" w:color="auto"/>
              <w:right w:val="single" w:sz="4" w:space="0" w:color="auto"/>
            </w:tcBorders>
            <w:noWrap/>
            <w:hideMark/>
          </w:tcPr>
          <w:p w14:paraId="08624462" w14:textId="77777777" w:rsidR="002072B3" w:rsidRPr="00486267" w:rsidRDefault="002072B3" w:rsidP="00486267">
            <w:pPr>
              <w:jc w:val="right"/>
              <w:rPr>
                <w:color w:val="000000"/>
                <w:sz w:val="20"/>
                <w:szCs w:val="20"/>
                <w:lang w:eastAsia="en-CA"/>
              </w:rPr>
            </w:pPr>
            <w:r>
              <w:rPr>
                <w:color w:val="000000"/>
                <w:sz w:val="20"/>
                <w:szCs w:val="20"/>
              </w:rPr>
              <w:t>106 625</w:t>
            </w:r>
          </w:p>
        </w:tc>
        <w:tc>
          <w:tcPr>
            <w:tcW w:w="509" w:type="pct"/>
            <w:tcBorders>
              <w:top w:val="nil"/>
              <w:left w:val="nil"/>
              <w:bottom w:val="single" w:sz="4" w:space="0" w:color="auto"/>
              <w:right w:val="single" w:sz="4" w:space="0" w:color="auto"/>
            </w:tcBorders>
            <w:noWrap/>
            <w:hideMark/>
          </w:tcPr>
          <w:p w14:paraId="3CE618A7" w14:textId="77777777" w:rsidR="002072B3" w:rsidRPr="00486267" w:rsidRDefault="002072B3" w:rsidP="00486267">
            <w:pPr>
              <w:jc w:val="right"/>
              <w:rPr>
                <w:color w:val="000000"/>
                <w:sz w:val="20"/>
                <w:szCs w:val="20"/>
                <w:lang w:eastAsia="en-CA"/>
              </w:rPr>
            </w:pPr>
            <w:r>
              <w:rPr>
                <w:color w:val="000000"/>
                <w:sz w:val="20"/>
                <w:szCs w:val="20"/>
              </w:rPr>
              <w:t>107 785</w:t>
            </w:r>
          </w:p>
        </w:tc>
        <w:tc>
          <w:tcPr>
            <w:tcW w:w="558" w:type="pct"/>
            <w:tcBorders>
              <w:top w:val="nil"/>
              <w:left w:val="nil"/>
              <w:bottom w:val="single" w:sz="4" w:space="0" w:color="auto"/>
              <w:right w:val="single" w:sz="4" w:space="0" w:color="auto"/>
            </w:tcBorders>
            <w:noWrap/>
            <w:hideMark/>
          </w:tcPr>
          <w:p w14:paraId="624C8938" w14:textId="77777777" w:rsidR="002072B3" w:rsidRPr="00486267" w:rsidRDefault="002072B3" w:rsidP="00486267">
            <w:pPr>
              <w:jc w:val="right"/>
              <w:rPr>
                <w:color w:val="000000"/>
                <w:sz w:val="20"/>
                <w:szCs w:val="20"/>
                <w:lang w:eastAsia="en-CA"/>
              </w:rPr>
            </w:pPr>
            <w:r>
              <w:rPr>
                <w:color w:val="000000"/>
                <w:sz w:val="20"/>
                <w:szCs w:val="20"/>
              </w:rPr>
              <w:t>139 619</w:t>
            </w:r>
          </w:p>
        </w:tc>
        <w:tc>
          <w:tcPr>
            <w:tcW w:w="459" w:type="pct"/>
            <w:tcBorders>
              <w:top w:val="nil"/>
              <w:left w:val="nil"/>
              <w:bottom w:val="single" w:sz="4" w:space="0" w:color="auto"/>
              <w:right w:val="single" w:sz="4" w:space="0" w:color="auto"/>
            </w:tcBorders>
            <w:noWrap/>
            <w:hideMark/>
          </w:tcPr>
          <w:p w14:paraId="2D391F48" w14:textId="77777777" w:rsidR="002072B3" w:rsidRPr="00486267" w:rsidRDefault="002072B3" w:rsidP="00486267">
            <w:pPr>
              <w:jc w:val="right"/>
              <w:rPr>
                <w:color w:val="000000"/>
                <w:sz w:val="20"/>
                <w:szCs w:val="20"/>
                <w:lang w:eastAsia="en-CA"/>
              </w:rPr>
            </w:pPr>
            <w:r>
              <w:rPr>
                <w:color w:val="000000"/>
                <w:sz w:val="20"/>
                <w:szCs w:val="20"/>
              </w:rPr>
              <w:t>1 187 098</w:t>
            </w:r>
          </w:p>
        </w:tc>
      </w:tr>
      <w:tr w:rsidR="006B3658" w:rsidRPr="006B3658" w14:paraId="17234C72" w14:textId="77777777" w:rsidTr="00B468E3">
        <w:trPr>
          <w:trHeight w:val="255"/>
        </w:trPr>
        <w:tc>
          <w:tcPr>
            <w:tcW w:w="4541" w:type="pct"/>
            <w:gridSpan w:val="8"/>
            <w:tcBorders>
              <w:top w:val="nil"/>
              <w:left w:val="single" w:sz="4" w:space="0" w:color="auto"/>
              <w:bottom w:val="single" w:sz="4" w:space="0" w:color="auto"/>
              <w:right w:val="single" w:sz="4" w:space="0" w:color="auto"/>
            </w:tcBorders>
            <w:noWrap/>
            <w:vAlign w:val="bottom"/>
            <w:hideMark/>
          </w:tcPr>
          <w:p w14:paraId="4327DCC6" w14:textId="77777777" w:rsidR="002072B3" w:rsidRPr="00486267" w:rsidRDefault="002072B3" w:rsidP="00D6140E">
            <w:pPr>
              <w:jc w:val="left"/>
              <w:rPr>
                <w:color w:val="000000"/>
                <w:sz w:val="20"/>
                <w:szCs w:val="20"/>
                <w:lang w:eastAsia="en-CA"/>
              </w:rPr>
            </w:pPr>
            <w:r>
              <w:rPr>
                <w:color w:val="000000"/>
                <w:sz w:val="20"/>
                <w:szCs w:val="20"/>
              </w:rPr>
              <w:t>Suivi et vérification du projet </w:t>
            </w:r>
          </w:p>
        </w:tc>
        <w:tc>
          <w:tcPr>
            <w:tcW w:w="459" w:type="pct"/>
            <w:tcBorders>
              <w:top w:val="nil"/>
              <w:left w:val="nil"/>
              <w:bottom w:val="single" w:sz="4" w:space="0" w:color="auto"/>
              <w:right w:val="single" w:sz="4" w:space="0" w:color="auto"/>
            </w:tcBorders>
            <w:noWrap/>
            <w:vAlign w:val="bottom"/>
            <w:hideMark/>
          </w:tcPr>
          <w:p w14:paraId="6B4D7F8E" w14:textId="77777777" w:rsidR="002072B3" w:rsidRPr="00486267" w:rsidRDefault="002072B3" w:rsidP="00D6140E">
            <w:pPr>
              <w:jc w:val="right"/>
              <w:rPr>
                <w:color w:val="000000"/>
                <w:sz w:val="20"/>
                <w:szCs w:val="20"/>
                <w:lang w:eastAsia="en-CA"/>
              </w:rPr>
            </w:pPr>
            <w:r>
              <w:rPr>
                <w:color w:val="000000"/>
                <w:sz w:val="20"/>
                <w:szCs w:val="20"/>
              </w:rPr>
              <w:t>80 000</w:t>
            </w:r>
          </w:p>
        </w:tc>
      </w:tr>
      <w:tr w:rsidR="006B3658" w:rsidRPr="006B3658" w14:paraId="7C99AB92" w14:textId="77777777" w:rsidTr="00B468E3">
        <w:trPr>
          <w:trHeight w:val="255"/>
        </w:trPr>
        <w:tc>
          <w:tcPr>
            <w:tcW w:w="4541" w:type="pct"/>
            <w:gridSpan w:val="8"/>
            <w:tcBorders>
              <w:top w:val="nil"/>
              <w:left w:val="single" w:sz="4" w:space="0" w:color="auto"/>
              <w:bottom w:val="single" w:sz="4" w:space="0" w:color="auto"/>
              <w:right w:val="single" w:sz="4" w:space="0" w:color="auto"/>
            </w:tcBorders>
            <w:noWrap/>
            <w:vAlign w:val="bottom"/>
            <w:hideMark/>
          </w:tcPr>
          <w:p w14:paraId="4FD0C17F" w14:textId="166371AC" w:rsidR="002072B3" w:rsidRPr="00486267" w:rsidRDefault="002072B3" w:rsidP="00D6140E">
            <w:pPr>
              <w:jc w:val="left"/>
              <w:rPr>
                <w:color w:val="000000"/>
                <w:sz w:val="20"/>
                <w:szCs w:val="20"/>
                <w:lang w:eastAsia="en-CA"/>
              </w:rPr>
            </w:pPr>
            <w:r>
              <w:rPr>
                <w:color w:val="000000"/>
                <w:sz w:val="20"/>
                <w:szCs w:val="20"/>
              </w:rPr>
              <w:t>Soutien supplémentaire au laboratoire CETIME</w:t>
            </w:r>
          </w:p>
        </w:tc>
        <w:tc>
          <w:tcPr>
            <w:tcW w:w="459" w:type="pct"/>
            <w:tcBorders>
              <w:top w:val="nil"/>
              <w:left w:val="nil"/>
              <w:bottom w:val="single" w:sz="4" w:space="0" w:color="auto"/>
              <w:right w:val="single" w:sz="4" w:space="0" w:color="auto"/>
            </w:tcBorders>
            <w:noWrap/>
            <w:vAlign w:val="bottom"/>
            <w:hideMark/>
          </w:tcPr>
          <w:p w14:paraId="169C1336" w14:textId="77777777" w:rsidR="002072B3" w:rsidRPr="00486267" w:rsidRDefault="002072B3" w:rsidP="00D6140E">
            <w:pPr>
              <w:jc w:val="right"/>
              <w:rPr>
                <w:color w:val="000000"/>
                <w:sz w:val="20"/>
                <w:szCs w:val="20"/>
                <w:lang w:eastAsia="en-CA"/>
              </w:rPr>
            </w:pPr>
            <w:r>
              <w:rPr>
                <w:color w:val="000000"/>
                <w:sz w:val="20"/>
                <w:szCs w:val="20"/>
              </w:rPr>
              <w:t>80 262</w:t>
            </w:r>
          </w:p>
        </w:tc>
      </w:tr>
      <w:tr w:rsidR="006B3658" w:rsidRPr="006B3658" w14:paraId="6D139514" w14:textId="77777777" w:rsidTr="00B468E3">
        <w:trPr>
          <w:trHeight w:val="255"/>
        </w:trPr>
        <w:tc>
          <w:tcPr>
            <w:tcW w:w="4541" w:type="pct"/>
            <w:gridSpan w:val="8"/>
            <w:tcBorders>
              <w:top w:val="nil"/>
              <w:left w:val="single" w:sz="4" w:space="0" w:color="auto"/>
              <w:bottom w:val="single" w:sz="4" w:space="0" w:color="auto"/>
              <w:right w:val="single" w:sz="4" w:space="0" w:color="auto"/>
            </w:tcBorders>
            <w:noWrap/>
            <w:vAlign w:val="bottom"/>
            <w:hideMark/>
          </w:tcPr>
          <w:p w14:paraId="00F71D4F" w14:textId="55A0FA54" w:rsidR="002072B3" w:rsidRPr="00486267" w:rsidRDefault="002072B3" w:rsidP="00D6140E">
            <w:pPr>
              <w:jc w:val="left"/>
              <w:rPr>
                <w:b/>
                <w:bCs/>
                <w:color w:val="000000"/>
                <w:sz w:val="20"/>
                <w:szCs w:val="20"/>
                <w:lang w:eastAsia="en-CA"/>
              </w:rPr>
            </w:pPr>
            <w:r>
              <w:rPr>
                <w:b/>
                <w:bCs/>
                <w:color w:val="000000"/>
                <w:sz w:val="20"/>
                <w:szCs w:val="20"/>
              </w:rPr>
              <w:t>Total</w:t>
            </w:r>
          </w:p>
        </w:tc>
        <w:tc>
          <w:tcPr>
            <w:tcW w:w="459" w:type="pct"/>
            <w:tcBorders>
              <w:top w:val="nil"/>
              <w:left w:val="nil"/>
              <w:bottom w:val="single" w:sz="4" w:space="0" w:color="auto"/>
              <w:right w:val="single" w:sz="4" w:space="0" w:color="auto"/>
            </w:tcBorders>
            <w:noWrap/>
            <w:vAlign w:val="bottom"/>
            <w:hideMark/>
          </w:tcPr>
          <w:p w14:paraId="232C144D" w14:textId="77777777" w:rsidR="002072B3" w:rsidRPr="00486267" w:rsidRDefault="002072B3" w:rsidP="00D6140E">
            <w:pPr>
              <w:jc w:val="right"/>
              <w:rPr>
                <w:b/>
                <w:bCs/>
                <w:color w:val="000000"/>
                <w:sz w:val="20"/>
                <w:szCs w:val="20"/>
                <w:lang w:eastAsia="en-CA"/>
              </w:rPr>
            </w:pPr>
            <w:r>
              <w:rPr>
                <w:b/>
                <w:bCs/>
                <w:color w:val="000000"/>
                <w:sz w:val="20"/>
                <w:szCs w:val="20"/>
              </w:rPr>
              <w:t>1 347 360</w:t>
            </w:r>
          </w:p>
        </w:tc>
      </w:tr>
    </w:tbl>
    <w:p w14:paraId="234B1412" w14:textId="77777777" w:rsidR="002072B3" w:rsidRPr="008D136D" w:rsidRDefault="002072B3" w:rsidP="002072B3">
      <w:pPr>
        <w:rPr>
          <w:sz w:val="18"/>
          <w:szCs w:val="18"/>
        </w:rPr>
      </w:pPr>
      <w:r>
        <w:rPr>
          <w:sz w:val="18"/>
          <w:szCs w:val="18"/>
        </w:rPr>
        <w:t>* Associé à la fabrication de nécessaires en pièces détachées complets (NED).</w:t>
      </w:r>
    </w:p>
    <w:p w14:paraId="5B581985" w14:textId="77777777" w:rsidR="0012000E" w:rsidRPr="00D44EE1" w:rsidRDefault="0012000E" w:rsidP="002072B3">
      <w:pPr>
        <w:pStyle w:val="Heading2"/>
        <w:numPr>
          <w:ilvl w:val="0"/>
          <w:numId w:val="0"/>
        </w:numPr>
        <w:ind w:left="1440"/>
      </w:pPr>
    </w:p>
    <w:p w14:paraId="5D2218E2" w14:textId="77777777" w:rsidR="00E9063C" w:rsidRPr="00E9063C" w:rsidRDefault="00E9063C" w:rsidP="0088024B">
      <w:pPr>
        <w:spacing w:before="240" w:after="240"/>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E9063C" w:rsidRPr="00E9063C" w14:paraId="03B17CED" w14:textId="77777777" w:rsidTr="00C6162F">
        <w:trPr>
          <w:jc w:val="center"/>
        </w:trPr>
        <w:tc>
          <w:tcPr>
            <w:tcW w:w="1871" w:type="dxa"/>
          </w:tcPr>
          <w:p w14:paraId="77980618" w14:textId="77777777" w:rsidR="00E9063C" w:rsidRPr="00E9063C" w:rsidRDefault="00E9063C" w:rsidP="00E9063C"/>
        </w:tc>
        <w:tc>
          <w:tcPr>
            <w:tcW w:w="1872" w:type="dxa"/>
          </w:tcPr>
          <w:p w14:paraId="1E2EB3F7" w14:textId="77777777" w:rsidR="00E9063C" w:rsidRPr="00E9063C" w:rsidRDefault="00E9063C" w:rsidP="00E9063C"/>
        </w:tc>
        <w:tc>
          <w:tcPr>
            <w:tcW w:w="1872" w:type="dxa"/>
            <w:tcBorders>
              <w:bottom w:val="single" w:sz="4" w:space="0" w:color="auto"/>
            </w:tcBorders>
          </w:tcPr>
          <w:p w14:paraId="00BADE48" w14:textId="77777777" w:rsidR="00E9063C" w:rsidRPr="00E9063C" w:rsidRDefault="00E9063C" w:rsidP="00E9063C"/>
        </w:tc>
        <w:tc>
          <w:tcPr>
            <w:tcW w:w="1872" w:type="dxa"/>
          </w:tcPr>
          <w:p w14:paraId="1BEE1194" w14:textId="77777777" w:rsidR="00E9063C" w:rsidRPr="00E9063C" w:rsidRDefault="00E9063C" w:rsidP="00E9063C"/>
        </w:tc>
        <w:tc>
          <w:tcPr>
            <w:tcW w:w="1873" w:type="dxa"/>
          </w:tcPr>
          <w:p w14:paraId="17250EB2" w14:textId="77777777" w:rsidR="00E9063C" w:rsidRPr="00E9063C" w:rsidRDefault="00E9063C" w:rsidP="00E9063C"/>
        </w:tc>
      </w:tr>
    </w:tbl>
    <w:p w14:paraId="7B7FB518" w14:textId="77777777" w:rsidR="008C5738" w:rsidRDefault="008C5738" w:rsidP="0088024B">
      <w:pPr>
        <w:pStyle w:val="StyleHeader4Para4Left0Firstline0"/>
        <w:numPr>
          <w:ilvl w:val="0"/>
          <w:numId w:val="0"/>
        </w:numPr>
        <w:jc w:val="center"/>
        <w:rPr>
          <w:sz w:val="22"/>
        </w:rPr>
      </w:pPr>
    </w:p>
    <w:p w14:paraId="4D6294A3" w14:textId="77777777" w:rsidR="008245A4" w:rsidRPr="008245A4" w:rsidRDefault="008245A4" w:rsidP="008245A4"/>
    <w:p w14:paraId="7688C159" w14:textId="77777777" w:rsidR="008245A4" w:rsidRPr="008245A4" w:rsidRDefault="008245A4" w:rsidP="008245A4"/>
    <w:p w14:paraId="635BC034" w14:textId="77777777" w:rsidR="008245A4" w:rsidRPr="008245A4" w:rsidRDefault="008245A4" w:rsidP="008245A4"/>
    <w:p w14:paraId="01F8298A" w14:textId="77777777" w:rsidR="008245A4" w:rsidRPr="008245A4" w:rsidRDefault="008245A4" w:rsidP="008245A4"/>
    <w:p w14:paraId="45544E80" w14:textId="77777777" w:rsidR="008245A4" w:rsidRPr="008245A4" w:rsidRDefault="008245A4" w:rsidP="008245A4"/>
    <w:p w14:paraId="145830EE" w14:textId="77777777" w:rsidR="008245A4" w:rsidRPr="008245A4" w:rsidRDefault="008245A4" w:rsidP="008245A4"/>
    <w:p w14:paraId="0E2A22C5" w14:textId="77777777" w:rsidR="008245A4" w:rsidRPr="008245A4" w:rsidRDefault="008245A4" w:rsidP="008245A4"/>
    <w:p w14:paraId="548B8FDE" w14:textId="77777777" w:rsidR="008245A4" w:rsidRPr="008245A4" w:rsidRDefault="008245A4" w:rsidP="008245A4"/>
    <w:p w14:paraId="7010134F" w14:textId="77777777" w:rsidR="008245A4" w:rsidRPr="008245A4" w:rsidRDefault="008245A4" w:rsidP="008245A4"/>
    <w:p w14:paraId="2882B0FB" w14:textId="77777777" w:rsidR="008245A4" w:rsidRPr="008245A4" w:rsidRDefault="008245A4" w:rsidP="008245A4"/>
    <w:p w14:paraId="10F2ECE3" w14:textId="77777777" w:rsidR="008245A4" w:rsidRPr="008245A4" w:rsidRDefault="008245A4" w:rsidP="008245A4"/>
    <w:p w14:paraId="24B81CD2" w14:textId="77777777" w:rsidR="008245A4" w:rsidRPr="008245A4" w:rsidRDefault="008245A4" w:rsidP="008245A4"/>
    <w:p w14:paraId="3080CCF8" w14:textId="77777777" w:rsidR="008245A4" w:rsidRDefault="008245A4" w:rsidP="008245A4"/>
    <w:p w14:paraId="4498F2E4" w14:textId="77777777" w:rsidR="008245A4" w:rsidRPr="008245A4" w:rsidRDefault="008245A4" w:rsidP="008245A4">
      <w:pPr>
        <w:jc w:val="center"/>
      </w:pPr>
    </w:p>
    <w:sectPr w:rsidR="008245A4" w:rsidRPr="008245A4" w:rsidSect="00CA2FF4">
      <w:headerReference w:type="even" r:id="rId20"/>
      <w:footerReference w:type="even" r:id="rId21"/>
      <w:headerReference w:type="first" r:id="rId22"/>
      <w:footerReference w:type="first" r:id="rId23"/>
      <w:pgSz w:w="15840" w:h="12240" w:orient="landscape"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D4E6A" w14:textId="77777777" w:rsidR="00AE1F4E" w:rsidRDefault="00AE1F4E" w:rsidP="004A504B">
      <w:r>
        <w:separator/>
      </w:r>
    </w:p>
  </w:endnote>
  <w:endnote w:type="continuationSeparator" w:id="0">
    <w:p w14:paraId="3CE1AAD2" w14:textId="77777777" w:rsidR="00AE1F4E" w:rsidRDefault="00AE1F4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29A9734" w:rsidR="00DC6A10" w:rsidRPr="0033525D" w:rsidRDefault="00BC2495" w:rsidP="00BD6810">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6B888D1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9DFF2" w14:textId="77777777" w:rsidR="002072B3" w:rsidRPr="0033525D" w:rsidRDefault="002072B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870104"/>
      <w:docPartObj>
        <w:docPartGallery w:val="Page Numbers (Bottom of Page)"/>
        <w:docPartUnique/>
      </w:docPartObj>
    </w:sdtPr>
    <w:sdtEndPr>
      <w:rPr>
        <w:noProof/>
      </w:rPr>
    </w:sdtEndPr>
    <w:sdtContent>
      <w:p w14:paraId="76512194" w14:textId="078DEE60" w:rsidR="006E7325" w:rsidRDefault="006E73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026A" w14:textId="77777777" w:rsidR="00AE1F4E" w:rsidRDefault="00AE1F4E" w:rsidP="004A504B">
      <w:r>
        <w:separator/>
      </w:r>
    </w:p>
  </w:footnote>
  <w:footnote w:type="continuationSeparator" w:id="0">
    <w:p w14:paraId="295DC7C2" w14:textId="77777777" w:rsidR="00AE1F4E" w:rsidRDefault="00AE1F4E" w:rsidP="004A504B">
      <w:r>
        <w:continuationSeparator/>
      </w:r>
    </w:p>
  </w:footnote>
  <w:footnote w:id="1">
    <w:p w14:paraId="6F1C5D9D" w14:textId="580FCE40" w:rsidR="0079781A" w:rsidRPr="00763771" w:rsidRDefault="0079781A" w:rsidP="00E9063C">
      <w:pPr>
        <w:pStyle w:val="FootnoteText"/>
        <w:spacing w:after="120"/>
        <w:rPr>
          <w:lang w:val="fr-FR"/>
        </w:rPr>
      </w:pPr>
      <w:r>
        <w:rPr>
          <w:rStyle w:val="FootnoteReference"/>
        </w:rPr>
        <w:footnoteRef/>
      </w:r>
      <w:r>
        <w:t xml:space="preserve"> UNEP/OzL.Pro/ExCom/97/1</w:t>
      </w:r>
    </w:p>
  </w:footnote>
  <w:footnote w:id="2">
    <w:p w14:paraId="1523523F" w14:textId="48387E21" w:rsidR="00E9063C" w:rsidRPr="00FE3307" w:rsidRDefault="00E9063C" w:rsidP="00E9063C">
      <w:pPr>
        <w:pStyle w:val="FootnoteText"/>
      </w:pPr>
      <w:r>
        <w:rPr>
          <w:rStyle w:val="FootnoteReference"/>
        </w:rPr>
        <w:footnoteRef/>
      </w:r>
      <w:r>
        <w:t xml:space="preserve"> </w:t>
      </w:r>
      <w:bookmarkStart w:id="0" w:name="_Hlk210313174"/>
      <w:r>
        <w:t>Selon la lettre du 15 septembre 2025 de l'Agence nationale de protection de l'environnement de la Tunisie à l'ONUDI.</w:t>
      </w:r>
      <w:bookmarkEnd w:id="0"/>
    </w:p>
  </w:footnote>
  <w:footnote w:id="3">
    <w:p w14:paraId="3DABAD54" w14:textId="0A280C13" w:rsidR="001B0F28" w:rsidRPr="00763771" w:rsidRDefault="001B0F28">
      <w:pPr>
        <w:pStyle w:val="FootnoteText"/>
        <w:rPr>
          <w:lang w:val="fr-FR"/>
        </w:rPr>
      </w:pPr>
      <w:r>
        <w:rPr>
          <w:rStyle w:val="FootnoteReference"/>
        </w:rPr>
        <w:footnoteRef/>
      </w:r>
      <w:r>
        <w:t xml:space="preserve"> Élimination de 5,78 tonnes PAO (52,5 tonnes métriques) de HCFC-141b dans les polyols pré-mélangés, comme indiqué précédemment au paragraphe 11 du document UNEP/OzL.Pro/ExCom/92/40.</w:t>
      </w:r>
    </w:p>
  </w:footnote>
  <w:footnote w:id="4">
    <w:p w14:paraId="385D409E" w14:textId="6100C1FF" w:rsidR="00AA1CE5" w:rsidRPr="00AA1CE5" w:rsidRDefault="00AA1CE5">
      <w:pPr>
        <w:pStyle w:val="FootnoteText"/>
      </w:pPr>
      <w:r>
        <w:rPr>
          <w:rStyle w:val="FootnoteReference"/>
        </w:rPr>
        <w:footnoteRef/>
      </w:r>
      <w:r>
        <w:t xml:space="preserve"> La base de données d'inventaire des équipements de réfrigération et climatisation sera finalisée d'ici au 31 décembre 2025.</w:t>
      </w:r>
    </w:p>
  </w:footnote>
  <w:footnote w:id="5">
    <w:p w14:paraId="5402583E" w14:textId="43CF4F1E" w:rsidR="00F22296" w:rsidRPr="00F22296" w:rsidRDefault="00F22296">
      <w:pPr>
        <w:pStyle w:val="FootnoteText"/>
      </w:pPr>
      <w:r>
        <w:rPr>
          <w:rStyle w:val="FootnoteReference"/>
        </w:rPr>
        <w:footnoteRef/>
      </w:r>
      <w:r>
        <w:t xml:space="preserve"> Cet ensemble comprenait des modules de récupération et de recyclage des frigorigènes, des pompes à vide, des ensembles de manomètres multiples, des détecteurs de fuites, des balances électroniques, des thermomètres, des manomètres, des outils de coupe et d'évasement, des cintreuses de tubes, des équipements de sécurité tels que des gants et des lunettes de protection, des outils électriques de base et des multimètres, ainsi que des tableaux de formation avec des accessoires pour les exercices pratiques. </w:t>
      </w:r>
    </w:p>
  </w:footnote>
  <w:footnote w:id="6">
    <w:p w14:paraId="39347EA4" w14:textId="77777777" w:rsidR="00D35F78" w:rsidRPr="00571E5A" w:rsidRDefault="00D35F78" w:rsidP="00D35F78">
      <w:pPr>
        <w:pStyle w:val="FootnoteText"/>
      </w:pPr>
      <w:r>
        <w:rPr>
          <w:rStyle w:val="FootnoteReference"/>
        </w:rPr>
        <w:footnoteRef/>
      </w:r>
      <w:r>
        <w:t xml:space="preserve"> Chaque ensemble d'outils comprendra deux manifolds numériques, deux unités de récupération, deux pompes à vide, deux vacuomètres numériques, quatre bonbonnes, deux balances électroniques, un détecteur électronique de fuites pour les HCFC et les HFC et un détecteur électronique de fuites pour les hydrocarbures.</w:t>
      </w:r>
      <w:r>
        <w:rPr>
          <w:color w:val="000000" w:themeColor="text1"/>
        </w:rPr>
        <w:t xml:space="preserve"> </w:t>
      </w:r>
    </w:p>
  </w:footnote>
  <w:footnote w:id="7">
    <w:p w14:paraId="76E00E34" w14:textId="0268897F" w:rsidR="00347707" w:rsidRDefault="00347707" w:rsidP="00347707">
      <w:pPr>
        <w:pStyle w:val="FootnoteText"/>
      </w:pPr>
      <w:r>
        <w:rPr>
          <w:rStyle w:val="FootnoteReference"/>
        </w:rPr>
        <w:footnoteRef/>
      </w:r>
      <w:r>
        <w:t xml:space="preserve"> Y compris la soupape de sûreté et les tuyaux de refroidissement pour le compresseur, le séparateur de gouttes, les pulvérisateurs, la motopompe de pulvérisation pour le condenseur, le module de détection d'ammoniac et l'armoire électrique, ainsi que la charge d'ammoniac (NH</w:t>
      </w:r>
      <w:r>
        <w:rPr>
          <w:vertAlign w:val="subscript"/>
        </w:rPr>
        <w:t>3</w:t>
      </w:r>
      <w:r>
        <w:t xml:space="preserve">). </w:t>
      </w:r>
    </w:p>
  </w:footnote>
  <w:footnote w:id="8">
    <w:p w14:paraId="41AD70C8" w14:textId="1397F247" w:rsidR="008460E8" w:rsidRPr="00763771" w:rsidRDefault="008460E8">
      <w:pPr>
        <w:pStyle w:val="FootnoteText"/>
        <w:rPr>
          <w:lang w:val="fr-FR"/>
        </w:rPr>
      </w:pPr>
      <w:r>
        <w:rPr>
          <w:rStyle w:val="FootnoteReference"/>
        </w:rPr>
        <w:footnoteRef/>
      </w:r>
      <w:r>
        <w:t xml:space="preserve"> L'équipement des deux centres de régénération comprend 25 unités de récupération et de recyclage, 50 bonbonnes de différentes tailles, 25 détecteurs de fuites numériques, 20 manifolds numériques, quatre identifiants de frigorigènes, des pompes à vide, des balances et des outils de base. </w:t>
      </w:r>
    </w:p>
  </w:footnote>
  <w:footnote w:id="9">
    <w:p w14:paraId="71344F5B" w14:textId="106A3392" w:rsidR="00481225" w:rsidRPr="00481225" w:rsidRDefault="00481225">
      <w:pPr>
        <w:pStyle w:val="FootnoteText"/>
      </w:pPr>
      <w:r>
        <w:rPr>
          <w:rStyle w:val="FootnoteReference"/>
        </w:rPr>
        <w:footnoteRef/>
      </w:r>
      <w:r>
        <w:t xml:space="preserve"> UNEP/OzL.Pro/ExCom/97/32</w:t>
      </w:r>
    </w:p>
  </w:footnote>
  <w:footnote w:id="10">
    <w:p w14:paraId="68CEAF75" w14:textId="5B725B41" w:rsidR="000004F0" w:rsidRDefault="000004F0">
      <w:pPr>
        <w:pStyle w:val="FootnoteText"/>
      </w:pPr>
      <w:r>
        <w:rPr>
          <w:rStyle w:val="FootnoteReference"/>
        </w:rPr>
        <w:footnoteRef/>
      </w:r>
      <w:r>
        <w:t xml:space="preserve"> Inviter le Gouvernement tunisien, s'il le souhaite, à soumettre un projet pilote supplémentaire visant à améliorer le rendement énergétique des climatiseurs split à base de HFC-32 et des distributeurs d'eau froide à base de R-600a fabriqués par les entreprises de fabrication qui ont été converties lors de la phase I du plan national de mise en œuvre de l'Amendement de Kigali relatif aux HFC, étant entendu que le projet pilote supplémentaire doit être soumis au plus tard à la 96</w:t>
      </w:r>
      <w:r>
        <w:rPr>
          <w:vertAlign w:val="superscript"/>
        </w:rPr>
        <w:t>e</w:t>
      </w:r>
      <w:r>
        <w:t> réunion.</w:t>
      </w:r>
    </w:p>
  </w:footnote>
  <w:footnote w:id="11">
    <w:p w14:paraId="5DD7F415" w14:textId="795DAAE5" w:rsidR="0012000E" w:rsidRDefault="0012000E" w:rsidP="0012000E">
      <w:pPr>
        <w:pStyle w:val="FootnoteText"/>
      </w:pPr>
      <w:r>
        <w:rPr>
          <w:rStyle w:val="FootnoteReference"/>
        </w:rPr>
        <w:footnoteRef/>
      </w:r>
      <w:r>
        <w:t xml:space="preserve"> Selon la lettre du 25 août 2025 de l'Agence nationale de protection de l'environnement de la Tunisie à l'ONUDI.</w:t>
      </w:r>
    </w:p>
  </w:footnote>
  <w:footnote w:id="12">
    <w:p w14:paraId="40BBB1A1" w14:textId="77777777" w:rsidR="0012000E" w:rsidRPr="00763771" w:rsidRDefault="0012000E" w:rsidP="0012000E">
      <w:pPr>
        <w:pStyle w:val="FootnoteText"/>
        <w:rPr>
          <w:lang w:val="fr-FR"/>
        </w:rPr>
      </w:pPr>
      <w:r>
        <w:rPr>
          <w:rStyle w:val="FootnoteReference"/>
        </w:rPr>
        <w:footnoteRef/>
      </w:r>
      <w:r>
        <w:t xml:space="preserve"> UNEP/OzL.Pro/ExCom/94/56</w:t>
      </w:r>
    </w:p>
  </w:footnote>
  <w:footnote w:id="13">
    <w:p w14:paraId="33CF2656" w14:textId="1DBB79BF" w:rsidR="008826CD" w:rsidRDefault="008826CD">
      <w:pPr>
        <w:pStyle w:val="FootnoteText"/>
      </w:pPr>
      <w:r>
        <w:rPr>
          <w:rStyle w:val="FootnoteReference"/>
        </w:rPr>
        <w:footnoteRef/>
      </w:r>
      <w:r>
        <w:t xml:space="preserve"> Sept entreprises étant soutenues par le plan de gestion de l'élimination des HCFC, tandis qu'une entreprise procéderait à la conversion en utilisant ses propres ressources.</w:t>
      </w:r>
    </w:p>
  </w:footnote>
  <w:footnote w:id="14">
    <w:p w14:paraId="7B9A4BD2" w14:textId="0A53BF90" w:rsidR="0012000E" w:rsidRDefault="0012000E" w:rsidP="0012000E">
      <w:pPr>
        <w:pStyle w:val="FootnoteText"/>
      </w:pPr>
      <w:r>
        <w:rPr>
          <w:rStyle w:val="FootnoteReference"/>
        </w:rPr>
        <w:footnoteRef/>
      </w:r>
      <w:r>
        <w:t xml:space="preserve"> Les dispositions concernaient : les réfrigérateurs, les congélateurs et les appareils combinés (réfrigérateurs-congélateurs) ; les climatiseurs individuels d'une puissance frigorifique inférieure à 12 kW ; les appareils de production et de stockage d'eau chaude ; les lampes et les équipements d'éclairage ; les machines à laver, les sèche-linge et les appareils combinés (machine à laver-sèche-linge) ; les lave-vaisselle ; les fours ; les fers à repasser ; et les équipements audiovisuels.</w:t>
      </w:r>
    </w:p>
  </w:footnote>
  <w:footnote w:id="15">
    <w:p w14:paraId="695BAB6D" w14:textId="77777777" w:rsidR="0012000E" w:rsidRPr="00763771" w:rsidRDefault="0012000E" w:rsidP="0012000E">
      <w:pPr>
        <w:pStyle w:val="FootnoteText"/>
        <w:rPr>
          <w:lang w:val="fr-FR"/>
        </w:rPr>
      </w:pPr>
      <w:r>
        <w:rPr>
          <w:rStyle w:val="FootnoteReference"/>
        </w:rPr>
        <w:footnoteRef/>
      </w:r>
      <w:r>
        <w:t xml:space="preserve"> À la 94</w:t>
      </w:r>
      <w:r>
        <w:rPr>
          <w:vertAlign w:val="superscript"/>
        </w:rPr>
        <w:t>e</w:t>
      </w:r>
      <w:r>
        <w:t xml:space="preserve"> réunion, l'ONUDI avait indiqué par inadvertance qu'il n'existait aucune MEPS relative aux appareils et systèmes de réfrigération et climatisation en Tunisie. Par conséquent, l'aide fournie dans le cadre de ce projet ne vise pas à élaborer des MEPS, mais à mettre à jour les MEPS existantes pour les équipements de réfrigération et de climatisation. </w:t>
      </w:r>
    </w:p>
  </w:footnote>
  <w:footnote w:id="16">
    <w:p w14:paraId="7CCC636A" w14:textId="438E443F" w:rsidR="0012000E" w:rsidRPr="00763771" w:rsidRDefault="0012000E" w:rsidP="0012000E">
      <w:pPr>
        <w:pStyle w:val="FootnoteText"/>
        <w:rPr>
          <w:lang w:val="fr-FR"/>
        </w:rPr>
      </w:pPr>
      <w:r>
        <w:rPr>
          <w:rStyle w:val="FootnoteReference"/>
        </w:rPr>
        <w:footnoteRef/>
      </w:r>
      <w:r>
        <w:t xml:space="preserve"> Seuls les climatiseurs de classe 1 (3,38 ≤ EER ≤ 3,60), classe 1+ (3,60 &lt; EER ≤ 3,82), classe 1++ (3,82 &lt; EER ≤ 4,26) ou classe 1+++ (4,26 &lt; EER) seraient autorisés sur le marché.</w:t>
      </w:r>
    </w:p>
  </w:footnote>
  <w:footnote w:id="17">
    <w:p w14:paraId="480ECC26" w14:textId="77777777" w:rsidR="0012000E" w:rsidRPr="00763771" w:rsidRDefault="0012000E" w:rsidP="0012000E">
      <w:pPr>
        <w:pStyle w:val="FootnoteText"/>
        <w:rPr>
          <w:lang w:val="fr-FR"/>
        </w:rPr>
      </w:pPr>
      <w:r>
        <w:rPr>
          <w:rStyle w:val="FootnoteReference"/>
        </w:rPr>
        <w:footnoteRef/>
      </w:r>
      <w:r>
        <w:t xml:space="preserve"> Condor Tunisie, dont la chaîne de fabrication de climatiseurs a été mise en place en 2023.</w:t>
      </w:r>
    </w:p>
  </w:footnote>
  <w:footnote w:id="18">
    <w:p w14:paraId="385828CB" w14:textId="36FC4CDD" w:rsidR="00D90BC0" w:rsidRDefault="00D90BC0">
      <w:pPr>
        <w:pStyle w:val="FootnoteText"/>
      </w:pPr>
      <w:r>
        <w:rPr>
          <w:rStyle w:val="FootnoteReference"/>
        </w:rPr>
        <w:footnoteRef/>
      </w:r>
      <w:r>
        <w:t xml:space="preserve"> Unités thermiques britanniques par heure</w:t>
      </w:r>
      <w:r w:rsidR="00DB5522">
        <w:t>.</w:t>
      </w:r>
    </w:p>
  </w:footnote>
  <w:footnote w:id="19">
    <w:p w14:paraId="7ABAA458" w14:textId="77777777" w:rsidR="00805D16" w:rsidRPr="00763771" w:rsidRDefault="00805D16" w:rsidP="0012000E">
      <w:pPr>
        <w:pStyle w:val="FootnoteText"/>
        <w:rPr>
          <w:lang w:val="fr-FR"/>
        </w:rPr>
      </w:pPr>
      <w:r>
        <w:rPr>
          <w:rStyle w:val="FootnoteReference"/>
        </w:rPr>
        <w:footnoteRef/>
      </w:r>
      <w:r>
        <w:t xml:space="preserve"> La norme MEPS actuellement en vigueur est EER = 3,0.</w:t>
      </w:r>
    </w:p>
  </w:footnote>
  <w:footnote w:id="20">
    <w:p w14:paraId="38C9D92A" w14:textId="7E00F236" w:rsidR="005911DF" w:rsidRPr="005911DF" w:rsidRDefault="005911DF">
      <w:pPr>
        <w:pStyle w:val="FootnoteText"/>
      </w:pPr>
      <w:r>
        <w:rPr>
          <w:rStyle w:val="FootnoteReference"/>
        </w:rPr>
        <w:footnoteRef/>
      </w:r>
      <w:r>
        <w:t xml:space="preserve"> ATEX (Atmosphères explosibles), qui fait référence à un ensemble de directives de l'Union européenne réglementant les équipements et les systèmes de protection destinés à être utilisés dans des environnements présentant un risque d'explosion dû à la présence de gaz, vapeurs, brouillards ou poussières inflammables.</w:t>
      </w:r>
    </w:p>
  </w:footnote>
  <w:footnote w:id="21">
    <w:p w14:paraId="653FBC4D" w14:textId="77777777" w:rsidR="0012000E" w:rsidRPr="00763771" w:rsidRDefault="0012000E" w:rsidP="0012000E">
      <w:pPr>
        <w:pStyle w:val="FootnoteText"/>
      </w:pPr>
      <w:r>
        <w:rPr>
          <w:rStyle w:val="FootnoteReference"/>
        </w:rPr>
        <w:footnoteRef/>
      </w:r>
      <w:r>
        <w:t xml:space="preserve"> </w:t>
      </w:r>
      <w:hyperlink r:id="rId1" w:history="1">
        <w:r>
          <w:rPr>
            <w:rStyle w:val="Hyperlink"/>
          </w:rPr>
          <w:t>https://united4efficiency.org/wp-content/uploads/2021/11/U4E_AC_Model-Regulation_EN_2021-11-08.pdf</w:t>
        </w:r>
      </w:hyperlink>
      <w:r>
        <w:t xml:space="preserve"> </w:t>
      </w:r>
    </w:p>
  </w:footnote>
  <w:footnote w:id="22">
    <w:p w14:paraId="5927CB62" w14:textId="30A665FA" w:rsidR="0012000E" w:rsidRPr="00763771" w:rsidRDefault="0012000E" w:rsidP="0012000E">
      <w:pPr>
        <w:pStyle w:val="FootnoteText"/>
        <w:rPr>
          <w:lang w:val="fr-FR"/>
        </w:rPr>
      </w:pPr>
      <w:r>
        <w:rPr>
          <w:rStyle w:val="FootnoteReference"/>
        </w:rPr>
        <w:footnoteRef/>
      </w:r>
      <w:r>
        <w:t xml:space="preserve"> Selon le tableau 19 des réglementations types, la Tunisie appartient au groupe climatique primaire 1 et aux groupes secondaires 2A*, 2B, 3A et 3B, ce qui signifie un CSPF d'au moins 5,60 pour les climatiseurs d'une capacité inférieure à 4,5 kW (environ 15 000 BTU/h) et d'au moins 4,80 pour les climatiseurs d'une capacité comprise entre 4,5 kW et moins de 9,5 kW (environ 32 400 BTU/h) pour le groupe 2A. Le CSPF le plus bas concerne la catégorie 2B, ce qui signifie un CSPF d'au moins 4,90 pour les climatiseurs d'une puissance inférieure à 4,5 kW (environ 15 000 BTU/h) et d'au moins 4,30 pour les climatiseurs d'une puissance comprise entre 4,5 kW et moins de 9,5 kW.</w:t>
      </w:r>
    </w:p>
  </w:footnote>
  <w:footnote w:id="23">
    <w:p w14:paraId="070F80C8" w14:textId="4C8258A3" w:rsidR="00F4672D" w:rsidRDefault="00F4672D">
      <w:pPr>
        <w:pStyle w:val="FootnoteText"/>
      </w:pPr>
      <w:r>
        <w:rPr>
          <w:rStyle w:val="FootnoteReference"/>
        </w:rPr>
        <w:footnoteRef/>
      </w:r>
      <w:r>
        <w:t xml:space="preserve"> Le financement lié au rendement énergétique des entreprises ayant une capacité de production de HFC établie avant le 1</w:t>
      </w:r>
      <w:r>
        <w:rPr>
          <w:vertAlign w:val="superscript"/>
        </w:rPr>
        <w:t>er</w:t>
      </w:r>
      <w:r>
        <w:t> janvier 2023 qui ont converti ou se sont engagées à convertir à des alternatives à faible potentiel de réchauffement de la planète avec leurs propres ressources serait examiné au cas par cas lorsque cette capacité était incluse dans un plan sectoriel visant à réduire progressivement les HFC dans le secteur concerné.</w:t>
      </w:r>
    </w:p>
  </w:footnote>
  <w:footnote w:id="24">
    <w:p w14:paraId="66B260A4" w14:textId="77777777" w:rsidR="0012000E" w:rsidRPr="0055733F" w:rsidRDefault="0012000E" w:rsidP="0012000E">
      <w:pPr>
        <w:pStyle w:val="FootnoteText"/>
      </w:pPr>
      <w:r>
        <w:rPr>
          <w:rStyle w:val="FootnoteReference"/>
        </w:rPr>
        <w:footnoteRef/>
      </w:r>
      <w:r>
        <w:t xml:space="preserve"> Information considérée comme confidentielle.</w:t>
      </w:r>
    </w:p>
  </w:footnote>
  <w:footnote w:id="25">
    <w:p w14:paraId="64325EF3" w14:textId="5B582A04" w:rsidR="0012000E" w:rsidRPr="00763771" w:rsidRDefault="0012000E" w:rsidP="0012000E">
      <w:pPr>
        <w:pStyle w:val="FootnoteText"/>
        <w:rPr>
          <w:lang w:val="fr-FR"/>
        </w:rPr>
      </w:pPr>
      <w:r w:rsidRPr="00283A47">
        <w:rPr>
          <w:rStyle w:val="FootnoteReference"/>
        </w:rPr>
        <w:footnoteRef/>
      </w:r>
      <w:r>
        <w:t xml:space="preserve"> Mise à jour concernant la mise en service des centres d'essai pour le rendement énergétique (décision 95/87 e)) figurant dans le document UNEP/OzL.Pro/ExCom/97/86.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5F19" w14:textId="45B57971" w:rsidR="00DC6A10" w:rsidRDefault="00593BE2" w:rsidP="00D72C94">
    <w:fldSimple w:instr=" DOCPROPERTY &quot;Document number&quot;  \* MERGEFORMAT ">
      <w:r w:rsidR="00763771">
        <w:t>UNEP/OzL.Pro/ExCom/97/80</w:t>
      </w:r>
    </w:fldSimple>
  </w:p>
  <w:p w14:paraId="3CBC4148" w14:textId="77777777" w:rsidR="006415C3" w:rsidRDefault="006415C3" w:rsidP="00D72C94"/>
  <w:p w14:paraId="4515DF16" w14:textId="77777777" w:rsidR="006415C3" w:rsidRPr="0033525D" w:rsidRDefault="006415C3" w:rsidP="00D72C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653AA889" w:rsidR="00DC6A10" w:rsidRPr="00CA2FF4" w:rsidRDefault="00593BE2" w:rsidP="00B2108C">
    <w:pPr>
      <w:jc w:val="right"/>
      <w:rPr>
        <w:lang w:val="pt-BR"/>
      </w:rPr>
    </w:pPr>
    <w:fldSimple w:instr=" DOCPROPERTY &quot;Document number&quot;  \* MERGEFORMAT ">
      <w:r w:rsidR="00763771" w:rsidRPr="00763771">
        <w:rPr>
          <w:lang w:val="pt-BR"/>
        </w:rPr>
        <w:t>UNEP/OzL.Pro/ExCom/97/80</w:t>
      </w:r>
    </w:fldSimple>
  </w:p>
  <w:p w14:paraId="5C687B98" w14:textId="443360AE" w:rsidR="00DC6A10" w:rsidRPr="00CA2FF4" w:rsidRDefault="00DC6A10" w:rsidP="00C30F7A">
    <w:pPr>
      <w:pStyle w:val="Header"/>
      <w:tabs>
        <w:tab w:val="left" w:pos="6704"/>
      </w:tabs>
      <w:rPr>
        <w:lang w:val="pt-BR"/>
      </w:rPr>
    </w:pPr>
  </w:p>
  <w:p w14:paraId="7B721131" w14:textId="77777777" w:rsidR="006415C3" w:rsidRPr="00CA2FF4" w:rsidRDefault="006415C3" w:rsidP="00D72C94">
    <w:pPr>
      <w:pStyle w:val="Header"/>
      <w:tabs>
        <w:tab w:val="left" w:pos="6704"/>
      </w:tabs>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02E5" w14:textId="6B64A4D0" w:rsidR="0012000E" w:rsidRPr="00763771" w:rsidRDefault="00593BE2" w:rsidP="0012000E">
    <w:pPr>
      <w:jc w:val="right"/>
      <w:rPr>
        <w:lang w:val="en-US"/>
      </w:rPr>
    </w:pPr>
    <w:r>
      <w:fldChar w:fldCharType="begin"/>
    </w:r>
    <w:r w:rsidRPr="00763771">
      <w:rPr>
        <w:lang w:val="en-US"/>
      </w:rPr>
      <w:instrText xml:space="preserve"> DOCPROPERTY "Document number"  \* MERGEFORMAT </w:instrText>
    </w:r>
    <w:r>
      <w:fldChar w:fldCharType="separate"/>
    </w:r>
    <w:r w:rsidRPr="00763771">
      <w:rPr>
        <w:lang w:val="en-US"/>
      </w:rPr>
      <w:t>UNEP/OzL.Pro/ExCom/97/80</w:t>
    </w:r>
    <w:r>
      <w:fldChar w:fldCharType="end"/>
    </w:r>
  </w:p>
  <w:p w14:paraId="230526C3" w14:textId="2E37699D" w:rsidR="0012000E" w:rsidRPr="00763771" w:rsidRDefault="0012000E" w:rsidP="0012000E">
    <w:pPr>
      <w:jc w:val="right"/>
      <w:rPr>
        <w:lang w:val="en-US"/>
      </w:rPr>
    </w:pPr>
    <w:r w:rsidRPr="00763771">
      <w:rPr>
        <w:lang w:val="en-US"/>
      </w:rPr>
      <w:t>Annexe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EC7A" w14:textId="4154402E" w:rsidR="006E7325" w:rsidRPr="00763771" w:rsidRDefault="00593BE2" w:rsidP="006E7325">
    <w:pPr>
      <w:jc w:val="right"/>
      <w:rPr>
        <w:lang w:val="en-US"/>
      </w:rPr>
    </w:pPr>
    <w:r>
      <w:fldChar w:fldCharType="begin"/>
    </w:r>
    <w:r w:rsidRPr="00763771">
      <w:rPr>
        <w:lang w:val="en-US"/>
      </w:rPr>
      <w:instrText xml:space="preserve"> DOCPROPERTY "Document number"  \* MERGEFORMAT </w:instrText>
    </w:r>
    <w:r>
      <w:fldChar w:fldCharType="separate"/>
    </w:r>
    <w:r w:rsidR="00ED6D22">
      <w:rPr>
        <w:lang w:val="en-US"/>
      </w:rPr>
      <w:t>UNEP/OzL.Pro/ExCom/97/80</w:t>
    </w:r>
    <w:r>
      <w:fldChar w:fldCharType="end"/>
    </w:r>
  </w:p>
  <w:p w14:paraId="5D24BA2F" w14:textId="306D0542" w:rsidR="006E7325" w:rsidRPr="00763771" w:rsidRDefault="006E7325" w:rsidP="00CA2FF4">
    <w:pPr>
      <w:jc w:val="right"/>
      <w:rPr>
        <w:lang w:val="en-US"/>
      </w:rPr>
    </w:pPr>
    <w:r w:rsidRPr="00763771">
      <w:rPr>
        <w:lang w:val="en-US"/>
      </w:rPr>
      <w:t>Annexe I</w:t>
    </w:r>
  </w:p>
  <w:p w14:paraId="5EC351D9" w14:textId="77777777" w:rsidR="0012000E" w:rsidRPr="00763771" w:rsidRDefault="0012000E" w:rsidP="006E732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1E1588"/>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26B99"/>
    <w:multiLevelType w:val="hybridMultilevel"/>
    <w:tmpl w:val="1AB846F0"/>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361440"/>
    <w:multiLevelType w:val="hybridMultilevel"/>
    <w:tmpl w:val="F0A22426"/>
    <w:lvl w:ilvl="0" w:tplc="11123E90">
      <w:start w:val="1"/>
      <w:numFmt w:val="lowerLetter"/>
      <w:lvlText w:val="(%1)"/>
      <w:lvlJc w:val="left"/>
      <w:pPr>
        <w:ind w:left="1080" w:hanging="360"/>
      </w:pPr>
      <w:rPr>
        <w:rFonts w:hint="default"/>
        <w:sz w:val="22"/>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DF32757"/>
    <w:multiLevelType w:val="hybridMultilevel"/>
    <w:tmpl w:val="CCA8EC0C"/>
    <w:lvl w:ilvl="0" w:tplc="0A18B89A">
      <w:start w:val="1"/>
      <w:numFmt w:val="decimal"/>
      <w:lvlText w:val="%1."/>
      <w:lvlJc w:val="left"/>
      <w:pPr>
        <w:ind w:left="720" w:hanging="360"/>
      </w:pPr>
    </w:lvl>
    <w:lvl w:ilvl="1" w:tplc="66241382">
      <w:start w:val="1"/>
      <w:numFmt w:val="decimal"/>
      <w:lvlText w:val="%2."/>
      <w:lvlJc w:val="left"/>
      <w:pPr>
        <w:ind w:left="720" w:hanging="360"/>
      </w:pPr>
    </w:lvl>
    <w:lvl w:ilvl="2" w:tplc="D74AAD0A">
      <w:start w:val="1"/>
      <w:numFmt w:val="decimal"/>
      <w:lvlText w:val="%3."/>
      <w:lvlJc w:val="left"/>
      <w:pPr>
        <w:ind w:left="720" w:hanging="360"/>
      </w:pPr>
    </w:lvl>
    <w:lvl w:ilvl="3" w:tplc="F9387A78">
      <w:start w:val="1"/>
      <w:numFmt w:val="decimal"/>
      <w:lvlText w:val="%4."/>
      <w:lvlJc w:val="left"/>
      <w:pPr>
        <w:ind w:left="720" w:hanging="360"/>
      </w:pPr>
    </w:lvl>
    <w:lvl w:ilvl="4" w:tplc="B4B89E1C">
      <w:start w:val="1"/>
      <w:numFmt w:val="decimal"/>
      <w:lvlText w:val="%5."/>
      <w:lvlJc w:val="left"/>
      <w:pPr>
        <w:ind w:left="720" w:hanging="360"/>
      </w:pPr>
    </w:lvl>
    <w:lvl w:ilvl="5" w:tplc="16E263B2">
      <w:start w:val="1"/>
      <w:numFmt w:val="decimal"/>
      <w:lvlText w:val="%6."/>
      <w:lvlJc w:val="left"/>
      <w:pPr>
        <w:ind w:left="720" w:hanging="360"/>
      </w:pPr>
    </w:lvl>
    <w:lvl w:ilvl="6" w:tplc="0A0834D0">
      <w:start w:val="1"/>
      <w:numFmt w:val="decimal"/>
      <w:lvlText w:val="%7."/>
      <w:lvlJc w:val="left"/>
      <w:pPr>
        <w:ind w:left="720" w:hanging="360"/>
      </w:pPr>
    </w:lvl>
    <w:lvl w:ilvl="7" w:tplc="69FA017C">
      <w:start w:val="1"/>
      <w:numFmt w:val="decimal"/>
      <w:lvlText w:val="%8."/>
      <w:lvlJc w:val="left"/>
      <w:pPr>
        <w:ind w:left="720" w:hanging="360"/>
      </w:pPr>
    </w:lvl>
    <w:lvl w:ilvl="8" w:tplc="6AA22F7E">
      <w:start w:val="1"/>
      <w:numFmt w:val="decimal"/>
      <w:lvlText w:val="%9."/>
      <w:lvlJc w:val="left"/>
      <w:pPr>
        <w:ind w:left="72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E700B9"/>
    <w:multiLevelType w:val="hybridMultilevel"/>
    <w:tmpl w:val="83606364"/>
    <w:lvl w:ilvl="0" w:tplc="1009000F">
      <w:start w:val="1"/>
      <w:numFmt w:val="decimal"/>
      <w:lvlText w:val="%1."/>
      <w:lvlJc w:val="left"/>
      <w:pPr>
        <w:ind w:left="720" w:hanging="360"/>
      </w:pPr>
    </w:lvl>
    <w:lvl w:ilvl="1" w:tplc="E13A1A2C">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2"/>
  </w:num>
  <w:num w:numId="20" w16cid:durableId="444007775">
    <w:abstractNumId w:val="15"/>
  </w:num>
  <w:num w:numId="21" w16cid:durableId="1397825505">
    <w:abstractNumId w:val="18"/>
  </w:num>
  <w:num w:numId="22" w16cid:durableId="1051735893">
    <w:abstractNumId w:val="21"/>
  </w:num>
  <w:num w:numId="23" w16cid:durableId="1791509857">
    <w:abstractNumId w:val="17"/>
  </w:num>
  <w:num w:numId="24" w16cid:durableId="1110054989">
    <w:abstractNumId w:val="10"/>
  </w:num>
  <w:num w:numId="25" w16cid:durableId="2007202833">
    <w:abstractNumId w:val="10"/>
  </w:num>
  <w:num w:numId="26" w16cid:durableId="1629356323">
    <w:abstractNumId w:val="11"/>
  </w:num>
  <w:num w:numId="27" w16cid:durableId="349533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1383075">
    <w:abstractNumId w:val="10"/>
  </w:num>
  <w:num w:numId="29" w16cid:durableId="432670822">
    <w:abstractNumId w:val="10"/>
  </w:num>
  <w:num w:numId="30" w16cid:durableId="875001240">
    <w:abstractNumId w:val="13"/>
  </w:num>
  <w:num w:numId="31" w16cid:durableId="790244116">
    <w:abstractNumId w:val="16"/>
  </w:num>
  <w:num w:numId="32" w16cid:durableId="21451520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4F0"/>
    <w:rsid w:val="00000FED"/>
    <w:rsid w:val="000039B5"/>
    <w:rsid w:val="00004150"/>
    <w:rsid w:val="0000434E"/>
    <w:rsid w:val="000044DE"/>
    <w:rsid w:val="00004B58"/>
    <w:rsid w:val="000100C1"/>
    <w:rsid w:val="00012CFA"/>
    <w:rsid w:val="00012D1E"/>
    <w:rsid w:val="0001571C"/>
    <w:rsid w:val="00015790"/>
    <w:rsid w:val="00017ACB"/>
    <w:rsid w:val="000200E8"/>
    <w:rsid w:val="00020258"/>
    <w:rsid w:val="00020F44"/>
    <w:rsid w:val="000211A9"/>
    <w:rsid w:val="00021238"/>
    <w:rsid w:val="0002140B"/>
    <w:rsid w:val="00022071"/>
    <w:rsid w:val="00022B68"/>
    <w:rsid w:val="00023A6E"/>
    <w:rsid w:val="0002417C"/>
    <w:rsid w:val="000279BE"/>
    <w:rsid w:val="0003122F"/>
    <w:rsid w:val="00031260"/>
    <w:rsid w:val="000313D9"/>
    <w:rsid w:val="00032898"/>
    <w:rsid w:val="000341D2"/>
    <w:rsid w:val="0003564D"/>
    <w:rsid w:val="00036487"/>
    <w:rsid w:val="0003681A"/>
    <w:rsid w:val="000371F9"/>
    <w:rsid w:val="000372B7"/>
    <w:rsid w:val="00040AC2"/>
    <w:rsid w:val="0004320C"/>
    <w:rsid w:val="000433B7"/>
    <w:rsid w:val="00043BCE"/>
    <w:rsid w:val="00045880"/>
    <w:rsid w:val="00045A01"/>
    <w:rsid w:val="00045C0F"/>
    <w:rsid w:val="000467A1"/>
    <w:rsid w:val="00050BBF"/>
    <w:rsid w:val="00050F6E"/>
    <w:rsid w:val="00053349"/>
    <w:rsid w:val="0005714A"/>
    <w:rsid w:val="00061695"/>
    <w:rsid w:val="00061EC2"/>
    <w:rsid w:val="0006294E"/>
    <w:rsid w:val="000632AB"/>
    <w:rsid w:val="00064954"/>
    <w:rsid w:val="00064B69"/>
    <w:rsid w:val="00065C30"/>
    <w:rsid w:val="000660E8"/>
    <w:rsid w:val="000662E9"/>
    <w:rsid w:val="00066CE8"/>
    <w:rsid w:val="0007224A"/>
    <w:rsid w:val="00072A6B"/>
    <w:rsid w:val="000744CC"/>
    <w:rsid w:val="000750C6"/>
    <w:rsid w:val="00076843"/>
    <w:rsid w:val="00080ED0"/>
    <w:rsid w:val="00082532"/>
    <w:rsid w:val="00082DA7"/>
    <w:rsid w:val="0008313E"/>
    <w:rsid w:val="00083583"/>
    <w:rsid w:val="00083FD1"/>
    <w:rsid w:val="00085461"/>
    <w:rsid w:val="00085476"/>
    <w:rsid w:val="00085B8F"/>
    <w:rsid w:val="00085CB6"/>
    <w:rsid w:val="00087B6A"/>
    <w:rsid w:val="00090454"/>
    <w:rsid w:val="00090481"/>
    <w:rsid w:val="00090595"/>
    <w:rsid w:val="00091026"/>
    <w:rsid w:val="00092747"/>
    <w:rsid w:val="00092EC6"/>
    <w:rsid w:val="0009555A"/>
    <w:rsid w:val="00096D06"/>
    <w:rsid w:val="0009733F"/>
    <w:rsid w:val="000A044F"/>
    <w:rsid w:val="000A0A71"/>
    <w:rsid w:val="000A17CE"/>
    <w:rsid w:val="000A1ED6"/>
    <w:rsid w:val="000A3826"/>
    <w:rsid w:val="000A64F6"/>
    <w:rsid w:val="000A6C26"/>
    <w:rsid w:val="000A6D14"/>
    <w:rsid w:val="000A7A79"/>
    <w:rsid w:val="000B33DA"/>
    <w:rsid w:val="000B36C8"/>
    <w:rsid w:val="000B3DF8"/>
    <w:rsid w:val="000B659F"/>
    <w:rsid w:val="000C39CD"/>
    <w:rsid w:val="000C6873"/>
    <w:rsid w:val="000C6BB0"/>
    <w:rsid w:val="000C7DD8"/>
    <w:rsid w:val="000D18B4"/>
    <w:rsid w:val="000D2BF2"/>
    <w:rsid w:val="000D2E10"/>
    <w:rsid w:val="000D4F39"/>
    <w:rsid w:val="000D52A4"/>
    <w:rsid w:val="000D537D"/>
    <w:rsid w:val="000E07BC"/>
    <w:rsid w:val="000E0A71"/>
    <w:rsid w:val="000E1D5D"/>
    <w:rsid w:val="000E2E21"/>
    <w:rsid w:val="000E59D7"/>
    <w:rsid w:val="000E65AD"/>
    <w:rsid w:val="000F0833"/>
    <w:rsid w:val="000F10BD"/>
    <w:rsid w:val="000F1CD4"/>
    <w:rsid w:val="000F3BB4"/>
    <w:rsid w:val="000F4103"/>
    <w:rsid w:val="000F4141"/>
    <w:rsid w:val="000F4A0E"/>
    <w:rsid w:val="000F4EE8"/>
    <w:rsid w:val="000F5640"/>
    <w:rsid w:val="000F6221"/>
    <w:rsid w:val="000F70A7"/>
    <w:rsid w:val="000F76C5"/>
    <w:rsid w:val="001019B2"/>
    <w:rsid w:val="00104CD2"/>
    <w:rsid w:val="00113CCA"/>
    <w:rsid w:val="0011518D"/>
    <w:rsid w:val="00116629"/>
    <w:rsid w:val="00116743"/>
    <w:rsid w:val="00116A81"/>
    <w:rsid w:val="0012000E"/>
    <w:rsid w:val="00122D86"/>
    <w:rsid w:val="00122F25"/>
    <w:rsid w:val="0012478C"/>
    <w:rsid w:val="00124CD6"/>
    <w:rsid w:val="00125494"/>
    <w:rsid w:val="001262C1"/>
    <w:rsid w:val="0012674A"/>
    <w:rsid w:val="00126BD8"/>
    <w:rsid w:val="00131168"/>
    <w:rsid w:val="001315F3"/>
    <w:rsid w:val="0013161C"/>
    <w:rsid w:val="0013183E"/>
    <w:rsid w:val="00132262"/>
    <w:rsid w:val="001330FD"/>
    <w:rsid w:val="00135980"/>
    <w:rsid w:val="00135CE1"/>
    <w:rsid w:val="0013786F"/>
    <w:rsid w:val="00140A14"/>
    <w:rsid w:val="0014147E"/>
    <w:rsid w:val="00141B82"/>
    <w:rsid w:val="00141BDE"/>
    <w:rsid w:val="00143330"/>
    <w:rsid w:val="001452EC"/>
    <w:rsid w:val="001471DC"/>
    <w:rsid w:val="0015209A"/>
    <w:rsid w:val="00152505"/>
    <w:rsid w:val="001537FF"/>
    <w:rsid w:val="001540D5"/>
    <w:rsid w:val="001562B2"/>
    <w:rsid w:val="00156329"/>
    <w:rsid w:val="001566FF"/>
    <w:rsid w:val="001576CA"/>
    <w:rsid w:val="0015787C"/>
    <w:rsid w:val="00157D0D"/>
    <w:rsid w:val="001608B0"/>
    <w:rsid w:val="00160E83"/>
    <w:rsid w:val="00162C98"/>
    <w:rsid w:val="00162CC8"/>
    <w:rsid w:val="00164719"/>
    <w:rsid w:val="00165085"/>
    <w:rsid w:val="001655C9"/>
    <w:rsid w:val="001656E5"/>
    <w:rsid w:val="00166FC4"/>
    <w:rsid w:val="001677AC"/>
    <w:rsid w:val="001709D0"/>
    <w:rsid w:val="00176B46"/>
    <w:rsid w:val="001804EA"/>
    <w:rsid w:val="0018228B"/>
    <w:rsid w:val="00182C4D"/>
    <w:rsid w:val="001838A8"/>
    <w:rsid w:val="001839EA"/>
    <w:rsid w:val="00185C9E"/>
    <w:rsid w:val="00186741"/>
    <w:rsid w:val="001871DF"/>
    <w:rsid w:val="00190A61"/>
    <w:rsid w:val="00192CAF"/>
    <w:rsid w:val="0019557C"/>
    <w:rsid w:val="001955DB"/>
    <w:rsid w:val="0019576D"/>
    <w:rsid w:val="00197179"/>
    <w:rsid w:val="00197C82"/>
    <w:rsid w:val="001A1BAD"/>
    <w:rsid w:val="001A2215"/>
    <w:rsid w:val="001A233A"/>
    <w:rsid w:val="001A3342"/>
    <w:rsid w:val="001A3E3D"/>
    <w:rsid w:val="001A6C70"/>
    <w:rsid w:val="001A7049"/>
    <w:rsid w:val="001B0F28"/>
    <w:rsid w:val="001B1E40"/>
    <w:rsid w:val="001B23CD"/>
    <w:rsid w:val="001B4900"/>
    <w:rsid w:val="001B7187"/>
    <w:rsid w:val="001C663B"/>
    <w:rsid w:val="001C6A5E"/>
    <w:rsid w:val="001C764E"/>
    <w:rsid w:val="001D2189"/>
    <w:rsid w:val="001D3D93"/>
    <w:rsid w:val="001D4DFB"/>
    <w:rsid w:val="001D7063"/>
    <w:rsid w:val="001E1052"/>
    <w:rsid w:val="001E1A07"/>
    <w:rsid w:val="001E21B1"/>
    <w:rsid w:val="001E2F93"/>
    <w:rsid w:val="001E4554"/>
    <w:rsid w:val="001E5FB9"/>
    <w:rsid w:val="001E61E5"/>
    <w:rsid w:val="001E7292"/>
    <w:rsid w:val="001E7F96"/>
    <w:rsid w:val="001F2159"/>
    <w:rsid w:val="001F3B40"/>
    <w:rsid w:val="001F4350"/>
    <w:rsid w:val="001F47EA"/>
    <w:rsid w:val="001F53FD"/>
    <w:rsid w:val="001F6D4B"/>
    <w:rsid w:val="00200D9C"/>
    <w:rsid w:val="00206ADB"/>
    <w:rsid w:val="00207020"/>
    <w:rsid w:val="002072B3"/>
    <w:rsid w:val="00207A8E"/>
    <w:rsid w:val="00210B8B"/>
    <w:rsid w:val="00211BA9"/>
    <w:rsid w:val="0021241A"/>
    <w:rsid w:val="00212B71"/>
    <w:rsid w:val="00212FD4"/>
    <w:rsid w:val="00213787"/>
    <w:rsid w:val="00213995"/>
    <w:rsid w:val="002139E1"/>
    <w:rsid w:val="00213BEF"/>
    <w:rsid w:val="00214863"/>
    <w:rsid w:val="002156B4"/>
    <w:rsid w:val="00223711"/>
    <w:rsid w:val="00223B4E"/>
    <w:rsid w:val="00224FCD"/>
    <w:rsid w:val="0022592E"/>
    <w:rsid w:val="00226100"/>
    <w:rsid w:val="00227694"/>
    <w:rsid w:val="002309EA"/>
    <w:rsid w:val="0023451C"/>
    <w:rsid w:val="00235732"/>
    <w:rsid w:val="0024029C"/>
    <w:rsid w:val="002404CA"/>
    <w:rsid w:val="00240A17"/>
    <w:rsid w:val="00241DC4"/>
    <w:rsid w:val="0024386A"/>
    <w:rsid w:val="002458ED"/>
    <w:rsid w:val="002475B4"/>
    <w:rsid w:val="00247E1F"/>
    <w:rsid w:val="00247EAE"/>
    <w:rsid w:val="0025141E"/>
    <w:rsid w:val="00251637"/>
    <w:rsid w:val="00252752"/>
    <w:rsid w:val="00253222"/>
    <w:rsid w:val="00253224"/>
    <w:rsid w:val="00253766"/>
    <w:rsid w:val="002554E4"/>
    <w:rsid w:val="00255CCF"/>
    <w:rsid w:val="00256CC9"/>
    <w:rsid w:val="00256F48"/>
    <w:rsid w:val="00257388"/>
    <w:rsid w:val="002615F9"/>
    <w:rsid w:val="00261C13"/>
    <w:rsid w:val="002622AF"/>
    <w:rsid w:val="00262847"/>
    <w:rsid w:val="002655F3"/>
    <w:rsid w:val="00265770"/>
    <w:rsid w:val="00265AA0"/>
    <w:rsid w:val="0026754E"/>
    <w:rsid w:val="00270135"/>
    <w:rsid w:val="00271B92"/>
    <w:rsid w:val="00271CCC"/>
    <w:rsid w:val="002723C3"/>
    <w:rsid w:val="00273DA7"/>
    <w:rsid w:val="00275190"/>
    <w:rsid w:val="00275DC4"/>
    <w:rsid w:val="00276397"/>
    <w:rsid w:val="00276BF4"/>
    <w:rsid w:val="00277742"/>
    <w:rsid w:val="00277A35"/>
    <w:rsid w:val="002804A5"/>
    <w:rsid w:val="0028170F"/>
    <w:rsid w:val="00281BB2"/>
    <w:rsid w:val="00281F6E"/>
    <w:rsid w:val="0028245E"/>
    <w:rsid w:val="00283A47"/>
    <w:rsid w:val="00285888"/>
    <w:rsid w:val="0028712C"/>
    <w:rsid w:val="00287303"/>
    <w:rsid w:val="00287F94"/>
    <w:rsid w:val="00290D0B"/>
    <w:rsid w:val="002918FD"/>
    <w:rsid w:val="00293203"/>
    <w:rsid w:val="002932F4"/>
    <w:rsid w:val="00294A2A"/>
    <w:rsid w:val="00294D76"/>
    <w:rsid w:val="00295D63"/>
    <w:rsid w:val="002978B4"/>
    <w:rsid w:val="002A03C3"/>
    <w:rsid w:val="002A07E9"/>
    <w:rsid w:val="002B207A"/>
    <w:rsid w:val="002B254E"/>
    <w:rsid w:val="002B276E"/>
    <w:rsid w:val="002B2A38"/>
    <w:rsid w:val="002B3CA8"/>
    <w:rsid w:val="002B4897"/>
    <w:rsid w:val="002B4CE8"/>
    <w:rsid w:val="002B5F2C"/>
    <w:rsid w:val="002B64D2"/>
    <w:rsid w:val="002B72E9"/>
    <w:rsid w:val="002B7868"/>
    <w:rsid w:val="002C2457"/>
    <w:rsid w:val="002C32FC"/>
    <w:rsid w:val="002C339A"/>
    <w:rsid w:val="002C3AFA"/>
    <w:rsid w:val="002C4DF8"/>
    <w:rsid w:val="002C4E33"/>
    <w:rsid w:val="002C7450"/>
    <w:rsid w:val="002C7998"/>
    <w:rsid w:val="002C7FC2"/>
    <w:rsid w:val="002D0826"/>
    <w:rsid w:val="002D1E6D"/>
    <w:rsid w:val="002D1F1C"/>
    <w:rsid w:val="002D3BE0"/>
    <w:rsid w:val="002E0AC2"/>
    <w:rsid w:val="002E0E5F"/>
    <w:rsid w:val="002E46C8"/>
    <w:rsid w:val="002E4890"/>
    <w:rsid w:val="002E4FB9"/>
    <w:rsid w:val="002F008E"/>
    <w:rsid w:val="002F1E53"/>
    <w:rsid w:val="002F2CAA"/>
    <w:rsid w:val="002F2E2F"/>
    <w:rsid w:val="002F329E"/>
    <w:rsid w:val="002F3B72"/>
    <w:rsid w:val="0030021E"/>
    <w:rsid w:val="0030052C"/>
    <w:rsid w:val="00304345"/>
    <w:rsid w:val="00311E25"/>
    <w:rsid w:val="00316689"/>
    <w:rsid w:val="003168DC"/>
    <w:rsid w:val="003175D4"/>
    <w:rsid w:val="00320E8D"/>
    <w:rsid w:val="003218AA"/>
    <w:rsid w:val="0032539F"/>
    <w:rsid w:val="00326595"/>
    <w:rsid w:val="003266D8"/>
    <w:rsid w:val="00326FC2"/>
    <w:rsid w:val="003306E1"/>
    <w:rsid w:val="00330A5F"/>
    <w:rsid w:val="003320E4"/>
    <w:rsid w:val="00332309"/>
    <w:rsid w:val="00332A52"/>
    <w:rsid w:val="00333277"/>
    <w:rsid w:val="003332BE"/>
    <w:rsid w:val="003332DA"/>
    <w:rsid w:val="00334D51"/>
    <w:rsid w:val="00335039"/>
    <w:rsid w:val="0033525D"/>
    <w:rsid w:val="003361C5"/>
    <w:rsid w:val="003365C6"/>
    <w:rsid w:val="003373DC"/>
    <w:rsid w:val="003410E5"/>
    <w:rsid w:val="003414F3"/>
    <w:rsid w:val="003439A2"/>
    <w:rsid w:val="00345184"/>
    <w:rsid w:val="00347707"/>
    <w:rsid w:val="00350649"/>
    <w:rsid w:val="00351640"/>
    <w:rsid w:val="003518B3"/>
    <w:rsid w:val="003534BE"/>
    <w:rsid w:val="003544EF"/>
    <w:rsid w:val="0035613E"/>
    <w:rsid w:val="00360036"/>
    <w:rsid w:val="0036099C"/>
    <w:rsid w:val="00360A85"/>
    <w:rsid w:val="003610E0"/>
    <w:rsid w:val="00362940"/>
    <w:rsid w:val="00363EE9"/>
    <w:rsid w:val="00363F3D"/>
    <w:rsid w:val="00364802"/>
    <w:rsid w:val="003651B6"/>
    <w:rsid w:val="00366518"/>
    <w:rsid w:val="00366C22"/>
    <w:rsid w:val="00371252"/>
    <w:rsid w:val="003742BC"/>
    <w:rsid w:val="00376128"/>
    <w:rsid w:val="00376A42"/>
    <w:rsid w:val="0037742E"/>
    <w:rsid w:val="00377D56"/>
    <w:rsid w:val="0038077A"/>
    <w:rsid w:val="0038245A"/>
    <w:rsid w:val="003840E6"/>
    <w:rsid w:val="00384268"/>
    <w:rsid w:val="00384CBA"/>
    <w:rsid w:val="00385CFC"/>
    <w:rsid w:val="00386A7A"/>
    <w:rsid w:val="00390B1F"/>
    <w:rsid w:val="0039337A"/>
    <w:rsid w:val="003934C3"/>
    <w:rsid w:val="00394DB9"/>
    <w:rsid w:val="0039764E"/>
    <w:rsid w:val="00397EC7"/>
    <w:rsid w:val="003A093F"/>
    <w:rsid w:val="003A2D74"/>
    <w:rsid w:val="003A3189"/>
    <w:rsid w:val="003A39FC"/>
    <w:rsid w:val="003A3CA7"/>
    <w:rsid w:val="003A604C"/>
    <w:rsid w:val="003A7705"/>
    <w:rsid w:val="003B1530"/>
    <w:rsid w:val="003B1E66"/>
    <w:rsid w:val="003B1F3B"/>
    <w:rsid w:val="003B3111"/>
    <w:rsid w:val="003B33BD"/>
    <w:rsid w:val="003B367B"/>
    <w:rsid w:val="003B38BC"/>
    <w:rsid w:val="003B42EE"/>
    <w:rsid w:val="003B569D"/>
    <w:rsid w:val="003B6518"/>
    <w:rsid w:val="003C152E"/>
    <w:rsid w:val="003C1F7E"/>
    <w:rsid w:val="003C2AFA"/>
    <w:rsid w:val="003C3C0E"/>
    <w:rsid w:val="003C425C"/>
    <w:rsid w:val="003C685C"/>
    <w:rsid w:val="003C6A6A"/>
    <w:rsid w:val="003D32BE"/>
    <w:rsid w:val="003D3ECE"/>
    <w:rsid w:val="003D4262"/>
    <w:rsid w:val="003D42A6"/>
    <w:rsid w:val="003D4F21"/>
    <w:rsid w:val="003D4FAC"/>
    <w:rsid w:val="003D500E"/>
    <w:rsid w:val="003D6B87"/>
    <w:rsid w:val="003D7337"/>
    <w:rsid w:val="003E1236"/>
    <w:rsid w:val="003E1885"/>
    <w:rsid w:val="003E2C76"/>
    <w:rsid w:val="003E3EBC"/>
    <w:rsid w:val="003E5CAC"/>
    <w:rsid w:val="003E6E1E"/>
    <w:rsid w:val="003E72C0"/>
    <w:rsid w:val="003E7312"/>
    <w:rsid w:val="003E7906"/>
    <w:rsid w:val="003E7F54"/>
    <w:rsid w:val="003F000F"/>
    <w:rsid w:val="003F1758"/>
    <w:rsid w:val="003F37D7"/>
    <w:rsid w:val="003F3C50"/>
    <w:rsid w:val="003F4B43"/>
    <w:rsid w:val="003F4FED"/>
    <w:rsid w:val="003F6427"/>
    <w:rsid w:val="003F7099"/>
    <w:rsid w:val="00400D1B"/>
    <w:rsid w:val="00402AF0"/>
    <w:rsid w:val="00402D51"/>
    <w:rsid w:val="00404AB3"/>
    <w:rsid w:val="004057C2"/>
    <w:rsid w:val="00406202"/>
    <w:rsid w:val="00406A6A"/>
    <w:rsid w:val="00406B22"/>
    <w:rsid w:val="00407147"/>
    <w:rsid w:val="004078FA"/>
    <w:rsid w:val="004113BB"/>
    <w:rsid w:val="00415370"/>
    <w:rsid w:val="004164A5"/>
    <w:rsid w:val="004171FD"/>
    <w:rsid w:val="004205AA"/>
    <w:rsid w:val="00421371"/>
    <w:rsid w:val="00422FBC"/>
    <w:rsid w:val="00425464"/>
    <w:rsid w:val="00425D88"/>
    <w:rsid w:val="004266A1"/>
    <w:rsid w:val="00427AF0"/>
    <w:rsid w:val="0043165F"/>
    <w:rsid w:val="00431DFE"/>
    <w:rsid w:val="00431E08"/>
    <w:rsid w:val="004328A7"/>
    <w:rsid w:val="00434C74"/>
    <w:rsid w:val="00437F6B"/>
    <w:rsid w:val="00442FF3"/>
    <w:rsid w:val="004535A2"/>
    <w:rsid w:val="00453D0D"/>
    <w:rsid w:val="004568B2"/>
    <w:rsid w:val="00456EB4"/>
    <w:rsid w:val="00457827"/>
    <w:rsid w:val="004579F7"/>
    <w:rsid w:val="00457C6C"/>
    <w:rsid w:val="00460363"/>
    <w:rsid w:val="004609B6"/>
    <w:rsid w:val="00460A15"/>
    <w:rsid w:val="004644F3"/>
    <w:rsid w:val="0046462F"/>
    <w:rsid w:val="00465166"/>
    <w:rsid w:val="00465C16"/>
    <w:rsid w:val="004718F3"/>
    <w:rsid w:val="0047254B"/>
    <w:rsid w:val="00472DBF"/>
    <w:rsid w:val="00473B99"/>
    <w:rsid w:val="00475040"/>
    <w:rsid w:val="00475743"/>
    <w:rsid w:val="00480690"/>
    <w:rsid w:val="00481225"/>
    <w:rsid w:val="0048256D"/>
    <w:rsid w:val="0048300B"/>
    <w:rsid w:val="0048590A"/>
    <w:rsid w:val="00486267"/>
    <w:rsid w:val="004902B8"/>
    <w:rsid w:val="00490C06"/>
    <w:rsid w:val="004911E4"/>
    <w:rsid w:val="0049182F"/>
    <w:rsid w:val="004922A5"/>
    <w:rsid w:val="00493D40"/>
    <w:rsid w:val="00493EE3"/>
    <w:rsid w:val="004950D1"/>
    <w:rsid w:val="00496290"/>
    <w:rsid w:val="004967B6"/>
    <w:rsid w:val="004971B7"/>
    <w:rsid w:val="004972D2"/>
    <w:rsid w:val="004A226B"/>
    <w:rsid w:val="004A4BF8"/>
    <w:rsid w:val="004A504B"/>
    <w:rsid w:val="004A6911"/>
    <w:rsid w:val="004B1107"/>
    <w:rsid w:val="004B315A"/>
    <w:rsid w:val="004B3652"/>
    <w:rsid w:val="004B3C40"/>
    <w:rsid w:val="004B4797"/>
    <w:rsid w:val="004B52D9"/>
    <w:rsid w:val="004B54E0"/>
    <w:rsid w:val="004B7384"/>
    <w:rsid w:val="004B751F"/>
    <w:rsid w:val="004C062D"/>
    <w:rsid w:val="004C0810"/>
    <w:rsid w:val="004C09A4"/>
    <w:rsid w:val="004C21DC"/>
    <w:rsid w:val="004C4269"/>
    <w:rsid w:val="004D0152"/>
    <w:rsid w:val="004D10E2"/>
    <w:rsid w:val="004D20B2"/>
    <w:rsid w:val="004D2E2E"/>
    <w:rsid w:val="004D31E5"/>
    <w:rsid w:val="004D3622"/>
    <w:rsid w:val="004D6236"/>
    <w:rsid w:val="004D639B"/>
    <w:rsid w:val="004D6521"/>
    <w:rsid w:val="004D7F90"/>
    <w:rsid w:val="004E232A"/>
    <w:rsid w:val="004E2C1A"/>
    <w:rsid w:val="004E2E32"/>
    <w:rsid w:val="004E2ED8"/>
    <w:rsid w:val="004E36C1"/>
    <w:rsid w:val="004E44F5"/>
    <w:rsid w:val="004E4DBB"/>
    <w:rsid w:val="004E4E41"/>
    <w:rsid w:val="004E52FB"/>
    <w:rsid w:val="004E73DB"/>
    <w:rsid w:val="004E7A97"/>
    <w:rsid w:val="004E7F9C"/>
    <w:rsid w:val="004F239D"/>
    <w:rsid w:val="004F3493"/>
    <w:rsid w:val="004F34DA"/>
    <w:rsid w:val="004F5143"/>
    <w:rsid w:val="00501627"/>
    <w:rsid w:val="005053DE"/>
    <w:rsid w:val="005060F9"/>
    <w:rsid w:val="00512B09"/>
    <w:rsid w:val="00512EF6"/>
    <w:rsid w:val="0051458E"/>
    <w:rsid w:val="0051534B"/>
    <w:rsid w:val="00517D3F"/>
    <w:rsid w:val="005213C4"/>
    <w:rsid w:val="005216F4"/>
    <w:rsid w:val="00521B38"/>
    <w:rsid w:val="005220ED"/>
    <w:rsid w:val="00522DD9"/>
    <w:rsid w:val="00526E90"/>
    <w:rsid w:val="005300C0"/>
    <w:rsid w:val="00531643"/>
    <w:rsid w:val="005331A8"/>
    <w:rsid w:val="00533796"/>
    <w:rsid w:val="00533A9C"/>
    <w:rsid w:val="00533D3E"/>
    <w:rsid w:val="00533EF6"/>
    <w:rsid w:val="00534773"/>
    <w:rsid w:val="00537187"/>
    <w:rsid w:val="00537343"/>
    <w:rsid w:val="00537E96"/>
    <w:rsid w:val="005418AE"/>
    <w:rsid w:val="005421BF"/>
    <w:rsid w:val="0054364E"/>
    <w:rsid w:val="00545044"/>
    <w:rsid w:val="005516F3"/>
    <w:rsid w:val="00555D75"/>
    <w:rsid w:val="005564E2"/>
    <w:rsid w:val="0056055B"/>
    <w:rsid w:val="00560655"/>
    <w:rsid w:val="00560DF0"/>
    <w:rsid w:val="005660FA"/>
    <w:rsid w:val="0056759C"/>
    <w:rsid w:val="0057026D"/>
    <w:rsid w:val="00571E5A"/>
    <w:rsid w:val="005756F6"/>
    <w:rsid w:val="00577A21"/>
    <w:rsid w:val="00577F62"/>
    <w:rsid w:val="00577FAA"/>
    <w:rsid w:val="00580299"/>
    <w:rsid w:val="005810A2"/>
    <w:rsid w:val="00581562"/>
    <w:rsid w:val="005844E4"/>
    <w:rsid w:val="005847A6"/>
    <w:rsid w:val="005851D4"/>
    <w:rsid w:val="0059075C"/>
    <w:rsid w:val="00590EC8"/>
    <w:rsid w:val="005911DF"/>
    <w:rsid w:val="00591560"/>
    <w:rsid w:val="005933C6"/>
    <w:rsid w:val="00593BE2"/>
    <w:rsid w:val="005941C3"/>
    <w:rsid w:val="00594F15"/>
    <w:rsid w:val="0059513E"/>
    <w:rsid w:val="0059535D"/>
    <w:rsid w:val="00596B1B"/>
    <w:rsid w:val="00596DEB"/>
    <w:rsid w:val="00597A7D"/>
    <w:rsid w:val="005A278C"/>
    <w:rsid w:val="005A494B"/>
    <w:rsid w:val="005A680E"/>
    <w:rsid w:val="005A6AA4"/>
    <w:rsid w:val="005A6D9F"/>
    <w:rsid w:val="005A717E"/>
    <w:rsid w:val="005A7747"/>
    <w:rsid w:val="005B1813"/>
    <w:rsid w:val="005B2A3C"/>
    <w:rsid w:val="005B4377"/>
    <w:rsid w:val="005B48FF"/>
    <w:rsid w:val="005B570D"/>
    <w:rsid w:val="005B7A43"/>
    <w:rsid w:val="005C0C46"/>
    <w:rsid w:val="005C1E32"/>
    <w:rsid w:val="005C49AC"/>
    <w:rsid w:val="005C670D"/>
    <w:rsid w:val="005C6CC3"/>
    <w:rsid w:val="005D0287"/>
    <w:rsid w:val="005D105C"/>
    <w:rsid w:val="005D363F"/>
    <w:rsid w:val="005D6BBE"/>
    <w:rsid w:val="005E0760"/>
    <w:rsid w:val="005E66F1"/>
    <w:rsid w:val="005E7288"/>
    <w:rsid w:val="005E7FA8"/>
    <w:rsid w:val="005F0075"/>
    <w:rsid w:val="005F1405"/>
    <w:rsid w:val="005F3499"/>
    <w:rsid w:val="005F4D3F"/>
    <w:rsid w:val="005F54E9"/>
    <w:rsid w:val="005F6169"/>
    <w:rsid w:val="006005B1"/>
    <w:rsid w:val="00601138"/>
    <w:rsid w:val="00601FDE"/>
    <w:rsid w:val="00604C15"/>
    <w:rsid w:val="0060504F"/>
    <w:rsid w:val="00605B93"/>
    <w:rsid w:val="006060BA"/>
    <w:rsid w:val="00606879"/>
    <w:rsid w:val="00606A68"/>
    <w:rsid w:val="00606E05"/>
    <w:rsid w:val="00611EAD"/>
    <w:rsid w:val="0061282D"/>
    <w:rsid w:val="00613234"/>
    <w:rsid w:val="00614102"/>
    <w:rsid w:val="0061471F"/>
    <w:rsid w:val="00615867"/>
    <w:rsid w:val="006158D5"/>
    <w:rsid w:val="006161FA"/>
    <w:rsid w:val="00616931"/>
    <w:rsid w:val="00623537"/>
    <w:rsid w:val="00623A58"/>
    <w:rsid w:val="006243A3"/>
    <w:rsid w:val="00625D83"/>
    <w:rsid w:val="00627840"/>
    <w:rsid w:val="006308CB"/>
    <w:rsid w:val="00630FE7"/>
    <w:rsid w:val="00632C0C"/>
    <w:rsid w:val="00635E33"/>
    <w:rsid w:val="00636707"/>
    <w:rsid w:val="0064041C"/>
    <w:rsid w:val="006415C3"/>
    <w:rsid w:val="00641EC2"/>
    <w:rsid w:val="00643064"/>
    <w:rsid w:val="00643F09"/>
    <w:rsid w:val="006445F0"/>
    <w:rsid w:val="00644E5D"/>
    <w:rsid w:val="00645A55"/>
    <w:rsid w:val="00651548"/>
    <w:rsid w:val="00651984"/>
    <w:rsid w:val="00652220"/>
    <w:rsid w:val="00653C21"/>
    <w:rsid w:val="006542E0"/>
    <w:rsid w:val="006544EC"/>
    <w:rsid w:val="006547A9"/>
    <w:rsid w:val="00654E4D"/>
    <w:rsid w:val="006577ED"/>
    <w:rsid w:val="006605BF"/>
    <w:rsid w:val="00660B3D"/>
    <w:rsid w:val="006623E7"/>
    <w:rsid w:val="006624A6"/>
    <w:rsid w:val="00662B80"/>
    <w:rsid w:val="00663CAF"/>
    <w:rsid w:val="006660CB"/>
    <w:rsid w:val="00666E7E"/>
    <w:rsid w:val="0066768F"/>
    <w:rsid w:val="006700F7"/>
    <w:rsid w:val="00670F6C"/>
    <w:rsid w:val="00675FBB"/>
    <w:rsid w:val="00676185"/>
    <w:rsid w:val="00676602"/>
    <w:rsid w:val="00676E58"/>
    <w:rsid w:val="00677A2B"/>
    <w:rsid w:val="00677BF6"/>
    <w:rsid w:val="00680641"/>
    <w:rsid w:val="006819BC"/>
    <w:rsid w:val="00682C3C"/>
    <w:rsid w:val="00683528"/>
    <w:rsid w:val="006842C1"/>
    <w:rsid w:val="006852C7"/>
    <w:rsid w:val="006852CE"/>
    <w:rsid w:val="00690CB9"/>
    <w:rsid w:val="00691A77"/>
    <w:rsid w:val="006924AA"/>
    <w:rsid w:val="00692D14"/>
    <w:rsid w:val="0069346A"/>
    <w:rsid w:val="006962DE"/>
    <w:rsid w:val="0069642D"/>
    <w:rsid w:val="00697405"/>
    <w:rsid w:val="006A046E"/>
    <w:rsid w:val="006A16FF"/>
    <w:rsid w:val="006A2C79"/>
    <w:rsid w:val="006A6235"/>
    <w:rsid w:val="006A7646"/>
    <w:rsid w:val="006A7A3B"/>
    <w:rsid w:val="006A7FDC"/>
    <w:rsid w:val="006B16EB"/>
    <w:rsid w:val="006B2C55"/>
    <w:rsid w:val="006B3658"/>
    <w:rsid w:val="006B631B"/>
    <w:rsid w:val="006B63F9"/>
    <w:rsid w:val="006B65C7"/>
    <w:rsid w:val="006C1704"/>
    <w:rsid w:val="006C1727"/>
    <w:rsid w:val="006C2CAA"/>
    <w:rsid w:val="006C32FD"/>
    <w:rsid w:val="006C39CE"/>
    <w:rsid w:val="006C7569"/>
    <w:rsid w:val="006C7C6A"/>
    <w:rsid w:val="006D0FCC"/>
    <w:rsid w:val="006D1FDA"/>
    <w:rsid w:val="006D200F"/>
    <w:rsid w:val="006D21F5"/>
    <w:rsid w:val="006D3089"/>
    <w:rsid w:val="006D6156"/>
    <w:rsid w:val="006D657C"/>
    <w:rsid w:val="006D7D29"/>
    <w:rsid w:val="006E0C3C"/>
    <w:rsid w:val="006E126D"/>
    <w:rsid w:val="006E1FC3"/>
    <w:rsid w:val="006E4106"/>
    <w:rsid w:val="006E413E"/>
    <w:rsid w:val="006E4B01"/>
    <w:rsid w:val="006E6121"/>
    <w:rsid w:val="006E7325"/>
    <w:rsid w:val="006E7683"/>
    <w:rsid w:val="006F0634"/>
    <w:rsid w:val="006F376E"/>
    <w:rsid w:val="006F53A7"/>
    <w:rsid w:val="006F7C60"/>
    <w:rsid w:val="00701F9C"/>
    <w:rsid w:val="007031DC"/>
    <w:rsid w:val="00703410"/>
    <w:rsid w:val="00703DE5"/>
    <w:rsid w:val="00704301"/>
    <w:rsid w:val="00704CE9"/>
    <w:rsid w:val="0070616B"/>
    <w:rsid w:val="00706295"/>
    <w:rsid w:val="00706C5E"/>
    <w:rsid w:val="00706FDA"/>
    <w:rsid w:val="007071FE"/>
    <w:rsid w:val="007072FF"/>
    <w:rsid w:val="0070767A"/>
    <w:rsid w:val="00710858"/>
    <w:rsid w:val="00711F9A"/>
    <w:rsid w:val="0071218A"/>
    <w:rsid w:val="007131D9"/>
    <w:rsid w:val="0071348D"/>
    <w:rsid w:val="00713810"/>
    <w:rsid w:val="00713C2F"/>
    <w:rsid w:val="00715C28"/>
    <w:rsid w:val="007202A5"/>
    <w:rsid w:val="00721368"/>
    <w:rsid w:val="0072438E"/>
    <w:rsid w:val="00726E72"/>
    <w:rsid w:val="007303A5"/>
    <w:rsid w:val="00730B3E"/>
    <w:rsid w:val="00731F46"/>
    <w:rsid w:val="0073420B"/>
    <w:rsid w:val="0073481D"/>
    <w:rsid w:val="00736367"/>
    <w:rsid w:val="00740CF6"/>
    <w:rsid w:val="00740D23"/>
    <w:rsid w:val="00744F7F"/>
    <w:rsid w:val="0074631F"/>
    <w:rsid w:val="00746F75"/>
    <w:rsid w:val="007471C1"/>
    <w:rsid w:val="0074760E"/>
    <w:rsid w:val="0074777A"/>
    <w:rsid w:val="0074796E"/>
    <w:rsid w:val="00747B5C"/>
    <w:rsid w:val="0075073E"/>
    <w:rsid w:val="00753D49"/>
    <w:rsid w:val="00753DC0"/>
    <w:rsid w:val="00753FEE"/>
    <w:rsid w:val="007548C4"/>
    <w:rsid w:val="00754ABA"/>
    <w:rsid w:val="00757F6D"/>
    <w:rsid w:val="007601B8"/>
    <w:rsid w:val="007617D0"/>
    <w:rsid w:val="00761BBE"/>
    <w:rsid w:val="00761C2B"/>
    <w:rsid w:val="00761D98"/>
    <w:rsid w:val="007624A2"/>
    <w:rsid w:val="00763771"/>
    <w:rsid w:val="007707DD"/>
    <w:rsid w:val="0077368D"/>
    <w:rsid w:val="00773D15"/>
    <w:rsid w:val="00774BD0"/>
    <w:rsid w:val="00775198"/>
    <w:rsid w:val="00782B0D"/>
    <w:rsid w:val="00784F50"/>
    <w:rsid w:val="007857BA"/>
    <w:rsid w:val="00785E96"/>
    <w:rsid w:val="007867DE"/>
    <w:rsid w:val="00787C3D"/>
    <w:rsid w:val="007941A8"/>
    <w:rsid w:val="0079733C"/>
    <w:rsid w:val="0079781A"/>
    <w:rsid w:val="007A02C8"/>
    <w:rsid w:val="007A02FD"/>
    <w:rsid w:val="007A1546"/>
    <w:rsid w:val="007A228C"/>
    <w:rsid w:val="007A368E"/>
    <w:rsid w:val="007A41DA"/>
    <w:rsid w:val="007A5868"/>
    <w:rsid w:val="007A7567"/>
    <w:rsid w:val="007A77A7"/>
    <w:rsid w:val="007A7982"/>
    <w:rsid w:val="007B0029"/>
    <w:rsid w:val="007B04CE"/>
    <w:rsid w:val="007B1F01"/>
    <w:rsid w:val="007B2497"/>
    <w:rsid w:val="007B2F7F"/>
    <w:rsid w:val="007B6871"/>
    <w:rsid w:val="007B7A2F"/>
    <w:rsid w:val="007B7A86"/>
    <w:rsid w:val="007B7F5C"/>
    <w:rsid w:val="007C0937"/>
    <w:rsid w:val="007C2B69"/>
    <w:rsid w:val="007C32EE"/>
    <w:rsid w:val="007C39D3"/>
    <w:rsid w:val="007C3D33"/>
    <w:rsid w:val="007C4CD4"/>
    <w:rsid w:val="007C5140"/>
    <w:rsid w:val="007C601C"/>
    <w:rsid w:val="007C6FDA"/>
    <w:rsid w:val="007D1731"/>
    <w:rsid w:val="007D294A"/>
    <w:rsid w:val="007D47D2"/>
    <w:rsid w:val="007D61D9"/>
    <w:rsid w:val="007D6EC0"/>
    <w:rsid w:val="007D7AB7"/>
    <w:rsid w:val="007D7E1D"/>
    <w:rsid w:val="007E2DEF"/>
    <w:rsid w:val="007E3ED2"/>
    <w:rsid w:val="007E503C"/>
    <w:rsid w:val="007E5166"/>
    <w:rsid w:val="007E56A0"/>
    <w:rsid w:val="007E5C10"/>
    <w:rsid w:val="007E781F"/>
    <w:rsid w:val="007F208D"/>
    <w:rsid w:val="007F6629"/>
    <w:rsid w:val="007F78BB"/>
    <w:rsid w:val="008008CC"/>
    <w:rsid w:val="0080250F"/>
    <w:rsid w:val="0080345C"/>
    <w:rsid w:val="0080511A"/>
    <w:rsid w:val="00805CA2"/>
    <w:rsid w:val="00805CA3"/>
    <w:rsid w:val="00805D16"/>
    <w:rsid w:val="0080740E"/>
    <w:rsid w:val="0081130E"/>
    <w:rsid w:val="0081167B"/>
    <w:rsid w:val="00811735"/>
    <w:rsid w:val="00813EB5"/>
    <w:rsid w:val="00814F66"/>
    <w:rsid w:val="00814F79"/>
    <w:rsid w:val="0081604B"/>
    <w:rsid w:val="008218EB"/>
    <w:rsid w:val="00822B81"/>
    <w:rsid w:val="008241BB"/>
    <w:rsid w:val="008245A4"/>
    <w:rsid w:val="0082522F"/>
    <w:rsid w:val="00830B7E"/>
    <w:rsid w:val="00831578"/>
    <w:rsid w:val="00831979"/>
    <w:rsid w:val="00833D82"/>
    <w:rsid w:val="00833FB1"/>
    <w:rsid w:val="00834588"/>
    <w:rsid w:val="00834610"/>
    <w:rsid w:val="00835AD2"/>
    <w:rsid w:val="008408B1"/>
    <w:rsid w:val="00841C2D"/>
    <w:rsid w:val="00842441"/>
    <w:rsid w:val="0084256C"/>
    <w:rsid w:val="008460E8"/>
    <w:rsid w:val="008462CD"/>
    <w:rsid w:val="008504A9"/>
    <w:rsid w:val="00851352"/>
    <w:rsid w:val="00856449"/>
    <w:rsid w:val="00856D3E"/>
    <w:rsid w:val="00857077"/>
    <w:rsid w:val="00857D5D"/>
    <w:rsid w:val="008607BB"/>
    <w:rsid w:val="00860866"/>
    <w:rsid w:val="008611DF"/>
    <w:rsid w:val="00862FA7"/>
    <w:rsid w:val="00863230"/>
    <w:rsid w:val="00863E48"/>
    <w:rsid w:val="00865709"/>
    <w:rsid w:val="00865BD0"/>
    <w:rsid w:val="0086745E"/>
    <w:rsid w:val="008717D8"/>
    <w:rsid w:val="0087215C"/>
    <w:rsid w:val="008735D4"/>
    <w:rsid w:val="008736A4"/>
    <w:rsid w:val="0087403A"/>
    <w:rsid w:val="008759C6"/>
    <w:rsid w:val="00875D25"/>
    <w:rsid w:val="00875D3E"/>
    <w:rsid w:val="0088024B"/>
    <w:rsid w:val="00880E35"/>
    <w:rsid w:val="00881CCE"/>
    <w:rsid w:val="008826CD"/>
    <w:rsid w:val="00883A4B"/>
    <w:rsid w:val="00884286"/>
    <w:rsid w:val="00884FAA"/>
    <w:rsid w:val="008858CA"/>
    <w:rsid w:val="00885B12"/>
    <w:rsid w:val="00886C7B"/>
    <w:rsid w:val="008875FE"/>
    <w:rsid w:val="00887F8E"/>
    <w:rsid w:val="00892D66"/>
    <w:rsid w:val="00896234"/>
    <w:rsid w:val="00897C29"/>
    <w:rsid w:val="00897E43"/>
    <w:rsid w:val="008A07FA"/>
    <w:rsid w:val="008A0CA7"/>
    <w:rsid w:val="008A116A"/>
    <w:rsid w:val="008A35ED"/>
    <w:rsid w:val="008A3BC7"/>
    <w:rsid w:val="008A547D"/>
    <w:rsid w:val="008A69F0"/>
    <w:rsid w:val="008A6AD0"/>
    <w:rsid w:val="008A72EE"/>
    <w:rsid w:val="008A7F43"/>
    <w:rsid w:val="008B0FF0"/>
    <w:rsid w:val="008B4DB6"/>
    <w:rsid w:val="008B5A60"/>
    <w:rsid w:val="008B5FE7"/>
    <w:rsid w:val="008B62E9"/>
    <w:rsid w:val="008C222B"/>
    <w:rsid w:val="008C3062"/>
    <w:rsid w:val="008C30AF"/>
    <w:rsid w:val="008C41FE"/>
    <w:rsid w:val="008C4FB8"/>
    <w:rsid w:val="008C5738"/>
    <w:rsid w:val="008C77DC"/>
    <w:rsid w:val="008C7EAD"/>
    <w:rsid w:val="008D0CFE"/>
    <w:rsid w:val="008D1158"/>
    <w:rsid w:val="008D1E91"/>
    <w:rsid w:val="008D3EAC"/>
    <w:rsid w:val="008D56D1"/>
    <w:rsid w:val="008D6152"/>
    <w:rsid w:val="008D6FDE"/>
    <w:rsid w:val="008D7BDA"/>
    <w:rsid w:val="008E05ED"/>
    <w:rsid w:val="008E2173"/>
    <w:rsid w:val="008E29D1"/>
    <w:rsid w:val="008E3099"/>
    <w:rsid w:val="008E35EC"/>
    <w:rsid w:val="008E3E5A"/>
    <w:rsid w:val="008E4905"/>
    <w:rsid w:val="008E7BA9"/>
    <w:rsid w:val="008F0F81"/>
    <w:rsid w:val="008F167D"/>
    <w:rsid w:val="008F1BBA"/>
    <w:rsid w:val="008F2187"/>
    <w:rsid w:val="008F27BF"/>
    <w:rsid w:val="008F2E64"/>
    <w:rsid w:val="008F41C0"/>
    <w:rsid w:val="008F4804"/>
    <w:rsid w:val="00901023"/>
    <w:rsid w:val="00901A7B"/>
    <w:rsid w:val="00903E88"/>
    <w:rsid w:val="00904792"/>
    <w:rsid w:val="009057A1"/>
    <w:rsid w:val="00906BAD"/>
    <w:rsid w:val="00911011"/>
    <w:rsid w:val="00911180"/>
    <w:rsid w:val="009142EC"/>
    <w:rsid w:val="009145E4"/>
    <w:rsid w:val="00914B68"/>
    <w:rsid w:val="009154C3"/>
    <w:rsid w:val="00915BB0"/>
    <w:rsid w:val="00916D27"/>
    <w:rsid w:val="0092070F"/>
    <w:rsid w:val="0092085A"/>
    <w:rsid w:val="0092160C"/>
    <w:rsid w:val="00922C41"/>
    <w:rsid w:val="00923540"/>
    <w:rsid w:val="00923E71"/>
    <w:rsid w:val="00925C65"/>
    <w:rsid w:val="00926767"/>
    <w:rsid w:val="009300FB"/>
    <w:rsid w:val="009302AE"/>
    <w:rsid w:val="0093218F"/>
    <w:rsid w:val="00934015"/>
    <w:rsid w:val="009353E2"/>
    <w:rsid w:val="009355CF"/>
    <w:rsid w:val="009361D5"/>
    <w:rsid w:val="00940421"/>
    <w:rsid w:val="00941B96"/>
    <w:rsid w:val="009428A4"/>
    <w:rsid w:val="009437CA"/>
    <w:rsid w:val="00944899"/>
    <w:rsid w:val="0094680A"/>
    <w:rsid w:val="0095130D"/>
    <w:rsid w:val="00953338"/>
    <w:rsid w:val="00953840"/>
    <w:rsid w:val="00953F59"/>
    <w:rsid w:val="009543ED"/>
    <w:rsid w:val="00955065"/>
    <w:rsid w:val="00961683"/>
    <w:rsid w:val="00962982"/>
    <w:rsid w:val="0096482F"/>
    <w:rsid w:val="00964AF7"/>
    <w:rsid w:val="00965604"/>
    <w:rsid w:val="009659F4"/>
    <w:rsid w:val="0096608B"/>
    <w:rsid w:val="00966F3B"/>
    <w:rsid w:val="00970526"/>
    <w:rsid w:val="00970533"/>
    <w:rsid w:val="00970BE0"/>
    <w:rsid w:val="00970D60"/>
    <w:rsid w:val="00971060"/>
    <w:rsid w:val="00972084"/>
    <w:rsid w:val="00980CB4"/>
    <w:rsid w:val="00981E8A"/>
    <w:rsid w:val="00983D5E"/>
    <w:rsid w:val="00984FBF"/>
    <w:rsid w:val="00985078"/>
    <w:rsid w:val="00985A20"/>
    <w:rsid w:val="00985D09"/>
    <w:rsid w:val="009874D0"/>
    <w:rsid w:val="009876E7"/>
    <w:rsid w:val="00990E4A"/>
    <w:rsid w:val="00991A53"/>
    <w:rsid w:val="009923A1"/>
    <w:rsid w:val="0099390E"/>
    <w:rsid w:val="009960A3"/>
    <w:rsid w:val="009960E5"/>
    <w:rsid w:val="00996558"/>
    <w:rsid w:val="0099722F"/>
    <w:rsid w:val="00997D54"/>
    <w:rsid w:val="009A0E07"/>
    <w:rsid w:val="009A1269"/>
    <w:rsid w:val="009A33CA"/>
    <w:rsid w:val="009A3705"/>
    <w:rsid w:val="009A4F78"/>
    <w:rsid w:val="009A4FA5"/>
    <w:rsid w:val="009A7ADC"/>
    <w:rsid w:val="009B0D30"/>
    <w:rsid w:val="009B2D69"/>
    <w:rsid w:val="009B5ABE"/>
    <w:rsid w:val="009B5CC1"/>
    <w:rsid w:val="009B7010"/>
    <w:rsid w:val="009B76B9"/>
    <w:rsid w:val="009C0072"/>
    <w:rsid w:val="009C09F8"/>
    <w:rsid w:val="009C0CA6"/>
    <w:rsid w:val="009C1457"/>
    <w:rsid w:val="009C19B7"/>
    <w:rsid w:val="009C1FAD"/>
    <w:rsid w:val="009C4578"/>
    <w:rsid w:val="009C4C4C"/>
    <w:rsid w:val="009C4DEE"/>
    <w:rsid w:val="009C5ABB"/>
    <w:rsid w:val="009C7A98"/>
    <w:rsid w:val="009D053F"/>
    <w:rsid w:val="009D09F7"/>
    <w:rsid w:val="009D11D7"/>
    <w:rsid w:val="009D20CC"/>
    <w:rsid w:val="009D2E12"/>
    <w:rsid w:val="009D31B5"/>
    <w:rsid w:val="009D342C"/>
    <w:rsid w:val="009D36FF"/>
    <w:rsid w:val="009D44BF"/>
    <w:rsid w:val="009D5848"/>
    <w:rsid w:val="009D6093"/>
    <w:rsid w:val="009D696B"/>
    <w:rsid w:val="009D7C51"/>
    <w:rsid w:val="009E196C"/>
    <w:rsid w:val="009E2131"/>
    <w:rsid w:val="009E2786"/>
    <w:rsid w:val="009E27BF"/>
    <w:rsid w:val="009E2EB0"/>
    <w:rsid w:val="009E679C"/>
    <w:rsid w:val="009E6A0A"/>
    <w:rsid w:val="009E6C52"/>
    <w:rsid w:val="009F0B2A"/>
    <w:rsid w:val="009F1156"/>
    <w:rsid w:val="009F1C00"/>
    <w:rsid w:val="009F34EB"/>
    <w:rsid w:val="009F36BF"/>
    <w:rsid w:val="009F59E6"/>
    <w:rsid w:val="009F5C32"/>
    <w:rsid w:val="009F6940"/>
    <w:rsid w:val="00A00504"/>
    <w:rsid w:val="00A035A6"/>
    <w:rsid w:val="00A03DDA"/>
    <w:rsid w:val="00A05072"/>
    <w:rsid w:val="00A060DB"/>
    <w:rsid w:val="00A075E9"/>
    <w:rsid w:val="00A07EE7"/>
    <w:rsid w:val="00A07FEF"/>
    <w:rsid w:val="00A1022D"/>
    <w:rsid w:val="00A10B98"/>
    <w:rsid w:val="00A10E97"/>
    <w:rsid w:val="00A110D0"/>
    <w:rsid w:val="00A111B6"/>
    <w:rsid w:val="00A11D49"/>
    <w:rsid w:val="00A125DF"/>
    <w:rsid w:val="00A13543"/>
    <w:rsid w:val="00A17118"/>
    <w:rsid w:val="00A216CD"/>
    <w:rsid w:val="00A21D6B"/>
    <w:rsid w:val="00A24034"/>
    <w:rsid w:val="00A24CD5"/>
    <w:rsid w:val="00A258F7"/>
    <w:rsid w:val="00A2668B"/>
    <w:rsid w:val="00A26D27"/>
    <w:rsid w:val="00A31DA8"/>
    <w:rsid w:val="00A32F21"/>
    <w:rsid w:val="00A34AE2"/>
    <w:rsid w:val="00A34B62"/>
    <w:rsid w:val="00A3534E"/>
    <w:rsid w:val="00A376EE"/>
    <w:rsid w:val="00A4166D"/>
    <w:rsid w:val="00A418F9"/>
    <w:rsid w:val="00A41938"/>
    <w:rsid w:val="00A42A99"/>
    <w:rsid w:val="00A439B7"/>
    <w:rsid w:val="00A43AFA"/>
    <w:rsid w:val="00A45686"/>
    <w:rsid w:val="00A4572E"/>
    <w:rsid w:val="00A47C98"/>
    <w:rsid w:val="00A50AD0"/>
    <w:rsid w:val="00A51297"/>
    <w:rsid w:val="00A5151A"/>
    <w:rsid w:val="00A525FD"/>
    <w:rsid w:val="00A52FAD"/>
    <w:rsid w:val="00A56034"/>
    <w:rsid w:val="00A57920"/>
    <w:rsid w:val="00A57E0A"/>
    <w:rsid w:val="00A6167A"/>
    <w:rsid w:val="00A61749"/>
    <w:rsid w:val="00A6179A"/>
    <w:rsid w:val="00A64302"/>
    <w:rsid w:val="00A64510"/>
    <w:rsid w:val="00A645FA"/>
    <w:rsid w:val="00A66571"/>
    <w:rsid w:val="00A66964"/>
    <w:rsid w:val="00A70D1C"/>
    <w:rsid w:val="00A70E90"/>
    <w:rsid w:val="00A71AA4"/>
    <w:rsid w:val="00A74AFE"/>
    <w:rsid w:val="00A74B98"/>
    <w:rsid w:val="00A754B8"/>
    <w:rsid w:val="00A759C5"/>
    <w:rsid w:val="00A76513"/>
    <w:rsid w:val="00A76688"/>
    <w:rsid w:val="00A77919"/>
    <w:rsid w:val="00A77A16"/>
    <w:rsid w:val="00A8138F"/>
    <w:rsid w:val="00A81BF7"/>
    <w:rsid w:val="00A81E38"/>
    <w:rsid w:val="00A823F6"/>
    <w:rsid w:val="00A828FE"/>
    <w:rsid w:val="00A84205"/>
    <w:rsid w:val="00A8459D"/>
    <w:rsid w:val="00A8719E"/>
    <w:rsid w:val="00A90B1F"/>
    <w:rsid w:val="00A93201"/>
    <w:rsid w:val="00A93617"/>
    <w:rsid w:val="00A93E19"/>
    <w:rsid w:val="00A957AD"/>
    <w:rsid w:val="00A966AA"/>
    <w:rsid w:val="00A979B1"/>
    <w:rsid w:val="00AA0951"/>
    <w:rsid w:val="00AA0979"/>
    <w:rsid w:val="00AA0A89"/>
    <w:rsid w:val="00AA137F"/>
    <w:rsid w:val="00AA1B71"/>
    <w:rsid w:val="00AA1CE5"/>
    <w:rsid w:val="00AA4AFC"/>
    <w:rsid w:val="00AA4E3C"/>
    <w:rsid w:val="00AA5368"/>
    <w:rsid w:val="00AA6429"/>
    <w:rsid w:val="00AA6937"/>
    <w:rsid w:val="00AA6C04"/>
    <w:rsid w:val="00AA7B61"/>
    <w:rsid w:val="00AB6B45"/>
    <w:rsid w:val="00AB7AD7"/>
    <w:rsid w:val="00AC01AA"/>
    <w:rsid w:val="00AC3EE9"/>
    <w:rsid w:val="00AC4F72"/>
    <w:rsid w:val="00AC5041"/>
    <w:rsid w:val="00AC5610"/>
    <w:rsid w:val="00AC5DC3"/>
    <w:rsid w:val="00AC6368"/>
    <w:rsid w:val="00AC6907"/>
    <w:rsid w:val="00AC70E8"/>
    <w:rsid w:val="00AD0150"/>
    <w:rsid w:val="00AD0A04"/>
    <w:rsid w:val="00AD13FE"/>
    <w:rsid w:val="00AD1577"/>
    <w:rsid w:val="00AD51F8"/>
    <w:rsid w:val="00AD53C7"/>
    <w:rsid w:val="00AD56D6"/>
    <w:rsid w:val="00AD69BB"/>
    <w:rsid w:val="00AD6C22"/>
    <w:rsid w:val="00AE0129"/>
    <w:rsid w:val="00AE0BF2"/>
    <w:rsid w:val="00AE1F4E"/>
    <w:rsid w:val="00AE3305"/>
    <w:rsid w:val="00AE3B8D"/>
    <w:rsid w:val="00AE419D"/>
    <w:rsid w:val="00AE482E"/>
    <w:rsid w:val="00AF0007"/>
    <w:rsid w:val="00AF08D9"/>
    <w:rsid w:val="00AF1B39"/>
    <w:rsid w:val="00AF6E6A"/>
    <w:rsid w:val="00AF73F1"/>
    <w:rsid w:val="00AF741A"/>
    <w:rsid w:val="00B01ADB"/>
    <w:rsid w:val="00B03221"/>
    <w:rsid w:val="00B03A86"/>
    <w:rsid w:val="00B03B58"/>
    <w:rsid w:val="00B04161"/>
    <w:rsid w:val="00B056F9"/>
    <w:rsid w:val="00B06576"/>
    <w:rsid w:val="00B07373"/>
    <w:rsid w:val="00B0755F"/>
    <w:rsid w:val="00B07934"/>
    <w:rsid w:val="00B1159F"/>
    <w:rsid w:val="00B11E3D"/>
    <w:rsid w:val="00B130DF"/>
    <w:rsid w:val="00B13583"/>
    <w:rsid w:val="00B14D2C"/>
    <w:rsid w:val="00B17249"/>
    <w:rsid w:val="00B17E82"/>
    <w:rsid w:val="00B2108C"/>
    <w:rsid w:val="00B254CA"/>
    <w:rsid w:val="00B26FBC"/>
    <w:rsid w:val="00B270FA"/>
    <w:rsid w:val="00B30C29"/>
    <w:rsid w:val="00B347A2"/>
    <w:rsid w:val="00B35FCB"/>
    <w:rsid w:val="00B36387"/>
    <w:rsid w:val="00B407A0"/>
    <w:rsid w:val="00B40A23"/>
    <w:rsid w:val="00B40A81"/>
    <w:rsid w:val="00B4189A"/>
    <w:rsid w:val="00B422D2"/>
    <w:rsid w:val="00B42528"/>
    <w:rsid w:val="00B43DB5"/>
    <w:rsid w:val="00B4575A"/>
    <w:rsid w:val="00B468E3"/>
    <w:rsid w:val="00B47F8E"/>
    <w:rsid w:val="00B501A1"/>
    <w:rsid w:val="00B50434"/>
    <w:rsid w:val="00B51D38"/>
    <w:rsid w:val="00B52043"/>
    <w:rsid w:val="00B541CD"/>
    <w:rsid w:val="00B55036"/>
    <w:rsid w:val="00B55F88"/>
    <w:rsid w:val="00B575BA"/>
    <w:rsid w:val="00B61F03"/>
    <w:rsid w:val="00B62111"/>
    <w:rsid w:val="00B63835"/>
    <w:rsid w:val="00B66201"/>
    <w:rsid w:val="00B66E12"/>
    <w:rsid w:val="00B676BC"/>
    <w:rsid w:val="00B711CB"/>
    <w:rsid w:val="00B71608"/>
    <w:rsid w:val="00B718D1"/>
    <w:rsid w:val="00B72905"/>
    <w:rsid w:val="00B74393"/>
    <w:rsid w:val="00B75988"/>
    <w:rsid w:val="00B7639C"/>
    <w:rsid w:val="00B76429"/>
    <w:rsid w:val="00B76EC7"/>
    <w:rsid w:val="00B7737B"/>
    <w:rsid w:val="00B86471"/>
    <w:rsid w:val="00B90F32"/>
    <w:rsid w:val="00B93402"/>
    <w:rsid w:val="00B941C6"/>
    <w:rsid w:val="00B956D4"/>
    <w:rsid w:val="00B96B4B"/>
    <w:rsid w:val="00B9719B"/>
    <w:rsid w:val="00B97446"/>
    <w:rsid w:val="00BA4BA1"/>
    <w:rsid w:val="00BA6EB6"/>
    <w:rsid w:val="00BA7432"/>
    <w:rsid w:val="00BA75E6"/>
    <w:rsid w:val="00BA77F9"/>
    <w:rsid w:val="00BA78C6"/>
    <w:rsid w:val="00BA795E"/>
    <w:rsid w:val="00BB15AD"/>
    <w:rsid w:val="00BB16F3"/>
    <w:rsid w:val="00BB2764"/>
    <w:rsid w:val="00BB2EF2"/>
    <w:rsid w:val="00BB32AE"/>
    <w:rsid w:val="00BB436F"/>
    <w:rsid w:val="00BB5CEA"/>
    <w:rsid w:val="00BB766B"/>
    <w:rsid w:val="00BC0F70"/>
    <w:rsid w:val="00BC1AA0"/>
    <w:rsid w:val="00BC2495"/>
    <w:rsid w:val="00BC314A"/>
    <w:rsid w:val="00BC3774"/>
    <w:rsid w:val="00BC4B67"/>
    <w:rsid w:val="00BC56B2"/>
    <w:rsid w:val="00BC777D"/>
    <w:rsid w:val="00BC7EB9"/>
    <w:rsid w:val="00BC7F85"/>
    <w:rsid w:val="00BD1723"/>
    <w:rsid w:val="00BD1F97"/>
    <w:rsid w:val="00BD2643"/>
    <w:rsid w:val="00BD39B8"/>
    <w:rsid w:val="00BD495E"/>
    <w:rsid w:val="00BD56B1"/>
    <w:rsid w:val="00BD61A5"/>
    <w:rsid w:val="00BD6558"/>
    <w:rsid w:val="00BD6810"/>
    <w:rsid w:val="00BD7ACF"/>
    <w:rsid w:val="00BD7D23"/>
    <w:rsid w:val="00BE1E31"/>
    <w:rsid w:val="00BE2CE4"/>
    <w:rsid w:val="00BE4E8A"/>
    <w:rsid w:val="00BE51FF"/>
    <w:rsid w:val="00BF017C"/>
    <w:rsid w:val="00BF0833"/>
    <w:rsid w:val="00BF228F"/>
    <w:rsid w:val="00BF23CA"/>
    <w:rsid w:val="00BF2AD7"/>
    <w:rsid w:val="00BF2F76"/>
    <w:rsid w:val="00BF3022"/>
    <w:rsid w:val="00BF3214"/>
    <w:rsid w:val="00BF3228"/>
    <w:rsid w:val="00BF379A"/>
    <w:rsid w:val="00BF5573"/>
    <w:rsid w:val="00BF59FC"/>
    <w:rsid w:val="00BF60E7"/>
    <w:rsid w:val="00BF65CA"/>
    <w:rsid w:val="00C0241B"/>
    <w:rsid w:val="00C02FF2"/>
    <w:rsid w:val="00C0393D"/>
    <w:rsid w:val="00C06272"/>
    <w:rsid w:val="00C1099C"/>
    <w:rsid w:val="00C156F4"/>
    <w:rsid w:val="00C15867"/>
    <w:rsid w:val="00C16D88"/>
    <w:rsid w:val="00C21B10"/>
    <w:rsid w:val="00C22398"/>
    <w:rsid w:val="00C2296D"/>
    <w:rsid w:val="00C23155"/>
    <w:rsid w:val="00C25FAF"/>
    <w:rsid w:val="00C26BDF"/>
    <w:rsid w:val="00C27901"/>
    <w:rsid w:val="00C30F7A"/>
    <w:rsid w:val="00C31341"/>
    <w:rsid w:val="00C341A9"/>
    <w:rsid w:val="00C34E84"/>
    <w:rsid w:val="00C36E78"/>
    <w:rsid w:val="00C378B1"/>
    <w:rsid w:val="00C40C41"/>
    <w:rsid w:val="00C428CC"/>
    <w:rsid w:val="00C42B0C"/>
    <w:rsid w:val="00C435E4"/>
    <w:rsid w:val="00C44202"/>
    <w:rsid w:val="00C44E3B"/>
    <w:rsid w:val="00C45885"/>
    <w:rsid w:val="00C47088"/>
    <w:rsid w:val="00C47C95"/>
    <w:rsid w:val="00C50F22"/>
    <w:rsid w:val="00C536B4"/>
    <w:rsid w:val="00C53A20"/>
    <w:rsid w:val="00C57971"/>
    <w:rsid w:val="00C6133E"/>
    <w:rsid w:val="00C6162F"/>
    <w:rsid w:val="00C63CE2"/>
    <w:rsid w:val="00C65156"/>
    <w:rsid w:val="00C65BD7"/>
    <w:rsid w:val="00C67F38"/>
    <w:rsid w:val="00C71653"/>
    <w:rsid w:val="00C73730"/>
    <w:rsid w:val="00C76BA4"/>
    <w:rsid w:val="00C76CDB"/>
    <w:rsid w:val="00C76EDE"/>
    <w:rsid w:val="00C76EE8"/>
    <w:rsid w:val="00C77D1A"/>
    <w:rsid w:val="00C807BE"/>
    <w:rsid w:val="00C83A48"/>
    <w:rsid w:val="00C85865"/>
    <w:rsid w:val="00C85E85"/>
    <w:rsid w:val="00C8720B"/>
    <w:rsid w:val="00C926C8"/>
    <w:rsid w:val="00C9342B"/>
    <w:rsid w:val="00C93E97"/>
    <w:rsid w:val="00C948AD"/>
    <w:rsid w:val="00C95489"/>
    <w:rsid w:val="00C9642E"/>
    <w:rsid w:val="00CA2EAE"/>
    <w:rsid w:val="00CA2FF4"/>
    <w:rsid w:val="00CA33BC"/>
    <w:rsid w:val="00CA3FE7"/>
    <w:rsid w:val="00CA4AC1"/>
    <w:rsid w:val="00CA59FB"/>
    <w:rsid w:val="00CA5C76"/>
    <w:rsid w:val="00CB0316"/>
    <w:rsid w:val="00CB0B11"/>
    <w:rsid w:val="00CB162F"/>
    <w:rsid w:val="00CB1DBA"/>
    <w:rsid w:val="00CB1F29"/>
    <w:rsid w:val="00CB2C0E"/>
    <w:rsid w:val="00CB422F"/>
    <w:rsid w:val="00CB426A"/>
    <w:rsid w:val="00CB45EF"/>
    <w:rsid w:val="00CB5354"/>
    <w:rsid w:val="00CB53EF"/>
    <w:rsid w:val="00CB7239"/>
    <w:rsid w:val="00CC1AE6"/>
    <w:rsid w:val="00CC2F5E"/>
    <w:rsid w:val="00CC3C9E"/>
    <w:rsid w:val="00CC6A14"/>
    <w:rsid w:val="00CC6BF4"/>
    <w:rsid w:val="00CC70A3"/>
    <w:rsid w:val="00CC7C2B"/>
    <w:rsid w:val="00CC7C83"/>
    <w:rsid w:val="00CC7CFA"/>
    <w:rsid w:val="00CD4442"/>
    <w:rsid w:val="00CD53C3"/>
    <w:rsid w:val="00CD574E"/>
    <w:rsid w:val="00CE0866"/>
    <w:rsid w:val="00CE0F54"/>
    <w:rsid w:val="00CE17A7"/>
    <w:rsid w:val="00CE1A23"/>
    <w:rsid w:val="00CE1ACC"/>
    <w:rsid w:val="00CE20A9"/>
    <w:rsid w:val="00CE2C54"/>
    <w:rsid w:val="00CE4C22"/>
    <w:rsid w:val="00CE4C2E"/>
    <w:rsid w:val="00CE76E5"/>
    <w:rsid w:val="00CF3D3B"/>
    <w:rsid w:val="00CF41EC"/>
    <w:rsid w:val="00CF5D04"/>
    <w:rsid w:val="00CF5DBA"/>
    <w:rsid w:val="00CF7E8F"/>
    <w:rsid w:val="00D01C12"/>
    <w:rsid w:val="00D02F43"/>
    <w:rsid w:val="00D04DE4"/>
    <w:rsid w:val="00D04FD7"/>
    <w:rsid w:val="00D063F1"/>
    <w:rsid w:val="00D06D55"/>
    <w:rsid w:val="00D0770D"/>
    <w:rsid w:val="00D11735"/>
    <w:rsid w:val="00D11E17"/>
    <w:rsid w:val="00D12C4B"/>
    <w:rsid w:val="00D14426"/>
    <w:rsid w:val="00D14F22"/>
    <w:rsid w:val="00D20F0F"/>
    <w:rsid w:val="00D21EFC"/>
    <w:rsid w:val="00D2353A"/>
    <w:rsid w:val="00D241EF"/>
    <w:rsid w:val="00D2511A"/>
    <w:rsid w:val="00D25D68"/>
    <w:rsid w:val="00D26D68"/>
    <w:rsid w:val="00D30F8A"/>
    <w:rsid w:val="00D321FC"/>
    <w:rsid w:val="00D3335A"/>
    <w:rsid w:val="00D35481"/>
    <w:rsid w:val="00D354ED"/>
    <w:rsid w:val="00D35F78"/>
    <w:rsid w:val="00D37391"/>
    <w:rsid w:val="00D37BE7"/>
    <w:rsid w:val="00D4270A"/>
    <w:rsid w:val="00D42D25"/>
    <w:rsid w:val="00D4741C"/>
    <w:rsid w:val="00D4762C"/>
    <w:rsid w:val="00D505AB"/>
    <w:rsid w:val="00D54C09"/>
    <w:rsid w:val="00D55984"/>
    <w:rsid w:val="00D57918"/>
    <w:rsid w:val="00D62B6E"/>
    <w:rsid w:val="00D634D7"/>
    <w:rsid w:val="00D665F8"/>
    <w:rsid w:val="00D66E90"/>
    <w:rsid w:val="00D70930"/>
    <w:rsid w:val="00D70B0E"/>
    <w:rsid w:val="00D729A4"/>
    <w:rsid w:val="00D72C94"/>
    <w:rsid w:val="00D73DC6"/>
    <w:rsid w:val="00D74A61"/>
    <w:rsid w:val="00D74C1A"/>
    <w:rsid w:val="00D754C1"/>
    <w:rsid w:val="00D77393"/>
    <w:rsid w:val="00D77A35"/>
    <w:rsid w:val="00D814A3"/>
    <w:rsid w:val="00D81B3E"/>
    <w:rsid w:val="00D83388"/>
    <w:rsid w:val="00D85D6E"/>
    <w:rsid w:val="00D864CC"/>
    <w:rsid w:val="00D86D86"/>
    <w:rsid w:val="00D87CD4"/>
    <w:rsid w:val="00D87E98"/>
    <w:rsid w:val="00D90BC0"/>
    <w:rsid w:val="00D90C70"/>
    <w:rsid w:val="00D90E49"/>
    <w:rsid w:val="00D929FD"/>
    <w:rsid w:val="00D95C12"/>
    <w:rsid w:val="00D96A0C"/>
    <w:rsid w:val="00D96ADE"/>
    <w:rsid w:val="00D96C8E"/>
    <w:rsid w:val="00D972E3"/>
    <w:rsid w:val="00DA09AC"/>
    <w:rsid w:val="00DA0CE2"/>
    <w:rsid w:val="00DA0F43"/>
    <w:rsid w:val="00DA1DA2"/>
    <w:rsid w:val="00DA21BE"/>
    <w:rsid w:val="00DA2387"/>
    <w:rsid w:val="00DA31C6"/>
    <w:rsid w:val="00DA3689"/>
    <w:rsid w:val="00DA3784"/>
    <w:rsid w:val="00DA3987"/>
    <w:rsid w:val="00DA4C5C"/>
    <w:rsid w:val="00DA5116"/>
    <w:rsid w:val="00DB06C2"/>
    <w:rsid w:val="00DB0C90"/>
    <w:rsid w:val="00DB1469"/>
    <w:rsid w:val="00DB1EE3"/>
    <w:rsid w:val="00DB246C"/>
    <w:rsid w:val="00DB4A51"/>
    <w:rsid w:val="00DB4F5C"/>
    <w:rsid w:val="00DB5522"/>
    <w:rsid w:val="00DB5D7A"/>
    <w:rsid w:val="00DB6EF4"/>
    <w:rsid w:val="00DB7E64"/>
    <w:rsid w:val="00DC251C"/>
    <w:rsid w:val="00DC3512"/>
    <w:rsid w:val="00DC52B0"/>
    <w:rsid w:val="00DC6A10"/>
    <w:rsid w:val="00DC6B6D"/>
    <w:rsid w:val="00DC6DAC"/>
    <w:rsid w:val="00DC6E5A"/>
    <w:rsid w:val="00DD106E"/>
    <w:rsid w:val="00DD11C9"/>
    <w:rsid w:val="00DD3162"/>
    <w:rsid w:val="00DD320C"/>
    <w:rsid w:val="00DD3CE6"/>
    <w:rsid w:val="00DD4F8E"/>
    <w:rsid w:val="00DD787C"/>
    <w:rsid w:val="00DD7FF5"/>
    <w:rsid w:val="00DE028B"/>
    <w:rsid w:val="00DE0815"/>
    <w:rsid w:val="00DE1240"/>
    <w:rsid w:val="00DE4808"/>
    <w:rsid w:val="00DE4A26"/>
    <w:rsid w:val="00DE657E"/>
    <w:rsid w:val="00DF2AED"/>
    <w:rsid w:val="00DF4704"/>
    <w:rsid w:val="00DF5271"/>
    <w:rsid w:val="00DF5323"/>
    <w:rsid w:val="00DF568B"/>
    <w:rsid w:val="00DF620D"/>
    <w:rsid w:val="00DF6E39"/>
    <w:rsid w:val="00E00654"/>
    <w:rsid w:val="00E00E07"/>
    <w:rsid w:val="00E01303"/>
    <w:rsid w:val="00E01E75"/>
    <w:rsid w:val="00E02298"/>
    <w:rsid w:val="00E024AA"/>
    <w:rsid w:val="00E02729"/>
    <w:rsid w:val="00E03A97"/>
    <w:rsid w:val="00E04A74"/>
    <w:rsid w:val="00E11888"/>
    <w:rsid w:val="00E122D3"/>
    <w:rsid w:val="00E14471"/>
    <w:rsid w:val="00E15C77"/>
    <w:rsid w:val="00E1693E"/>
    <w:rsid w:val="00E1724D"/>
    <w:rsid w:val="00E1733E"/>
    <w:rsid w:val="00E17B7A"/>
    <w:rsid w:val="00E20075"/>
    <w:rsid w:val="00E2091A"/>
    <w:rsid w:val="00E20CC3"/>
    <w:rsid w:val="00E21629"/>
    <w:rsid w:val="00E2228C"/>
    <w:rsid w:val="00E2339F"/>
    <w:rsid w:val="00E23575"/>
    <w:rsid w:val="00E250F1"/>
    <w:rsid w:val="00E3004E"/>
    <w:rsid w:val="00E301EC"/>
    <w:rsid w:val="00E30F3A"/>
    <w:rsid w:val="00E331FF"/>
    <w:rsid w:val="00E33988"/>
    <w:rsid w:val="00E3550D"/>
    <w:rsid w:val="00E4004A"/>
    <w:rsid w:val="00E412D8"/>
    <w:rsid w:val="00E44823"/>
    <w:rsid w:val="00E45905"/>
    <w:rsid w:val="00E45FD1"/>
    <w:rsid w:val="00E46828"/>
    <w:rsid w:val="00E47126"/>
    <w:rsid w:val="00E475CF"/>
    <w:rsid w:val="00E47DF1"/>
    <w:rsid w:val="00E52838"/>
    <w:rsid w:val="00E53A82"/>
    <w:rsid w:val="00E54F10"/>
    <w:rsid w:val="00E562B0"/>
    <w:rsid w:val="00E60D7E"/>
    <w:rsid w:val="00E60F93"/>
    <w:rsid w:val="00E614E0"/>
    <w:rsid w:val="00E62C7C"/>
    <w:rsid w:val="00E6302E"/>
    <w:rsid w:val="00E66FD1"/>
    <w:rsid w:val="00E710E9"/>
    <w:rsid w:val="00E71549"/>
    <w:rsid w:val="00E72273"/>
    <w:rsid w:val="00E72B9C"/>
    <w:rsid w:val="00E72FDC"/>
    <w:rsid w:val="00E73F7F"/>
    <w:rsid w:val="00E744E3"/>
    <w:rsid w:val="00E753E8"/>
    <w:rsid w:val="00E81908"/>
    <w:rsid w:val="00E8281D"/>
    <w:rsid w:val="00E82F9B"/>
    <w:rsid w:val="00E834C8"/>
    <w:rsid w:val="00E83D46"/>
    <w:rsid w:val="00E84625"/>
    <w:rsid w:val="00E85409"/>
    <w:rsid w:val="00E87FEB"/>
    <w:rsid w:val="00E9063C"/>
    <w:rsid w:val="00E92C36"/>
    <w:rsid w:val="00E92C86"/>
    <w:rsid w:val="00E9339B"/>
    <w:rsid w:val="00E9539B"/>
    <w:rsid w:val="00E95A01"/>
    <w:rsid w:val="00E960DE"/>
    <w:rsid w:val="00E963B1"/>
    <w:rsid w:val="00E965BE"/>
    <w:rsid w:val="00E97B5E"/>
    <w:rsid w:val="00EA0BE2"/>
    <w:rsid w:val="00EA2424"/>
    <w:rsid w:val="00EA429F"/>
    <w:rsid w:val="00EA46E4"/>
    <w:rsid w:val="00EA4F9E"/>
    <w:rsid w:val="00EA5552"/>
    <w:rsid w:val="00EA598B"/>
    <w:rsid w:val="00EA63CA"/>
    <w:rsid w:val="00EA6D3B"/>
    <w:rsid w:val="00EA7674"/>
    <w:rsid w:val="00EB003B"/>
    <w:rsid w:val="00EB00AD"/>
    <w:rsid w:val="00EB136C"/>
    <w:rsid w:val="00EB1574"/>
    <w:rsid w:val="00EB21E8"/>
    <w:rsid w:val="00EB2FB0"/>
    <w:rsid w:val="00EB480E"/>
    <w:rsid w:val="00EB5EC6"/>
    <w:rsid w:val="00EB5F48"/>
    <w:rsid w:val="00EB7FC9"/>
    <w:rsid w:val="00EC176C"/>
    <w:rsid w:val="00EC246E"/>
    <w:rsid w:val="00EC2D85"/>
    <w:rsid w:val="00EC38E4"/>
    <w:rsid w:val="00EC3C83"/>
    <w:rsid w:val="00EC59DE"/>
    <w:rsid w:val="00EC7F83"/>
    <w:rsid w:val="00ED053F"/>
    <w:rsid w:val="00ED0EF3"/>
    <w:rsid w:val="00ED102A"/>
    <w:rsid w:val="00ED132B"/>
    <w:rsid w:val="00ED140A"/>
    <w:rsid w:val="00ED221F"/>
    <w:rsid w:val="00ED27E8"/>
    <w:rsid w:val="00ED29B3"/>
    <w:rsid w:val="00ED3345"/>
    <w:rsid w:val="00ED353E"/>
    <w:rsid w:val="00ED3BEA"/>
    <w:rsid w:val="00ED5DF2"/>
    <w:rsid w:val="00ED6D22"/>
    <w:rsid w:val="00ED7137"/>
    <w:rsid w:val="00EE0200"/>
    <w:rsid w:val="00EE0AD9"/>
    <w:rsid w:val="00EE0B02"/>
    <w:rsid w:val="00EE0FC2"/>
    <w:rsid w:val="00EE1C8F"/>
    <w:rsid w:val="00EE2FA2"/>
    <w:rsid w:val="00EE30C4"/>
    <w:rsid w:val="00EE3E90"/>
    <w:rsid w:val="00EE3F5E"/>
    <w:rsid w:val="00EE5990"/>
    <w:rsid w:val="00EE6BCB"/>
    <w:rsid w:val="00EF06EA"/>
    <w:rsid w:val="00EF2034"/>
    <w:rsid w:val="00EF3079"/>
    <w:rsid w:val="00EF554A"/>
    <w:rsid w:val="00EF7A9B"/>
    <w:rsid w:val="00EF7CBA"/>
    <w:rsid w:val="00F00935"/>
    <w:rsid w:val="00F017AC"/>
    <w:rsid w:val="00F03B3C"/>
    <w:rsid w:val="00F054E1"/>
    <w:rsid w:val="00F060A2"/>
    <w:rsid w:val="00F07604"/>
    <w:rsid w:val="00F10452"/>
    <w:rsid w:val="00F12577"/>
    <w:rsid w:val="00F13B13"/>
    <w:rsid w:val="00F13E49"/>
    <w:rsid w:val="00F15F3F"/>
    <w:rsid w:val="00F16302"/>
    <w:rsid w:val="00F21088"/>
    <w:rsid w:val="00F22296"/>
    <w:rsid w:val="00F22C5B"/>
    <w:rsid w:val="00F23609"/>
    <w:rsid w:val="00F24778"/>
    <w:rsid w:val="00F24C24"/>
    <w:rsid w:val="00F258A3"/>
    <w:rsid w:val="00F27648"/>
    <w:rsid w:val="00F27B1A"/>
    <w:rsid w:val="00F326BF"/>
    <w:rsid w:val="00F327E7"/>
    <w:rsid w:val="00F32900"/>
    <w:rsid w:val="00F338A1"/>
    <w:rsid w:val="00F347F3"/>
    <w:rsid w:val="00F35296"/>
    <w:rsid w:val="00F35746"/>
    <w:rsid w:val="00F3772C"/>
    <w:rsid w:val="00F40291"/>
    <w:rsid w:val="00F41B45"/>
    <w:rsid w:val="00F41C0A"/>
    <w:rsid w:val="00F439C2"/>
    <w:rsid w:val="00F43B53"/>
    <w:rsid w:val="00F447C7"/>
    <w:rsid w:val="00F459B4"/>
    <w:rsid w:val="00F4672D"/>
    <w:rsid w:val="00F51EF5"/>
    <w:rsid w:val="00F5211B"/>
    <w:rsid w:val="00F54C52"/>
    <w:rsid w:val="00F554A9"/>
    <w:rsid w:val="00F56367"/>
    <w:rsid w:val="00F56938"/>
    <w:rsid w:val="00F600AB"/>
    <w:rsid w:val="00F62CAE"/>
    <w:rsid w:val="00F6313D"/>
    <w:rsid w:val="00F63672"/>
    <w:rsid w:val="00F64AFB"/>
    <w:rsid w:val="00F66BB0"/>
    <w:rsid w:val="00F67667"/>
    <w:rsid w:val="00F716FD"/>
    <w:rsid w:val="00F729DB"/>
    <w:rsid w:val="00F74E7D"/>
    <w:rsid w:val="00F751A3"/>
    <w:rsid w:val="00F75A46"/>
    <w:rsid w:val="00F76522"/>
    <w:rsid w:val="00F80355"/>
    <w:rsid w:val="00F807EF"/>
    <w:rsid w:val="00F82203"/>
    <w:rsid w:val="00F82D96"/>
    <w:rsid w:val="00F86D83"/>
    <w:rsid w:val="00F87888"/>
    <w:rsid w:val="00F87C43"/>
    <w:rsid w:val="00F90D5D"/>
    <w:rsid w:val="00F917CC"/>
    <w:rsid w:val="00F960DE"/>
    <w:rsid w:val="00F96B4F"/>
    <w:rsid w:val="00F97838"/>
    <w:rsid w:val="00FA05C0"/>
    <w:rsid w:val="00FA2896"/>
    <w:rsid w:val="00FA2EB1"/>
    <w:rsid w:val="00FA3DF4"/>
    <w:rsid w:val="00FA51B6"/>
    <w:rsid w:val="00FA5722"/>
    <w:rsid w:val="00FA61F3"/>
    <w:rsid w:val="00FA6E85"/>
    <w:rsid w:val="00FA77EE"/>
    <w:rsid w:val="00FA7C46"/>
    <w:rsid w:val="00FB0C81"/>
    <w:rsid w:val="00FB342C"/>
    <w:rsid w:val="00FB4CD2"/>
    <w:rsid w:val="00FB6A39"/>
    <w:rsid w:val="00FC0357"/>
    <w:rsid w:val="00FC2200"/>
    <w:rsid w:val="00FC2540"/>
    <w:rsid w:val="00FC27EC"/>
    <w:rsid w:val="00FC2B76"/>
    <w:rsid w:val="00FC4691"/>
    <w:rsid w:val="00FC5410"/>
    <w:rsid w:val="00FD0DCF"/>
    <w:rsid w:val="00FD2D92"/>
    <w:rsid w:val="00FD3414"/>
    <w:rsid w:val="00FD4AA5"/>
    <w:rsid w:val="00FD58E1"/>
    <w:rsid w:val="00FD73E6"/>
    <w:rsid w:val="00FD7BDC"/>
    <w:rsid w:val="00FD7CEC"/>
    <w:rsid w:val="00FE20D8"/>
    <w:rsid w:val="00FE49B6"/>
    <w:rsid w:val="00FE6357"/>
    <w:rsid w:val="00FF0204"/>
    <w:rsid w:val="00FF0A92"/>
    <w:rsid w:val="00FF3258"/>
    <w:rsid w:val="00FF3AED"/>
    <w:rsid w:val="00FF418C"/>
    <w:rsid w:val="00FF73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1C1E5E89-C314-4879-BFE2-B7B64C04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LU" w:eastAsia="fr-L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2Vert">
      <w:tblPr/>
      <w:tcPr>
        <w:shd w:val="pct50" w:color="C0C0C0" w:fill="FFFFFF"/>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tblPr/>
      <w:tcPr>
        <w:tcBorders>
          <w:tl2br w:val="none" w:sz="0" w:space="0" w:color="auto"/>
          <w:tr2bl w:val="none" w:sz="0" w:space="0" w:color="auto"/>
        </w:tcBorders>
        <w:shd w:val="solid" w:color="00000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style>
  <w:style w:type="table" w:styleId="TableList5">
    <w:name w:val="Table List 5"/>
    <w:basedOn w:val="TableNormal"/>
    <w:semiHidden/>
    <w:rsid w:val="00493D40"/>
    <w:pPr>
      <w:jc w:val="both"/>
    </w:pPr>
    <w:tblPr/>
    <w:tcPr>
      <w:tcBorders>
        <w:bottom w:val="single" w:sz="12" w:space="0" w:color="000000"/>
      </w:tcBorders>
      <w:shd w:val="clear" w:color="auto" w:fill="auto"/>
    </w:tcPr>
  </w:style>
  <w:style w:type="table" w:styleId="TableList6">
    <w:name w:val="Table List 6"/>
    <w:basedOn w:val="TableNormal"/>
    <w:semiHidden/>
    <w:rsid w:val="00493D40"/>
    <w:pPr>
      <w:jc w:val="both"/>
    </w:pPr>
    <w:tblPr>
      <w:tblStyleRowBandSize w:val="1"/>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tblPr/>
      <w:tcPr>
        <w:tcBorders>
          <w:bottom w:val="single" w:sz="12"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style>
  <w:style w:type="table" w:styleId="TableWeb2">
    <w:name w:val="Table Web 2"/>
    <w:basedOn w:val="TableNormal"/>
    <w:semiHidden/>
    <w:rsid w:val="00493D40"/>
    <w:pPr>
      <w:jc w:val="both"/>
    </w:pPr>
    <w:tblPr/>
  </w:style>
  <w:style w:type="table" w:styleId="TableWeb3">
    <w:name w:val="Table Web 3"/>
    <w:basedOn w:val="TableNormal"/>
    <w:semiHidden/>
    <w:rsid w:val="00493D40"/>
    <w:pPr>
      <w:jc w:val="both"/>
    </w:pPr>
    <w:tbl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rPr>
  </w:style>
  <w:style w:type="character" w:customStyle="1" w:styleId="Heading5Char">
    <w:name w:val="Heading 5 Char"/>
    <w:basedOn w:val="DefaultParagraphFont"/>
    <w:link w:val="Heading5"/>
    <w:rsid w:val="00E9063C"/>
    <w:rPr>
      <w:sz w:val="22"/>
      <w:szCs w:val="22"/>
    </w:rPr>
  </w:style>
  <w:style w:type="character" w:customStyle="1" w:styleId="Heading6Char">
    <w:name w:val="Heading 6 Char"/>
    <w:basedOn w:val="DefaultParagraphFont"/>
    <w:link w:val="Heading6"/>
    <w:rsid w:val="00E9063C"/>
    <w:rPr>
      <w:rFonts w:ascii="Arial" w:hAnsi="Arial"/>
      <w:i/>
      <w:sz w:val="22"/>
      <w:szCs w:val="22"/>
    </w:rPr>
  </w:style>
  <w:style w:type="character" w:customStyle="1" w:styleId="Heading7Char">
    <w:name w:val="Heading 7 Char"/>
    <w:basedOn w:val="DefaultParagraphFont"/>
    <w:link w:val="Heading7"/>
    <w:rsid w:val="00E9063C"/>
    <w:rPr>
      <w:rFonts w:ascii="Arial" w:hAnsi="Arial"/>
      <w:sz w:val="22"/>
      <w:szCs w:val="22"/>
    </w:rPr>
  </w:style>
  <w:style w:type="character" w:customStyle="1" w:styleId="Heading8Char">
    <w:name w:val="Heading 8 Char"/>
    <w:basedOn w:val="DefaultParagraphFont"/>
    <w:link w:val="Heading8"/>
    <w:rsid w:val="00E9063C"/>
    <w:rPr>
      <w:b/>
      <w:sz w:val="22"/>
      <w:szCs w:val="22"/>
    </w:rPr>
  </w:style>
  <w:style w:type="character" w:customStyle="1" w:styleId="Heading9Char">
    <w:name w:val="Heading 9 Char"/>
    <w:basedOn w:val="DefaultParagraphFont"/>
    <w:link w:val="Heading9"/>
    <w:rsid w:val="00E9063C"/>
    <w:rPr>
      <w:rFonts w:ascii="Arial" w:hAnsi="Arial"/>
      <w:i/>
      <w:sz w:val="18"/>
      <w:szCs w:val="22"/>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rPr>
  </w:style>
  <w:style w:type="character" w:customStyle="1" w:styleId="FooterChar">
    <w:name w:val="Footer Char"/>
    <w:basedOn w:val="DefaultParagraphFont"/>
    <w:link w:val="Footer"/>
    <w:uiPriority w:val="99"/>
    <w:rsid w:val="00E9063C"/>
    <w:rPr>
      <w:sz w:val="22"/>
      <w:szCs w:val="22"/>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rPr>
  </w:style>
  <w:style w:type="character" w:customStyle="1" w:styleId="BodyTextIndent3Char">
    <w:name w:val="Body Text Indent 3 Char"/>
    <w:basedOn w:val="DefaultParagraphFont"/>
    <w:link w:val="BodyTextIndent3"/>
    <w:semiHidden/>
    <w:rsid w:val="00E9063C"/>
    <w:rPr>
      <w:sz w:val="16"/>
      <w:szCs w:val="16"/>
    </w:rPr>
  </w:style>
  <w:style w:type="character" w:customStyle="1" w:styleId="PlainTextChar">
    <w:name w:val="Plain Text Char"/>
    <w:basedOn w:val="DefaultParagraphFont"/>
    <w:link w:val="PlainText"/>
    <w:semiHidden/>
    <w:rsid w:val="00E9063C"/>
    <w:rPr>
      <w:rFonts w:ascii="Courier New" w:hAnsi="Courier New" w:cs="Courier New"/>
      <w:szCs w:val="22"/>
    </w:rPr>
  </w:style>
  <w:style w:type="character" w:customStyle="1" w:styleId="SubtitleChar">
    <w:name w:val="Subtitle Char"/>
    <w:basedOn w:val="DefaultParagraphFont"/>
    <w:link w:val="Subtitle"/>
    <w:rsid w:val="00E9063C"/>
    <w:rPr>
      <w:rFonts w:ascii="Arial" w:hAnsi="Arial" w:cs="Arial"/>
      <w:sz w:val="22"/>
      <w:szCs w:val="22"/>
    </w:rPr>
  </w:style>
  <w:style w:type="character" w:customStyle="1" w:styleId="TitleChar">
    <w:name w:val="Title Char"/>
    <w:basedOn w:val="DefaultParagraphFont"/>
    <w:link w:val="Title"/>
    <w:rsid w:val="00E9063C"/>
    <w:rPr>
      <w:rFonts w:ascii="Arial" w:hAnsi="Arial" w:cs="Arial"/>
      <w:b/>
      <w:bCs/>
      <w:kern w:val="28"/>
      <w:sz w:val="22"/>
      <w:szCs w:val="22"/>
    </w:rPr>
  </w:style>
  <w:style w:type="character" w:customStyle="1" w:styleId="DateChar">
    <w:name w:val="Date Char"/>
    <w:basedOn w:val="DefaultParagraphFont"/>
    <w:link w:val="Date"/>
    <w:rsid w:val="00E9063C"/>
    <w:rPr>
      <w:sz w:val="22"/>
      <w:szCs w:val="22"/>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rPr>
  </w:style>
  <w:style w:type="character" w:customStyle="1" w:styleId="markedcontent">
    <w:name w:val="markedcontent"/>
    <w:basedOn w:val="DefaultParagraphFont"/>
    <w:rsid w:val="00E9063C"/>
    <w:rPr>
      <w:rFonts w:ascii="Times New Roman" w:hAnsi="Times New Roman"/>
    </w:rPr>
  </w:style>
  <w:style w:type="character" w:customStyle="1" w:styleId="highlight">
    <w:name w:val="highlight"/>
    <w:basedOn w:val="DefaultParagraphFont"/>
    <w:rsid w:val="00E9063C"/>
    <w:rPr>
      <w:rFonts w:ascii="Times New Roman" w:hAnsi="Times New Roman"/>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D01C12"/>
    <w:rPr>
      <w:sz w:val="22"/>
      <w:szCs w:val="22"/>
    </w:rPr>
  </w:style>
  <w:style w:type="character" w:styleId="Strong">
    <w:name w:val="Strong"/>
    <w:basedOn w:val="DefaultParagraphFont"/>
    <w:uiPriority w:val="22"/>
    <w:qFormat/>
    <w:rsid w:val="003218AA"/>
    <w:rPr>
      <w:b/>
      <w:bCs/>
    </w:rPr>
  </w:style>
  <w:style w:type="character" w:customStyle="1" w:styleId="normaltextrun">
    <w:name w:val="normaltextrun"/>
    <w:basedOn w:val="DefaultParagraphFont"/>
    <w:rsid w:val="0012000E"/>
    <w:rPr>
      <w:rFonts w:ascii="Times New Roman" w:hAnsi="Times New Roman"/>
    </w:rPr>
  </w:style>
  <w:style w:type="character" w:customStyle="1" w:styleId="eop">
    <w:name w:val="eop"/>
    <w:basedOn w:val="DefaultParagraphFont"/>
    <w:rsid w:val="0012000E"/>
    <w:rPr>
      <w:rFonts w:ascii="Times New Roman" w:hAnsi="Times New Rom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2000E"/>
    <w:pPr>
      <w:spacing w:after="160" w:line="240" w:lineRule="exact"/>
    </w:pPr>
    <w:rPr>
      <w:sz w:val="20"/>
      <w:szCs w:val="20"/>
      <w:vertAlign w:val="superscript"/>
    </w:rPr>
  </w:style>
  <w:style w:type="character" w:customStyle="1" w:styleId="ui-provider">
    <w:name w:val="ui-provider"/>
    <w:basedOn w:val="DefaultParagraphFont"/>
    <w:rsid w:val="0012000E"/>
    <w:rPr>
      <w:rFonts w:ascii="Times New Roman" w:hAnsi="Times New Roman"/>
    </w:rPr>
  </w:style>
  <w:style w:type="character" w:styleId="Hyperlink">
    <w:name w:val="Hyperlink"/>
    <w:basedOn w:val="DefaultParagraphFont"/>
    <w:uiPriority w:val="99"/>
    <w:unhideWhenUsed/>
    <w:rsid w:val="0012000E"/>
    <w:rPr>
      <w:color w:val="0000FF" w:themeColor="hyperlink"/>
      <w:u w:val="single"/>
    </w:rPr>
  </w:style>
  <w:style w:type="character" w:styleId="UnresolvedMention">
    <w:name w:val="Unresolved Mention"/>
    <w:basedOn w:val="DefaultParagraphFont"/>
    <w:uiPriority w:val="99"/>
    <w:semiHidden/>
    <w:unhideWhenUsed/>
    <w:rsid w:val="0012000E"/>
    <w:rPr>
      <w:color w:val="605E5C"/>
      <w:shd w:val="clear" w:color="auto" w:fill="E1DFDD"/>
    </w:rPr>
  </w:style>
  <w:style w:type="paragraph" w:customStyle="1" w:styleId="Default">
    <w:name w:val="Default"/>
    <w:rsid w:val="0012000E"/>
    <w:pPr>
      <w:autoSpaceDE w:val="0"/>
      <w:autoSpaceDN w:val="0"/>
      <w:adjustRightInd w:val="0"/>
    </w:pPr>
    <w:rPr>
      <w:rFonts w:ascii="Calibri" w:eastAsiaTheme="minorHAnsi" w:hAnsi="Calibri" w:cs="Calibri"/>
      <w:color w:val="000000"/>
      <w:sz w:val="24"/>
      <w:szCs w:val="24"/>
      <w14:ligatures w14:val="standardContextual"/>
    </w:rPr>
  </w:style>
  <w:style w:type="character" w:styleId="FollowedHyperlink">
    <w:name w:val="FollowedHyperlink"/>
    <w:basedOn w:val="DefaultParagraphFont"/>
    <w:uiPriority w:val="99"/>
    <w:semiHidden/>
    <w:unhideWhenUsed/>
    <w:rsid w:val="000C6B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united4efficiency.org/wp-content/uploads/2021/11/U4E_AC_Model-Regulation_EN_2021-11-0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sharepoint/v3"/>
    <ds:schemaRef ds:uri="http://purl.org/dc/elements/1.1/"/>
    <ds:schemaRef ds:uri="http://schemas.microsoft.com/office/2006/metadata/properties"/>
    <ds:schemaRef ds:uri="http://purl.org/dc/dcmitype/"/>
    <ds:schemaRef ds:uri="http://www.w3.org/XML/1998/namespace"/>
    <ds:schemaRef ds:uri="eb6c2e4c-3f1c-4103-a37b-37c984dbe58f"/>
    <ds:schemaRef ds:uri="b93c647f-d63b-431a-95c8-8e00048cff23"/>
    <ds:schemaRef ds:uri="http://schemas.openxmlformats.org/package/2006/metadata/core-properties"/>
    <ds:schemaRef ds:uri="http://schemas.microsoft.com/office/2006/documentManagement/typ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7460B44-0254-497B-9384-81B556691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12</TotalTime>
  <Pages>25</Pages>
  <Words>12097</Words>
  <Characters>65088</Characters>
  <Application>Microsoft Office Word</Application>
  <DocSecurity>0</DocSecurity>
  <Lines>1627</Lines>
  <Paragraphs>929</Paragraphs>
  <ScaleCrop>false</ScaleCrop>
  <HeadingPairs>
    <vt:vector size="2" baseType="variant">
      <vt:variant>
        <vt:lpstr>Title</vt:lpstr>
      </vt:variant>
      <vt:variant>
        <vt:i4>1</vt:i4>
      </vt:variant>
    </vt:vector>
  </HeadingPairs>
  <TitlesOfParts>
    <vt:vector size="1" baseType="lpstr">
      <vt:lpstr>Propositions de projet : Tunisie</vt:lpstr>
    </vt:vector>
  </TitlesOfParts>
  <Company>UNMFS</Company>
  <LinksUpToDate>false</LinksUpToDate>
  <CharactersWithSpaces>76256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Tunisie</dc:title>
  <dc:subject/>
  <dc:creator>FSM KM</dc:creator>
  <cp:keywords/>
  <dc:description/>
  <cp:lastModifiedBy>Angela Xue He Yan</cp:lastModifiedBy>
  <cp:revision>12</cp:revision>
  <cp:lastPrinted>2025-11-05T22:22:00Z</cp:lastPrinted>
  <dcterms:created xsi:type="dcterms:W3CDTF">2025-11-11T19:54:00Z</dcterms:created>
  <dcterms:modified xsi:type="dcterms:W3CDTF">2025-11-13T15:03:00Z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UNEP/OzL.Pro/ExCom/97/80</vt:lpwstr>
  </property>
  <property fmtid="{D5CDD505-2E9C-101B-9397-08002B2CF9AE}" pid="3" name="Revision date">
    <vt:lpwstr>11/5/2025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2025-11-05T21:49:22Z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e51fc8b4-c2cf-4d73-8573-b73d9db9e776</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Title">
    <vt:lpwstr>Propositions de projet : Tunisie</vt:lpwstr>
  </property>
</Properties>
</file>