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6100A6">
        <w:trPr>
          <w:trHeight w:val="720"/>
        </w:trPr>
        <w:tc>
          <w:tcPr>
            <w:tcW w:w="5490" w:type="dxa"/>
            <w:gridSpan w:val="2"/>
            <w:tcBorders>
              <w:bottom w:val="single" w:sz="18" w:space="0" w:color="auto"/>
            </w:tcBorders>
          </w:tcPr>
          <w:p w:rsidR="00C15867" w:rsidRPr="0000434E" w:rsidRDefault="00C15867" w:rsidP="006100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6100A6">
            <w:pPr>
              <w:jc w:val="right"/>
              <w:rPr>
                <w:sz w:val="52"/>
                <w:szCs w:val="52"/>
              </w:rPr>
            </w:pPr>
            <w:r>
              <w:rPr>
                <w:rFonts w:ascii="Univers Bold" w:hAnsi="Univers Bold"/>
                <w:b/>
                <w:sz w:val="72"/>
              </w:rPr>
              <w:t>EP</w:t>
            </w:r>
          </w:p>
        </w:tc>
      </w:tr>
      <w:tr w:rsidR="00C15867" w:rsidTr="006100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6100A6">
            <w:pPr>
              <w:spacing w:before="120"/>
            </w:pPr>
            <w:r>
              <w:rPr>
                <w:noProof/>
                <w:lang w:val="en-US"/>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6100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6100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6100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6100A6">
            <w:pPr>
              <w:spacing w:before="720"/>
              <w:ind w:left="158"/>
            </w:pPr>
          </w:p>
        </w:tc>
        <w:tc>
          <w:tcPr>
            <w:tcW w:w="4590" w:type="dxa"/>
            <w:tcBorders>
              <w:top w:val="nil"/>
              <w:left w:val="nil"/>
              <w:bottom w:val="single" w:sz="36" w:space="0" w:color="auto"/>
              <w:right w:val="nil"/>
            </w:tcBorders>
          </w:tcPr>
          <w:p w:rsidR="00C15867" w:rsidRPr="0033525D" w:rsidRDefault="00C15867" w:rsidP="006100A6">
            <w:r w:rsidRPr="0033525D">
              <w:t>Distr.</w:t>
            </w:r>
          </w:p>
          <w:p w:rsidR="00923540" w:rsidRPr="0033525D" w:rsidRDefault="00923540" w:rsidP="00923540">
            <w:r w:rsidRPr="0033525D">
              <w:t>GENERAL</w:t>
            </w:r>
          </w:p>
          <w:p w:rsidR="00C15867" w:rsidRPr="0033525D" w:rsidRDefault="00C15867" w:rsidP="006100A6"/>
          <w:p w:rsidR="00C15867" w:rsidRPr="003F73BA" w:rsidRDefault="00C15867" w:rsidP="006100A6"/>
          <w:p w:rsidR="00C15867" w:rsidRPr="003F73BA" w:rsidRDefault="00DA368F" w:rsidP="006100A6">
            <w:r>
              <w:fldChar w:fldCharType="begin"/>
            </w:r>
            <w:r>
              <w:instrText xml:space="preserve"> DOCPROPERTY "Document number"  \* MERGEFORMAT </w:instrText>
            </w:r>
            <w:r>
              <w:fldChar w:fldCharType="separate"/>
            </w:r>
            <w:r w:rsidR="002B77EF">
              <w:t>UNEP/</w:t>
            </w:r>
            <w:proofErr w:type="spellStart"/>
            <w:r w:rsidR="002B77EF">
              <w:t>OzL.Pro</w:t>
            </w:r>
            <w:proofErr w:type="spellEnd"/>
            <w:r w:rsidR="002B77EF">
              <w:t>/ExCom/77/30</w:t>
            </w:r>
            <w:r>
              <w:fldChar w:fldCharType="end"/>
            </w:r>
          </w:p>
          <w:p w:rsidR="00C15867" w:rsidRPr="003F73BA" w:rsidRDefault="00BC2495" w:rsidP="006100A6">
            <w:r>
              <w:fldChar w:fldCharType="begin"/>
            </w:r>
            <w:r w:rsidR="00851352">
              <w:instrText xml:space="preserve"> DOCPROPERTY "Revision date" \@ "d MMMM YYYY"  \* MERGEFORMAT </w:instrText>
            </w:r>
            <w:r>
              <w:fldChar w:fldCharType="separate"/>
            </w:r>
            <w:r w:rsidR="002B77EF">
              <w:t>25 October 2016</w:t>
            </w:r>
            <w:r>
              <w:fldChar w:fldCharType="end"/>
            </w:r>
          </w:p>
          <w:p w:rsidR="00C15867" w:rsidRPr="00000FED" w:rsidRDefault="00C15867" w:rsidP="006100A6">
            <w:pPr>
              <w:rPr>
                <w:caps/>
              </w:rPr>
            </w:pPr>
          </w:p>
          <w:p w:rsidR="00C15867" w:rsidRDefault="00C15867" w:rsidP="006100A6">
            <w:r w:rsidRPr="0033525D">
              <w:t>ORIGINAL: ENGLISH</w:t>
            </w:r>
          </w:p>
        </w:tc>
      </w:tr>
    </w:tbl>
    <w:p w:rsidR="00667244" w:rsidRPr="00612F2F" w:rsidRDefault="00C15867" w:rsidP="00667244">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667244">
        <w:rPr>
          <w:lang w:val="en-CA"/>
        </w:rPr>
        <w:t>Seventy-</w:t>
      </w:r>
      <w:r w:rsidR="00822233">
        <w:rPr>
          <w:lang w:val="en-CA"/>
        </w:rPr>
        <w:t>seventh</w:t>
      </w:r>
      <w:r w:rsidR="00667244">
        <w:t xml:space="preserve"> Meeting</w:t>
      </w:r>
    </w:p>
    <w:p w:rsidR="00667244" w:rsidRPr="006C39CE" w:rsidRDefault="00667244" w:rsidP="00667244">
      <w:pPr>
        <w:jc w:val="left"/>
        <w:rPr>
          <w:lang w:val="en-CA"/>
        </w:rPr>
      </w:pPr>
      <w:r>
        <w:t>Montreal</w:t>
      </w:r>
      <w:r w:rsidRPr="006C39CE">
        <w:rPr>
          <w:lang w:val="en-CA"/>
        </w:rPr>
        <w:t xml:space="preserve">, </w:t>
      </w:r>
      <w:r w:rsidR="00822233">
        <w:t xml:space="preserve">28 November </w:t>
      </w:r>
      <w:r w:rsidR="00B40652">
        <w:t>-</w:t>
      </w:r>
      <w:r w:rsidR="00822233">
        <w:t xml:space="preserve"> 2 December 2016</w:t>
      </w:r>
    </w:p>
    <w:p w:rsidR="00C15867" w:rsidRPr="00765DE4" w:rsidRDefault="00C15867" w:rsidP="00667244">
      <w:pPr>
        <w:jc w:val="left"/>
        <w:rPr>
          <w:lang w:val="en-US"/>
        </w:rPr>
      </w:pPr>
    </w:p>
    <w:p w:rsidR="00C15867" w:rsidRPr="00765DE4" w:rsidRDefault="00C15867" w:rsidP="00C15867">
      <w:pPr>
        <w:pStyle w:val="Heading3"/>
        <w:numPr>
          <w:ilvl w:val="0"/>
          <w:numId w:val="0"/>
        </w:numPr>
        <w:spacing w:after="0"/>
        <w:rPr>
          <w:lang w:val="en-US"/>
        </w:rPr>
      </w:pPr>
    </w:p>
    <w:p w:rsidR="004E7F9C" w:rsidRDefault="004E7F9C" w:rsidP="004E7F9C">
      <w:pPr>
        <w:pStyle w:val="Title1"/>
      </w:pPr>
    </w:p>
    <w:p w:rsidR="001E2B9F" w:rsidRDefault="001E2B9F" w:rsidP="007C5341">
      <w:pPr>
        <w:pStyle w:val="Title1"/>
        <w:rPr>
          <w:color w:val="000000" w:themeColor="text1"/>
        </w:rPr>
      </w:pPr>
    </w:p>
    <w:p w:rsidR="001E2B9F" w:rsidRDefault="001E2B9F" w:rsidP="007C5341">
      <w:pPr>
        <w:pStyle w:val="Title1"/>
        <w:rPr>
          <w:color w:val="000000" w:themeColor="text1"/>
        </w:rPr>
      </w:pPr>
    </w:p>
    <w:p w:rsidR="007C5341" w:rsidRDefault="00AA6B7B" w:rsidP="007C5341">
      <w:pPr>
        <w:pStyle w:val="Title1"/>
        <w:rPr>
          <w:color w:val="000000" w:themeColor="text1"/>
        </w:rPr>
      </w:pPr>
      <w:r>
        <w:rPr>
          <w:color w:val="000000" w:themeColor="text1"/>
        </w:rPr>
        <w:t>UNIDO’</w:t>
      </w:r>
      <w:r w:rsidR="00BC355D">
        <w:rPr>
          <w:color w:val="000000" w:themeColor="text1"/>
        </w:rPr>
        <w:t xml:space="preserve">s </w:t>
      </w:r>
      <w:r w:rsidR="007C5341">
        <w:rPr>
          <w:color w:val="000000" w:themeColor="text1"/>
        </w:rPr>
        <w:t>work programme AMENDMENTS for 2016</w:t>
      </w:r>
      <w:r w:rsidR="00596FDB">
        <w:rPr>
          <w:color w:val="000000" w:themeColor="text1"/>
        </w:rPr>
        <w:t xml:space="preserve"> </w:t>
      </w:r>
    </w:p>
    <w:p w:rsidR="004E7F9C" w:rsidRDefault="004E7F9C" w:rsidP="004E7F9C">
      <w:pPr>
        <w:pStyle w:val="Title1"/>
      </w:pPr>
    </w:p>
    <w:p w:rsidR="004E7F9C" w:rsidRDefault="004E7F9C" w:rsidP="004E7F9C">
      <w:pPr>
        <w:pStyle w:val="Heading1"/>
        <w:numPr>
          <w:ilvl w:val="0"/>
          <w:numId w:val="0"/>
        </w:numPr>
      </w:pPr>
    </w:p>
    <w:p w:rsidR="008C5738" w:rsidRDefault="008C5738" w:rsidP="004E7F9C">
      <w:pPr>
        <w:pStyle w:val="StyleHeader4Para4Left0Firstline0"/>
        <w:numPr>
          <w:ilvl w:val="0"/>
          <w:numId w:val="0"/>
        </w:numPr>
      </w:pPr>
    </w:p>
    <w:p w:rsidR="008C5738" w:rsidRDefault="004E7F9C" w:rsidP="004E7F9C">
      <w:pPr>
        <w:pStyle w:val="StyleHeader4Para4Left0Firstline0"/>
        <w:numPr>
          <w:ilvl w:val="0"/>
          <w:numId w:val="0"/>
        </w:numPr>
      </w:pPr>
      <w:r>
        <w:br w:type="page"/>
      </w:r>
    </w:p>
    <w:p w:rsidR="007C5341" w:rsidRDefault="007C5341" w:rsidP="007C5341">
      <w:pPr>
        <w:jc w:val="center"/>
        <w:rPr>
          <w:b/>
          <w:color w:val="000000" w:themeColor="text1"/>
        </w:rPr>
      </w:pPr>
      <w:r>
        <w:rPr>
          <w:b/>
          <w:color w:val="000000" w:themeColor="text1"/>
        </w:rPr>
        <w:lastRenderedPageBreak/>
        <w:t>COMMENTS AND RECOMMENDATION OF THE FUND SECRETARIAT</w:t>
      </w:r>
    </w:p>
    <w:p w:rsidR="007C5341" w:rsidRDefault="007C5341" w:rsidP="007C5341">
      <w:pPr>
        <w:rPr>
          <w:color w:val="000000" w:themeColor="text1"/>
        </w:rPr>
      </w:pPr>
    </w:p>
    <w:p w:rsidR="007C5341" w:rsidRDefault="00AA6B7B" w:rsidP="00650B21">
      <w:pPr>
        <w:pStyle w:val="Heading1"/>
        <w:numPr>
          <w:ilvl w:val="0"/>
          <w:numId w:val="10"/>
        </w:numPr>
        <w:rPr>
          <w:color w:val="000000" w:themeColor="text1"/>
        </w:rPr>
      </w:pPr>
      <w:r>
        <w:rPr>
          <w:color w:val="000000" w:themeColor="text1"/>
        </w:rPr>
        <w:t xml:space="preserve">UNIDO </w:t>
      </w:r>
      <w:r w:rsidR="007C5341">
        <w:rPr>
          <w:color w:val="000000" w:themeColor="text1"/>
        </w:rPr>
        <w:t>is requesting approval from the Executive Committee of US </w:t>
      </w:r>
      <w:r w:rsidR="007C5341" w:rsidRPr="00656BB4">
        <w:rPr>
          <w:color w:val="000000" w:themeColor="text1"/>
        </w:rPr>
        <w:t>$</w:t>
      </w:r>
      <w:r w:rsidR="00656BB4" w:rsidRPr="00656BB4">
        <w:rPr>
          <w:color w:val="000000" w:themeColor="text1"/>
        </w:rPr>
        <w:t>327,082</w:t>
      </w:r>
      <w:r w:rsidR="007C5341">
        <w:rPr>
          <w:color w:val="000000" w:themeColor="text1"/>
        </w:rPr>
        <w:t xml:space="preserve"> plus agency support costs of US $</w:t>
      </w:r>
      <w:r w:rsidR="00656BB4">
        <w:rPr>
          <w:color w:val="000000" w:themeColor="text1"/>
        </w:rPr>
        <w:t>23,496</w:t>
      </w:r>
      <w:r w:rsidR="007C5341">
        <w:rPr>
          <w:color w:val="000000" w:themeColor="text1"/>
        </w:rPr>
        <w:t xml:space="preserve"> for its 2016 work programme amendments listed in Table 1. The submission is attached to the present document.</w:t>
      </w:r>
    </w:p>
    <w:p w:rsidR="007C5341" w:rsidRDefault="007C5341" w:rsidP="007C5341">
      <w:pPr>
        <w:pStyle w:val="StyleHeader4Para4Left0Firstline0"/>
        <w:numPr>
          <w:ilvl w:val="0"/>
          <w:numId w:val="0"/>
        </w:numPr>
        <w:spacing w:after="0"/>
        <w:rPr>
          <w:b/>
          <w:color w:val="000000" w:themeColor="text1"/>
          <w:sz w:val="22"/>
        </w:rPr>
      </w:pPr>
      <w:r>
        <w:rPr>
          <w:b/>
          <w:color w:val="000000" w:themeColor="text1"/>
          <w:sz w:val="22"/>
        </w:rPr>
        <w:t xml:space="preserve">Table 1: </w:t>
      </w:r>
      <w:r w:rsidR="00AA6B7B" w:rsidRPr="00AA6B7B">
        <w:rPr>
          <w:b/>
          <w:color w:val="000000" w:themeColor="text1"/>
          <w:sz w:val="22"/>
        </w:rPr>
        <w:t>UNIDO</w:t>
      </w:r>
      <w:r w:rsidR="00BC355D">
        <w:rPr>
          <w:b/>
          <w:color w:val="000000" w:themeColor="text1"/>
          <w:sz w:val="22"/>
        </w:rPr>
        <w:t xml:space="preserve">’s </w:t>
      </w:r>
      <w:r>
        <w:rPr>
          <w:b/>
          <w:color w:val="000000" w:themeColor="text1"/>
          <w:sz w:val="22"/>
        </w:rPr>
        <w:t xml:space="preserve">work programme </w:t>
      </w:r>
      <w:r w:rsidR="005640F8">
        <w:rPr>
          <w:b/>
          <w:color w:val="000000" w:themeColor="text1"/>
          <w:sz w:val="22"/>
        </w:rPr>
        <w:t>amendment</w:t>
      </w:r>
      <w:r w:rsidR="00AC5000">
        <w:rPr>
          <w:b/>
          <w:color w:val="000000" w:themeColor="text1"/>
          <w:sz w:val="22"/>
        </w:rPr>
        <w:t>s</w:t>
      </w:r>
      <w:r w:rsidR="005640F8">
        <w:rPr>
          <w:b/>
          <w:color w:val="000000" w:themeColor="text1"/>
          <w:sz w:val="22"/>
        </w:rPr>
        <w:t xml:space="preserve"> </w:t>
      </w:r>
      <w:r>
        <w:rPr>
          <w:b/>
          <w:color w:val="000000" w:themeColor="text1"/>
          <w:sz w:val="22"/>
        </w:rPr>
        <w:t>for 2016</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5400"/>
        <w:gridCol w:w="1170"/>
        <w:gridCol w:w="1530"/>
      </w:tblGrid>
      <w:tr w:rsidR="007C5341" w:rsidTr="00862CB1">
        <w:trPr>
          <w:tblHeader/>
        </w:trPr>
        <w:tc>
          <w:tcPr>
            <w:tcW w:w="1620" w:type="dxa"/>
          </w:tcPr>
          <w:p w:rsidR="007C5341" w:rsidRDefault="007C5341" w:rsidP="006100A6">
            <w:pPr>
              <w:jc w:val="center"/>
              <w:rPr>
                <w:b/>
                <w:color w:val="000000" w:themeColor="text1"/>
                <w:sz w:val="20"/>
                <w:szCs w:val="20"/>
              </w:rPr>
            </w:pPr>
            <w:r>
              <w:rPr>
                <w:b/>
                <w:color w:val="000000" w:themeColor="text1"/>
                <w:sz w:val="20"/>
                <w:szCs w:val="20"/>
              </w:rPr>
              <w:t>Country</w:t>
            </w:r>
          </w:p>
        </w:tc>
        <w:tc>
          <w:tcPr>
            <w:tcW w:w="5400" w:type="dxa"/>
          </w:tcPr>
          <w:p w:rsidR="007C5341" w:rsidRDefault="007C5341" w:rsidP="006100A6">
            <w:pPr>
              <w:jc w:val="center"/>
              <w:rPr>
                <w:b/>
                <w:color w:val="000000" w:themeColor="text1"/>
                <w:sz w:val="20"/>
                <w:szCs w:val="20"/>
              </w:rPr>
            </w:pPr>
            <w:r>
              <w:rPr>
                <w:b/>
                <w:color w:val="000000" w:themeColor="text1"/>
                <w:sz w:val="20"/>
                <w:szCs w:val="20"/>
              </w:rPr>
              <w:t>Activity/Project</w:t>
            </w:r>
          </w:p>
        </w:tc>
        <w:tc>
          <w:tcPr>
            <w:tcW w:w="1170" w:type="dxa"/>
          </w:tcPr>
          <w:p w:rsidR="007C5341" w:rsidRDefault="007C5341" w:rsidP="006100A6">
            <w:pPr>
              <w:jc w:val="center"/>
              <w:rPr>
                <w:b/>
                <w:color w:val="000000" w:themeColor="text1"/>
                <w:sz w:val="20"/>
                <w:szCs w:val="20"/>
              </w:rPr>
            </w:pPr>
            <w:r>
              <w:rPr>
                <w:b/>
                <w:color w:val="000000" w:themeColor="text1"/>
                <w:sz w:val="20"/>
                <w:szCs w:val="20"/>
              </w:rPr>
              <w:t>Amount Requested (US $)</w:t>
            </w:r>
          </w:p>
        </w:tc>
        <w:tc>
          <w:tcPr>
            <w:tcW w:w="1530" w:type="dxa"/>
          </w:tcPr>
          <w:p w:rsidR="007C5341" w:rsidRDefault="007C5341" w:rsidP="006100A6">
            <w:pPr>
              <w:jc w:val="center"/>
              <w:rPr>
                <w:b/>
                <w:color w:val="000000" w:themeColor="text1"/>
                <w:sz w:val="20"/>
                <w:szCs w:val="20"/>
              </w:rPr>
            </w:pPr>
            <w:r>
              <w:rPr>
                <w:b/>
                <w:color w:val="000000" w:themeColor="text1"/>
                <w:sz w:val="20"/>
                <w:szCs w:val="20"/>
              </w:rPr>
              <w:t>Amount Recommended (US $)</w:t>
            </w:r>
          </w:p>
        </w:tc>
      </w:tr>
      <w:tr w:rsidR="00FB21F6" w:rsidTr="00FB21F6">
        <w:trPr>
          <w:tblHeader/>
        </w:trPr>
        <w:tc>
          <w:tcPr>
            <w:tcW w:w="9720" w:type="dxa"/>
            <w:gridSpan w:val="4"/>
          </w:tcPr>
          <w:p w:rsidR="00FB21F6" w:rsidRDefault="00FB21F6" w:rsidP="00FB21F6">
            <w:pPr>
              <w:jc w:val="left"/>
              <w:rPr>
                <w:b/>
                <w:color w:val="000000" w:themeColor="text1"/>
                <w:sz w:val="20"/>
                <w:szCs w:val="20"/>
              </w:rPr>
            </w:pPr>
            <w:r w:rsidRPr="00FB21F6">
              <w:rPr>
                <w:b/>
                <w:color w:val="000000" w:themeColor="text1"/>
                <w:sz w:val="20"/>
                <w:szCs w:val="20"/>
              </w:rPr>
              <w:t>SECTION A:  ACTIVITIES RECOMMENDED FOR BLANKET APPROVAL</w:t>
            </w:r>
          </w:p>
        </w:tc>
      </w:tr>
      <w:tr w:rsidR="00FB21F6" w:rsidTr="00FB21F6">
        <w:trPr>
          <w:tblHeader/>
        </w:trPr>
        <w:tc>
          <w:tcPr>
            <w:tcW w:w="9720" w:type="dxa"/>
            <w:gridSpan w:val="4"/>
          </w:tcPr>
          <w:p w:rsidR="00FB21F6" w:rsidRDefault="00FB21F6" w:rsidP="00FB21F6">
            <w:pPr>
              <w:jc w:val="left"/>
              <w:rPr>
                <w:b/>
                <w:color w:val="000000" w:themeColor="text1"/>
                <w:sz w:val="20"/>
                <w:szCs w:val="20"/>
              </w:rPr>
            </w:pPr>
            <w:r w:rsidRPr="00FB21F6">
              <w:rPr>
                <w:b/>
                <w:color w:val="000000" w:themeColor="text1"/>
                <w:sz w:val="20"/>
                <w:szCs w:val="20"/>
              </w:rPr>
              <w:t xml:space="preserve">A1:  </w:t>
            </w:r>
            <w:r w:rsidR="005640F8" w:rsidRPr="005640F8">
              <w:rPr>
                <w:b/>
                <w:color w:val="000000" w:themeColor="text1"/>
                <w:sz w:val="20"/>
                <w:szCs w:val="20"/>
              </w:rPr>
              <w:t>Renewal of institutional strengthening projects</w:t>
            </w:r>
          </w:p>
        </w:tc>
      </w:tr>
      <w:tr w:rsidR="005640F8" w:rsidTr="006E3D80">
        <w:trPr>
          <w:tblHeader/>
        </w:trPr>
        <w:tc>
          <w:tcPr>
            <w:tcW w:w="1620" w:type="dxa"/>
          </w:tcPr>
          <w:p w:rsidR="005640F8" w:rsidRPr="00FB21F6" w:rsidRDefault="005640F8" w:rsidP="00FB21F6">
            <w:pPr>
              <w:jc w:val="left"/>
              <w:rPr>
                <w:color w:val="000000" w:themeColor="text1"/>
                <w:sz w:val="20"/>
                <w:szCs w:val="20"/>
              </w:rPr>
            </w:pPr>
            <w:r>
              <w:rPr>
                <w:color w:val="000000" w:themeColor="text1"/>
                <w:sz w:val="20"/>
                <w:szCs w:val="20"/>
              </w:rPr>
              <w:t>Libya</w:t>
            </w:r>
          </w:p>
        </w:tc>
        <w:tc>
          <w:tcPr>
            <w:tcW w:w="5400" w:type="dxa"/>
          </w:tcPr>
          <w:p w:rsidR="005640F8" w:rsidRDefault="005640F8" w:rsidP="00FB21F6">
            <w:pPr>
              <w:jc w:val="left"/>
              <w:rPr>
                <w:color w:val="000000" w:themeColor="text1"/>
                <w:sz w:val="20"/>
                <w:szCs w:val="20"/>
              </w:rPr>
            </w:pPr>
            <w:r w:rsidRPr="0011606E">
              <w:rPr>
                <w:sz w:val="20"/>
                <w:szCs w:val="20"/>
              </w:rPr>
              <w:t>Renewal of institutional strengthening project (phase</w:t>
            </w:r>
            <w:r>
              <w:rPr>
                <w:sz w:val="20"/>
                <w:szCs w:val="20"/>
              </w:rPr>
              <w:t xml:space="preserve"> IV-year 2</w:t>
            </w:r>
          </w:p>
        </w:tc>
        <w:tc>
          <w:tcPr>
            <w:tcW w:w="1170" w:type="dxa"/>
          </w:tcPr>
          <w:p w:rsidR="005640F8" w:rsidRPr="0011606E" w:rsidRDefault="005640F8" w:rsidP="00E545A4">
            <w:pPr>
              <w:jc w:val="right"/>
              <w:rPr>
                <w:sz w:val="20"/>
                <w:szCs w:val="20"/>
              </w:rPr>
            </w:pPr>
            <w:r w:rsidRPr="0011606E">
              <w:rPr>
                <w:sz w:val="20"/>
                <w:szCs w:val="20"/>
              </w:rPr>
              <w:t>87,082</w:t>
            </w:r>
          </w:p>
        </w:tc>
        <w:tc>
          <w:tcPr>
            <w:tcW w:w="1530" w:type="dxa"/>
            <w:vAlign w:val="center"/>
          </w:tcPr>
          <w:p w:rsidR="005640F8" w:rsidRPr="0011606E" w:rsidRDefault="005640F8" w:rsidP="00FE0FD0">
            <w:pPr>
              <w:jc w:val="right"/>
              <w:rPr>
                <w:sz w:val="20"/>
                <w:szCs w:val="20"/>
              </w:rPr>
            </w:pPr>
            <w:r w:rsidRPr="0011606E">
              <w:rPr>
                <w:sz w:val="20"/>
                <w:szCs w:val="20"/>
              </w:rPr>
              <w:t>87,082</w:t>
            </w:r>
          </w:p>
        </w:tc>
      </w:tr>
      <w:tr w:rsidR="005640F8" w:rsidTr="00915F8D">
        <w:trPr>
          <w:tblHeader/>
        </w:trPr>
        <w:tc>
          <w:tcPr>
            <w:tcW w:w="7020" w:type="dxa"/>
            <w:gridSpan w:val="2"/>
          </w:tcPr>
          <w:p w:rsidR="005640F8" w:rsidRPr="0011606E" w:rsidRDefault="005640F8" w:rsidP="00E545A4">
            <w:pPr>
              <w:jc w:val="right"/>
              <w:rPr>
                <w:sz w:val="20"/>
                <w:szCs w:val="20"/>
              </w:rPr>
            </w:pPr>
            <w:r w:rsidRPr="0011606E">
              <w:rPr>
                <w:sz w:val="20"/>
                <w:szCs w:val="20"/>
              </w:rPr>
              <w:t xml:space="preserve">Subtotal for </w:t>
            </w:r>
            <w:r>
              <w:rPr>
                <w:sz w:val="20"/>
                <w:szCs w:val="20"/>
              </w:rPr>
              <w:t>A</w:t>
            </w:r>
            <w:r w:rsidRPr="0011606E">
              <w:rPr>
                <w:sz w:val="20"/>
                <w:szCs w:val="20"/>
              </w:rPr>
              <w:t>1</w:t>
            </w:r>
          </w:p>
        </w:tc>
        <w:tc>
          <w:tcPr>
            <w:tcW w:w="1170" w:type="dxa"/>
          </w:tcPr>
          <w:p w:rsidR="005640F8" w:rsidRPr="0011606E" w:rsidRDefault="005640F8" w:rsidP="00E545A4">
            <w:pPr>
              <w:jc w:val="right"/>
              <w:rPr>
                <w:sz w:val="20"/>
                <w:szCs w:val="20"/>
              </w:rPr>
            </w:pPr>
            <w:r w:rsidRPr="0011606E">
              <w:rPr>
                <w:sz w:val="20"/>
                <w:szCs w:val="20"/>
              </w:rPr>
              <w:t>87,082</w:t>
            </w:r>
          </w:p>
        </w:tc>
        <w:tc>
          <w:tcPr>
            <w:tcW w:w="1530" w:type="dxa"/>
          </w:tcPr>
          <w:p w:rsidR="005640F8" w:rsidRPr="0011606E" w:rsidRDefault="005640F8" w:rsidP="00E545A4">
            <w:pPr>
              <w:jc w:val="right"/>
              <w:rPr>
                <w:sz w:val="20"/>
                <w:szCs w:val="20"/>
              </w:rPr>
            </w:pPr>
            <w:r w:rsidRPr="0011606E">
              <w:rPr>
                <w:sz w:val="20"/>
                <w:szCs w:val="20"/>
              </w:rPr>
              <w:t>87,082</w:t>
            </w:r>
          </w:p>
        </w:tc>
      </w:tr>
      <w:tr w:rsidR="005640F8" w:rsidTr="00915F8D">
        <w:trPr>
          <w:tblHeader/>
        </w:trPr>
        <w:tc>
          <w:tcPr>
            <w:tcW w:w="7020" w:type="dxa"/>
            <w:gridSpan w:val="2"/>
          </w:tcPr>
          <w:p w:rsidR="005640F8" w:rsidRPr="0011606E" w:rsidRDefault="005640F8" w:rsidP="00FB21F6">
            <w:pPr>
              <w:jc w:val="left"/>
              <w:rPr>
                <w:sz w:val="20"/>
                <w:szCs w:val="20"/>
              </w:rPr>
            </w:pPr>
            <w:r w:rsidRPr="0011606E">
              <w:rPr>
                <w:sz w:val="20"/>
                <w:szCs w:val="20"/>
              </w:rPr>
              <w:t>Agency support costs (7 per cent for institutional strengthening) for A1:</w:t>
            </w:r>
          </w:p>
        </w:tc>
        <w:tc>
          <w:tcPr>
            <w:tcW w:w="1170" w:type="dxa"/>
          </w:tcPr>
          <w:p w:rsidR="005640F8" w:rsidRPr="0011606E" w:rsidRDefault="005640F8" w:rsidP="00E545A4">
            <w:pPr>
              <w:jc w:val="right"/>
              <w:rPr>
                <w:sz w:val="20"/>
                <w:szCs w:val="20"/>
              </w:rPr>
            </w:pPr>
            <w:r w:rsidRPr="0011606E">
              <w:rPr>
                <w:sz w:val="20"/>
                <w:szCs w:val="20"/>
              </w:rPr>
              <w:t>6</w:t>
            </w:r>
            <w:r>
              <w:rPr>
                <w:sz w:val="20"/>
                <w:szCs w:val="20"/>
              </w:rPr>
              <w:t>,</w:t>
            </w:r>
            <w:r w:rsidRPr="0011606E">
              <w:rPr>
                <w:sz w:val="20"/>
                <w:szCs w:val="20"/>
              </w:rPr>
              <w:t>096</w:t>
            </w:r>
          </w:p>
        </w:tc>
        <w:tc>
          <w:tcPr>
            <w:tcW w:w="1530" w:type="dxa"/>
          </w:tcPr>
          <w:p w:rsidR="005640F8" w:rsidRPr="0011606E" w:rsidRDefault="005640F8" w:rsidP="00E545A4">
            <w:pPr>
              <w:jc w:val="right"/>
              <w:rPr>
                <w:sz w:val="20"/>
                <w:szCs w:val="20"/>
              </w:rPr>
            </w:pPr>
            <w:r w:rsidRPr="0011606E">
              <w:rPr>
                <w:sz w:val="20"/>
                <w:szCs w:val="20"/>
              </w:rPr>
              <w:t>6</w:t>
            </w:r>
            <w:r>
              <w:rPr>
                <w:sz w:val="20"/>
                <w:szCs w:val="20"/>
              </w:rPr>
              <w:t>,</w:t>
            </w:r>
            <w:r w:rsidRPr="0011606E">
              <w:rPr>
                <w:sz w:val="20"/>
                <w:szCs w:val="20"/>
              </w:rPr>
              <w:t>096</w:t>
            </w:r>
          </w:p>
        </w:tc>
      </w:tr>
      <w:tr w:rsidR="00FE0FD0" w:rsidTr="00E15296">
        <w:trPr>
          <w:tblHeader/>
        </w:trPr>
        <w:tc>
          <w:tcPr>
            <w:tcW w:w="7020" w:type="dxa"/>
            <w:gridSpan w:val="2"/>
          </w:tcPr>
          <w:p w:rsidR="00FE0FD0" w:rsidRPr="00FB21F6" w:rsidRDefault="00FE0FD0" w:rsidP="00FE0FD0">
            <w:pPr>
              <w:jc w:val="right"/>
              <w:rPr>
                <w:color w:val="000000" w:themeColor="text1"/>
                <w:sz w:val="20"/>
                <w:szCs w:val="20"/>
              </w:rPr>
            </w:pPr>
            <w:r>
              <w:rPr>
                <w:color w:val="000000" w:themeColor="text1"/>
                <w:sz w:val="20"/>
                <w:szCs w:val="20"/>
              </w:rPr>
              <w:t>Total for A1</w:t>
            </w:r>
          </w:p>
        </w:tc>
        <w:tc>
          <w:tcPr>
            <w:tcW w:w="1170" w:type="dxa"/>
          </w:tcPr>
          <w:p w:rsidR="00FE0FD0" w:rsidRDefault="00FE0FD0" w:rsidP="00E15296">
            <w:pPr>
              <w:jc w:val="right"/>
              <w:rPr>
                <w:color w:val="000000" w:themeColor="text1"/>
                <w:sz w:val="20"/>
                <w:szCs w:val="20"/>
              </w:rPr>
            </w:pPr>
            <w:r>
              <w:rPr>
                <w:color w:val="000000" w:themeColor="text1"/>
                <w:sz w:val="20"/>
                <w:szCs w:val="20"/>
              </w:rPr>
              <w:t>93,178</w:t>
            </w:r>
          </w:p>
        </w:tc>
        <w:tc>
          <w:tcPr>
            <w:tcW w:w="1530" w:type="dxa"/>
          </w:tcPr>
          <w:p w:rsidR="00FE0FD0" w:rsidRDefault="00FE0FD0" w:rsidP="00E15296">
            <w:pPr>
              <w:jc w:val="right"/>
              <w:rPr>
                <w:color w:val="000000" w:themeColor="text1"/>
                <w:sz w:val="20"/>
                <w:szCs w:val="20"/>
              </w:rPr>
            </w:pPr>
            <w:r>
              <w:rPr>
                <w:color w:val="000000" w:themeColor="text1"/>
                <w:sz w:val="20"/>
                <w:szCs w:val="20"/>
              </w:rPr>
              <w:t>93,178</w:t>
            </w:r>
          </w:p>
        </w:tc>
      </w:tr>
      <w:tr w:rsidR="005640F8" w:rsidTr="00F81202">
        <w:trPr>
          <w:tblHeader/>
        </w:trPr>
        <w:tc>
          <w:tcPr>
            <w:tcW w:w="9720" w:type="dxa"/>
            <w:gridSpan w:val="4"/>
          </w:tcPr>
          <w:p w:rsidR="005640F8" w:rsidRDefault="005640F8" w:rsidP="005640F8">
            <w:pPr>
              <w:jc w:val="left"/>
              <w:rPr>
                <w:color w:val="000000" w:themeColor="text1"/>
                <w:sz w:val="20"/>
                <w:szCs w:val="20"/>
              </w:rPr>
            </w:pPr>
            <w:r>
              <w:rPr>
                <w:b/>
                <w:color w:val="000000" w:themeColor="text1"/>
                <w:sz w:val="20"/>
                <w:szCs w:val="20"/>
              </w:rPr>
              <w:t>A2</w:t>
            </w:r>
            <w:r w:rsidRPr="00FB21F6">
              <w:rPr>
                <w:b/>
                <w:color w:val="000000" w:themeColor="text1"/>
                <w:sz w:val="20"/>
                <w:szCs w:val="20"/>
              </w:rPr>
              <w:t>:  Project preparation</w:t>
            </w:r>
          </w:p>
        </w:tc>
      </w:tr>
      <w:tr w:rsidR="005640F8" w:rsidTr="00862CB1">
        <w:trPr>
          <w:tblHeader/>
        </w:trPr>
        <w:tc>
          <w:tcPr>
            <w:tcW w:w="1620" w:type="dxa"/>
          </w:tcPr>
          <w:p w:rsidR="005640F8" w:rsidRPr="00FB21F6" w:rsidRDefault="005640F8" w:rsidP="00FB21F6">
            <w:pPr>
              <w:jc w:val="left"/>
              <w:rPr>
                <w:color w:val="000000" w:themeColor="text1"/>
                <w:sz w:val="20"/>
                <w:szCs w:val="20"/>
              </w:rPr>
            </w:pPr>
            <w:r w:rsidRPr="00FB21F6">
              <w:rPr>
                <w:color w:val="000000" w:themeColor="text1"/>
                <w:sz w:val="20"/>
                <w:szCs w:val="20"/>
              </w:rPr>
              <w:t>Argentina</w:t>
            </w:r>
          </w:p>
        </w:tc>
        <w:tc>
          <w:tcPr>
            <w:tcW w:w="5400" w:type="dxa"/>
          </w:tcPr>
          <w:p w:rsidR="005640F8" w:rsidRPr="00FB21F6" w:rsidRDefault="005640F8" w:rsidP="00FB21F6">
            <w:pPr>
              <w:jc w:val="left"/>
              <w:rPr>
                <w:color w:val="000000" w:themeColor="text1"/>
                <w:sz w:val="20"/>
                <w:szCs w:val="20"/>
              </w:rPr>
            </w:pPr>
            <w:r>
              <w:rPr>
                <w:color w:val="000000" w:themeColor="text1"/>
                <w:sz w:val="20"/>
                <w:szCs w:val="20"/>
              </w:rPr>
              <w:t xml:space="preserve">Preparation of </w:t>
            </w:r>
            <w:r w:rsidR="00AC5000">
              <w:rPr>
                <w:color w:val="000000" w:themeColor="text1"/>
                <w:sz w:val="20"/>
                <w:szCs w:val="20"/>
              </w:rPr>
              <w:t xml:space="preserve">an </w:t>
            </w:r>
            <w:r w:rsidRPr="00FB21F6">
              <w:rPr>
                <w:color w:val="000000" w:themeColor="text1"/>
                <w:sz w:val="20"/>
                <w:szCs w:val="20"/>
              </w:rPr>
              <w:t xml:space="preserve">HCFC phase out management plan </w:t>
            </w:r>
            <w:r w:rsidR="00AC5000">
              <w:rPr>
                <w:color w:val="000000" w:themeColor="text1"/>
                <w:sz w:val="20"/>
                <w:szCs w:val="20"/>
              </w:rPr>
              <w:t>(HPMP)</w:t>
            </w:r>
          </w:p>
          <w:p w:rsidR="005640F8" w:rsidRDefault="005640F8" w:rsidP="00FB21F6">
            <w:pPr>
              <w:jc w:val="left"/>
              <w:rPr>
                <w:b/>
                <w:color w:val="000000" w:themeColor="text1"/>
                <w:sz w:val="20"/>
                <w:szCs w:val="20"/>
              </w:rPr>
            </w:pPr>
            <w:r w:rsidRPr="00FB21F6">
              <w:rPr>
                <w:color w:val="000000" w:themeColor="text1"/>
                <w:sz w:val="20"/>
                <w:szCs w:val="20"/>
              </w:rPr>
              <w:t>(stage II) (refrigeration servicing sector)</w:t>
            </w:r>
          </w:p>
        </w:tc>
        <w:tc>
          <w:tcPr>
            <w:tcW w:w="1170" w:type="dxa"/>
          </w:tcPr>
          <w:p w:rsidR="005640F8" w:rsidRPr="00FB21F6" w:rsidRDefault="005640F8" w:rsidP="00FB21F6">
            <w:pPr>
              <w:jc w:val="right"/>
              <w:rPr>
                <w:color w:val="000000" w:themeColor="text1"/>
                <w:sz w:val="20"/>
                <w:szCs w:val="20"/>
              </w:rPr>
            </w:pPr>
            <w:r w:rsidRPr="00FB21F6">
              <w:rPr>
                <w:color w:val="000000" w:themeColor="text1"/>
                <w:sz w:val="20"/>
                <w:szCs w:val="20"/>
              </w:rPr>
              <w:t>90,000</w:t>
            </w:r>
          </w:p>
        </w:tc>
        <w:tc>
          <w:tcPr>
            <w:tcW w:w="1530" w:type="dxa"/>
          </w:tcPr>
          <w:p w:rsidR="005640F8" w:rsidRPr="00FB21F6" w:rsidRDefault="005640F8" w:rsidP="00FB21F6">
            <w:pPr>
              <w:jc w:val="right"/>
              <w:rPr>
                <w:color w:val="000000" w:themeColor="text1"/>
                <w:sz w:val="20"/>
                <w:szCs w:val="20"/>
              </w:rPr>
            </w:pPr>
            <w:r>
              <w:rPr>
                <w:color w:val="000000" w:themeColor="text1"/>
                <w:sz w:val="20"/>
                <w:szCs w:val="20"/>
              </w:rPr>
              <w:t>90,000</w:t>
            </w:r>
          </w:p>
        </w:tc>
      </w:tr>
      <w:tr w:rsidR="005640F8" w:rsidTr="00862CB1">
        <w:trPr>
          <w:tblHeader/>
        </w:trPr>
        <w:tc>
          <w:tcPr>
            <w:tcW w:w="1620" w:type="dxa"/>
          </w:tcPr>
          <w:p w:rsidR="005640F8" w:rsidRPr="00FB21F6" w:rsidRDefault="005640F8" w:rsidP="00FB21F6">
            <w:pPr>
              <w:jc w:val="left"/>
              <w:rPr>
                <w:color w:val="000000" w:themeColor="text1"/>
                <w:sz w:val="20"/>
                <w:szCs w:val="20"/>
              </w:rPr>
            </w:pPr>
            <w:r>
              <w:rPr>
                <w:color w:val="000000" w:themeColor="text1"/>
                <w:sz w:val="20"/>
                <w:szCs w:val="20"/>
              </w:rPr>
              <w:t>Tunisia</w:t>
            </w:r>
          </w:p>
        </w:tc>
        <w:tc>
          <w:tcPr>
            <w:tcW w:w="5400" w:type="dxa"/>
          </w:tcPr>
          <w:p w:rsidR="005640F8" w:rsidRPr="00FB21F6" w:rsidRDefault="005640F8" w:rsidP="00AC5000">
            <w:pPr>
              <w:jc w:val="left"/>
              <w:rPr>
                <w:color w:val="000000" w:themeColor="text1"/>
                <w:sz w:val="20"/>
                <w:szCs w:val="20"/>
              </w:rPr>
            </w:pPr>
            <w:r w:rsidRPr="00FB21F6">
              <w:rPr>
                <w:color w:val="000000" w:themeColor="text1"/>
                <w:sz w:val="20"/>
                <w:szCs w:val="20"/>
              </w:rPr>
              <w:t xml:space="preserve">Preparation of </w:t>
            </w:r>
            <w:r w:rsidR="00AC5000">
              <w:rPr>
                <w:color w:val="000000" w:themeColor="text1"/>
                <w:sz w:val="20"/>
                <w:szCs w:val="20"/>
              </w:rPr>
              <w:t xml:space="preserve">an HPMP </w:t>
            </w:r>
            <w:r w:rsidRPr="00FB21F6">
              <w:rPr>
                <w:color w:val="000000" w:themeColor="text1"/>
                <w:sz w:val="20"/>
                <w:szCs w:val="20"/>
              </w:rPr>
              <w:t>(stage II) (refrigeration servicing sector)</w:t>
            </w:r>
          </w:p>
        </w:tc>
        <w:tc>
          <w:tcPr>
            <w:tcW w:w="1170" w:type="dxa"/>
          </w:tcPr>
          <w:p w:rsidR="005640F8" w:rsidRPr="00FB21F6" w:rsidRDefault="005640F8" w:rsidP="00FB21F6">
            <w:pPr>
              <w:jc w:val="right"/>
              <w:rPr>
                <w:color w:val="000000" w:themeColor="text1"/>
                <w:sz w:val="20"/>
                <w:szCs w:val="20"/>
              </w:rPr>
            </w:pPr>
            <w:r>
              <w:rPr>
                <w:color w:val="000000" w:themeColor="text1"/>
                <w:sz w:val="20"/>
                <w:szCs w:val="20"/>
              </w:rPr>
              <w:t>60,000</w:t>
            </w:r>
          </w:p>
        </w:tc>
        <w:tc>
          <w:tcPr>
            <w:tcW w:w="1530" w:type="dxa"/>
          </w:tcPr>
          <w:p w:rsidR="005640F8" w:rsidRDefault="005640F8" w:rsidP="00FB21F6">
            <w:pPr>
              <w:jc w:val="right"/>
              <w:rPr>
                <w:color w:val="000000" w:themeColor="text1"/>
                <w:sz w:val="20"/>
                <w:szCs w:val="20"/>
              </w:rPr>
            </w:pPr>
            <w:r>
              <w:rPr>
                <w:color w:val="000000" w:themeColor="text1"/>
                <w:sz w:val="20"/>
                <w:szCs w:val="20"/>
              </w:rPr>
              <w:t>60,000</w:t>
            </w:r>
          </w:p>
        </w:tc>
      </w:tr>
      <w:tr w:rsidR="005640F8" w:rsidTr="00862CB1">
        <w:trPr>
          <w:tblHeader/>
        </w:trPr>
        <w:tc>
          <w:tcPr>
            <w:tcW w:w="1620" w:type="dxa"/>
          </w:tcPr>
          <w:p w:rsidR="005640F8" w:rsidRDefault="005640F8" w:rsidP="00FB21F6">
            <w:pPr>
              <w:jc w:val="left"/>
              <w:rPr>
                <w:color w:val="000000" w:themeColor="text1"/>
                <w:sz w:val="20"/>
                <w:szCs w:val="20"/>
              </w:rPr>
            </w:pPr>
            <w:r>
              <w:rPr>
                <w:color w:val="000000" w:themeColor="text1"/>
                <w:sz w:val="20"/>
                <w:szCs w:val="20"/>
              </w:rPr>
              <w:t>Tunisia</w:t>
            </w:r>
          </w:p>
        </w:tc>
        <w:tc>
          <w:tcPr>
            <w:tcW w:w="5400" w:type="dxa"/>
          </w:tcPr>
          <w:p w:rsidR="005640F8" w:rsidRPr="00FB21F6" w:rsidRDefault="005640F8" w:rsidP="00FB21F6">
            <w:pPr>
              <w:jc w:val="left"/>
              <w:rPr>
                <w:color w:val="000000" w:themeColor="text1"/>
                <w:sz w:val="20"/>
                <w:szCs w:val="20"/>
              </w:rPr>
            </w:pPr>
            <w:r w:rsidRPr="00FB21F6">
              <w:rPr>
                <w:color w:val="000000" w:themeColor="text1"/>
                <w:sz w:val="20"/>
                <w:szCs w:val="20"/>
              </w:rPr>
              <w:t xml:space="preserve">Preparation for HCFC </w:t>
            </w:r>
            <w:r w:rsidR="00AC5000">
              <w:rPr>
                <w:color w:val="000000" w:themeColor="text1"/>
                <w:sz w:val="20"/>
                <w:szCs w:val="20"/>
              </w:rPr>
              <w:t>phase-</w:t>
            </w:r>
            <w:r w:rsidRPr="00FB21F6">
              <w:rPr>
                <w:color w:val="000000" w:themeColor="text1"/>
                <w:sz w:val="20"/>
                <w:szCs w:val="20"/>
              </w:rPr>
              <w:t>out investment activities (stage II) (</w:t>
            </w:r>
            <w:r>
              <w:rPr>
                <w:color w:val="000000" w:themeColor="text1"/>
                <w:sz w:val="20"/>
                <w:szCs w:val="20"/>
              </w:rPr>
              <w:t xml:space="preserve">rigid PU </w:t>
            </w:r>
            <w:r w:rsidRPr="00FB21F6">
              <w:rPr>
                <w:color w:val="000000" w:themeColor="text1"/>
                <w:sz w:val="20"/>
                <w:szCs w:val="20"/>
              </w:rPr>
              <w:t>foam sector)</w:t>
            </w:r>
          </w:p>
        </w:tc>
        <w:tc>
          <w:tcPr>
            <w:tcW w:w="1170" w:type="dxa"/>
          </w:tcPr>
          <w:p w:rsidR="005640F8" w:rsidRDefault="005640F8" w:rsidP="00FB21F6">
            <w:pPr>
              <w:jc w:val="right"/>
              <w:rPr>
                <w:color w:val="000000" w:themeColor="text1"/>
                <w:sz w:val="20"/>
                <w:szCs w:val="20"/>
              </w:rPr>
            </w:pPr>
            <w:r>
              <w:rPr>
                <w:color w:val="000000" w:themeColor="text1"/>
                <w:sz w:val="20"/>
                <w:szCs w:val="20"/>
              </w:rPr>
              <w:t>60,000</w:t>
            </w:r>
          </w:p>
        </w:tc>
        <w:tc>
          <w:tcPr>
            <w:tcW w:w="1530" w:type="dxa"/>
          </w:tcPr>
          <w:p w:rsidR="005640F8" w:rsidRDefault="005640F8" w:rsidP="00FB21F6">
            <w:pPr>
              <w:jc w:val="right"/>
              <w:rPr>
                <w:color w:val="000000" w:themeColor="text1"/>
                <w:sz w:val="20"/>
                <w:szCs w:val="20"/>
              </w:rPr>
            </w:pPr>
            <w:r>
              <w:rPr>
                <w:color w:val="000000" w:themeColor="text1"/>
                <w:sz w:val="20"/>
                <w:szCs w:val="20"/>
              </w:rPr>
              <w:t>60,000</w:t>
            </w:r>
          </w:p>
        </w:tc>
      </w:tr>
      <w:tr w:rsidR="005640F8" w:rsidTr="00245B1D">
        <w:trPr>
          <w:tblHeader/>
        </w:trPr>
        <w:tc>
          <w:tcPr>
            <w:tcW w:w="7020" w:type="dxa"/>
            <w:gridSpan w:val="2"/>
          </w:tcPr>
          <w:p w:rsidR="005640F8" w:rsidRPr="0019414F" w:rsidRDefault="005640F8" w:rsidP="005640F8">
            <w:pPr>
              <w:jc w:val="right"/>
              <w:rPr>
                <w:color w:val="000000" w:themeColor="text1"/>
                <w:sz w:val="20"/>
                <w:szCs w:val="20"/>
              </w:rPr>
            </w:pPr>
            <w:r w:rsidRPr="0019414F">
              <w:rPr>
                <w:color w:val="000000" w:themeColor="text1"/>
                <w:sz w:val="20"/>
                <w:szCs w:val="20"/>
              </w:rPr>
              <w:t>Subtotal for A</w:t>
            </w:r>
            <w:r>
              <w:rPr>
                <w:color w:val="000000" w:themeColor="text1"/>
                <w:sz w:val="20"/>
                <w:szCs w:val="20"/>
              </w:rPr>
              <w:t>2</w:t>
            </w:r>
          </w:p>
        </w:tc>
        <w:tc>
          <w:tcPr>
            <w:tcW w:w="1170" w:type="dxa"/>
          </w:tcPr>
          <w:p w:rsidR="005640F8" w:rsidRDefault="005640F8" w:rsidP="00FB21F6">
            <w:pPr>
              <w:jc w:val="right"/>
              <w:rPr>
                <w:color w:val="000000" w:themeColor="text1"/>
                <w:sz w:val="20"/>
                <w:szCs w:val="20"/>
              </w:rPr>
            </w:pPr>
            <w:r>
              <w:rPr>
                <w:color w:val="000000" w:themeColor="text1"/>
                <w:sz w:val="20"/>
                <w:szCs w:val="20"/>
              </w:rPr>
              <w:t>210,000</w:t>
            </w:r>
          </w:p>
        </w:tc>
        <w:tc>
          <w:tcPr>
            <w:tcW w:w="1530" w:type="dxa"/>
          </w:tcPr>
          <w:p w:rsidR="005640F8" w:rsidRDefault="005640F8" w:rsidP="00FB21F6">
            <w:pPr>
              <w:jc w:val="right"/>
              <w:rPr>
                <w:color w:val="000000" w:themeColor="text1"/>
                <w:sz w:val="20"/>
                <w:szCs w:val="20"/>
              </w:rPr>
            </w:pPr>
            <w:r>
              <w:rPr>
                <w:color w:val="000000" w:themeColor="text1"/>
                <w:sz w:val="20"/>
                <w:szCs w:val="20"/>
              </w:rPr>
              <w:t>210,000</w:t>
            </w:r>
          </w:p>
        </w:tc>
      </w:tr>
      <w:tr w:rsidR="005640F8" w:rsidTr="00245B1D">
        <w:trPr>
          <w:tblHeader/>
        </w:trPr>
        <w:tc>
          <w:tcPr>
            <w:tcW w:w="7020" w:type="dxa"/>
            <w:gridSpan w:val="2"/>
          </w:tcPr>
          <w:p w:rsidR="005640F8" w:rsidRPr="00FB21F6" w:rsidRDefault="005640F8" w:rsidP="00FB21F6">
            <w:pPr>
              <w:jc w:val="left"/>
              <w:rPr>
                <w:color w:val="000000" w:themeColor="text1"/>
                <w:sz w:val="20"/>
                <w:szCs w:val="20"/>
              </w:rPr>
            </w:pPr>
            <w:r w:rsidRPr="0019414F">
              <w:rPr>
                <w:color w:val="000000" w:themeColor="text1"/>
                <w:sz w:val="20"/>
                <w:szCs w:val="20"/>
              </w:rPr>
              <w:t>Agency support costs (7 per cent for project preparation):</w:t>
            </w:r>
          </w:p>
        </w:tc>
        <w:tc>
          <w:tcPr>
            <w:tcW w:w="1170" w:type="dxa"/>
          </w:tcPr>
          <w:p w:rsidR="005640F8" w:rsidRDefault="005640F8" w:rsidP="00FB21F6">
            <w:pPr>
              <w:jc w:val="right"/>
              <w:rPr>
                <w:color w:val="000000" w:themeColor="text1"/>
                <w:sz w:val="20"/>
                <w:szCs w:val="20"/>
              </w:rPr>
            </w:pPr>
            <w:r>
              <w:rPr>
                <w:color w:val="000000" w:themeColor="text1"/>
                <w:sz w:val="20"/>
                <w:szCs w:val="20"/>
              </w:rPr>
              <w:t>14,700</w:t>
            </w:r>
          </w:p>
        </w:tc>
        <w:tc>
          <w:tcPr>
            <w:tcW w:w="1530" w:type="dxa"/>
          </w:tcPr>
          <w:p w:rsidR="005640F8" w:rsidRDefault="005640F8" w:rsidP="00FB21F6">
            <w:pPr>
              <w:jc w:val="right"/>
              <w:rPr>
                <w:color w:val="000000" w:themeColor="text1"/>
                <w:sz w:val="20"/>
                <w:szCs w:val="20"/>
              </w:rPr>
            </w:pPr>
            <w:r>
              <w:rPr>
                <w:color w:val="000000" w:themeColor="text1"/>
                <w:sz w:val="20"/>
                <w:szCs w:val="20"/>
              </w:rPr>
              <w:t>14,700</w:t>
            </w:r>
          </w:p>
        </w:tc>
      </w:tr>
      <w:tr w:rsidR="005640F8" w:rsidTr="007556C4">
        <w:trPr>
          <w:tblHeader/>
        </w:trPr>
        <w:tc>
          <w:tcPr>
            <w:tcW w:w="7020" w:type="dxa"/>
            <w:gridSpan w:val="2"/>
          </w:tcPr>
          <w:p w:rsidR="005640F8" w:rsidRPr="00FB21F6" w:rsidRDefault="005640F8" w:rsidP="0019414F">
            <w:pPr>
              <w:jc w:val="right"/>
              <w:rPr>
                <w:color w:val="000000" w:themeColor="text1"/>
                <w:sz w:val="20"/>
                <w:szCs w:val="20"/>
              </w:rPr>
            </w:pPr>
            <w:r>
              <w:rPr>
                <w:color w:val="000000" w:themeColor="text1"/>
                <w:sz w:val="20"/>
                <w:szCs w:val="20"/>
              </w:rPr>
              <w:t>Total for A2</w:t>
            </w:r>
          </w:p>
        </w:tc>
        <w:tc>
          <w:tcPr>
            <w:tcW w:w="1170" w:type="dxa"/>
          </w:tcPr>
          <w:p w:rsidR="005640F8" w:rsidRDefault="005640F8" w:rsidP="00FB21F6">
            <w:pPr>
              <w:jc w:val="right"/>
              <w:rPr>
                <w:color w:val="000000" w:themeColor="text1"/>
                <w:sz w:val="20"/>
                <w:szCs w:val="20"/>
              </w:rPr>
            </w:pPr>
            <w:r>
              <w:rPr>
                <w:color w:val="000000" w:themeColor="text1"/>
                <w:sz w:val="20"/>
                <w:szCs w:val="20"/>
              </w:rPr>
              <w:t>224,700</w:t>
            </w:r>
          </w:p>
        </w:tc>
        <w:tc>
          <w:tcPr>
            <w:tcW w:w="1530" w:type="dxa"/>
          </w:tcPr>
          <w:p w:rsidR="005640F8" w:rsidRDefault="005640F8" w:rsidP="00FB21F6">
            <w:pPr>
              <w:jc w:val="right"/>
              <w:rPr>
                <w:color w:val="000000" w:themeColor="text1"/>
                <w:sz w:val="20"/>
                <w:szCs w:val="20"/>
              </w:rPr>
            </w:pPr>
            <w:r>
              <w:rPr>
                <w:color w:val="000000" w:themeColor="text1"/>
                <w:sz w:val="20"/>
                <w:szCs w:val="20"/>
              </w:rPr>
              <w:t>224,700</w:t>
            </w:r>
          </w:p>
        </w:tc>
      </w:tr>
      <w:tr w:rsidR="005640F8" w:rsidTr="000058A1">
        <w:trPr>
          <w:tblHeader/>
        </w:trPr>
        <w:tc>
          <w:tcPr>
            <w:tcW w:w="9720" w:type="dxa"/>
            <w:gridSpan w:val="4"/>
          </w:tcPr>
          <w:p w:rsidR="005640F8" w:rsidRPr="0019414F" w:rsidRDefault="005640F8" w:rsidP="005640F8">
            <w:pPr>
              <w:jc w:val="left"/>
              <w:rPr>
                <w:b/>
                <w:color w:val="000000" w:themeColor="text1"/>
                <w:sz w:val="20"/>
                <w:szCs w:val="20"/>
              </w:rPr>
            </w:pPr>
            <w:r>
              <w:rPr>
                <w:b/>
                <w:color w:val="000000" w:themeColor="text1"/>
                <w:sz w:val="20"/>
                <w:szCs w:val="20"/>
              </w:rPr>
              <w:t>A3</w:t>
            </w:r>
            <w:r w:rsidRPr="0019414F">
              <w:rPr>
                <w:b/>
                <w:color w:val="000000" w:themeColor="text1"/>
                <w:sz w:val="20"/>
                <w:szCs w:val="20"/>
              </w:rPr>
              <w:t>:  Technical assistance for preparation for verification reports</w:t>
            </w:r>
          </w:p>
        </w:tc>
      </w:tr>
      <w:tr w:rsidR="005640F8" w:rsidTr="00862CB1">
        <w:trPr>
          <w:tblHeader/>
        </w:trPr>
        <w:tc>
          <w:tcPr>
            <w:tcW w:w="1620" w:type="dxa"/>
          </w:tcPr>
          <w:p w:rsidR="005640F8" w:rsidRDefault="005640F8" w:rsidP="00FB21F6">
            <w:pPr>
              <w:jc w:val="left"/>
              <w:rPr>
                <w:color w:val="000000" w:themeColor="text1"/>
                <w:sz w:val="20"/>
                <w:szCs w:val="20"/>
              </w:rPr>
            </w:pPr>
            <w:r>
              <w:rPr>
                <w:color w:val="000000" w:themeColor="text1"/>
                <w:sz w:val="20"/>
                <w:szCs w:val="20"/>
              </w:rPr>
              <w:t>Ecuador</w:t>
            </w:r>
          </w:p>
        </w:tc>
        <w:tc>
          <w:tcPr>
            <w:tcW w:w="5400" w:type="dxa"/>
          </w:tcPr>
          <w:p w:rsidR="005640F8" w:rsidRPr="00FB21F6" w:rsidRDefault="005640F8" w:rsidP="00FB21F6">
            <w:pPr>
              <w:jc w:val="left"/>
              <w:rPr>
                <w:color w:val="000000" w:themeColor="text1"/>
                <w:sz w:val="20"/>
                <w:szCs w:val="20"/>
              </w:rPr>
            </w:pPr>
            <w:r w:rsidRPr="0019414F">
              <w:rPr>
                <w:color w:val="000000" w:themeColor="text1"/>
                <w:sz w:val="20"/>
                <w:szCs w:val="20"/>
              </w:rPr>
              <w:t>Verification report for stage I of HPMP</w:t>
            </w:r>
          </w:p>
        </w:tc>
        <w:tc>
          <w:tcPr>
            <w:tcW w:w="1170" w:type="dxa"/>
          </w:tcPr>
          <w:p w:rsidR="005640F8" w:rsidRDefault="005640F8" w:rsidP="00FB21F6">
            <w:pPr>
              <w:jc w:val="right"/>
              <w:rPr>
                <w:color w:val="000000" w:themeColor="text1"/>
                <w:sz w:val="20"/>
                <w:szCs w:val="20"/>
              </w:rPr>
            </w:pPr>
            <w:r>
              <w:rPr>
                <w:color w:val="000000" w:themeColor="text1"/>
                <w:sz w:val="20"/>
                <w:szCs w:val="20"/>
              </w:rPr>
              <w:t>30,000</w:t>
            </w:r>
          </w:p>
        </w:tc>
        <w:tc>
          <w:tcPr>
            <w:tcW w:w="1530" w:type="dxa"/>
          </w:tcPr>
          <w:p w:rsidR="005640F8" w:rsidRDefault="005640F8" w:rsidP="00FB21F6">
            <w:pPr>
              <w:jc w:val="right"/>
              <w:rPr>
                <w:color w:val="000000" w:themeColor="text1"/>
                <w:sz w:val="20"/>
                <w:szCs w:val="20"/>
              </w:rPr>
            </w:pPr>
            <w:r>
              <w:rPr>
                <w:color w:val="000000" w:themeColor="text1"/>
                <w:sz w:val="20"/>
                <w:szCs w:val="20"/>
              </w:rPr>
              <w:t>30,000</w:t>
            </w:r>
          </w:p>
        </w:tc>
      </w:tr>
      <w:tr w:rsidR="00AC5000" w:rsidTr="00452308">
        <w:trPr>
          <w:tblHeader/>
        </w:trPr>
        <w:tc>
          <w:tcPr>
            <w:tcW w:w="7020" w:type="dxa"/>
            <w:gridSpan w:val="2"/>
          </w:tcPr>
          <w:p w:rsidR="00AC5000" w:rsidRPr="0019414F" w:rsidRDefault="00AC5000" w:rsidP="0019414F">
            <w:pPr>
              <w:jc w:val="right"/>
              <w:rPr>
                <w:color w:val="000000" w:themeColor="text1"/>
                <w:sz w:val="20"/>
                <w:szCs w:val="20"/>
              </w:rPr>
            </w:pPr>
            <w:r w:rsidRPr="0019414F">
              <w:rPr>
                <w:color w:val="000000" w:themeColor="text1"/>
                <w:sz w:val="20"/>
                <w:szCs w:val="20"/>
              </w:rPr>
              <w:t>Subtotal for A</w:t>
            </w:r>
            <w:r>
              <w:rPr>
                <w:color w:val="000000" w:themeColor="text1"/>
                <w:sz w:val="20"/>
                <w:szCs w:val="20"/>
              </w:rPr>
              <w:t>3</w:t>
            </w:r>
          </w:p>
        </w:tc>
        <w:tc>
          <w:tcPr>
            <w:tcW w:w="1170" w:type="dxa"/>
          </w:tcPr>
          <w:p w:rsidR="00AC5000" w:rsidRDefault="00AC5000" w:rsidP="00E545A4">
            <w:pPr>
              <w:jc w:val="right"/>
              <w:rPr>
                <w:color w:val="000000" w:themeColor="text1"/>
                <w:sz w:val="20"/>
                <w:szCs w:val="20"/>
              </w:rPr>
            </w:pPr>
            <w:r>
              <w:rPr>
                <w:color w:val="000000" w:themeColor="text1"/>
                <w:sz w:val="20"/>
                <w:szCs w:val="20"/>
              </w:rPr>
              <w:t>30,000</w:t>
            </w:r>
          </w:p>
        </w:tc>
        <w:tc>
          <w:tcPr>
            <w:tcW w:w="1530" w:type="dxa"/>
          </w:tcPr>
          <w:p w:rsidR="00AC5000" w:rsidRDefault="00AC5000" w:rsidP="00E545A4">
            <w:pPr>
              <w:jc w:val="right"/>
              <w:rPr>
                <w:color w:val="000000" w:themeColor="text1"/>
                <w:sz w:val="20"/>
                <w:szCs w:val="20"/>
              </w:rPr>
            </w:pPr>
            <w:r>
              <w:rPr>
                <w:color w:val="000000" w:themeColor="text1"/>
                <w:sz w:val="20"/>
                <w:szCs w:val="20"/>
              </w:rPr>
              <w:t>30,000</w:t>
            </w:r>
          </w:p>
        </w:tc>
      </w:tr>
      <w:tr w:rsidR="00AC5000" w:rsidTr="00C4235F">
        <w:trPr>
          <w:tblHeader/>
        </w:trPr>
        <w:tc>
          <w:tcPr>
            <w:tcW w:w="7020" w:type="dxa"/>
            <w:gridSpan w:val="2"/>
          </w:tcPr>
          <w:p w:rsidR="00AC5000" w:rsidRPr="0019414F" w:rsidRDefault="00AC5000" w:rsidP="00FB21F6">
            <w:pPr>
              <w:jc w:val="left"/>
              <w:rPr>
                <w:color w:val="000000" w:themeColor="text1"/>
                <w:sz w:val="20"/>
                <w:szCs w:val="20"/>
              </w:rPr>
            </w:pPr>
            <w:r w:rsidRPr="00656BB4">
              <w:rPr>
                <w:color w:val="000000" w:themeColor="text1"/>
                <w:sz w:val="20"/>
                <w:szCs w:val="20"/>
              </w:rPr>
              <w:t>Agency support costs (9 per cent for technical assistance):</w:t>
            </w:r>
          </w:p>
        </w:tc>
        <w:tc>
          <w:tcPr>
            <w:tcW w:w="1170" w:type="dxa"/>
          </w:tcPr>
          <w:p w:rsidR="00AC5000" w:rsidRDefault="00AC5000" w:rsidP="00FB21F6">
            <w:pPr>
              <w:jc w:val="right"/>
              <w:rPr>
                <w:color w:val="000000" w:themeColor="text1"/>
                <w:sz w:val="20"/>
                <w:szCs w:val="20"/>
              </w:rPr>
            </w:pPr>
            <w:r>
              <w:rPr>
                <w:color w:val="000000" w:themeColor="text1"/>
                <w:sz w:val="20"/>
                <w:szCs w:val="20"/>
              </w:rPr>
              <w:t>2,700</w:t>
            </w:r>
          </w:p>
        </w:tc>
        <w:tc>
          <w:tcPr>
            <w:tcW w:w="1530" w:type="dxa"/>
          </w:tcPr>
          <w:p w:rsidR="00AC5000" w:rsidRDefault="00AC5000" w:rsidP="00FB21F6">
            <w:pPr>
              <w:jc w:val="right"/>
              <w:rPr>
                <w:color w:val="000000" w:themeColor="text1"/>
                <w:sz w:val="20"/>
                <w:szCs w:val="20"/>
              </w:rPr>
            </w:pPr>
            <w:r>
              <w:rPr>
                <w:color w:val="000000" w:themeColor="text1"/>
                <w:sz w:val="20"/>
                <w:szCs w:val="20"/>
              </w:rPr>
              <w:t>2,700</w:t>
            </w:r>
          </w:p>
        </w:tc>
      </w:tr>
      <w:tr w:rsidR="00AC5000" w:rsidTr="00420423">
        <w:trPr>
          <w:tblHeader/>
        </w:trPr>
        <w:tc>
          <w:tcPr>
            <w:tcW w:w="7020" w:type="dxa"/>
            <w:gridSpan w:val="2"/>
          </w:tcPr>
          <w:p w:rsidR="00AC5000" w:rsidRPr="0019414F" w:rsidRDefault="00AC5000" w:rsidP="00656BB4">
            <w:pPr>
              <w:jc w:val="right"/>
              <w:rPr>
                <w:color w:val="000000" w:themeColor="text1"/>
                <w:sz w:val="20"/>
                <w:szCs w:val="20"/>
              </w:rPr>
            </w:pPr>
            <w:r>
              <w:rPr>
                <w:color w:val="000000" w:themeColor="text1"/>
                <w:sz w:val="20"/>
                <w:szCs w:val="20"/>
              </w:rPr>
              <w:t>Total for A3</w:t>
            </w:r>
          </w:p>
        </w:tc>
        <w:tc>
          <w:tcPr>
            <w:tcW w:w="1170" w:type="dxa"/>
          </w:tcPr>
          <w:p w:rsidR="00AC5000" w:rsidRDefault="00AC5000" w:rsidP="00FB21F6">
            <w:pPr>
              <w:jc w:val="right"/>
              <w:rPr>
                <w:color w:val="000000" w:themeColor="text1"/>
                <w:sz w:val="20"/>
                <w:szCs w:val="20"/>
              </w:rPr>
            </w:pPr>
            <w:r>
              <w:rPr>
                <w:color w:val="000000" w:themeColor="text1"/>
                <w:sz w:val="20"/>
                <w:szCs w:val="20"/>
              </w:rPr>
              <w:t>32,700</w:t>
            </w:r>
          </w:p>
        </w:tc>
        <w:tc>
          <w:tcPr>
            <w:tcW w:w="1530" w:type="dxa"/>
          </w:tcPr>
          <w:p w:rsidR="00AC5000" w:rsidRDefault="00AC5000" w:rsidP="00FB21F6">
            <w:pPr>
              <w:jc w:val="right"/>
              <w:rPr>
                <w:color w:val="000000" w:themeColor="text1"/>
                <w:sz w:val="20"/>
                <w:szCs w:val="20"/>
              </w:rPr>
            </w:pPr>
            <w:r>
              <w:rPr>
                <w:color w:val="000000" w:themeColor="text1"/>
                <w:sz w:val="20"/>
                <w:szCs w:val="20"/>
              </w:rPr>
              <w:t>32,700</w:t>
            </w:r>
          </w:p>
        </w:tc>
      </w:tr>
      <w:tr w:rsidR="00AC5000" w:rsidRPr="0011606E" w:rsidTr="006100A6">
        <w:tc>
          <w:tcPr>
            <w:tcW w:w="7020" w:type="dxa"/>
            <w:gridSpan w:val="2"/>
          </w:tcPr>
          <w:p w:rsidR="00AC5000" w:rsidRPr="0011606E" w:rsidRDefault="00AC5000" w:rsidP="005640F8">
            <w:pPr>
              <w:jc w:val="right"/>
              <w:rPr>
                <w:sz w:val="20"/>
                <w:szCs w:val="20"/>
              </w:rPr>
            </w:pPr>
            <w:r>
              <w:rPr>
                <w:sz w:val="20"/>
                <w:szCs w:val="20"/>
              </w:rPr>
              <w:t>Grand total (A1, A2, A3):</w:t>
            </w:r>
          </w:p>
        </w:tc>
        <w:tc>
          <w:tcPr>
            <w:tcW w:w="1170" w:type="dxa"/>
          </w:tcPr>
          <w:p w:rsidR="00AC5000" w:rsidRPr="0011606E" w:rsidRDefault="00AC5000" w:rsidP="006100A6">
            <w:pPr>
              <w:jc w:val="right"/>
              <w:rPr>
                <w:sz w:val="20"/>
                <w:szCs w:val="20"/>
              </w:rPr>
            </w:pPr>
            <w:r>
              <w:rPr>
                <w:sz w:val="20"/>
                <w:szCs w:val="20"/>
              </w:rPr>
              <w:t>350,578</w:t>
            </w:r>
          </w:p>
        </w:tc>
        <w:tc>
          <w:tcPr>
            <w:tcW w:w="1530" w:type="dxa"/>
          </w:tcPr>
          <w:p w:rsidR="00AC5000" w:rsidRPr="0011606E" w:rsidRDefault="00AC5000" w:rsidP="006100A6">
            <w:pPr>
              <w:jc w:val="right"/>
              <w:rPr>
                <w:sz w:val="20"/>
                <w:szCs w:val="20"/>
              </w:rPr>
            </w:pPr>
            <w:r>
              <w:rPr>
                <w:sz w:val="20"/>
                <w:szCs w:val="20"/>
              </w:rPr>
              <w:t>350,578</w:t>
            </w:r>
          </w:p>
        </w:tc>
      </w:tr>
    </w:tbl>
    <w:p w:rsidR="007C5341" w:rsidRPr="00704420" w:rsidRDefault="00704420" w:rsidP="007C5341">
      <w:pPr>
        <w:rPr>
          <w:sz w:val="20"/>
          <w:szCs w:val="20"/>
          <w:lang w:val="en-CA"/>
        </w:rPr>
      </w:pPr>
      <w:r w:rsidRPr="00704420">
        <w:rPr>
          <w:sz w:val="20"/>
          <w:szCs w:val="20"/>
          <w:lang w:val="en-CA"/>
        </w:rPr>
        <w:t xml:space="preserve">* For individual consideration </w:t>
      </w:r>
    </w:p>
    <w:p w:rsidR="007C5341" w:rsidRDefault="007C5341" w:rsidP="007C5341">
      <w:pPr>
        <w:rPr>
          <w:lang w:val="en-CA"/>
        </w:rPr>
      </w:pPr>
    </w:p>
    <w:p w:rsidR="00656BB4" w:rsidRPr="00656BB4" w:rsidRDefault="00656BB4" w:rsidP="00656BB4">
      <w:pPr>
        <w:spacing w:after="240" w:line="360" w:lineRule="auto"/>
        <w:rPr>
          <w:b/>
          <w:color w:val="000000" w:themeColor="text1"/>
        </w:rPr>
      </w:pPr>
      <w:r w:rsidRPr="00656BB4">
        <w:rPr>
          <w:b/>
          <w:color w:val="000000" w:themeColor="text1"/>
        </w:rPr>
        <w:t>SECTION A:  ACTIVITIES RECOMMENDED FOR BLANKET APPROVAL</w:t>
      </w:r>
    </w:p>
    <w:p w:rsidR="005640F8" w:rsidRPr="008308DA" w:rsidRDefault="005640F8" w:rsidP="005640F8">
      <w:pPr>
        <w:spacing w:after="240"/>
        <w:rPr>
          <w:b/>
          <w:bCs/>
          <w:color w:val="000000" w:themeColor="text1"/>
        </w:rPr>
      </w:pPr>
      <w:r>
        <w:rPr>
          <w:b/>
          <w:color w:val="000000" w:themeColor="text1"/>
        </w:rPr>
        <w:t>A</w:t>
      </w:r>
      <w:r w:rsidRPr="008308DA">
        <w:rPr>
          <w:b/>
          <w:color w:val="000000" w:themeColor="text1"/>
        </w:rPr>
        <w:t>1: Institutional strengthening</w:t>
      </w:r>
      <w:r w:rsidRPr="008308DA">
        <w:rPr>
          <w:b/>
          <w:bCs/>
          <w:color w:val="000000" w:themeColor="text1"/>
        </w:rPr>
        <w:t xml:space="preserve"> </w:t>
      </w:r>
    </w:p>
    <w:p w:rsidR="005640F8" w:rsidRPr="00860182" w:rsidRDefault="00AD1F13" w:rsidP="005640F8">
      <w:pPr>
        <w:pStyle w:val="Heading2"/>
        <w:numPr>
          <w:ilvl w:val="1"/>
          <w:numId w:val="10"/>
        </w:numPr>
        <w:rPr>
          <w:bCs/>
          <w:color w:val="000000" w:themeColor="text1"/>
        </w:rPr>
      </w:pPr>
      <w:r>
        <w:rPr>
          <w:lang w:val="en-US"/>
        </w:rPr>
        <w:t>Libya (phase IV, year 2): US $87,082</w:t>
      </w:r>
    </w:p>
    <w:p w:rsidR="005640F8" w:rsidRDefault="005640F8" w:rsidP="005640F8">
      <w:pPr>
        <w:spacing w:after="240"/>
        <w:rPr>
          <w:b/>
          <w:color w:val="000000" w:themeColor="text1"/>
        </w:rPr>
      </w:pPr>
      <w:r>
        <w:rPr>
          <w:b/>
          <w:color w:val="000000" w:themeColor="text1"/>
        </w:rPr>
        <w:t xml:space="preserve">Background </w:t>
      </w:r>
    </w:p>
    <w:p w:rsidR="005640F8" w:rsidRDefault="005640F8" w:rsidP="005640F8">
      <w:pPr>
        <w:pStyle w:val="Heading1"/>
        <w:rPr>
          <w:color w:val="000000" w:themeColor="text1"/>
        </w:rPr>
      </w:pPr>
      <w:r>
        <w:rPr>
          <w:color w:val="000000" w:themeColor="text1"/>
        </w:rPr>
        <w:t xml:space="preserve">UNIDO </w:t>
      </w:r>
      <w:r w:rsidRPr="00D517E0">
        <w:rPr>
          <w:color w:val="000000" w:themeColor="text1"/>
        </w:rPr>
        <w:t xml:space="preserve">submitted the request for the renewal of the institutional strengthening (IS) project for </w:t>
      </w:r>
      <w:r>
        <w:rPr>
          <w:color w:val="000000" w:themeColor="text1"/>
        </w:rPr>
        <w:t xml:space="preserve">Libya </w:t>
      </w:r>
      <w:r w:rsidRPr="00D517E0">
        <w:rPr>
          <w:color w:val="000000" w:themeColor="text1"/>
        </w:rPr>
        <w:t xml:space="preserve">listed in Table 1. The description for </w:t>
      </w:r>
      <w:r>
        <w:rPr>
          <w:color w:val="000000" w:themeColor="text1"/>
        </w:rPr>
        <w:t xml:space="preserve">the </w:t>
      </w:r>
      <w:r w:rsidRPr="00D517E0">
        <w:rPr>
          <w:color w:val="000000" w:themeColor="text1"/>
        </w:rPr>
        <w:t>project is presented in Annex I to the present document.</w:t>
      </w:r>
    </w:p>
    <w:p w:rsidR="005640F8" w:rsidRPr="00650B21" w:rsidRDefault="005640F8" w:rsidP="005640F8">
      <w:pPr>
        <w:pStyle w:val="Heading1"/>
        <w:rPr>
          <w:color w:val="000000" w:themeColor="text1"/>
        </w:rPr>
      </w:pPr>
      <w:r w:rsidRPr="00650B21">
        <w:rPr>
          <w:color w:val="000000" w:themeColor="text1"/>
        </w:rPr>
        <w:t>At the 74</w:t>
      </w:r>
      <w:r w:rsidRPr="003C20EC">
        <w:rPr>
          <w:color w:val="000000" w:themeColor="text1"/>
          <w:vertAlign w:val="superscript"/>
        </w:rPr>
        <w:t>th</w:t>
      </w:r>
      <w:r w:rsidRPr="00650B21">
        <w:rPr>
          <w:color w:val="000000" w:themeColor="text1"/>
        </w:rPr>
        <w:t xml:space="preserve"> meeting the Executive Committee, recognizing the special situation of the Government of Libya, approved phase IV of the IS project for Libya for one year only, in the amount of US $68,033, without prejudice to the operation of the Montreal Protocol’s mechanism on non</w:t>
      </w:r>
      <w:r w:rsidRPr="00650B21">
        <w:rPr>
          <w:color w:val="000000" w:themeColor="text1"/>
        </w:rPr>
        <w:noBreakHyphen/>
        <w:t xml:space="preserve">compliance, and encouraged the Government to work with UNIDO in order to return to compliance </w:t>
      </w:r>
      <w:r w:rsidRPr="00650B21">
        <w:rPr>
          <w:color w:val="000000" w:themeColor="text1"/>
        </w:rPr>
        <w:lastRenderedPageBreak/>
        <w:t>and to submit its request for the second year of funding for phase IV to the first meeting of the Executive Committee in 2016</w:t>
      </w:r>
      <w:r w:rsidRPr="003C20EC">
        <w:rPr>
          <w:color w:val="000000" w:themeColor="text1"/>
          <w:vertAlign w:val="superscript"/>
        </w:rPr>
        <w:footnoteReference w:id="1"/>
      </w:r>
      <w:r w:rsidRPr="00650B21">
        <w:rPr>
          <w:color w:val="000000" w:themeColor="text1"/>
        </w:rPr>
        <w:t xml:space="preserve"> (decision 74/32).  </w:t>
      </w:r>
    </w:p>
    <w:p w:rsidR="005640F8" w:rsidRPr="00650B21" w:rsidRDefault="005640F8" w:rsidP="005640F8">
      <w:pPr>
        <w:pStyle w:val="Heading1"/>
        <w:rPr>
          <w:color w:val="000000" w:themeColor="text1"/>
        </w:rPr>
      </w:pPr>
      <w:r w:rsidRPr="00650B21">
        <w:rPr>
          <w:color w:val="000000" w:themeColor="text1"/>
        </w:rPr>
        <w:t>In June 2015, the Government of Libya issued Decree Law No. 228 to introduce the licensing and quota system for HCFCs, which met the pre-condition for submission of the HCFC phase-out management plan (HPMP). The HPMP was subsequently approved at the 75</w:t>
      </w:r>
      <w:r w:rsidR="00AD1F13" w:rsidRPr="00AD1F13">
        <w:rPr>
          <w:color w:val="000000" w:themeColor="text1"/>
          <w:vertAlign w:val="superscript"/>
        </w:rPr>
        <w:t>th</w:t>
      </w:r>
      <w:r w:rsidR="00AD1F13">
        <w:rPr>
          <w:color w:val="000000" w:themeColor="text1"/>
        </w:rPr>
        <w:t xml:space="preserve"> </w:t>
      </w:r>
      <w:r w:rsidRPr="00650B21">
        <w:rPr>
          <w:color w:val="000000" w:themeColor="text1"/>
        </w:rPr>
        <w:t>meeting on the understanding that approval was without prejudice to the operation of the Montreal Protocol’s mechanism for addressing non-compliance</w:t>
      </w:r>
      <w:r w:rsidRPr="003C20EC">
        <w:rPr>
          <w:color w:val="000000" w:themeColor="text1"/>
          <w:vertAlign w:val="superscript"/>
        </w:rPr>
        <w:footnoteReference w:id="2"/>
      </w:r>
      <w:r w:rsidRPr="00650B21">
        <w:rPr>
          <w:color w:val="000000" w:themeColor="text1"/>
        </w:rPr>
        <w:t xml:space="preserve"> (decision 75/50). </w:t>
      </w:r>
    </w:p>
    <w:p w:rsidR="005640F8" w:rsidRPr="00650B21" w:rsidRDefault="005640F8" w:rsidP="005640F8">
      <w:pPr>
        <w:pStyle w:val="Heading1"/>
        <w:rPr>
          <w:color w:val="000000" w:themeColor="text1"/>
        </w:rPr>
      </w:pPr>
      <w:r w:rsidRPr="00650B21">
        <w:rPr>
          <w:color w:val="000000" w:themeColor="text1"/>
        </w:rPr>
        <w:t>Libya has reported Article 7 data of 119.81 ODP tonnes of HCFC consumption in 2015</w:t>
      </w:r>
      <w:r w:rsidR="000035EE">
        <w:rPr>
          <w:color w:val="000000" w:themeColor="text1"/>
        </w:rPr>
        <w:t xml:space="preserve">, which is below the level of consumption of </w:t>
      </w:r>
      <w:r w:rsidR="000035EE" w:rsidRPr="00650B21">
        <w:rPr>
          <w:color w:val="000000" w:themeColor="text1"/>
        </w:rPr>
        <w:t>122.3 ODP tonnes</w:t>
      </w:r>
      <w:r w:rsidR="000035EE">
        <w:rPr>
          <w:color w:val="000000" w:themeColor="text1"/>
        </w:rPr>
        <w:t xml:space="preserve"> allowed under for that year</w:t>
      </w:r>
      <w:r w:rsidRPr="00650B21">
        <w:rPr>
          <w:color w:val="000000" w:themeColor="text1"/>
        </w:rPr>
        <w:t>.</w:t>
      </w:r>
    </w:p>
    <w:p w:rsidR="005640F8" w:rsidRDefault="005640F8" w:rsidP="005640F8">
      <w:pPr>
        <w:autoSpaceDE w:val="0"/>
        <w:autoSpaceDN w:val="0"/>
        <w:adjustRightInd w:val="0"/>
        <w:spacing w:after="240"/>
        <w:rPr>
          <w:b/>
          <w:bCs/>
          <w:color w:val="000000" w:themeColor="text1"/>
          <w:lang w:val="en-CA" w:eastAsia="en-CA"/>
        </w:rPr>
      </w:pPr>
      <w:r>
        <w:rPr>
          <w:b/>
          <w:bCs/>
          <w:color w:val="000000" w:themeColor="text1"/>
          <w:lang w:val="en-CA" w:eastAsia="en-CA"/>
        </w:rPr>
        <w:t>Secretariat’s comments</w:t>
      </w:r>
    </w:p>
    <w:p w:rsidR="005640F8" w:rsidRPr="00650B21" w:rsidRDefault="005640F8" w:rsidP="005640F8">
      <w:pPr>
        <w:pStyle w:val="Heading1"/>
        <w:rPr>
          <w:color w:val="000000" w:themeColor="text1"/>
        </w:rPr>
      </w:pPr>
      <w:r w:rsidRPr="00650B21">
        <w:rPr>
          <w:color w:val="000000" w:themeColor="text1"/>
        </w:rPr>
        <w:t xml:space="preserve">The Secretariat reviewed the request for the </w:t>
      </w:r>
      <w:r>
        <w:rPr>
          <w:color w:val="000000" w:themeColor="text1"/>
        </w:rPr>
        <w:t xml:space="preserve">renewal of the IS project </w:t>
      </w:r>
      <w:r w:rsidR="000035EE">
        <w:rPr>
          <w:color w:val="000000" w:themeColor="text1"/>
        </w:rPr>
        <w:t xml:space="preserve">for </w:t>
      </w:r>
      <w:r w:rsidRPr="00650B21">
        <w:rPr>
          <w:color w:val="000000" w:themeColor="text1"/>
        </w:rPr>
        <w:t>Libya against the guidelines and relevant decisions regarding eligibility and funding levels. The request was cross-checked against the original IS work plan for the previous phase, country programme and Article 7 data, the latest report on implementation of the HPMP, the agency’s progress report, and decision XXVII. It was noted that Libya is in compliance with the HCFC phase-out targets in the plan of action under decision XXVII and that the request submitted included performance indicators for the planned activities for the next phase of the IS project in accordance with decision 74/51(e)</w:t>
      </w:r>
      <w:r w:rsidRPr="005640F8">
        <w:rPr>
          <w:color w:val="000000" w:themeColor="text1"/>
          <w:vertAlign w:val="superscript"/>
        </w:rPr>
        <w:footnoteReference w:id="3"/>
      </w:r>
      <w:r w:rsidRPr="00650B21">
        <w:rPr>
          <w:color w:val="000000" w:themeColor="text1"/>
        </w:rPr>
        <w:t xml:space="preserve">. </w:t>
      </w:r>
    </w:p>
    <w:p w:rsidR="005640F8" w:rsidRDefault="005640F8" w:rsidP="005640F8">
      <w:pPr>
        <w:autoSpaceDE w:val="0"/>
        <w:autoSpaceDN w:val="0"/>
        <w:adjustRightInd w:val="0"/>
        <w:spacing w:after="240"/>
        <w:rPr>
          <w:b/>
          <w:bCs/>
          <w:color w:val="000000" w:themeColor="text1"/>
          <w:lang w:val="en-CA" w:eastAsia="en-CA"/>
        </w:rPr>
      </w:pPr>
      <w:r>
        <w:rPr>
          <w:b/>
          <w:bCs/>
          <w:color w:val="000000" w:themeColor="text1"/>
          <w:lang w:val="en-CA" w:eastAsia="en-CA"/>
        </w:rPr>
        <w:t>Secretariat’s recommendations</w:t>
      </w:r>
    </w:p>
    <w:p w:rsidR="005640F8" w:rsidRDefault="005640F8" w:rsidP="005640F8">
      <w:pPr>
        <w:pStyle w:val="Heading1"/>
        <w:numPr>
          <w:ilvl w:val="0"/>
          <w:numId w:val="10"/>
        </w:numPr>
        <w:autoSpaceDE w:val="0"/>
        <w:autoSpaceDN w:val="0"/>
      </w:pPr>
      <w:r w:rsidRPr="00704420">
        <w:t xml:space="preserve">The Executive Committee </w:t>
      </w:r>
      <w:r>
        <w:t xml:space="preserve">recommends blanket approval of </w:t>
      </w:r>
      <w:r w:rsidRPr="00704420">
        <w:t xml:space="preserve">the request for funding for phase IV (year 2) of the </w:t>
      </w:r>
      <w:r w:rsidR="000035EE">
        <w:t xml:space="preserve">institutional strengthening </w:t>
      </w:r>
      <w:r w:rsidRPr="00704420">
        <w:t xml:space="preserve">project for Libya </w:t>
      </w:r>
      <w:r w:rsidR="000035EE" w:rsidRPr="00233807">
        <w:rPr>
          <w:color w:val="000000" w:themeColor="text1"/>
        </w:rPr>
        <w:t>at the level of funding indicated in Table 1</w:t>
      </w:r>
      <w:r w:rsidRPr="00704420">
        <w:t>, without prejudice to the operation of the Montreal Protocol’s mechanism on non</w:t>
      </w:r>
      <w:r w:rsidRPr="00704420">
        <w:noBreakHyphen/>
        <w:t>compliance</w:t>
      </w:r>
      <w:r>
        <w:t xml:space="preserve">. The Executive Committee may wish to </w:t>
      </w:r>
      <w:r w:rsidRPr="00704420">
        <w:t>express to the Government</w:t>
      </w:r>
      <w:r>
        <w:t xml:space="preserve"> of Libya </w:t>
      </w:r>
      <w:r w:rsidRPr="00704420">
        <w:t>the comments which appear in Annex II to this document.</w:t>
      </w:r>
    </w:p>
    <w:p w:rsidR="00AC5000" w:rsidRPr="00233807" w:rsidRDefault="00AC5000" w:rsidP="00AC5000">
      <w:pPr>
        <w:spacing w:after="240"/>
        <w:rPr>
          <w:b/>
          <w:color w:val="000000" w:themeColor="text1"/>
        </w:rPr>
      </w:pPr>
      <w:r w:rsidRPr="00233807">
        <w:rPr>
          <w:b/>
          <w:color w:val="000000" w:themeColor="text1"/>
        </w:rPr>
        <w:t>A</w:t>
      </w:r>
      <w:r>
        <w:rPr>
          <w:b/>
          <w:color w:val="000000" w:themeColor="text1"/>
        </w:rPr>
        <w:t>2</w:t>
      </w:r>
      <w:r w:rsidRPr="00233807">
        <w:rPr>
          <w:b/>
          <w:color w:val="000000" w:themeColor="text1"/>
        </w:rPr>
        <w:t>: Project preparation</w:t>
      </w:r>
    </w:p>
    <w:p w:rsidR="00AC5000" w:rsidRPr="00233807" w:rsidRDefault="00AC5000" w:rsidP="00AC5000">
      <w:pPr>
        <w:spacing w:after="240"/>
        <w:rPr>
          <w:u w:val="single"/>
        </w:rPr>
      </w:pPr>
      <w:r w:rsidRPr="00233807">
        <w:rPr>
          <w:u w:val="single"/>
        </w:rPr>
        <w:t xml:space="preserve">Argentina: Preparation for </w:t>
      </w:r>
      <w:r>
        <w:rPr>
          <w:u w:val="single"/>
        </w:rPr>
        <w:t xml:space="preserve">an </w:t>
      </w:r>
      <w:r w:rsidRPr="00233807">
        <w:rPr>
          <w:u w:val="single"/>
        </w:rPr>
        <w:t>HPMP (stage II) (overarching strategy): US $90,000</w:t>
      </w:r>
    </w:p>
    <w:p w:rsidR="00AC5000" w:rsidRPr="00233807" w:rsidRDefault="00AC5000" w:rsidP="00AC5000">
      <w:pPr>
        <w:spacing w:after="240"/>
        <w:rPr>
          <w:b/>
          <w:color w:val="000000" w:themeColor="text1"/>
        </w:rPr>
      </w:pPr>
      <w:r w:rsidRPr="00233807">
        <w:rPr>
          <w:b/>
          <w:color w:val="000000" w:themeColor="text1"/>
        </w:rPr>
        <w:t>Project description</w:t>
      </w:r>
    </w:p>
    <w:p w:rsidR="00AC5000" w:rsidRPr="00233807" w:rsidRDefault="00AC5000" w:rsidP="00AC5000">
      <w:pPr>
        <w:pStyle w:val="Heading1"/>
        <w:numPr>
          <w:ilvl w:val="0"/>
          <w:numId w:val="10"/>
        </w:numPr>
        <w:rPr>
          <w:color w:val="000000" w:themeColor="text1"/>
        </w:rPr>
      </w:pPr>
      <w:r w:rsidRPr="00233807">
        <w:rPr>
          <w:color w:val="000000" w:themeColor="text1"/>
        </w:rPr>
        <w:t xml:space="preserve">UNIDO on behalf of the Government of Argentina, has submitted a request for the preparation of the overarching strategy for stage II of the HPMP at the funding level as shown in Table 1. </w:t>
      </w:r>
    </w:p>
    <w:p w:rsidR="00AC5000" w:rsidRPr="00233807" w:rsidRDefault="00AC5000" w:rsidP="00AC5000">
      <w:pPr>
        <w:pStyle w:val="Heading1"/>
        <w:numPr>
          <w:ilvl w:val="0"/>
          <w:numId w:val="10"/>
        </w:numPr>
        <w:rPr>
          <w:color w:val="000000" w:themeColor="text1"/>
        </w:rPr>
      </w:pPr>
      <w:r w:rsidRPr="00233807">
        <w:rPr>
          <w:color w:val="000000" w:themeColor="text1"/>
        </w:rPr>
        <w:t xml:space="preserve">The submission included an update on the implementation of stage I of the HPMP, justification for the requested funding, the activities to be implemented and the corresponding budgets. </w:t>
      </w:r>
    </w:p>
    <w:p w:rsidR="00AC5000" w:rsidRPr="00233807" w:rsidRDefault="00AC5000" w:rsidP="00AC5000">
      <w:pPr>
        <w:spacing w:after="240"/>
        <w:rPr>
          <w:b/>
          <w:color w:val="000000" w:themeColor="text1"/>
        </w:rPr>
      </w:pPr>
      <w:r w:rsidRPr="00233807">
        <w:rPr>
          <w:b/>
          <w:color w:val="000000" w:themeColor="text1"/>
        </w:rPr>
        <w:lastRenderedPageBreak/>
        <w:t>Secretariat’s comments</w:t>
      </w:r>
    </w:p>
    <w:p w:rsidR="00AC5000" w:rsidRPr="00233807" w:rsidRDefault="00AC5000" w:rsidP="00AC5000">
      <w:pPr>
        <w:pStyle w:val="Heading1"/>
        <w:numPr>
          <w:ilvl w:val="0"/>
          <w:numId w:val="10"/>
        </w:numPr>
        <w:rPr>
          <w:color w:val="000000" w:themeColor="text1"/>
        </w:rPr>
      </w:pPr>
      <w:r w:rsidRPr="00233807">
        <w:rPr>
          <w:color w:val="000000" w:themeColor="text1"/>
        </w:rPr>
        <w:t>The Secretariat reviewed this request in line with the guidelines f</w:t>
      </w:r>
      <w:r>
        <w:rPr>
          <w:color w:val="000000" w:themeColor="text1"/>
        </w:rPr>
        <w:t>or funding preparation of stage </w:t>
      </w:r>
      <w:r w:rsidRPr="00233807">
        <w:rPr>
          <w:color w:val="000000" w:themeColor="text1"/>
        </w:rPr>
        <w:t>II of the HPMPs for Article 5 countries contained in decision 71/42, and considered it in line with decision 76/21, where funds for project preparation for the HCFC phase-out investment activities for Argentina (stage II) (foam sector) in the amount of US $137,500, plus agency support costs</w:t>
      </w:r>
      <w:r>
        <w:rPr>
          <w:color w:val="000000" w:themeColor="text1"/>
        </w:rPr>
        <w:t xml:space="preserve"> </w:t>
      </w:r>
      <w:r w:rsidRPr="00233807">
        <w:rPr>
          <w:color w:val="000000" w:themeColor="text1"/>
        </w:rPr>
        <w:t>for the World Bank.</w:t>
      </w:r>
    </w:p>
    <w:p w:rsidR="00AC5000" w:rsidRPr="00233807" w:rsidRDefault="00AC5000" w:rsidP="00AC5000">
      <w:pPr>
        <w:pStyle w:val="Heading1"/>
        <w:numPr>
          <w:ilvl w:val="0"/>
          <w:numId w:val="10"/>
        </w:numPr>
        <w:rPr>
          <w:color w:val="000000" w:themeColor="text1"/>
        </w:rPr>
      </w:pPr>
      <w:r w:rsidRPr="00233807">
        <w:rPr>
          <w:color w:val="000000" w:themeColor="text1"/>
        </w:rPr>
        <w:t>The Secretariat noted that the request for project preparation for the</w:t>
      </w:r>
      <w:r>
        <w:rPr>
          <w:color w:val="000000" w:themeColor="text1"/>
        </w:rPr>
        <w:t xml:space="preserve"> overarching strategy for stage </w:t>
      </w:r>
      <w:r w:rsidRPr="00233807">
        <w:rPr>
          <w:color w:val="000000" w:themeColor="text1"/>
        </w:rPr>
        <w:t xml:space="preserve">II of the HPMP </w:t>
      </w:r>
      <w:r>
        <w:rPr>
          <w:color w:val="000000" w:themeColor="text1"/>
        </w:rPr>
        <w:t xml:space="preserve">of US $90,000 is </w:t>
      </w:r>
      <w:r w:rsidRPr="00233807">
        <w:rPr>
          <w:color w:val="000000" w:themeColor="text1"/>
        </w:rPr>
        <w:t xml:space="preserve">in in line with decision 71/42 </w:t>
      </w:r>
      <w:r>
        <w:rPr>
          <w:color w:val="000000" w:themeColor="text1"/>
        </w:rPr>
        <w:t xml:space="preserve">and </w:t>
      </w:r>
      <w:r w:rsidRPr="00233807">
        <w:rPr>
          <w:color w:val="000000" w:themeColor="text1"/>
        </w:rPr>
        <w:t xml:space="preserve">its remaining eligible HCFC consumption of </w:t>
      </w:r>
      <w:r>
        <w:rPr>
          <w:color w:val="000000" w:themeColor="text1"/>
        </w:rPr>
        <w:t>293.98</w:t>
      </w:r>
      <w:r w:rsidRPr="00233807">
        <w:rPr>
          <w:color w:val="000000" w:themeColor="text1"/>
        </w:rPr>
        <w:t xml:space="preserve"> ODP tonnes.  </w:t>
      </w:r>
    </w:p>
    <w:p w:rsidR="00AC5000" w:rsidRPr="00233807" w:rsidRDefault="00AC5000" w:rsidP="00AC5000">
      <w:pPr>
        <w:spacing w:after="240"/>
        <w:rPr>
          <w:b/>
          <w:color w:val="000000" w:themeColor="text1"/>
        </w:rPr>
      </w:pPr>
      <w:r w:rsidRPr="00233807">
        <w:rPr>
          <w:b/>
          <w:color w:val="000000" w:themeColor="text1"/>
        </w:rPr>
        <w:t>Secretariat’s recommendation</w:t>
      </w:r>
    </w:p>
    <w:p w:rsidR="00AC5000" w:rsidRPr="00233807" w:rsidRDefault="00AC5000" w:rsidP="00AC5000">
      <w:pPr>
        <w:pStyle w:val="Heading1"/>
        <w:numPr>
          <w:ilvl w:val="0"/>
          <w:numId w:val="10"/>
        </w:numPr>
        <w:rPr>
          <w:color w:val="000000" w:themeColor="text1"/>
        </w:rPr>
      </w:pPr>
      <w:r w:rsidRPr="00233807">
        <w:rPr>
          <w:color w:val="000000" w:themeColor="text1"/>
        </w:rPr>
        <w:t>The Secretariat recommends blanket approval of the request of UNIDO for project preparation of</w:t>
      </w:r>
      <w:r>
        <w:rPr>
          <w:color w:val="000000" w:themeColor="text1"/>
        </w:rPr>
        <w:t xml:space="preserve"> stage II of the HCFC phase-</w:t>
      </w:r>
      <w:r w:rsidRPr="00233807">
        <w:rPr>
          <w:color w:val="000000" w:themeColor="text1"/>
        </w:rPr>
        <w:t>out management plan (overarching strategy) for Argentina at the level of funding indicated in Table 1.</w:t>
      </w:r>
    </w:p>
    <w:p w:rsidR="00AC5000" w:rsidRPr="00233807" w:rsidRDefault="00AC5000" w:rsidP="00AC5000">
      <w:pPr>
        <w:rPr>
          <w:u w:val="single"/>
        </w:rPr>
      </w:pPr>
      <w:r w:rsidRPr="00233807">
        <w:rPr>
          <w:u w:val="single"/>
        </w:rPr>
        <w:t>Tunisia: Preparation for HCFC phase-out (stage II) (overarching strategy): US $60,000</w:t>
      </w:r>
    </w:p>
    <w:p w:rsidR="00AC5000" w:rsidRPr="00233807" w:rsidRDefault="00AC5000" w:rsidP="00AC5000">
      <w:pPr>
        <w:rPr>
          <w:u w:val="single"/>
        </w:rPr>
      </w:pPr>
      <w:r w:rsidRPr="00233807">
        <w:rPr>
          <w:u w:val="single"/>
        </w:rPr>
        <w:t>Tunisia: Preparation for HCFC phase-out investment activities (stage II) (foam sector): US $60,000</w:t>
      </w:r>
    </w:p>
    <w:p w:rsidR="00AC5000" w:rsidRPr="00233807" w:rsidRDefault="00AC5000" w:rsidP="00AC5000">
      <w:pPr>
        <w:rPr>
          <w:u w:val="single"/>
        </w:rPr>
      </w:pPr>
    </w:p>
    <w:p w:rsidR="00AC5000" w:rsidRPr="00233807" w:rsidRDefault="00AC5000" w:rsidP="00AC5000">
      <w:pPr>
        <w:spacing w:after="240"/>
        <w:rPr>
          <w:b/>
          <w:color w:val="000000" w:themeColor="text1"/>
        </w:rPr>
      </w:pPr>
      <w:r w:rsidRPr="00233807">
        <w:rPr>
          <w:b/>
          <w:color w:val="000000" w:themeColor="text1"/>
        </w:rPr>
        <w:t>Project description</w:t>
      </w:r>
    </w:p>
    <w:p w:rsidR="00AC5000" w:rsidRPr="00233807" w:rsidRDefault="00AC5000" w:rsidP="00AC5000">
      <w:pPr>
        <w:pStyle w:val="Heading1"/>
        <w:numPr>
          <w:ilvl w:val="0"/>
          <w:numId w:val="10"/>
        </w:numPr>
        <w:rPr>
          <w:color w:val="000000" w:themeColor="text1"/>
        </w:rPr>
      </w:pPr>
      <w:r w:rsidRPr="00233807">
        <w:rPr>
          <w:color w:val="000000" w:themeColor="text1"/>
        </w:rPr>
        <w:t>UNIDO, on behalf of the Government of Tunisia,  has submitted requests for project preparation of stage II of the HPMP (US</w:t>
      </w:r>
      <w:r>
        <w:rPr>
          <w:color w:val="000000" w:themeColor="text1"/>
        </w:rPr>
        <w:t xml:space="preserve"> </w:t>
      </w:r>
      <w:r w:rsidRPr="00233807">
        <w:rPr>
          <w:color w:val="000000" w:themeColor="text1"/>
        </w:rPr>
        <w:t>$60,000) and preparation of HCFC phase-out investment activities for the foam sector (US</w:t>
      </w:r>
      <w:r>
        <w:rPr>
          <w:color w:val="000000" w:themeColor="text1"/>
        </w:rPr>
        <w:t xml:space="preserve"> </w:t>
      </w:r>
      <w:r w:rsidRPr="00233807">
        <w:rPr>
          <w:color w:val="000000" w:themeColor="text1"/>
        </w:rPr>
        <w:t xml:space="preserve">$60,000) at the funding level as shown in Table 1. </w:t>
      </w:r>
    </w:p>
    <w:p w:rsidR="00AC5000" w:rsidRPr="00233807" w:rsidRDefault="00AC5000" w:rsidP="00AC5000">
      <w:pPr>
        <w:spacing w:after="240"/>
        <w:rPr>
          <w:b/>
          <w:color w:val="000000" w:themeColor="text1"/>
        </w:rPr>
      </w:pPr>
      <w:r w:rsidRPr="00233807">
        <w:rPr>
          <w:b/>
          <w:color w:val="000000" w:themeColor="text1"/>
        </w:rPr>
        <w:t>Secretariat’s comments</w:t>
      </w:r>
    </w:p>
    <w:p w:rsidR="00AC5000" w:rsidRPr="00233807" w:rsidRDefault="00AC5000" w:rsidP="00AC5000">
      <w:pPr>
        <w:pStyle w:val="Heading1"/>
      </w:pPr>
      <w:r w:rsidRPr="00233807">
        <w:t xml:space="preserve">The Secretariat reviewed this request in line with decision 71/42 and noted that the submission included an update on the implementation of stage I of the HPMP, justification for the requested funding, the activities to be implemented and the corresponding budgets. </w:t>
      </w:r>
    </w:p>
    <w:p w:rsidR="00AC5000" w:rsidRPr="00233807" w:rsidRDefault="00AC5000" w:rsidP="00AC5000">
      <w:pPr>
        <w:pStyle w:val="Heading1"/>
      </w:pPr>
      <w:r w:rsidRPr="00233807">
        <w:t xml:space="preserve">The request is within the limits set by decision 71/42(d), (f) and (g) based on Tunisia’s remaining eligible HCFC consumption of </w:t>
      </w:r>
      <w:r>
        <w:rPr>
          <w:color w:val="000000" w:themeColor="text1"/>
        </w:rPr>
        <w:t>35</w:t>
      </w:r>
      <w:r w:rsidRPr="00233807">
        <w:rPr>
          <w:color w:val="000000" w:themeColor="text1"/>
        </w:rPr>
        <w:t>.</w:t>
      </w:r>
      <w:r>
        <w:rPr>
          <w:color w:val="000000" w:themeColor="text1"/>
        </w:rPr>
        <w:t>08</w:t>
      </w:r>
      <w:r w:rsidRPr="00233807">
        <w:rPr>
          <w:color w:val="000000" w:themeColor="text1"/>
        </w:rPr>
        <w:t xml:space="preserve"> </w:t>
      </w:r>
      <w:r w:rsidRPr="00233807">
        <w:t>ODP tonnes, which entitles the Government of Tunis</w:t>
      </w:r>
      <w:r>
        <w:t>ia to receive a maximum of US $6</w:t>
      </w:r>
      <w:r w:rsidRPr="00233807">
        <w:t>0,000, plus agency support costs, for the preparation of the overarching strategy of stage II of the HPMP. The request for project preparation for HCFC phase-out investment activities for the foam sector (US</w:t>
      </w:r>
      <w:r>
        <w:t xml:space="preserve"> </w:t>
      </w:r>
      <w:r w:rsidRPr="00233807">
        <w:t xml:space="preserve">$60,000) is likewise consistent with the agreement during the discussion of stage I of the HPMP that this sector will be postponed for stage II.  </w:t>
      </w:r>
    </w:p>
    <w:p w:rsidR="00AC5000" w:rsidRPr="00233807" w:rsidRDefault="00AC5000" w:rsidP="00AC5000">
      <w:pPr>
        <w:spacing w:after="240"/>
        <w:rPr>
          <w:b/>
          <w:color w:val="000000" w:themeColor="text1"/>
        </w:rPr>
      </w:pPr>
      <w:r w:rsidRPr="00233807">
        <w:rPr>
          <w:b/>
          <w:color w:val="000000" w:themeColor="text1"/>
        </w:rPr>
        <w:t>Secretariat’s recommendation</w:t>
      </w:r>
    </w:p>
    <w:p w:rsidR="00AC5000" w:rsidRPr="00233807" w:rsidRDefault="00AC5000" w:rsidP="00AC5000">
      <w:pPr>
        <w:pStyle w:val="Heading1"/>
      </w:pPr>
      <w:r w:rsidRPr="00233807">
        <w:t>The Secretariat recommends blanket approval of the requests for project preparation of stage II of the</w:t>
      </w:r>
      <w:r>
        <w:t xml:space="preserve"> HCFC phase-</w:t>
      </w:r>
      <w:r w:rsidRPr="00233807">
        <w:t xml:space="preserve">out management plan and the </w:t>
      </w:r>
      <w:r w:rsidRPr="00233807">
        <w:rPr>
          <w:color w:val="000000" w:themeColor="text1"/>
        </w:rPr>
        <w:t xml:space="preserve">preparation for HCFC phase-out investment activities for the foam sector </w:t>
      </w:r>
      <w:r>
        <w:rPr>
          <w:color w:val="000000" w:themeColor="text1"/>
        </w:rPr>
        <w:t xml:space="preserve">in Tunisia </w:t>
      </w:r>
      <w:r w:rsidRPr="00233807">
        <w:t>at the level of funding indicated in Table 1.</w:t>
      </w:r>
    </w:p>
    <w:p w:rsidR="00AC5000" w:rsidRPr="00233807" w:rsidRDefault="00AC5000" w:rsidP="00AC5000">
      <w:pPr>
        <w:spacing w:after="240"/>
        <w:rPr>
          <w:b/>
          <w:color w:val="000000" w:themeColor="text1"/>
        </w:rPr>
      </w:pPr>
      <w:r w:rsidRPr="00233807">
        <w:rPr>
          <w:b/>
          <w:color w:val="000000" w:themeColor="text1"/>
        </w:rPr>
        <w:t>A2: Technical assistance to prepare verification reports on HCFC consumption</w:t>
      </w:r>
    </w:p>
    <w:p w:rsidR="00AC5000" w:rsidRPr="00233807" w:rsidRDefault="00AC5000" w:rsidP="00AC5000">
      <w:pPr>
        <w:keepNext/>
        <w:keepLines/>
        <w:spacing w:after="240"/>
        <w:rPr>
          <w:color w:val="000000" w:themeColor="text1"/>
          <w:u w:val="single"/>
        </w:rPr>
      </w:pPr>
      <w:r w:rsidRPr="00233807">
        <w:rPr>
          <w:color w:val="000000" w:themeColor="text1"/>
          <w:u w:val="single"/>
        </w:rPr>
        <w:t>Ecuador: Technical assistance for verification report of national consumption targets: US $30,000</w:t>
      </w:r>
    </w:p>
    <w:p w:rsidR="00AC5000" w:rsidRPr="00233807" w:rsidRDefault="00AC5000" w:rsidP="00AC5000">
      <w:pPr>
        <w:keepNext/>
        <w:keepLines/>
        <w:spacing w:after="240"/>
        <w:rPr>
          <w:b/>
          <w:color w:val="000000" w:themeColor="text1"/>
        </w:rPr>
      </w:pPr>
      <w:r w:rsidRPr="00233807">
        <w:rPr>
          <w:b/>
          <w:color w:val="000000" w:themeColor="text1"/>
        </w:rPr>
        <w:t xml:space="preserve">Project description </w:t>
      </w:r>
    </w:p>
    <w:p w:rsidR="00AC5000" w:rsidRPr="00233807" w:rsidRDefault="00AC5000" w:rsidP="00AC5000">
      <w:pPr>
        <w:pStyle w:val="Heading1"/>
        <w:rPr>
          <w:color w:val="000000" w:themeColor="text1"/>
        </w:rPr>
      </w:pPr>
      <w:r w:rsidRPr="00233807">
        <w:rPr>
          <w:color w:val="000000" w:themeColor="text1"/>
        </w:rPr>
        <w:t xml:space="preserve">The Executive Committee in decision 76/17, requested relevant bilateral and implementing agencies </w:t>
      </w:r>
      <w:r>
        <w:rPr>
          <w:color w:val="000000" w:themeColor="text1"/>
        </w:rPr>
        <w:t xml:space="preserve">to </w:t>
      </w:r>
      <w:r w:rsidRPr="00233807">
        <w:rPr>
          <w:color w:val="000000" w:themeColor="text1"/>
        </w:rPr>
        <w:t>include in their respective work programme amendments for submission to the 77</w:t>
      </w:r>
      <w:r w:rsidRPr="00233807">
        <w:rPr>
          <w:color w:val="000000" w:themeColor="text1"/>
          <w:vertAlign w:val="superscript"/>
        </w:rPr>
        <w:t xml:space="preserve">th </w:t>
      </w:r>
      <w:r w:rsidRPr="00233807">
        <w:rPr>
          <w:color w:val="000000" w:themeColor="text1"/>
        </w:rPr>
        <w:t xml:space="preserve">meeting, </w:t>
      </w:r>
      <w:r w:rsidRPr="00233807">
        <w:rPr>
          <w:color w:val="000000" w:themeColor="text1"/>
        </w:rPr>
        <w:lastRenderedPageBreak/>
        <w:t xml:space="preserve">funding for verification reports for stage I of the HPMPs for </w:t>
      </w:r>
      <w:r w:rsidRPr="00233807">
        <w:rPr>
          <w:i/>
          <w:color w:val="000000" w:themeColor="text1"/>
        </w:rPr>
        <w:t>inter alia</w:t>
      </w:r>
      <w:r w:rsidRPr="00233807">
        <w:rPr>
          <w:color w:val="000000" w:themeColor="text1"/>
        </w:rPr>
        <w:t xml:space="preserve">, Ecuador, where UNIDO is the lead implementing agency. </w:t>
      </w:r>
    </w:p>
    <w:p w:rsidR="00AC5000" w:rsidRPr="00233807" w:rsidRDefault="00AC5000" w:rsidP="00AC5000">
      <w:pPr>
        <w:spacing w:after="240"/>
        <w:rPr>
          <w:b/>
          <w:color w:val="000000" w:themeColor="text1"/>
        </w:rPr>
      </w:pPr>
      <w:r w:rsidRPr="00233807">
        <w:rPr>
          <w:b/>
          <w:color w:val="000000" w:themeColor="text1"/>
        </w:rPr>
        <w:t xml:space="preserve">Secretariat’s comments </w:t>
      </w:r>
    </w:p>
    <w:p w:rsidR="00AC5000" w:rsidRPr="00233807" w:rsidRDefault="00AC5000" w:rsidP="00AC5000">
      <w:pPr>
        <w:pStyle w:val="Heading1"/>
        <w:rPr>
          <w:color w:val="000000" w:themeColor="text1"/>
        </w:rPr>
      </w:pPr>
      <w:r w:rsidRPr="00233807">
        <w:rPr>
          <w:color w:val="000000" w:themeColor="text1"/>
        </w:rPr>
        <w:t>The Secretariat noted that the funding requested was consistent with the funds approved for similar verifications in previous meetings. It further</w:t>
      </w:r>
      <w:r>
        <w:rPr>
          <w:color w:val="000000" w:themeColor="text1"/>
        </w:rPr>
        <w:t xml:space="preserve"> noted that the verification report</w:t>
      </w:r>
      <w:r w:rsidRPr="00233807">
        <w:rPr>
          <w:color w:val="000000" w:themeColor="text1"/>
        </w:rPr>
        <w:t xml:space="preserve"> has to be submitted at least 60 days prior to the applicable Executive Committee meeting where </w:t>
      </w:r>
      <w:r>
        <w:rPr>
          <w:color w:val="000000" w:themeColor="text1"/>
        </w:rPr>
        <w:t xml:space="preserve">the next funding tranche for </w:t>
      </w:r>
      <w:r w:rsidRPr="00233807">
        <w:rPr>
          <w:color w:val="000000" w:themeColor="text1"/>
        </w:rPr>
        <w:t>its HPMP is being sought.</w:t>
      </w:r>
    </w:p>
    <w:p w:rsidR="00AC5000" w:rsidRPr="00233807" w:rsidRDefault="00AC5000" w:rsidP="00AC5000">
      <w:pPr>
        <w:spacing w:after="240"/>
        <w:rPr>
          <w:b/>
          <w:color w:val="000000" w:themeColor="text1"/>
        </w:rPr>
      </w:pPr>
      <w:r w:rsidRPr="00233807">
        <w:rPr>
          <w:b/>
          <w:color w:val="000000" w:themeColor="text1"/>
        </w:rPr>
        <w:t>Secretariat’s recommendation</w:t>
      </w:r>
    </w:p>
    <w:p w:rsidR="00AC5000" w:rsidRPr="00233807" w:rsidRDefault="00AC5000" w:rsidP="00AC5000">
      <w:pPr>
        <w:pStyle w:val="Heading1"/>
        <w:rPr>
          <w:color w:val="000000" w:themeColor="text1"/>
        </w:rPr>
      </w:pPr>
      <w:r w:rsidRPr="00233807">
        <w:rPr>
          <w:color w:val="000000" w:themeColor="text1"/>
        </w:rPr>
        <w:t>The Secretariat recommends blanket appro</w:t>
      </w:r>
      <w:r>
        <w:rPr>
          <w:color w:val="000000" w:themeColor="text1"/>
        </w:rPr>
        <w:t>val for the verification report</w:t>
      </w:r>
      <w:r w:rsidRPr="00233807">
        <w:rPr>
          <w:color w:val="000000" w:themeColor="text1"/>
        </w:rPr>
        <w:t xml:space="preserve"> for stage I of HPMP for Ecuador at the level of funding indicated in Table 1 on the understanding that the verification reports should be submitted at least 60 days prior to the applica</w:t>
      </w:r>
      <w:r w:rsidR="00C11A5E">
        <w:rPr>
          <w:color w:val="000000" w:themeColor="text1"/>
        </w:rPr>
        <w:t>ble Executive Committee meeting</w:t>
      </w:r>
      <w:r w:rsidRPr="00233807">
        <w:rPr>
          <w:color w:val="000000" w:themeColor="text1"/>
        </w:rPr>
        <w:t xml:space="preserve"> where the next funding tranche for its HPMP </w:t>
      </w:r>
      <w:r w:rsidR="00C11A5E">
        <w:rPr>
          <w:color w:val="000000" w:themeColor="text1"/>
        </w:rPr>
        <w:t xml:space="preserve">is </w:t>
      </w:r>
      <w:r w:rsidRPr="00233807">
        <w:rPr>
          <w:color w:val="000000" w:themeColor="text1"/>
        </w:rPr>
        <w:t>being sought.</w:t>
      </w:r>
    </w:p>
    <w:p w:rsidR="001A04C3" w:rsidRDefault="001A04C3">
      <w:pPr>
        <w:jc w:val="left"/>
        <w:sectPr w:rsidR="001A04C3"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r>
        <w:br w:type="page"/>
      </w:r>
    </w:p>
    <w:p w:rsidR="001A04C3" w:rsidRDefault="001A04C3">
      <w:pPr>
        <w:jc w:val="left"/>
      </w:pPr>
    </w:p>
    <w:p w:rsidR="00811222" w:rsidRPr="007364BA" w:rsidRDefault="00811222" w:rsidP="00811222">
      <w:pPr>
        <w:widowControl w:val="0"/>
        <w:spacing w:after="240"/>
        <w:jc w:val="center"/>
        <w:rPr>
          <w:b/>
          <w:lang w:val="en-US"/>
        </w:rPr>
      </w:pPr>
      <w:r w:rsidRPr="007364BA">
        <w:rPr>
          <w:b/>
          <w:lang w:val="en-US"/>
        </w:rPr>
        <w:t>Annex I</w:t>
      </w:r>
    </w:p>
    <w:p w:rsidR="00811222" w:rsidRPr="007364BA" w:rsidRDefault="00811222" w:rsidP="00811222">
      <w:pPr>
        <w:pStyle w:val="Title1"/>
        <w:widowControl w:val="0"/>
        <w:spacing w:after="240"/>
        <w:rPr>
          <w:lang w:val="en-US"/>
        </w:rPr>
      </w:pPr>
      <w:r w:rsidRPr="007364BA">
        <w:rPr>
          <w:lang w:val="en-US"/>
        </w:rPr>
        <w:t>institutional strengthening project proposals</w:t>
      </w:r>
    </w:p>
    <w:p w:rsidR="00811222" w:rsidRPr="007364BA" w:rsidRDefault="00811222" w:rsidP="00811222">
      <w:pPr>
        <w:jc w:val="right"/>
        <w:rPr>
          <w:b/>
        </w:rPr>
      </w:pPr>
    </w:p>
    <w:p w:rsidR="00811222" w:rsidRPr="007364BA" w:rsidRDefault="00811222" w:rsidP="00811222">
      <w:pPr>
        <w:jc w:val="right"/>
        <w:rPr>
          <w:b/>
        </w:rPr>
      </w:pPr>
    </w:p>
    <w:p w:rsidR="00811222" w:rsidRPr="007364BA" w:rsidRDefault="00811222" w:rsidP="00811222">
      <w:pPr>
        <w:widowControl w:val="0"/>
        <w:rPr>
          <w:b/>
          <w:bCs/>
        </w:rPr>
      </w:pPr>
      <w:r w:rsidRPr="007364BA">
        <w:rPr>
          <w:b/>
          <w:bCs/>
        </w:rPr>
        <w:t xml:space="preserve">Libya: Renewal of institutional strengthening  </w:t>
      </w:r>
    </w:p>
    <w:p w:rsidR="00811222" w:rsidRPr="007364BA" w:rsidRDefault="00811222" w:rsidP="00811222">
      <w:pPr>
        <w:widowControl w:val="0"/>
        <w:rPr>
          <w:b/>
          <w:bCs/>
        </w:rPr>
      </w:pPr>
    </w:p>
    <w:tbl>
      <w:tblPr>
        <w:tblStyle w:val="TableGrid20"/>
        <w:tblW w:w="5003" w:type="pct"/>
        <w:jc w:val="center"/>
        <w:tblInd w:w="878" w:type="dxa"/>
        <w:tblLayout w:type="fixed"/>
        <w:tblLook w:val="01E0" w:firstRow="1" w:lastRow="1" w:firstColumn="1" w:lastColumn="1" w:noHBand="0" w:noVBand="0"/>
      </w:tblPr>
      <w:tblGrid>
        <w:gridCol w:w="6842"/>
        <w:gridCol w:w="1460"/>
        <w:gridCol w:w="1280"/>
      </w:tblGrid>
      <w:tr w:rsidR="00811222" w:rsidRPr="00675302" w:rsidTr="00EF1452">
        <w:trPr>
          <w:trHeight w:val="278"/>
          <w:tblHeader/>
          <w:jc w:val="center"/>
        </w:trPr>
        <w:tc>
          <w:tcPr>
            <w:tcW w:w="4332" w:type="pct"/>
            <w:gridSpan w:val="2"/>
            <w:tcBorders>
              <w:bottom w:val="single" w:sz="4" w:space="0" w:color="auto"/>
            </w:tcBorders>
          </w:tcPr>
          <w:p w:rsidR="00811222" w:rsidRPr="00675302" w:rsidRDefault="00811222" w:rsidP="006100A6">
            <w:pPr>
              <w:widowControl w:val="0"/>
              <w:rPr>
                <w:b/>
                <w:sz w:val="20"/>
                <w:szCs w:val="20"/>
              </w:rPr>
            </w:pPr>
            <w:r w:rsidRPr="00675302">
              <w:rPr>
                <w:b/>
                <w:sz w:val="20"/>
                <w:szCs w:val="20"/>
              </w:rPr>
              <w:t>Summary of the project and country profile</w:t>
            </w:r>
          </w:p>
        </w:tc>
        <w:tc>
          <w:tcPr>
            <w:tcW w:w="668" w:type="pct"/>
          </w:tcPr>
          <w:p w:rsidR="00811222" w:rsidRPr="00675302" w:rsidRDefault="00811222" w:rsidP="006100A6">
            <w:pPr>
              <w:widowControl w:val="0"/>
              <w:jc w:val="right"/>
              <w:rPr>
                <w:b/>
                <w:sz w:val="20"/>
                <w:szCs w:val="20"/>
              </w:rPr>
            </w:pPr>
          </w:p>
        </w:tc>
      </w:tr>
      <w:tr w:rsidR="00811222" w:rsidRPr="00675302" w:rsidTr="00EF1452">
        <w:trPr>
          <w:trHeight w:val="233"/>
          <w:jc w:val="center"/>
        </w:trPr>
        <w:tc>
          <w:tcPr>
            <w:tcW w:w="4332" w:type="pct"/>
            <w:gridSpan w:val="2"/>
            <w:tcBorders>
              <w:bottom w:val="single" w:sz="4" w:space="0" w:color="auto"/>
            </w:tcBorders>
          </w:tcPr>
          <w:p w:rsidR="00811222" w:rsidRPr="00675302" w:rsidRDefault="00811222" w:rsidP="006100A6">
            <w:pPr>
              <w:widowControl w:val="0"/>
              <w:rPr>
                <w:sz w:val="20"/>
                <w:szCs w:val="20"/>
              </w:rPr>
            </w:pPr>
            <w:r w:rsidRPr="00675302">
              <w:rPr>
                <w:sz w:val="20"/>
                <w:szCs w:val="20"/>
              </w:rPr>
              <w:t>Implementing agency:</w:t>
            </w:r>
          </w:p>
        </w:tc>
        <w:tc>
          <w:tcPr>
            <w:tcW w:w="668" w:type="pct"/>
            <w:tcBorders>
              <w:bottom w:val="single" w:sz="4" w:space="0" w:color="auto"/>
            </w:tcBorders>
          </w:tcPr>
          <w:p w:rsidR="00811222" w:rsidRPr="00675302" w:rsidRDefault="00811222" w:rsidP="006100A6">
            <w:pPr>
              <w:widowControl w:val="0"/>
              <w:jc w:val="center"/>
              <w:rPr>
                <w:sz w:val="20"/>
                <w:szCs w:val="20"/>
              </w:rPr>
            </w:pPr>
            <w:r w:rsidRPr="00675302">
              <w:rPr>
                <w:sz w:val="20"/>
                <w:szCs w:val="20"/>
              </w:rPr>
              <w:t>UNIDO</w:t>
            </w:r>
          </w:p>
        </w:tc>
      </w:tr>
      <w:tr w:rsidR="00811222" w:rsidRPr="00675302" w:rsidTr="00EF1452">
        <w:trPr>
          <w:trHeight w:val="233"/>
          <w:jc w:val="center"/>
        </w:trPr>
        <w:tc>
          <w:tcPr>
            <w:tcW w:w="4332" w:type="pct"/>
            <w:gridSpan w:val="2"/>
            <w:tcBorders>
              <w:top w:val="single" w:sz="4" w:space="0" w:color="auto"/>
              <w:left w:val="single" w:sz="4" w:space="0" w:color="auto"/>
              <w:bottom w:val="nil"/>
              <w:right w:val="single" w:sz="4" w:space="0" w:color="auto"/>
            </w:tcBorders>
          </w:tcPr>
          <w:p w:rsidR="00811222" w:rsidRPr="00675302" w:rsidRDefault="00811222" w:rsidP="006100A6">
            <w:pPr>
              <w:widowControl w:val="0"/>
              <w:rPr>
                <w:sz w:val="20"/>
                <w:szCs w:val="20"/>
              </w:rPr>
            </w:pPr>
            <w:r w:rsidRPr="00675302">
              <w:rPr>
                <w:sz w:val="20"/>
                <w:szCs w:val="20"/>
              </w:rPr>
              <w:t>Amounts previously approved for institutional strengthening (US $):</w:t>
            </w:r>
          </w:p>
        </w:tc>
        <w:tc>
          <w:tcPr>
            <w:tcW w:w="668" w:type="pct"/>
            <w:tcBorders>
              <w:top w:val="single" w:sz="4" w:space="0" w:color="auto"/>
              <w:left w:val="single" w:sz="4" w:space="0" w:color="auto"/>
              <w:bottom w:val="nil"/>
              <w:right w:val="single" w:sz="4" w:space="0" w:color="auto"/>
            </w:tcBorders>
          </w:tcPr>
          <w:p w:rsidR="00811222" w:rsidRPr="00675302" w:rsidRDefault="00811222" w:rsidP="006100A6">
            <w:pPr>
              <w:widowControl w:val="0"/>
              <w:jc w:val="right"/>
              <w:rPr>
                <w:sz w:val="20"/>
                <w:szCs w:val="20"/>
              </w:rPr>
            </w:pPr>
          </w:p>
        </w:tc>
      </w:tr>
      <w:tr w:rsidR="00811222" w:rsidRPr="00675302" w:rsidTr="00EF1452">
        <w:trPr>
          <w:trHeight w:val="233"/>
          <w:jc w:val="center"/>
        </w:trPr>
        <w:tc>
          <w:tcPr>
            <w:tcW w:w="3570" w:type="pct"/>
            <w:tcBorders>
              <w:top w:val="nil"/>
              <w:left w:val="single" w:sz="4" w:space="0" w:color="auto"/>
              <w:bottom w:val="nil"/>
              <w:right w:val="nil"/>
            </w:tcBorders>
            <w:shd w:val="clear" w:color="auto" w:fill="FFFFFF" w:themeFill="background1"/>
            <w:vAlign w:val="bottom"/>
          </w:tcPr>
          <w:p w:rsidR="00811222" w:rsidRPr="00675302" w:rsidRDefault="00811222" w:rsidP="006100A6">
            <w:pPr>
              <w:widowControl w:val="0"/>
              <w:ind w:left="5249" w:right="-198"/>
              <w:jc w:val="left"/>
              <w:rPr>
                <w:sz w:val="20"/>
                <w:szCs w:val="20"/>
              </w:rPr>
            </w:pPr>
            <w:r w:rsidRPr="00675302">
              <w:rPr>
                <w:sz w:val="20"/>
                <w:szCs w:val="20"/>
              </w:rPr>
              <w:t>Phase I:</w:t>
            </w:r>
          </w:p>
        </w:tc>
        <w:tc>
          <w:tcPr>
            <w:tcW w:w="761" w:type="pct"/>
            <w:tcBorders>
              <w:top w:val="nil"/>
              <w:left w:val="nil"/>
              <w:bottom w:val="nil"/>
              <w:right w:val="single" w:sz="4" w:space="0" w:color="auto"/>
            </w:tcBorders>
            <w:shd w:val="clear" w:color="auto" w:fill="FFFFFF" w:themeFill="background1"/>
            <w:vAlign w:val="bottom"/>
          </w:tcPr>
          <w:p w:rsidR="00811222" w:rsidRPr="00675302" w:rsidRDefault="00811222" w:rsidP="006100A6">
            <w:pPr>
              <w:widowControl w:val="0"/>
              <w:jc w:val="right"/>
              <w:rPr>
                <w:sz w:val="20"/>
                <w:szCs w:val="20"/>
              </w:rPr>
            </w:pPr>
            <w:r w:rsidRPr="00675302">
              <w:rPr>
                <w:sz w:val="20"/>
                <w:szCs w:val="20"/>
              </w:rPr>
              <w:t>Dec-00</w:t>
            </w:r>
          </w:p>
        </w:tc>
        <w:tc>
          <w:tcPr>
            <w:tcW w:w="668" w:type="pct"/>
            <w:tcBorders>
              <w:top w:val="nil"/>
              <w:left w:val="single" w:sz="4" w:space="0" w:color="auto"/>
              <w:bottom w:val="nil"/>
              <w:right w:val="single" w:sz="4" w:space="0" w:color="auto"/>
            </w:tcBorders>
            <w:shd w:val="clear" w:color="auto" w:fill="FFFFFF" w:themeFill="background1"/>
            <w:vAlign w:val="bottom"/>
          </w:tcPr>
          <w:p w:rsidR="00811222" w:rsidRPr="00675302" w:rsidRDefault="00811222" w:rsidP="006100A6">
            <w:pPr>
              <w:widowControl w:val="0"/>
              <w:jc w:val="right"/>
              <w:rPr>
                <w:sz w:val="20"/>
                <w:szCs w:val="20"/>
              </w:rPr>
            </w:pPr>
            <w:r w:rsidRPr="00675302">
              <w:rPr>
                <w:sz w:val="20"/>
                <w:szCs w:val="20"/>
              </w:rPr>
              <w:t>157,000</w:t>
            </w:r>
          </w:p>
        </w:tc>
      </w:tr>
      <w:tr w:rsidR="00811222" w:rsidRPr="00675302" w:rsidTr="00EF1452">
        <w:trPr>
          <w:trHeight w:val="233"/>
          <w:jc w:val="center"/>
        </w:trPr>
        <w:tc>
          <w:tcPr>
            <w:tcW w:w="3570" w:type="pct"/>
            <w:tcBorders>
              <w:top w:val="nil"/>
              <w:left w:val="single" w:sz="4" w:space="0" w:color="auto"/>
              <w:bottom w:val="nil"/>
              <w:right w:val="nil"/>
            </w:tcBorders>
            <w:shd w:val="clear" w:color="auto" w:fill="FFFFFF" w:themeFill="background1"/>
            <w:vAlign w:val="bottom"/>
          </w:tcPr>
          <w:p w:rsidR="00811222" w:rsidRPr="00675302" w:rsidRDefault="00811222" w:rsidP="006100A6">
            <w:pPr>
              <w:widowControl w:val="0"/>
              <w:ind w:left="5249" w:right="-198"/>
              <w:jc w:val="left"/>
              <w:rPr>
                <w:sz w:val="20"/>
                <w:szCs w:val="20"/>
              </w:rPr>
            </w:pPr>
            <w:r w:rsidRPr="00675302">
              <w:rPr>
                <w:sz w:val="20"/>
                <w:szCs w:val="20"/>
              </w:rPr>
              <w:t>Phase II:</w:t>
            </w:r>
          </w:p>
        </w:tc>
        <w:tc>
          <w:tcPr>
            <w:tcW w:w="761" w:type="pct"/>
            <w:tcBorders>
              <w:top w:val="nil"/>
              <w:left w:val="nil"/>
              <w:bottom w:val="nil"/>
              <w:right w:val="single" w:sz="4" w:space="0" w:color="auto"/>
            </w:tcBorders>
            <w:shd w:val="clear" w:color="auto" w:fill="FFFFFF" w:themeFill="background1"/>
            <w:vAlign w:val="bottom"/>
          </w:tcPr>
          <w:p w:rsidR="00811222" w:rsidRPr="00675302" w:rsidRDefault="00811222" w:rsidP="006100A6">
            <w:pPr>
              <w:widowControl w:val="0"/>
              <w:jc w:val="right"/>
              <w:rPr>
                <w:sz w:val="20"/>
                <w:szCs w:val="20"/>
              </w:rPr>
            </w:pPr>
            <w:r w:rsidRPr="00675302">
              <w:rPr>
                <w:sz w:val="20"/>
                <w:szCs w:val="20"/>
              </w:rPr>
              <w:t>Nov-09</w:t>
            </w:r>
          </w:p>
        </w:tc>
        <w:tc>
          <w:tcPr>
            <w:tcW w:w="668" w:type="pct"/>
            <w:tcBorders>
              <w:top w:val="nil"/>
              <w:left w:val="single" w:sz="4" w:space="0" w:color="auto"/>
              <w:bottom w:val="nil"/>
              <w:right w:val="single" w:sz="4" w:space="0" w:color="auto"/>
            </w:tcBorders>
            <w:shd w:val="clear" w:color="auto" w:fill="FFFFFF" w:themeFill="background1"/>
            <w:vAlign w:val="bottom"/>
          </w:tcPr>
          <w:p w:rsidR="00811222" w:rsidRPr="00675302" w:rsidRDefault="00811222" w:rsidP="006100A6">
            <w:pPr>
              <w:widowControl w:val="0"/>
              <w:jc w:val="right"/>
              <w:rPr>
                <w:sz w:val="20"/>
                <w:szCs w:val="20"/>
              </w:rPr>
            </w:pPr>
            <w:r w:rsidRPr="00675302">
              <w:rPr>
                <w:sz w:val="20"/>
                <w:szCs w:val="20"/>
              </w:rPr>
              <w:t>136,065</w:t>
            </w:r>
          </w:p>
        </w:tc>
      </w:tr>
      <w:tr w:rsidR="00811222" w:rsidRPr="00675302" w:rsidTr="00EF1452">
        <w:trPr>
          <w:trHeight w:val="233"/>
          <w:jc w:val="center"/>
        </w:trPr>
        <w:tc>
          <w:tcPr>
            <w:tcW w:w="3570" w:type="pct"/>
            <w:tcBorders>
              <w:top w:val="nil"/>
              <w:left w:val="single" w:sz="4" w:space="0" w:color="auto"/>
              <w:bottom w:val="nil"/>
              <w:right w:val="nil"/>
            </w:tcBorders>
            <w:shd w:val="clear" w:color="auto" w:fill="FFFFFF" w:themeFill="background1"/>
            <w:vAlign w:val="bottom"/>
          </w:tcPr>
          <w:p w:rsidR="00811222" w:rsidRPr="00675302" w:rsidRDefault="00811222" w:rsidP="006100A6">
            <w:pPr>
              <w:widowControl w:val="0"/>
              <w:ind w:left="5249" w:right="-198"/>
              <w:jc w:val="left"/>
              <w:rPr>
                <w:sz w:val="20"/>
                <w:szCs w:val="20"/>
              </w:rPr>
            </w:pPr>
            <w:r w:rsidRPr="00675302">
              <w:rPr>
                <w:sz w:val="20"/>
                <w:szCs w:val="20"/>
              </w:rPr>
              <w:t>Phase III:</w:t>
            </w:r>
          </w:p>
        </w:tc>
        <w:tc>
          <w:tcPr>
            <w:tcW w:w="761" w:type="pct"/>
            <w:tcBorders>
              <w:top w:val="nil"/>
              <w:left w:val="nil"/>
              <w:bottom w:val="nil"/>
              <w:right w:val="single" w:sz="4" w:space="0" w:color="auto"/>
            </w:tcBorders>
            <w:shd w:val="clear" w:color="auto" w:fill="FFFFFF" w:themeFill="background1"/>
            <w:vAlign w:val="bottom"/>
          </w:tcPr>
          <w:p w:rsidR="00811222" w:rsidRPr="00675302" w:rsidRDefault="00811222" w:rsidP="006100A6">
            <w:pPr>
              <w:widowControl w:val="0"/>
              <w:jc w:val="right"/>
              <w:rPr>
                <w:sz w:val="20"/>
                <w:szCs w:val="20"/>
              </w:rPr>
            </w:pPr>
            <w:r w:rsidRPr="00675302">
              <w:rPr>
                <w:sz w:val="20"/>
                <w:szCs w:val="20"/>
              </w:rPr>
              <w:t>Dec-13</w:t>
            </w:r>
          </w:p>
        </w:tc>
        <w:tc>
          <w:tcPr>
            <w:tcW w:w="668" w:type="pct"/>
            <w:tcBorders>
              <w:top w:val="nil"/>
              <w:left w:val="single" w:sz="4" w:space="0" w:color="auto"/>
              <w:bottom w:val="nil"/>
              <w:right w:val="single" w:sz="4" w:space="0" w:color="auto"/>
            </w:tcBorders>
            <w:shd w:val="clear" w:color="auto" w:fill="FFFFFF" w:themeFill="background1"/>
            <w:vAlign w:val="bottom"/>
          </w:tcPr>
          <w:p w:rsidR="00811222" w:rsidRPr="00675302" w:rsidRDefault="00811222" w:rsidP="006100A6">
            <w:pPr>
              <w:widowControl w:val="0"/>
              <w:jc w:val="right"/>
              <w:rPr>
                <w:sz w:val="20"/>
                <w:szCs w:val="20"/>
              </w:rPr>
            </w:pPr>
            <w:r w:rsidRPr="00675302">
              <w:rPr>
                <w:sz w:val="20"/>
                <w:szCs w:val="20"/>
              </w:rPr>
              <w:t>136,065</w:t>
            </w:r>
          </w:p>
        </w:tc>
      </w:tr>
      <w:tr w:rsidR="00811222" w:rsidRPr="00675302" w:rsidTr="00EF1452">
        <w:trPr>
          <w:trHeight w:val="233"/>
          <w:jc w:val="center"/>
        </w:trPr>
        <w:tc>
          <w:tcPr>
            <w:tcW w:w="3570" w:type="pct"/>
            <w:tcBorders>
              <w:top w:val="nil"/>
              <w:left w:val="single" w:sz="4" w:space="0" w:color="auto"/>
              <w:bottom w:val="nil"/>
              <w:right w:val="nil"/>
            </w:tcBorders>
            <w:shd w:val="clear" w:color="auto" w:fill="FFFFFF" w:themeFill="background1"/>
            <w:vAlign w:val="bottom"/>
          </w:tcPr>
          <w:p w:rsidR="00811222" w:rsidRPr="00675302" w:rsidRDefault="00811222" w:rsidP="006100A6">
            <w:pPr>
              <w:widowControl w:val="0"/>
              <w:ind w:left="5249" w:right="-601"/>
              <w:jc w:val="left"/>
              <w:rPr>
                <w:sz w:val="20"/>
                <w:szCs w:val="20"/>
              </w:rPr>
            </w:pPr>
            <w:r w:rsidRPr="00675302">
              <w:rPr>
                <w:sz w:val="20"/>
                <w:szCs w:val="20"/>
              </w:rPr>
              <w:t>Phase IV (year 1)</w:t>
            </w:r>
          </w:p>
        </w:tc>
        <w:tc>
          <w:tcPr>
            <w:tcW w:w="761" w:type="pct"/>
            <w:tcBorders>
              <w:top w:val="nil"/>
              <w:left w:val="nil"/>
              <w:bottom w:val="nil"/>
              <w:right w:val="single" w:sz="4" w:space="0" w:color="auto"/>
            </w:tcBorders>
            <w:shd w:val="clear" w:color="auto" w:fill="FFFFFF" w:themeFill="background1"/>
            <w:vAlign w:val="bottom"/>
          </w:tcPr>
          <w:p w:rsidR="00811222" w:rsidRPr="00675302" w:rsidRDefault="00811222" w:rsidP="006100A6">
            <w:pPr>
              <w:widowControl w:val="0"/>
              <w:jc w:val="right"/>
              <w:rPr>
                <w:sz w:val="20"/>
                <w:szCs w:val="20"/>
              </w:rPr>
            </w:pPr>
            <w:r w:rsidRPr="00675302">
              <w:rPr>
                <w:sz w:val="20"/>
                <w:szCs w:val="20"/>
              </w:rPr>
              <w:t>May-15</w:t>
            </w:r>
          </w:p>
        </w:tc>
        <w:tc>
          <w:tcPr>
            <w:tcW w:w="668" w:type="pct"/>
            <w:tcBorders>
              <w:top w:val="nil"/>
              <w:left w:val="single" w:sz="4" w:space="0" w:color="auto"/>
              <w:bottom w:val="nil"/>
              <w:right w:val="single" w:sz="4" w:space="0" w:color="auto"/>
            </w:tcBorders>
            <w:shd w:val="clear" w:color="auto" w:fill="FFFFFF" w:themeFill="background1"/>
            <w:vAlign w:val="bottom"/>
          </w:tcPr>
          <w:p w:rsidR="00811222" w:rsidRPr="00675302" w:rsidRDefault="00811222" w:rsidP="006100A6">
            <w:pPr>
              <w:widowControl w:val="0"/>
              <w:jc w:val="right"/>
              <w:rPr>
                <w:sz w:val="20"/>
                <w:szCs w:val="20"/>
              </w:rPr>
            </w:pPr>
            <w:r w:rsidRPr="00675302">
              <w:rPr>
                <w:sz w:val="20"/>
                <w:szCs w:val="20"/>
              </w:rPr>
              <w:t>68,033</w:t>
            </w:r>
          </w:p>
        </w:tc>
      </w:tr>
      <w:tr w:rsidR="00811222" w:rsidRPr="00675302" w:rsidTr="00EF1452">
        <w:trPr>
          <w:trHeight w:val="233"/>
          <w:jc w:val="center"/>
        </w:trPr>
        <w:tc>
          <w:tcPr>
            <w:tcW w:w="4332" w:type="pct"/>
            <w:gridSpan w:val="2"/>
            <w:tcBorders>
              <w:top w:val="nil"/>
              <w:left w:val="single" w:sz="4" w:space="0" w:color="auto"/>
              <w:bottom w:val="nil"/>
              <w:right w:val="single" w:sz="4" w:space="0" w:color="auto"/>
            </w:tcBorders>
            <w:shd w:val="clear" w:color="auto" w:fill="auto"/>
          </w:tcPr>
          <w:p w:rsidR="00811222" w:rsidRPr="00675302" w:rsidRDefault="00811222" w:rsidP="006100A6">
            <w:pPr>
              <w:widowControl w:val="0"/>
              <w:tabs>
                <w:tab w:val="right" w:pos="7560"/>
              </w:tabs>
              <w:ind w:left="6480" w:right="-108"/>
              <w:jc w:val="left"/>
              <w:rPr>
                <w:sz w:val="20"/>
                <w:szCs w:val="20"/>
              </w:rPr>
            </w:pPr>
            <w:r w:rsidRPr="00675302">
              <w:rPr>
                <w:sz w:val="20"/>
                <w:szCs w:val="20"/>
              </w:rPr>
              <w:tab/>
              <w:t>Total:</w:t>
            </w:r>
          </w:p>
        </w:tc>
        <w:tc>
          <w:tcPr>
            <w:tcW w:w="668" w:type="pct"/>
            <w:tcBorders>
              <w:top w:val="nil"/>
              <w:left w:val="single" w:sz="4" w:space="0" w:color="auto"/>
              <w:bottom w:val="single" w:sz="4" w:space="0" w:color="auto"/>
              <w:right w:val="single" w:sz="4" w:space="0" w:color="auto"/>
            </w:tcBorders>
            <w:shd w:val="clear" w:color="auto" w:fill="auto"/>
          </w:tcPr>
          <w:p w:rsidR="00811222" w:rsidRPr="00675302" w:rsidRDefault="00811222" w:rsidP="006100A6">
            <w:pPr>
              <w:widowControl w:val="0"/>
              <w:jc w:val="right"/>
              <w:rPr>
                <w:sz w:val="20"/>
                <w:szCs w:val="20"/>
                <w:highlight w:val="cyan"/>
              </w:rPr>
            </w:pPr>
            <w:r w:rsidRPr="00675302">
              <w:rPr>
                <w:sz w:val="20"/>
                <w:szCs w:val="20"/>
              </w:rPr>
              <w:t>497,163</w:t>
            </w:r>
          </w:p>
        </w:tc>
      </w:tr>
      <w:tr w:rsidR="00811222" w:rsidRPr="00675302" w:rsidTr="00EF1452">
        <w:trPr>
          <w:trHeight w:val="233"/>
          <w:jc w:val="center"/>
        </w:trPr>
        <w:tc>
          <w:tcPr>
            <w:tcW w:w="4332" w:type="pct"/>
            <w:gridSpan w:val="2"/>
            <w:shd w:val="clear" w:color="auto" w:fill="FFFFFF" w:themeFill="background1"/>
          </w:tcPr>
          <w:p w:rsidR="00811222" w:rsidRPr="00675302" w:rsidRDefault="00811222" w:rsidP="006100A6">
            <w:pPr>
              <w:widowControl w:val="0"/>
              <w:jc w:val="left"/>
              <w:rPr>
                <w:sz w:val="20"/>
                <w:szCs w:val="20"/>
              </w:rPr>
            </w:pPr>
            <w:r w:rsidRPr="00675302">
              <w:rPr>
                <w:sz w:val="20"/>
                <w:szCs w:val="20"/>
              </w:rPr>
              <w:t>Amount requested for renewal (phase IV)(year 2) (US $):</w:t>
            </w:r>
          </w:p>
        </w:tc>
        <w:tc>
          <w:tcPr>
            <w:tcW w:w="668" w:type="pct"/>
            <w:shd w:val="clear" w:color="auto" w:fill="auto"/>
          </w:tcPr>
          <w:p w:rsidR="00811222" w:rsidRPr="00675302" w:rsidRDefault="00811222" w:rsidP="006100A6">
            <w:pPr>
              <w:widowControl w:val="0"/>
              <w:jc w:val="right"/>
              <w:rPr>
                <w:sz w:val="20"/>
                <w:szCs w:val="20"/>
              </w:rPr>
            </w:pPr>
            <w:r w:rsidRPr="00675302">
              <w:rPr>
                <w:sz w:val="20"/>
                <w:szCs w:val="20"/>
              </w:rPr>
              <w:t>87,082</w:t>
            </w:r>
          </w:p>
        </w:tc>
      </w:tr>
      <w:tr w:rsidR="00811222" w:rsidRPr="00675302" w:rsidTr="00EF1452">
        <w:trPr>
          <w:trHeight w:val="233"/>
          <w:jc w:val="center"/>
        </w:trPr>
        <w:tc>
          <w:tcPr>
            <w:tcW w:w="4332" w:type="pct"/>
            <w:gridSpan w:val="2"/>
          </w:tcPr>
          <w:p w:rsidR="00811222" w:rsidRPr="00675302" w:rsidRDefault="00811222" w:rsidP="006100A6">
            <w:pPr>
              <w:widowControl w:val="0"/>
              <w:jc w:val="left"/>
              <w:rPr>
                <w:sz w:val="20"/>
                <w:szCs w:val="20"/>
              </w:rPr>
            </w:pPr>
            <w:r w:rsidRPr="00675302">
              <w:rPr>
                <w:sz w:val="20"/>
                <w:szCs w:val="20"/>
              </w:rPr>
              <w:t xml:space="preserve">Amount recommended for approval for phase IV </w:t>
            </w:r>
            <w:r w:rsidR="00EF1452" w:rsidRPr="00675302">
              <w:rPr>
                <w:sz w:val="20"/>
                <w:szCs w:val="20"/>
              </w:rPr>
              <w:t xml:space="preserve">(year ) </w:t>
            </w:r>
            <w:r w:rsidRPr="00675302">
              <w:rPr>
                <w:sz w:val="20"/>
                <w:szCs w:val="20"/>
              </w:rPr>
              <w:t xml:space="preserve">(US $): </w:t>
            </w:r>
          </w:p>
        </w:tc>
        <w:tc>
          <w:tcPr>
            <w:tcW w:w="668" w:type="pct"/>
            <w:shd w:val="clear" w:color="auto" w:fill="auto"/>
          </w:tcPr>
          <w:p w:rsidR="00811222" w:rsidRPr="00675302" w:rsidRDefault="00811222" w:rsidP="006100A6">
            <w:pPr>
              <w:widowControl w:val="0"/>
              <w:jc w:val="right"/>
              <w:rPr>
                <w:sz w:val="20"/>
                <w:szCs w:val="20"/>
              </w:rPr>
            </w:pPr>
            <w:r w:rsidRPr="00675302">
              <w:rPr>
                <w:sz w:val="20"/>
                <w:szCs w:val="20"/>
              </w:rPr>
              <w:t>87,082</w:t>
            </w:r>
          </w:p>
        </w:tc>
      </w:tr>
      <w:tr w:rsidR="00811222" w:rsidRPr="00675302" w:rsidTr="00EF1452">
        <w:trPr>
          <w:trHeight w:val="233"/>
          <w:jc w:val="center"/>
        </w:trPr>
        <w:tc>
          <w:tcPr>
            <w:tcW w:w="4332" w:type="pct"/>
            <w:gridSpan w:val="2"/>
          </w:tcPr>
          <w:p w:rsidR="00811222" w:rsidRPr="00675302" w:rsidRDefault="00811222" w:rsidP="006100A6">
            <w:pPr>
              <w:widowControl w:val="0"/>
              <w:jc w:val="left"/>
              <w:rPr>
                <w:sz w:val="20"/>
                <w:szCs w:val="20"/>
              </w:rPr>
            </w:pPr>
            <w:r w:rsidRPr="00675302">
              <w:rPr>
                <w:sz w:val="20"/>
                <w:szCs w:val="20"/>
              </w:rPr>
              <w:t>Agency support costs (US $):</w:t>
            </w:r>
          </w:p>
        </w:tc>
        <w:tc>
          <w:tcPr>
            <w:tcW w:w="668" w:type="pct"/>
            <w:shd w:val="clear" w:color="auto" w:fill="auto"/>
          </w:tcPr>
          <w:p w:rsidR="00811222" w:rsidRPr="00675302" w:rsidRDefault="00811222" w:rsidP="006100A6">
            <w:pPr>
              <w:widowControl w:val="0"/>
              <w:jc w:val="right"/>
              <w:rPr>
                <w:sz w:val="20"/>
                <w:szCs w:val="20"/>
              </w:rPr>
            </w:pPr>
            <w:r w:rsidRPr="00675302">
              <w:rPr>
                <w:sz w:val="20"/>
                <w:szCs w:val="20"/>
              </w:rPr>
              <w:t>6,096</w:t>
            </w:r>
          </w:p>
        </w:tc>
      </w:tr>
      <w:tr w:rsidR="00811222" w:rsidRPr="00675302" w:rsidTr="00EF1452">
        <w:trPr>
          <w:trHeight w:val="233"/>
          <w:jc w:val="center"/>
        </w:trPr>
        <w:tc>
          <w:tcPr>
            <w:tcW w:w="4332" w:type="pct"/>
            <w:gridSpan w:val="2"/>
          </w:tcPr>
          <w:p w:rsidR="00811222" w:rsidRPr="00675302" w:rsidRDefault="00811222" w:rsidP="006100A6">
            <w:pPr>
              <w:widowControl w:val="0"/>
              <w:jc w:val="left"/>
              <w:rPr>
                <w:sz w:val="20"/>
                <w:szCs w:val="20"/>
              </w:rPr>
            </w:pPr>
            <w:r w:rsidRPr="00675302">
              <w:rPr>
                <w:sz w:val="20"/>
                <w:szCs w:val="20"/>
              </w:rPr>
              <w:t xml:space="preserve">Total cost of institutional strengthening phase IV </w:t>
            </w:r>
            <w:r w:rsidR="00EF1452" w:rsidRPr="00675302">
              <w:rPr>
                <w:sz w:val="20"/>
                <w:szCs w:val="20"/>
              </w:rPr>
              <w:t xml:space="preserve">(year2 )to the Multilateral Fund </w:t>
            </w:r>
            <w:r w:rsidRPr="00675302">
              <w:rPr>
                <w:sz w:val="20"/>
                <w:szCs w:val="20"/>
              </w:rPr>
              <w:t>(US $):</w:t>
            </w:r>
          </w:p>
        </w:tc>
        <w:tc>
          <w:tcPr>
            <w:tcW w:w="668" w:type="pct"/>
            <w:shd w:val="clear" w:color="auto" w:fill="auto"/>
          </w:tcPr>
          <w:p w:rsidR="00811222" w:rsidRPr="00675302" w:rsidRDefault="00811222" w:rsidP="006100A6">
            <w:pPr>
              <w:widowControl w:val="0"/>
              <w:jc w:val="right"/>
              <w:rPr>
                <w:sz w:val="20"/>
                <w:szCs w:val="20"/>
              </w:rPr>
            </w:pPr>
            <w:r w:rsidRPr="00675302">
              <w:rPr>
                <w:sz w:val="20"/>
                <w:szCs w:val="20"/>
              </w:rPr>
              <w:t>93,178</w:t>
            </w:r>
          </w:p>
        </w:tc>
      </w:tr>
      <w:tr w:rsidR="00811222" w:rsidRPr="00675302" w:rsidTr="00EF1452">
        <w:trPr>
          <w:trHeight w:val="233"/>
          <w:jc w:val="center"/>
        </w:trPr>
        <w:tc>
          <w:tcPr>
            <w:tcW w:w="4332" w:type="pct"/>
            <w:gridSpan w:val="2"/>
          </w:tcPr>
          <w:p w:rsidR="00811222" w:rsidRPr="00675302" w:rsidRDefault="00811222" w:rsidP="006100A6">
            <w:pPr>
              <w:widowControl w:val="0"/>
              <w:jc w:val="left"/>
              <w:rPr>
                <w:sz w:val="20"/>
                <w:szCs w:val="20"/>
              </w:rPr>
            </w:pPr>
            <w:r w:rsidRPr="00675302">
              <w:rPr>
                <w:sz w:val="20"/>
                <w:szCs w:val="20"/>
              </w:rPr>
              <w:t>Date of approval of country programme:</w:t>
            </w:r>
          </w:p>
        </w:tc>
        <w:tc>
          <w:tcPr>
            <w:tcW w:w="668" w:type="pct"/>
            <w:shd w:val="clear" w:color="auto" w:fill="FFFFFF" w:themeFill="background1"/>
          </w:tcPr>
          <w:p w:rsidR="00811222" w:rsidRPr="00675302" w:rsidRDefault="00811222" w:rsidP="006100A6">
            <w:pPr>
              <w:widowControl w:val="0"/>
              <w:jc w:val="right"/>
              <w:rPr>
                <w:sz w:val="20"/>
                <w:szCs w:val="20"/>
              </w:rPr>
            </w:pPr>
            <w:r w:rsidRPr="00675302">
              <w:rPr>
                <w:sz w:val="20"/>
                <w:szCs w:val="20"/>
              </w:rPr>
              <w:t>1999</w:t>
            </w:r>
          </w:p>
        </w:tc>
      </w:tr>
      <w:tr w:rsidR="00811222" w:rsidRPr="00675302" w:rsidTr="00EF1452">
        <w:trPr>
          <w:trHeight w:val="233"/>
          <w:jc w:val="center"/>
        </w:trPr>
        <w:tc>
          <w:tcPr>
            <w:tcW w:w="4332" w:type="pct"/>
            <w:gridSpan w:val="2"/>
            <w:tcBorders>
              <w:bottom w:val="single" w:sz="4" w:space="0" w:color="auto"/>
            </w:tcBorders>
          </w:tcPr>
          <w:p w:rsidR="00811222" w:rsidRPr="00675302" w:rsidRDefault="00811222" w:rsidP="006100A6">
            <w:pPr>
              <w:widowControl w:val="0"/>
              <w:jc w:val="left"/>
              <w:rPr>
                <w:sz w:val="20"/>
                <w:szCs w:val="20"/>
              </w:rPr>
            </w:pPr>
            <w:r w:rsidRPr="00675302">
              <w:rPr>
                <w:sz w:val="20"/>
                <w:szCs w:val="20"/>
              </w:rPr>
              <w:t>Date of approval of HCFC phase-out management plan:</w:t>
            </w:r>
          </w:p>
        </w:tc>
        <w:tc>
          <w:tcPr>
            <w:tcW w:w="668" w:type="pct"/>
            <w:tcBorders>
              <w:bottom w:val="single" w:sz="4" w:space="0" w:color="auto"/>
            </w:tcBorders>
            <w:shd w:val="clear" w:color="auto" w:fill="FFFFFF" w:themeFill="background1"/>
          </w:tcPr>
          <w:p w:rsidR="00811222" w:rsidRPr="00675302" w:rsidRDefault="00DA05C0" w:rsidP="00DA05C0">
            <w:pPr>
              <w:widowControl w:val="0"/>
              <w:jc w:val="right"/>
              <w:rPr>
                <w:sz w:val="20"/>
                <w:szCs w:val="20"/>
              </w:rPr>
            </w:pPr>
            <w:r>
              <w:rPr>
                <w:sz w:val="20"/>
                <w:szCs w:val="20"/>
              </w:rPr>
              <w:t>2015</w:t>
            </w:r>
          </w:p>
        </w:tc>
      </w:tr>
      <w:tr w:rsidR="00811222" w:rsidRPr="00675302" w:rsidTr="00EF1452">
        <w:trPr>
          <w:trHeight w:val="233"/>
          <w:jc w:val="center"/>
        </w:trPr>
        <w:tc>
          <w:tcPr>
            <w:tcW w:w="4332" w:type="pct"/>
            <w:gridSpan w:val="2"/>
            <w:tcBorders>
              <w:top w:val="single" w:sz="4" w:space="0" w:color="auto"/>
              <w:left w:val="single" w:sz="4" w:space="0" w:color="auto"/>
              <w:bottom w:val="nil"/>
              <w:right w:val="single" w:sz="4" w:space="0" w:color="auto"/>
            </w:tcBorders>
          </w:tcPr>
          <w:p w:rsidR="00811222" w:rsidRPr="00675302" w:rsidRDefault="00811222" w:rsidP="006100A6">
            <w:pPr>
              <w:widowControl w:val="0"/>
              <w:spacing w:before="20"/>
              <w:jc w:val="left"/>
              <w:rPr>
                <w:sz w:val="20"/>
                <w:szCs w:val="20"/>
              </w:rPr>
            </w:pPr>
            <w:r w:rsidRPr="00675302">
              <w:rPr>
                <w:sz w:val="20"/>
                <w:szCs w:val="20"/>
              </w:rPr>
              <w:t>Baseline consumption of controlled substances (ODP tonnes):</w:t>
            </w:r>
          </w:p>
        </w:tc>
        <w:tc>
          <w:tcPr>
            <w:tcW w:w="668" w:type="pct"/>
            <w:tcBorders>
              <w:top w:val="single" w:sz="4" w:space="0" w:color="auto"/>
              <w:left w:val="single" w:sz="4" w:space="0" w:color="auto"/>
              <w:bottom w:val="nil"/>
              <w:right w:val="single" w:sz="4" w:space="0" w:color="auto"/>
            </w:tcBorders>
            <w:shd w:val="clear" w:color="auto" w:fill="FFFFFF" w:themeFill="background1"/>
            <w:vAlign w:val="bottom"/>
          </w:tcPr>
          <w:p w:rsidR="00811222" w:rsidRPr="00675302" w:rsidRDefault="00811222" w:rsidP="006100A6">
            <w:pPr>
              <w:widowControl w:val="0"/>
              <w:jc w:val="right"/>
              <w:rPr>
                <w:sz w:val="20"/>
                <w:szCs w:val="20"/>
              </w:rPr>
            </w:pPr>
          </w:p>
        </w:tc>
      </w:tr>
      <w:tr w:rsidR="00811222" w:rsidRPr="00675302" w:rsidTr="00EF1452">
        <w:trPr>
          <w:trHeight w:val="233"/>
          <w:jc w:val="center"/>
        </w:trPr>
        <w:tc>
          <w:tcPr>
            <w:tcW w:w="4332" w:type="pct"/>
            <w:gridSpan w:val="2"/>
            <w:tcBorders>
              <w:top w:val="nil"/>
              <w:left w:val="single" w:sz="4" w:space="0" w:color="auto"/>
              <w:bottom w:val="nil"/>
              <w:right w:val="single" w:sz="4" w:space="0" w:color="auto"/>
            </w:tcBorders>
          </w:tcPr>
          <w:p w:rsidR="00811222" w:rsidRPr="00675302" w:rsidRDefault="00811222" w:rsidP="006100A6">
            <w:pPr>
              <w:widowControl w:val="0"/>
              <w:ind w:left="360" w:hanging="360"/>
              <w:jc w:val="left"/>
              <w:rPr>
                <w:sz w:val="20"/>
                <w:szCs w:val="20"/>
              </w:rPr>
            </w:pPr>
            <w:r w:rsidRPr="00675302">
              <w:rPr>
                <w:sz w:val="20"/>
                <w:szCs w:val="20"/>
              </w:rPr>
              <w:t>(a)</w:t>
            </w:r>
            <w:r w:rsidRPr="00675302">
              <w:rPr>
                <w:sz w:val="20"/>
                <w:szCs w:val="20"/>
              </w:rPr>
              <w:tab/>
              <w:t>Annex B, Group III (methyl chloroform) (average 1998-2000)</w:t>
            </w:r>
          </w:p>
        </w:tc>
        <w:tc>
          <w:tcPr>
            <w:tcW w:w="668" w:type="pct"/>
            <w:tcBorders>
              <w:top w:val="nil"/>
              <w:left w:val="single" w:sz="4" w:space="0" w:color="auto"/>
              <w:bottom w:val="nil"/>
              <w:right w:val="single" w:sz="4" w:space="0" w:color="auto"/>
            </w:tcBorders>
            <w:shd w:val="clear" w:color="auto" w:fill="FFFFFF" w:themeFill="background1"/>
            <w:vAlign w:val="bottom"/>
          </w:tcPr>
          <w:p w:rsidR="00811222" w:rsidRPr="00675302" w:rsidRDefault="00811222" w:rsidP="006100A6">
            <w:pPr>
              <w:widowControl w:val="0"/>
              <w:jc w:val="right"/>
              <w:rPr>
                <w:sz w:val="20"/>
                <w:szCs w:val="20"/>
              </w:rPr>
            </w:pPr>
            <w:r w:rsidRPr="00675302">
              <w:rPr>
                <w:sz w:val="20"/>
                <w:szCs w:val="20"/>
              </w:rPr>
              <w:t>0.0</w:t>
            </w:r>
          </w:p>
        </w:tc>
      </w:tr>
      <w:tr w:rsidR="00811222" w:rsidRPr="00675302" w:rsidTr="00EF1452">
        <w:trPr>
          <w:trHeight w:val="233"/>
          <w:jc w:val="center"/>
        </w:trPr>
        <w:tc>
          <w:tcPr>
            <w:tcW w:w="4332" w:type="pct"/>
            <w:gridSpan w:val="2"/>
            <w:tcBorders>
              <w:top w:val="nil"/>
              <w:left w:val="single" w:sz="4" w:space="0" w:color="auto"/>
              <w:bottom w:val="nil"/>
              <w:right w:val="single" w:sz="4" w:space="0" w:color="auto"/>
            </w:tcBorders>
          </w:tcPr>
          <w:p w:rsidR="00811222" w:rsidRPr="00675302" w:rsidRDefault="00811222" w:rsidP="006100A6">
            <w:pPr>
              <w:widowControl w:val="0"/>
              <w:spacing w:after="20"/>
              <w:ind w:left="360" w:hanging="360"/>
              <w:jc w:val="left"/>
              <w:rPr>
                <w:sz w:val="20"/>
                <w:szCs w:val="20"/>
              </w:rPr>
            </w:pPr>
            <w:r w:rsidRPr="00675302">
              <w:rPr>
                <w:sz w:val="20"/>
                <w:szCs w:val="20"/>
              </w:rPr>
              <w:t>(b)</w:t>
            </w:r>
            <w:r w:rsidRPr="00675302">
              <w:rPr>
                <w:sz w:val="20"/>
                <w:szCs w:val="20"/>
              </w:rPr>
              <w:tab/>
              <w:t>Annex C, Group I (HCFCs) (average 2009-2010)</w:t>
            </w:r>
          </w:p>
        </w:tc>
        <w:tc>
          <w:tcPr>
            <w:tcW w:w="668" w:type="pct"/>
            <w:tcBorders>
              <w:top w:val="nil"/>
              <w:left w:val="single" w:sz="4" w:space="0" w:color="auto"/>
              <w:bottom w:val="nil"/>
              <w:right w:val="single" w:sz="4" w:space="0" w:color="auto"/>
            </w:tcBorders>
            <w:shd w:val="clear" w:color="auto" w:fill="FFFFFF" w:themeFill="background1"/>
            <w:vAlign w:val="bottom"/>
          </w:tcPr>
          <w:p w:rsidR="00811222" w:rsidRPr="00675302" w:rsidRDefault="00811222" w:rsidP="006100A6">
            <w:pPr>
              <w:widowControl w:val="0"/>
              <w:jc w:val="right"/>
              <w:rPr>
                <w:sz w:val="20"/>
                <w:szCs w:val="20"/>
              </w:rPr>
            </w:pPr>
            <w:r w:rsidRPr="00675302">
              <w:rPr>
                <w:sz w:val="20"/>
                <w:szCs w:val="20"/>
              </w:rPr>
              <w:t>118.38</w:t>
            </w:r>
          </w:p>
        </w:tc>
      </w:tr>
      <w:tr w:rsidR="00811222" w:rsidRPr="00675302" w:rsidTr="00EF1452">
        <w:trPr>
          <w:trHeight w:val="233"/>
          <w:jc w:val="center"/>
        </w:trPr>
        <w:tc>
          <w:tcPr>
            <w:tcW w:w="4332" w:type="pct"/>
            <w:gridSpan w:val="2"/>
            <w:tcBorders>
              <w:top w:val="nil"/>
              <w:bottom w:val="single" w:sz="4" w:space="0" w:color="auto"/>
            </w:tcBorders>
          </w:tcPr>
          <w:p w:rsidR="00811222" w:rsidRPr="00675302" w:rsidRDefault="00811222" w:rsidP="006100A6">
            <w:pPr>
              <w:widowControl w:val="0"/>
              <w:spacing w:after="20"/>
              <w:ind w:left="360" w:hanging="360"/>
              <w:jc w:val="left"/>
              <w:rPr>
                <w:color w:val="000000" w:themeColor="text1"/>
                <w:sz w:val="20"/>
                <w:szCs w:val="20"/>
              </w:rPr>
            </w:pPr>
            <w:r w:rsidRPr="00675302">
              <w:rPr>
                <w:color w:val="000000" w:themeColor="text1"/>
                <w:sz w:val="20"/>
                <w:szCs w:val="20"/>
              </w:rPr>
              <w:t>(c)</w:t>
            </w:r>
            <w:r w:rsidRPr="00675302">
              <w:rPr>
                <w:color w:val="000000" w:themeColor="text1"/>
                <w:sz w:val="20"/>
                <w:szCs w:val="20"/>
              </w:rPr>
              <w:tab/>
              <w:t>Annex E (methyl bromide) (average 1995-1998)</w:t>
            </w:r>
          </w:p>
        </w:tc>
        <w:tc>
          <w:tcPr>
            <w:tcW w:w="668" w:type="pct"/>
            <w:tcBorders>
              <w:top w:val="nil"/>
              <w:bottom w:val="single" w:sz="4" w:space="0" w:color="auto"/>
            </w:tcBorders>
            <w:shd w:val="clear" w:color="auto" w:fill="FFFFFF" w:themeFill="background1"/>
            <w:vAlign w:val="bottom"/>
          </w:tcPr>
          <w:p w:rsidR="00811222" w:rsidRPr="00675302" w:rsidRDefault="00811222" w:rsidP="006100A6">
            <w:pPr>
              <w:widowControl w:val="0"/>
              <w:jc w:val="right"/>
              <w:rPr>
                <w:sz w:val="20"/>
                <w:szCs w:val="20"/>
              </w:rPr>
            </w:pPr>
            <w:r w:rsidRPr="00675302">
              <w:rPr>
                <w:sz w:val="20"/>
                <w:szCs w:val="20"/>
              </w:rPr>
              <w:t>94.1</w:t>
            </w:r>
          </w:p>
        </w:tc>
      </w:tr>
      <w:tr w:rsidR="00811222" w:rsidRPr="00675302" w:rsidTr="00EF1452">
        <w:trPr>
          <w:trHeight w:val="233"/>
          <w:jc w:val="center"/>
        </w:trPr>
        <w:tc>
          <w:tcPr>
            <w:tcW w:w="4332" w:type="pct"/>
            <w:gridSpan w:val="2"/>
            <w:tcBorders>
              <w:top w:val="single" w:sz="4" w:space="0" w:color="auto"/>
              <w:left w:val="single" w:sz="4" w:space="0" w:color="auto"/>
              <w:bottom w:val="nil"/>
              <w:right w:val="single" w:sz="4" w:space="0" w:color="auto"/>
            </w:tcBorders>
          </w:tcPr>
          <w:p w:rsidR="00811222" w:rsidRPr="00675302" w:rsidRDefault="00811222" w:rsidP="006100A6">
            <w:pPr>
              <w:widowControl w:val="0"/>
              <w:spacing w:before="20"/>
              <w:jc w:val="left"/>
              <w:rPr>
                <w:color w:val="000000" w:themeColor="text1"/>
                <w:sz w:val="20"/>
                <w:szCs w:val="20"/>
              </w:rPr>
            </w:pPr>
            <w:r w:rsidRPr="00675302">
              <w:rPr>
                <w:color w:val="000000" w:themeColor="text1"/>
                <w:sz w:val="20"/>
                <w:szCs w:val="20"/>
              </w:rPr>
              <w:t>Latest reported ODS consumption (2015) (ODP tonnes) as per Article 7:</w:t>
            </w:r>
          </w:p>
        </w:tc>
        <w:tc>
          <w:tcPr>
            <w:tcW w:w="668" w:type="pct"/>
            <w:tcBorders>
              <w:top w:val="single" w:sz="4" w:space="0" w:color="auto"/>
              <w:left w:val="single" w:sz="4" w:space="0" w:color="auto"/>
              <w:bottom w:val="nil"/>
              <w:right w:val="single" w:sz="4" w:space="0" w:color="auto"/>
            </w:tcBorders>
            <w:shd w:val="clear" w:color="auto" w:fill="FFFFFF" w:themeFill="background1"/>
          </w:tcPr>
          <w:p w:rsidR="00811222" w:rsidRPr="00675302" w:rsidRDefault="00811222" w:rsidP="006100A6">
            <w:pPr>
              <w:widowControl w:val="0"/>
              <w:spacing w:before="20"/>
              <w:jc w:val="right"/>
              <w:rPr>
                <w:sz w:val="20"/>
                <w:szCs w:val="20"/>
              </w:rPr>
            </w:pPr>
          </w:p>
        </w:tc>
      </w:tr>
      <w:tr w:rsidR="00811222" w:rsidRPr="00675302" w:rsidTr="00EF1452">
        <w:trPr>
          <w:trHeight w:val="233"/>
          <w:jc w:val="center"/>
        </w:trPr>
        <w:tc>
          <w:tcPr>
            <w:tcW w:w="4332" w:type="pct"/>
            <w:gridSpan w:val="2"/>
            <w:tcBorders>
              <w:top w:val="nil"/>
              <w:left w:val="single" w:sz="4" w:space="0" w:color="auto"/>
              <w:bottom w:val="nil"/>
              <w:right w:val="single" w:sz="4" w:space="0" w:color="auto"/>
            </w:tcBorders>
          </w:tcPr>
          <w:p w:rsidR="00811222" w:rsidRPr="00675302" w:rsidRDefault="00811222" w:rsidP="006100A6">
            <w:pPr>
              <w:widowControl w:val="0"/>
              <w:ind w:left="360" w:hanging="360"/>
              <w:jc w:val="left"/>
              <w:rPr>
                <w:sz w:val="20"/>
                <w:szCs w:val="20"/>
              </w:rPr>
            </w:pPr>
            <w:r w:rsidRPr="00675302">
              <w:rPr>
                <w:sz w:val="20"/>
                <w:szCs w:val="20"/>
              </w:rPr>
              <w:t>(a)</w:t>
            </w:r>
            <w:r w:rsidRPr="00675302">
              <w:rPr>
                <w:sz w:val="20"/>
                <w:szCs w:val="20"/>
              </w:rPr>
              <w:tab/>
              <w:t>Annex B, Group III (methyl chloroform) (average 1998-2000)</w:t>
            </w:r>
          </w:p>
        </w:tc>
        <w:tc>
          <w:tcPr>
            <w:tcW w:w="668" w:type="pct"/>
            <w:tcBorders>
              <w:top w:val="nil"/>
              <w:left w:val="single" w:sz="4" w:space="0" w:color="auto"/>
              <w:bottom w:val="nil"/>
              <w:right w:val="single" w:sz="4" w:space="0" w:color="auto"/>
            </w:tcBorders>
            <w:shd w:val="clear" w:color="auto" w:fill="FFFFFF" w:themeFill="background1"/>
            <w:vAlign w:val="bottom"/>
          </w:tcPr>
          <w:p w:rsidR="00811222" w:rsidRPr="00675302" w:rsidRDefault="00811222" w:rsidP="006100A6">
            <w:pPr>
              <w:widowControl w:val="0"/>
              <w:jc w:val="right"/>
              <w:rPr>
                <w:sz w:val="20"/>
                <w:szCs w:val="20"/>
              </w:rPr>
            </w:pPr>
            <w:r w:rsidRPr="00675302">
              <w:rPr>
                <w:sz w:val="20"/>
                <w:szCs w:val="20"/>
              </w:rPr>
              <w:t>0.0</w:t>
            </w:r>
          </w:p>
        </w:tc>
      </w:tr>
      <w:tr w:rsidR="00811222" w:rsidRPr="00675302" w:rsidTr="00EF1452">
        <w:trPr>
          <w:trHeight w:val="233"/>
          <w:jc w:val="center"/>
        </w:trPr>
        <w:tc>
          <w:tcPr>
            <w:tcW w:w="4332" w:type="pct"/>
            <w:gridSpan w:val="2"/>
            <w:tcBorders>
              <w:top w:val="nil"/>
              <w:left w:val="single" w:sz="4" w:space="0" w:color="auto"/>
              <w:bottom w:val="nil"/>
              <w:right w:val="single" w:sz="4" w:space="0" w:color="auto"/>
            </w:tcBorders>
          </w:tcPr>
          <w:p w:rsidR="00811222" w:rsidRPr="00675302" w:rsidRDefault="00811222" w:rsidP="006100A6">
            <w:pPr>
              <w:widowControl w:val="0"/>
              <w:spacing w:after="20"/>
              <w:ind w:left="360" w:hanging="360"/>
              <w:jc w:val="left"/>
              <w:rPr>
                <w:sz w:val="20"/>
                <w:szCs w:val="20"/>
              </w:rPr>
            </w:pPr>
            <w:r w:rsidRPr="00675302">
              <w:rPr>
                <w:sz w:val="20"/>
                <w:szCs w:val="20"/>
              </w:rPr>
              <w:t>(b)</w:t>
            </w:r>
            <w:r w:rsidRPr="00675302">
              <w:rPr>
                <w:sz w:val="20"/>
                <w:szCs w:val="20"/>
              </w:rPr>
              <w:tab/>
              <w:t>Annex C, Group I (HCFCs) (average 2009-2010)</w:t>
            </w:r>
          </w:p>
        </w:tc>
        <w:tc>
          <w:tcPr>
            <w:tcW w:w="668" w:type="pct"/>
            <w:tcBorders>
              <w:top w:val="nil"/>
              <w:left w:val="single" w:sz="4" w:space="0" w:color="auto"/>
              <w:bottom w:val="nil"/>
              <w:right w:val="single" w:sz="4" w:space="0" w:color="auto"/>
            </w:tcBorders>
            <w:shd w:val="clear" w:color="auto" w:fill="FFFFFF" w:themeFill="background1"/>
            <w:vAlign w:val="bottom"/>
          </w:tcPr>
          <w:p w:rsidR="00811222" w:rsidRPr="00675302" w:rsidRDefault="00811222" w:rsidP="006100A6">
            <w:pPr>
              <w:widowControl w:val="0"/>
              <w:jc w:val="right"/>
              <w:rPr>
                <w:sz w:val="20"/>
                <w:szCs w:val="20"/>
              </w:rPr>
            </w:pPr>
            <w:r w:rsidRPr="00675302">
              <w:rPr>
                <w:sz w:val="20"/>
                <w:szCs w:val="20"/>
              </w:rPr>
              <w:t>119.81*</w:t>
            </w:r>
          </w:p>
        </w:tc>
      </w:tr>
      <w:tr w:rsidR="00811222" w:rsidRPr="00675302" w:rsidTr="00EF1452">
        <w:trPr>
          <w:trHeight w:val="233"/>
          <w:jc w:val="center"/>
        </w:trPr>
        <w:tc>
          <w:tcPr>
            <w:tcW w:w="4332" w:type="pct"/>
            <w:gridSpan w:val="2"/>
            <w:tcBorders>
              <w:top w:val="nil"/>
              <w:left w:val="single" w:sz="4" w:space="0" w:color="auto"/>
              <w:bottom w:val="nil"/>
              <w:right w:val="single" w:sz="4" w:space="0" w:color="auto"/>
            </w:tcBorders>
          </w:tcPr>
          <w:p w:rsidR="00811222" w:rsidRPr="00675302" w:rsidRDefault="00811222" w:rsidP="006100A6">
            <w:pPr>
              <w:widowControl w:val="0"/>
              <w:spacing w:after="20"/>
              <w:ind w:left="360" w:hanging="360"/>
              <w:jc w:val="left"/>
              <w:rPr>
                <w:sz w:val="20"/>
                <w:szCs w:val="20"/>
              </w:rPr>
            </w:pPr>
            <w:r w:rsidRPr="00675302">
              <w:rPr>
                <w:sz w:val="20"/>
                <w:szCs w:val="20"/>
              </w:rPr>
              <w:t>(c)</w:t>
            </w:r>
            <w:r w:rsidRPr="00675302">
              <w:rPr>
                <w:sz w:val="20"/>
                <w:szCs w:val="20"/>
              </w:rPr>
              <w:tab/>
              <w:t>Annex E (methyl bromide) (average 1995-1998)</w:t>
            </w:r>
          </w:p>
        </w:tc>
        <w:tc>
          <w:tcPr>
            <w:tcW w:w="668" w:type="pct"/>
            <w:tcBorders>
              <w:top w:val="nil"/>
              <w:left w:val="single" w:sz="4" w:space="0" w:color="auto"/>
              <w:bottom w:val="nil"/>
              <w:right w:val="single" w:sz="4" w:space="0" w:color="auto"/>
            </w:tcBorders>
            <w:shd w:val="clear" w:color="auto" w:fill="FFFFFF" w:themeFill="background1"/>
            <w:vAlign w:val="bottom"/>
          </w:tcPr>
          <w:p w:rsidR="00811222" w:rsidRPr="00675302" w:rsidRDefault="00811222" w:rsidP="006100A6">
            <w:pPr>
              <w:widowControl w:val="0"/>
              <w:jc w:val="right"/>
              <w:rPr>
                <w:sz w:val="20"/>
                <w:szCs w:val="20"/>
              </w:rPr>
            </w:pPr>
            <w:r w:rsidRPr="00675302">
              <w:rPr>
                <w:sz w:val="20"/>
                <w:szCs w:val="20"/>
              </w:rPr>
              <w:t>0.0</w:t>
            </w:r>
          </w:p>
        </w:tc>
      </w:tr>
      <w:tr w:rsidR="00811222" w:rsidRPr="00675302" w:rsidTr="00EF1452">
        <w:trPr>
          <w:trHeight w:val="233"/>
          <w:jc w:val="center"/>
        </w:trPr>
        <w:tc>
          <w:tcPr>
            <w:tcW w:w="4332" w:type="pct"/>
            <w:gridSpan w:val="2"/>
            <w:tcBorders>
              <w:top w:val="nil"/>
              <w:left w:val="single" w:sz="4" w:space="0" w:color="auto"/>
              <w:bottom w:val="single" w:sz="4" w:space="0" w:color="auto"/>
              <w:right w:val="single" w:sz="4" w:space="0" w:color="auto"/>
            </w:tcBorders>
          </w:tcPr>
          <w:p w:rsidR="00811222" w:rsidRPr="00675302" w:rsidRDefault="00811222" w:rsidP="006100A6">
            <w:pPr>
              <w:widowControl w:val="0"/>
              <w:tabs>
                <w:tab w:val="right" w:pos="7560"/>
              </w:tabs>
              <w:ind w:left="6480" w:right="-108"/>
              <w:jc w:val="left"/>
              <w:rPr>
                <w:sz w:val="20"/>
                <w:szCs w:val="20"/>
              </w:rPr>
            </w:pPr>
            <w:r w:rsidRPr="00675302">
              <w:rPr>
                <w:sz w:val="20"/>
                <w:szCs w:val="20"/>
              </w:rPr>
              <w:tab/>
              <w:t>Total:</w:t>
            </w:r>
          </w:p>
        </w:tc>
        <w:tc>
          <w:tcPr>
            <w:tcW w:w="668" w:type="pct"/>
            <w:tcBorders>
              <w:top w:val="nil"/>
              <w:left w:val="single" w:sz="4" w:space="0" w:color="auto"/>
              <w:bottom w:val="single" w:sz="4" w:space="0" w:color="auto"/>
              <w:right w:val="single" w:sz="4" w:space="0" w:color="auto"/>
            </w:tcBorders>
            <w:shd w:val="clear" w:color="auto" w:fill="FFFFFF" w:themeFill="background1"/>
            <w:vAlign w:val="bottom"/>
          </w:tcPr>
          <w:p w:rsidR="00811222" w:rsidRPr="00675302" w:rsidRDefault="00811222" w:rsidP="006100A6">
            <w:pPr>
              <w:widowControl w:val="0"/>
              <w:jc w:val="right"/>
              <w:rPr>
                <w:sz w:val="20"/>
                <w:szCs w:val="20"/>
              </w:rPr>
            </w:pPr>
            <w:r w:rsidRPr="00675302">
              <w:rPr>
                <w:sz w:val="20"/>
                <w:szCs w:val="20"/>
              </w:rPr>
              <w:t>119.81</w:t>
            </w:r>
          </w:p>
        </w:tc>
      </w:tr>
      <w:tr w:rsidR="00811222" w:rsidRPr="00675302" w:rsidTr="00EF1452">
        <w:trPr>
          <w:trHeight w:val="233"/>
          <w:jc w:val="center"/>
        </w:trPr>
        <w:tc>
          <w:tcPr>
            <w:tcW w:w="4332" w:type="pct"/>
            <w:gridSpan w:val="2"/>
            <w:tcBorders>
              <w:top w:val="nil"/>
              <w:left w:val="single" w:sz="4" w:space="0" w:color="auto"/>
              <w:bottom w:val="single" w:sz="4" w:space="0" w:color="auto"/>
              <w:right w:val="single" w:sz="4" w:space="0" w:color="auto"/>
            </w:tcBorders>
          </w:tcPr>
          <w:p w:rsidR="00811222" w:rsidRPr="00675302" w:rsidRDefault="00811222" w:rsidP="006100A6">
            <w:pPr>
              <w:widowControl w:val="0"/>
              <w:jc w:val="left"/>
              <w:rPr>
                <w:sz w:val="20"/>
                <w:szCs w:val="20"/>
              </w:rPr>
            </w:pPr>
            <w:r w:rsidRPr="00675302">
              <w:rPr>
                <w:sz w:val="20"/>
                <w:szCs w:val="20"/>
              </w:rPr>
              <w:t>Year of reported country programme implementation data:</w:t>
            </w:r>
          </w:p>
        </w:tc>
        <w:tc>
          <w:tcPr>
            <w:tcW w:w="668" w:type="pct"/>
            <w:tcBorders>
              <w:top w:val="nil"/>
              <w:left w:val="single" w:sz="4" w:space="0" w:color="auto"/>
              <w:bottom w:val="single" w:sz="4" w:space="0" w:color="auto"/>
              <w:right w:val="single" w:sz="4" w:space="0" w:color="auto"/>
            </w:tcBorders>
            <w:shd w:val="clear" w:color="auto" w:fill="FFFFFF" w:themeFill="background1"/>
          </w:tcPr>
          <w:p w:rsidR="00811222" w:rsidRPr="00675302" w:rsidRDefault="00811222" w:rsidP="006100A6">
            <w:pPr>
              <w:widowControl w:val="0"/>
              <w:jc w:val="right"/>
              <w:rPr>
                <w:sz w:val="20"/>
                <w:szCs w:val="20"/>
              </w:rPr>
            </w:pPr>
            <w:r w:rsidRPr="00675302">
              <w:rPr>
                <w:sz w:val="20"/>
                <w:szCs w:val="20"/>
              </w:rPr>
              <w:t>2015</w:t>
            </w:r>
          </w:p>
        </w:tc>
      </w:tr>
      <w:tr w:rsidR="00811222" w:rsidRPr="00675302" w:rsidTr="00EF1452">
        <w:trPr>
          <w:trHeight w:val="233"/>
          <w:jc w:val="center"/>
        </w:trPr>
        <w:tc>
          <w:tcPr>
            <w:tcW w:w="4332" w:type="pct"/>
            <w:gridSpan w:val="2"/>
            <w:tcBorders>
              <w:top w:val="single" w:sz="4" w:space="0" w:color="auto"/>
            </w:tcBorders>
          </w:tcPr>
          <w:p w:rsidR="00811222" w:rsidRPr="00675302" w:rsidRDefault="00811222" w:rsidP="006100A6">
            <w:pPr>
              <w:jc w:val="left"/>
              <w:rPr>
                <w:sz w:val="20"/>
                <w:szCs w:val="20"/>
              </w:rPr>
            </w:pPr>
            <w:r w:rsidRPr="00675302">
              <w:rPr>
                <w:sz w:val="20"/>
                <w:szCs w:val="20"/>
              </w:rPr>
              <w:t>Amount approved for projects (as at May 2016) (US $):</w:t>
            </w:r>
          </w:p>
        </w:tc>
        <w:tc>
          <w:tcPr>
            <w:tcW w:w="668" w:type="pct"/>
            <w:tcBorders>
              <w:top w:val="single" w:sz="4" w:space="0" w:color="auto"/>
            </w:tcBorders>
            <w:shd w:val="clear" w:color="auto" w:fill="auto"/>
            <w:vAlign w:val="bottom"/>
          </w:tcPr>
          <w:p w:rsidR="00811222" w:rsidRPr="00675302" w:rsidRDefault="00811222" w:rsidP="006100A6">
            <w:pPr>
              <w:widowControl w:val="0"/>
              <w:jc w:val="right"/>
              <w:rPr>
                <w:sz w:val="20"/>
                <w:szCs w:val="20"/>
              </w:rPr>
            </w:pPr>
            <w:r w:rsidRPr="00675302">
              <w:rPr>
                <w:sz w:val="20"/>
                <w:szCs w:val="20"/>
              </w:rPr>
              <w:t>8,976,563</w:t>
            </w:r>
          </w:p>
        </w:tc>
      </w:tr>
      <w:tr w:rsidR="00811222" w:rsidRPr="00675302" w:rsidTr="00EF1452">
        <w:trPr>
          <w:trHeight w:val="233"/>
          <w:jc w:val="center"/>
        </w:trPr>
        <w:tc>
          <w:tcPr>
            <w:tcW w:w="4332" w:type="pct"/>
            <w:gridSpan w:val="2"/>
          </w:tcPr>
          <w:p w:rsidR="00811222" w:rsidRPr="00675302" w:rsidRDefault="00811222" w:rsidP="006100A6">
            <w:pPr>
              <w:jc w:val="left"/>
              <w:rPr>
                <w:sz w:val="20"/>
                <w:szCs w:val="20"/>
              </w:rPr>
            </w:pPr>
            <w:r w:rsidRPr="00675302">
              <w:rPr>
                <w:sz w:val="20"/>
                <w:szCs w:val="20"/>
              </w:rPr>
              <w:t>Amount disbursed (as at December 2014) (US $):</w:t>
            </w:r>
          </w:p>
        </w:tc>
        <w:tc>
          <w:tcPr>
            <w:tcW w:w="668" w:type="pct"/>
            <w:shd w:val="clear" w:color="auto" w:fill="auto"/>
          </w:tcPr>
          <w:p w:rsidR="00811222" w:rsidRPr="00675302" w:rsidRDefault="00811222" w:rsidP="006100A6">
            <w:pPr>
              <w:widowControl w:val="0"/>
              <w:jc w:val="right"/>
              <w:rPr>
                <w:sz w:val="20"/>
                <w:szCs w:val="20"/>
              </w:rPr>
            </w:pPr>
            <w:r w:rsidRPr="00675302">
              <w:rPr>
                <w:sz w:val="20"/>
                <w:szCs w:val="20"/>
              </w:rPr>
              <w:t>5,995,675</w:t>
            </w:r>
          </w:p>
        </w:tc>
      </w:tr>
      <w:tr w:rsidR="00811222" w:rsidRPr="00675302" w:rsidTr="00EF1452">
        <w:trPr>
          <w:trHeight w:val="233"/>
          <w:jc w:val="center"/>
        </w:trPr>
        <w:tc>
          <w:tcPr>
            <w:tcW w:w="4332" w:type="pct"/>
            <w:gridSpan w:val="2"/>
          </w:tcPr>
          <w:p w:rsidR="00811222" w:rsidRPr="00675302" w:rsidRDefault="00675302" w:rsidP="006100A6">
            <w:pPr>
              <w:jc w:val="left"/>
              <w:rPr>
                <w:sz w:val="20"/>
                <w:szCs w:val="20"/>
              </w:rPr>
            </w:pPr>
            <w:r>
              <w:rPr>
                <w:sz w:val="20"/>
                <w:szCs w:val="20"/>
              </w:rPr>
              <w:t xml:space="preserve">ODS to be phased out </w:t>
            </w:r>
            <w:r w:rsidR="00811222" w:rsidRPr="00675302">
              <w:rPr>
                <w:sz w:val="20"/>
                <w:szCs w:val="20"/>
              </w:rPr>
              <w:t>(as at May 2016) (ODP tonnes):</w:t>
            </w:r>
          </w:p>
        </w:tc>
        <w:tc>
          <w:tcPr>
            <w:tcW w:w="668" w:type="pct"/>
            <w:shd w:val="clear" w:color="auto" w:fill="auto"/>
            <w:vAlign w:val="bottom"/>
          </w:tcPr>
          <w:p w:rsidR="00811222" w:rsidRPr="00675302" w:rsidRDefault="00811222" w:rsidP="006100A6">
            <w:pPr>
              <w:widowControl w:val="0"/>
              <w:jc w:val="right"/>
              <w:rPr>
                <w:sz w:val="20"/>
                <w:szCs w:val="20"/>
              </w:rPr>
            </w:pPr>
            <w:r w:rsidRPr="00675302">
              <w:rPr>
                <w:sz w:val="20"/>
                <w:szCs w:val="20"/>
              </w:rPr>
              <w:t>1,591.5</w:t>
            </w:r>
          </w:p>
        </w:tc>
      </w:tr>
      <w:tr w:rsidR="00811222" w:rsidRPr="00675302" w:rsidTr="00EF1452">
        <w:trPr>
          <w:trHeight w:val="233"/>
          <w:jc w:val="center"/>
        </w:trPr>
        <w:tc>
          <w:tcPr>
            <w:tcW w:w="4332" w:type="pct"/>
            <w:gridSpan w:val="2"/>
          </w:tcPr>
          <w:p w:rsidR="00811222" w:rsidRPr="00675302" w:rsidRDefault="00811222" w:rsidP="006100A6">
            <w:pPr>
              <w:jc w:val="left"/>
              <w:rPr>
                <w:sz w:val="20"/>
                <w:szCs w:val="20"/>
              </w:rPr>
            </w:pPr>
            <w:r w:rsidRPr="00675302">
              <w:rPr>
                <w:sz w:val="20"/>
                <w:szCs w:val="20"/>
              </w:rPr>
              <w:t>ODS phased out (as at December 2014) (ODP tonnes):</w:t>
            </w:r>
          </w:p>
        </w:tc>
        <w:tc>
          <w:tcPr>
            <w:tcW w:w="668" w:type="pct"/>
            <w:shd w:val="clear" w:color="auto" w:fill="auto"/>
          </w:tcPr>
          <w:p w:rsidR="00811222" w:rsidRPr="00675302" w:rsidRDefault="00811222" w:rsidP="006100A6">
            <w:pPr>
              <w:widowControl w:val="0"/>
              <w:jc w:val="right"/>
              <w:rPr>
                <w:sz w:val="20"/>
                <w:szCs w:val="20"/>
              </w:rPr>
            </w:pPr>
            <w:r w:rsidRPr="00675302">
              <w:rPr>
                <w:sz w:val="20"/>
                <w:szCs w:val="20"/>
              </w:rPr>
              <w:t>866.8</w:t>
            </w:r>
          </w:p>
        </w:tc>
      </w:tr>
    </w:tbl>
    <w:p w:rsidR="00811222" w:rsidRPr="00675302" w:rsidRDefault="00811222" w:rsidP="00811222">
      <w:pPr>
        <w:pStyle w:val="Heading1"/>
        <w:widowControl w:val="0"/>
        <w:numPr>
          <w:ilvl w:val="0"/>
          <w:numId w:val="0"/>
        </w:numPr>
        <w:spacing w:after="120"/>
        <w:rPr>
          <w:sz w:val="20"/>
          <w:szCs w:val="20"/>
        </w:rPr>
      </w:pPr>
      <w:r w:rsidRPr="00675302">
        <w:rPr>
          <w:sz w:val="20"/>
          <w:szCs w:val="20"/>
        </w:rPr>
        <w:t>*The plan of action for Libya approved under decision XXVII/11 allows HCFC consumption in 2015 of no greater than 122.3 ODP-tonnes.</w:t>
      </w:r>
    </w:p>
    <w:p w:rsidR="00811222" w:rsidRPr="00F07746" w:rsidRDefault="00811222" w:rsidP="00F07746">
      <w:pPr>
        <w:pStyle w:val="Heading1"/>
        <w:widowControl w:val="0"/>
        <w:numPr>
          <w:ilvl w:val="0"/>
          <w:numId w:val="25"/>
        </w:numPr>
        <w:rPr>
          <w:sz w:val="20"/>
          <w:szCs w:val="20"/>
        </w:rPr>
      </w:pPr>
      <w:r w:rsidRPr="00F07746">
        <w:rPr>
          <w:sz w:val="20"/>
          <w:szCs w:val="20"/>
        </w:rPr>
        <w:t>Summary of activities and funds approved by the Executive Committee:</w:t>
      </w:r>
    </w:p>
    <w:tbl>
      <w:tblPr>
        <w:tblStyle w:val="TableGrid20"/>
        <w:tblW w:w="4981" w:type="pct"/>
        <w:tblInd w:w="18" w:type="dxa"/>
        <w:tblLayout w:type="fixed"/>
        <w:tblLook w:val="01E0" w:firstRow="1" w:lastRow="1" w:firstColumn="1" w:lastColumn="1" w:noHBand="0" w:noVBand="0"/>
      </w:tblPr>
      <w:tblGrid>
        <w:gridCol w:w="619"/>
        <w:gridCol w:w="7168"/>
        <w:gridCol w:w="1753"/>
      </w:tblGrid>
      <w:tr w:rsidR="00811222" w:rsidRPr="00675302" w:rsidTr="006100A6">
        <w:tc>
          <w:tcPr>
            <w:tcW w:w="4081" w:type="pct"/>
            <w:gridSpan w:val="2"/>
            <w:tcBorders>
              <w:bottom w:val="single" w:sz="4" w:space="0" w:color="auto"/>
            </w:tcBorders>
          </w:tcPr>
          <w:p w:rsidR="00811222" w:rsidRPr="00675302" w:rsidRDefault="00811222" w:rsidP="006100A6">
            <w:pPr>
              <w:widowControl w:val="0"/>
              <w:jc w:val="left"/>
              <w:rPr>
                <w:b/>
                <w:sz w:val="20"/>
                <w:szCs w:val="20"/>
              </w:rPr>
            </w:pPr>
            <w:r w:rsidRPr="00675302">
              <w:rPr>
                <w:b/>
                <w:sz w:val="20"/>
                <w:szCs w:val="20"/>
              </w:rPr>
              <w:t>Summary of activities</w:t>
            </w:r>
          </w:p>
          <w:p w:rsidR="00811222" w:rsidRPr="00675302" w:rsidRDefault="00811222" w:rsidP="006100A6">
            <w:pPr>
              <w:widowControl w:val="0"/>
              <w:jc w:val="left"/>
              <w:rPr>
                <w:b/>
                <w:sz w:val="20"/>
                <w:szCs w:val="20"/>
              </w:rPr>
            </w:pPr>
          </w:p>
        </w:tc>
        <w:tc>
          <w:tcPr>
            <w:tcW w:w="919" w:type="pct"/>
            <w:tcBorders>
              <w:bottom w:val="single" w:sz="4" w:space="0" w:color="auto"/>
            </w:tcBorders>
          </w:tcPr>
          <w:p w:rsidR="00811222" w:rsidRPr="00675302" w:rsidRDefault="00811222" w:rsidP="006100A6">
            <w:pPr>
              <w:widowControl w:val="0"/>
              <w:jc w:val="center"/>
              <w:rPr>
                <w:b/>
                <w:sz w:val="20"/>
                <w:szCs w:val="20"/>
              </w:rPr>
            </w:pPr>
            <w:r w:rsidRPr="00675302">
              <w:rPr>
                <w:b/>
                <w:sz w:val="20"/>
                <w:szCs w:val="20"/>
              </w:rPr>
              <w:t>Funds approved (US $)</w:t>
            </w:r>
          </w:p>
        </w:tc>
      </w:tr>
      <w:tr w:rsidR="00811222" w:rsidRPr="00675302" w:rsidTr="006100A6">
        <w:tc>
          <w:tcPr>
            <w:tcW w:w="324" w:type="pct"/>
            <w:tcBorders>
              <w:top w:val="single" w:sz="4" w:space="0" w:color="auto"/>
              <w:left w:val="single" w:sz="4" w:space="0" w:color="auto"/>
              <w:bottom w:val="single" w:sz="4" w:space="0" w:color="auto"/>
              <w:right w:val="nil"/>
            </w:tcBorders>
          </w:tcPr>
          <w:p w:rsidR="00811222" w:rsidRPr="00675302" w:rsidRDefault="00811222" w:rsidP="006100A6">
            <w:pPr>
              <w:widowControl w:val="0"/>
              <w:rPr>
                <w:sz w:val="20"/>
                <w:szCs w:val="20"/>
              </w:rPr>
            </w:pPr>
            <w:r w:rsidRPr="00675302">
              <w:rPr>
                <w:sz w:val="20"/>
                <w:szCs w:val="20"/>
              </w:rPr>
              <w:t>(a)</w:t>
            </w:r>
          </w:p>
        </w:tc>
        <w:tc>
          <w:tcPr>
            <w:tcW w:w="3757" w:type="pct"/>
            <w:tcBorders>
              <w:top w:val="single" w:sz="4" w:space="0" w:color="auto"/>
              <w:left w:val="nil"/>
              <w:bottom w:val="single" w:sz="4" w:space="0" w:color="auto"/>
              <w:right w:val="single" w:sz="4" w:space="0" w:color="auto"/>
            </w:tcBorders>
          </w:tcPr>
          <w:p w:rsidR="00811222" w:rsidRPr="00675302" w:rsidRDefault="00811222" w:rsidP="006100A6">
            <w:pPr>
              <w:widowControl w:val="0"/>
              <w:ind w:left="-109"/>
              <w:rPr>
                <w:sz w:val="20"/>
                <w:szCs w:val="20"/>
              </w:rPr>
            </w:pPr>
            <w:r w:rsidRPr="00675302">
              <w:rPr>
                <w:sz w:val="20"/>
                <w:szCs w:val="20"/>
              </w:rPr>
              <w:t>Investment projects:</w:t>
            </w:r>
          </w:p>
        </w:tc>
        <w:tc>
          <w:tcPr>
            <w:tcW w:w="919" w:type="pct"/>
            <w:tcBorders>
              <w:top w:val="single" w:sz="4" w:space="0" w:color="auto"/>
              <w:left w:val="single" w:sz="4" w:space="0" w:color="auto"/>
              <w:bottom w:val="single" w:sz="4" w:space="0" w:color="auto"/>
              <w:right w:val="single" w:sz="4" w:space="0" w:color="auto"/>
            </w:tcBorders>
            <w:shd w:val="clear" w:color="auto" w:fill="auto"/>
          </w:tcPr>
          <w:p w:rsidR="00811222" w:rsidRPr="00675302" w:rsidRDefault="00811222" w:rsidP="006100A6">
            <w:pPr>
              <w:widowControl w:val="0"/>
              <w:jc w:val="right"/>
              <w:rPr>
                <w:sz w:val="20"/>
                <w:szCs w:val="20"/>
              </w:rPr>
            </w:pPr>
            <w:r w:rsidRPr="00675302">
              <w:rPr>
                <w:sz w:val="20"/>
                <w:szCs w:val="20"/>
              </w:rPr>
              <w:t>7,500,900</w:t>
            </w:r>
          </w:p>
        </w:tc>
      </w:tr>
      <w:tr w:rsidR="00811222" w:rsidRPr="00675302" w:rsidTr="006100A6">
        <w:tc>
          <w:tcPr>
            <w:tcW w:w="324" w:type="pct"/>
            <w:tcBorders>
              <w:top w:val="single" w:sz="4" w:space="0" w:color="auto"/>
              <w:left w:val="single" w:sz="4" w:space="0" w:color="auto"/>
              <w:bottom w:val="single" w:sz="4" w:space="0" w:color="auto"/>
              <w:right w:val="nil"/>
            </w:tcBorders>
          </w:tcPr>
          <w:p w:rsidR="00811222" w:rsidRPr="00675302" w:rsidRDefault="00811222" w:rsidP="006100A6">
            <w:pPr>
              <w:widowControl w:val="0"/>
              <w:rPr>
                <w:sz w:val="20"/>
                <w:szCs w:val="20"/>
              </w:rPr>
            </w:pPr>
            <w:r w:rsidRPr="00675302">
              <w:rPr>
                <w:sz w:val="20"/>
                <w:szCs w:val="20"/>
              </w:rPr>
              <w:t>(b)</w:t>
            </w:r>
          </w:p>
        </w:tc>
        <w:tc>
          <w:tcPr>
            <w:tcW w:w="3757" w:type="pct"/>
            <w:tcBorders>
              <w:top w:val="single" w:sz="4" w:space="0" w:color="auto"/>
              <w:left w:val="nil"/>
              <w:bottom w:val="single" w:sz="4" w:space="0" w:color="auto"/>
              <w:right w:val="single" w:sz="4" w:space="0" w:color="auto"/>
            </w:tcBorders>
          </w:tcPr>
          <w:p w:rsidR="00811222" w:rsidRPr="00675302" w:rsidRDefault="00811222" w:rsidP="006100A6">
            <w:pPr>
              <w:widowControl w:val="0"/>
              <w:ind w:left="-109"/>
              <w:rPr>
                <w:sz w:val="20"/>
                <w:szCs w:val="20"/>
              </w:rPr>
            </w:pPr>
            <w:r w:rsidRPr="00675302">
              <w:rPr>
                <w:sz w:val="20"/>
                <w:szCs w:val="20"/>
              </w:rPr>
              <w:t>Institutional strengthening:</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tcPr>
          <w:p w:rsidR="00811222" w:rsidRPr="00675302" w:rsidRDefault="00811222" w:rsidP="006100A6">
            <w:pPr>
              <w:widowControl w:val="0"/>
              <w:jc w:val="right"/>
              <w:rPr>
                <w:sz w:val="20"/>
                <w:szCs w:val="20"/>
              </w:rPr>
            </w:pPr>
            <w:r w:rsidRPr="00675302">
              <w:rPr>
                <w:sz w:val="20"/>
                <w:szCs w:val="20"/>
              </w:rPr>
              <w:t>497,163</w:t>
            </w:r>
          </w:p>
        </w:tc>
      </w:tr>
      <w:tr w:rsidR="00811222" w:rsidRPr="00675302" w:rsidTr="006100A6">
        <w:tc>
          <w:tcPr>
            <w:tcW w:w="324" w:type="pct"/>
            <w:tcBorders>
              <w:top w:val="single" w:sz="4" w:space="0" w:color="auto"/>
              <w:left w:val="single" w:sz="4" w:space="0" w:color="auto"/>
              <w:bottom w:val="single" w:sz="4" w:space="0" w:color="auto"/>
              <w:right w:val="nil"/>
            </w:tcBorders>
          </w:tcPr>
          <w:p w:rsidR="00811222" w:rsidRPr="00675302" w:rsidRDefault="00811222" w:rsidP="006100A6">
            <w:pPr>
              <w:widowControl w:val="0"/>
              <w:rPr>
                <w:sz w:val="20"/>
                <w:szCs w:val="20"/>
              </w:rPr>
            </w:pPr>
            <w:r w:rsidRPr="00675302">
              <w:rPr>
                <w:sz w:val="20"/>
                <w:szCs w:val="20"/>
              </w:rPr>
              <w:t>(c)</w:t>
            </w:r>
          </w:p>
        </w:tc>
        <w:tc>
          <w:tcPr>
            <w:tcW w:w="3757" w:type="pct"/>
            <w:tcBorders>
              <w:top w:val="single" w:sz="4" w:space="0" w:color="auto"/>
              <w:left w:val="nil"/>
              <w:bottom w:val="single" w:sz="4" w:space="0" w:color="auto"/>
              <w:right w:val="single" w:sz="4" w:space="0" w:color="auto"/>
            </w:tcBorders>
          </w:tcPr>
          <w:p w:rsidR="00811222" w:rsidRPr="00675302" w:rsidRDefault="00811222" w:rsidP="006100A6">
            <w:pPr>
              <w:widowControl w:val="0"/>
              <w:ind w:left="-109"/>
              <w:rPr>
                <w:sz w:val="20"/>
                <w:szCs w:val="20"/>
              </w:rPr>
            </w:pPr>
            <w:r w:rsidRPr="00675302">
              <w:rPr>
                <w:sz w:val="20"/>
                <w:szCs w:val="20"/>
              </w:rPr>
              <w:t>Project preparation, technical assistance, training and other non-investment projects:</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tcPr>
          <w:p w:rsidR="00811222" w:rsidRPr="00675302" w:rsidRDefault="00811222" w:rsidP="006100A6">
            <w:pPr>
              <w:widowControl w:val="0"/>
              <w:jc w:val="right"/>
              <w:rPr>
                <w:sz w:val="20"/>
                <w:szCs w:val="20"/>
              </w:rPr>
            </w:pPr>
            <w:r w:rsidRPr="00675302">
              <w:rPr>
                <w:sz w:val="20"/>
                <w:szCs w:val="20"/>
              </w:rPr>
              <w:t>978,500</w:t>
            </w:r>
          </w:p>
        </w:tc>
      </w:tr>
      <w:tr w:rsidR="00811222" w:rsidRPr="00675302" w:rsidTr="006100A6">
        <w:tc>
          <w:tcPr>
            <w:tcW w:w="4081" w:type="pct"/>
            <w:gridSpan w:val="2"/>
            <w:tcBorders>
              <w:top w:val="single" w:sz="4" w:space="0" w:color="auto"/>
              <w:left w:val="single" w:sz="4" w:space="0" w:color="auto"/>
              <w:bottom w:val="single" w:sz="4" w:space="0" w:color="auto"/>
              <w:right w:val="single" w:sz="4" w:space="0" w:color="auto"/>
            </w:tcBorders>
          </w:tcPr>
          <w:p w:rsidR="00811222" w:rsidRPr="00675302" w:rsidRDefault="00811222" w:rsidP="006100A6">
            <w:pPr>
              <w:widowControl w:val="0"/>
              <w:tabs>
                <w:tab w:val="right" w:pos="7560"/>
              </w:tabs>
              <w:ind w:left="6480" w:right="-108"/>
              <w:jc w:val="left"/>
              <w:rPr>
                <w:sz w:val="20"/>
                <w:szCs w:val="20"/>
              </w:rPr>
            </w:pPr>
            <w:r w:rsidRPr="00675302">
              <w:rPr>
                <w:sz w:val="20"/>
                <w:szCs w:val="20"/>
              </w:rPr>
              <w:tab/>
              <w:t>Total:</w:t>
            </w:r>
          </w:p>
        </w:tc>
        <w:tc>
          <w:tcPr>
            <w:tcW w:w="919" w:type="pct"/>
            <w:tcBorders>
              <w:top w:val="single" w:sz="4" w:space="0" w:color="auto"/>
              <w:left w:val="single" w:sz="4" w:space="0" w:color="auto"/>
              <w:bottom w:val="single" w:sz="4" w:space="0" w:color="auto"/>
              <w:right w:val="single" w:sz="4" w:space="0" w:color="auto"/>
            </w:tcBorders>
            <w:shd w:val="clear" w:color="auto" w:fill="auto"/>
          </w:tcPr>
          <w:p w:rsidR="00811222" w:rsidRPr="00675302" w:rsidRDefault="00811222" w:rsidP="006100A6">
            <w:pPr>
              <w:widowControl w:val="0"/>
              <w:jc w:val="right"/>
              <w:rPr>
                <w:sz w:val="20"/>
                <w:szCs w:val="20"/>
              </w:rPr>
            </w:pPr>
            <w:r w:rsidRPr="00675302">
              <w:rPr>
                <w:sz w:val="20"/>
                <w:szCs w:val="20"/>
              </w:rPr>
              <w:t>8,976,563</w:t>
            </w:r>
          </w:p>
        </w:tc>
      </w:tr>
    </w:tbl>
    <w:p w:rsidR="00811222" w:rsidRPr="007364BA" w:rsidRDefault="00811222" w:rsidP="00811222">
      <w:pPr>
        <w:widowControl w:val="0"/>
        <w:rPr>
          <w:b/>
          <w:bCs/>
        </w:rPr>
      </w:pPr>
    </w:p>
    <w:p w:rsidR="00811222" w:rsidRPr="007364BA" w:rsidRDefault="00811222" w:rsidP="002B77EF">
      <w:pPr>
        <w:keepNext/>
        <w:tabs>
          <w:tab w:val="left" w:pos="2880"/>
          <w:tab w:val="left" w:pos="5760"/>
        </w:tabs>
        <w:spacing w:after="240"/>
        <w:rPr>
          <w:u w:val="single"/>
        </w:rPr>
      </w:pPr>
      <w:r w:rsidRPr="007364BA">
        <w:rPr>
          <w:u w:val="single"/>
        </w:rPr>
        <w:t>Progress report</w:t>
      </w:r>
    </w:p>
    <w:p w:rsidR="00811222" w:rsidRPr="007364BA" w:rsidRDefault="00811222" w:rsidP="002B77EF">
      <w:pPr>
        <w:pStyle w:val="Heading1"/>
        <w:keepNext/>
      </w:pPr>
      <w:r w:rsidRPr="007364BA">
        <w:t xml:space="preserve">During phase IV (year 1), the NOU was fully staffed and substantive progress was achieved in legislation enforcement. In June 2015 Libya issued 2015 decree Law No. 228 which provides the legal framework to support the implementation of regulatory measures including licensing and quota systems for imports of HCFCs and HCFC-based equipment. Quotas for 2016 were established and are being </w:t>
      </w:r>
      <w:r w:rsidRPr="007364BA">
        <w:lastRenderedPageBreak/>
        <w:t>monitored on regular basis. Stage I of the HPMP for Libya was submitted to and approved at the 75</w:t>
      </w:r>
      <w:r w:rsidRPr="007364BA">
        <w:rPr>
          <w:vertAlign w:val="superscript"/>
        </w:rPr>
        <w:t>th</w:t>
      </w:r>
      <w:r w:rsidRPr="007364BA">
        <w:t> meeting and Article 7 data indicate that the country achieved compliance with its commitments in decision XXVII/11 to reduce HCFC consumption to no more than 122.3 ODP tonnes. The NOU continued to maintain cooperation with other public institutions through regular bilateral meetings, inter</w:t>
      </w:r>
      <w:r w:rsidRPr="007364BA">
        <w:noBreakHyphen/>
        <w:t>ministerial meetings and steering committees. The Libyan National Committee for Climate Change and Ozone Depletion was maintained and includes members from Ministry of Industry, Ministry of Meteorology, National Oil Company, Environmental General Authority and Ministry of Agriculture. The NOU also submitted the country programme data report for 2015, published awareness materials for the private sector, and organized awareness activities for Ozone Day. Libya participated in Montreal Protocol meetings in 2015 and 2016.</w:t>
      </w:r>
    </w:p>
    <w:p w:rsidR="00811222" w:rsidRPr="007364BA" w:rsidRDefault="00811222" w:rsidP="00811222">
      <w:pPr>
        <w:widowControl w:val="0"/>
        <w:tabs>
          <w:tab w:val="left" w:pos="2880"/>
          <w:tab w:val="left" w:pos="5760"/>
        </w:tabs>
        <w:spacing w:after="240"/>
        <w:rPr>
          <w:u w:val="single"/>
        </w:rPr>
      </w:pPr>
      <w:r w:rsidRPr="007364BA">
        <w:rPr>
          <w:u w:val="single"/>
        </w:rPr>
        <w:t>Plan of action</w:t>
      </w:r>
    </w:p>
    <w:p w:rsidR="00811222" w:rsidRPr="00596FDB" w:rsidRDefault="00811222" w:rsidP="00811222">
      <w:pPr>
        <w:pStyle w:val="Heading1"/>
        <w:widowControl w:val="0"/>
      </w:pPr>
      <w:r w:rsidRPr="00596FDB">
        <w:t xml:space="preserve">During phase IV (year 2) the NOU will continue to monitor HCFCs consumption to maintain compliance with quota system and with licensing system. Quotas will be issued for the years 2017 and 2018 to maintain HCFC consumption in line with the Agreement </w:t>
      </w:r>
      <w:r w:rsidR="007C1B60" w:rsidRPr="00596FDB">
        <w:t xml:space="preserve">with </w:t>
      </w:r>
      <w:r w:rsidRPr="00596FDB">
        <w:t xml:space="preserve">the Executive Committee and with Libya’s commitments </w:t>
      </w:r>
      <w:r w:rsidR="007C1B60" w:rsidRPr="00596FDB">
        <w:t xml:space="preserve">under </w:t>
      </w:r>
      <w:r w:rsidR="002B77EF">
        <w:t xml:space="preserve">decision XXVII/11. </w:t>
      </w:r>
      <w:r w:rsidRPr="00596FDB">
        <w:t>Monitoring of HCFC distribution by sub-sectors will be given special attention as it will be critical for the successful im</w:t>
      </w:r>
      <w:r w:rsidR="00675302">
        <w:t>plementation of the HCFCs phase</w:t>
      </w:r>
      <w:r w:rsidR="00675302">
        <w:noBreakHyphen/>
      </w:r>
      <w:r w:rsidRPr="00596FDB">
        <w:t>out policies.</w:t>
      </w:r>
    </w:p>
    <w:p w:rsidR="00811222" w:rsidRPr="007364BA" w:rsidRDefault="00811222" w:rsidP="00811222">
      <w:pPr>
        <w:sectPr w:rsidR="00811222" w:rsidRPr="007364BA" w:rsidSect="00896234">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cols w:space="720"/>
          <w:titlePg/>
        </w:sectPr>
      </w:pPr>
    </w:p>
    <w:p w:rsidR="00811222" w:rsidRPr="007364BA" w:rsidRDefault="00811222" w:rsidP="00811222">
      <w:pPr>
        <w:spacing w:after="240"/>
        <w:jc w:val="center"/>
        <w:rPr>
          <w:b/>
        </w:rPr>
      </w:pPr>
      <w:r w:rsidRPr="007364BA">
        <w:rPr>
          <w:b/>
        </w:rPr>
        <w:lastRenderedPageBreak/>
        <w:t>Annex II</w:t>
      </w:r>
    </w:p>
    <w:p w:rsidR="00811222" w:rsidRPr="007364BA" w:rsidRDefault="00811222" w:rsidP="00811222">
      <w:pPr>
        <w:jc w:val="center"/>
        <w:rPr>
          <w:b/>
        </w:rPr>
      </w:pPr>
      <w:r w:rsidRPr="007364BA">
        <w:rPr>
          <w:b/>
        </w:rPr>
        <w:t>VIEWS EXPRESSED BY THE EXECUTIVE COMMITTEE ON RENEWAL OF INSTITUTIONAL STRENGTHENING PROJECTS SUBMITTED TO THE 77</w:t>
      </w:r>
      <w:r w:rsidRPr="007364BA">
        <w:rPr>
          <w:b/>
          <w:vertAlign w:val="superscript"/>
        </w:rPr>
        <w:t>th</w:t>
      </w:r>
      <w:r w:rsidRPr="007364BA">
        <w:rPr>
          <w:b/>
        </w:rPr>
        <w:t> MEETING</w:t>
      </w:r>
    </w:p>
    <w:p w:rsidR="00811222" w:rsidRPr="007364BA" w:rsidRDefault="00811222" w:rsidP="00811222">
      <w:pPr>
        <w:tabs>
          <w:tab w:val="left" w:pos="6780"/>
        </w:tabs>
        <w:autoSpaceDE w:val="0"/>
        <w:autoSpaceDN w:val="0"/>
        <w:adjustRightInd w:val="0"/>
        <w:spacing w:after="240"/>
        <w:ind w:left="-187"/>
        <w:rPr>
          <w:b/>
          <w:bCs/>
        </w:rPr>
      </w:pPr>
    </w:p>
    <w:p w:rsidR="00811222" w:rsidRPr="007364BA" w:rsidRDefault="00811222" w:rsidP="00811222">
      <w:pPr>
        <w:pStyle w:val="Heading1"/>
        <w:numPr>
          <w:ilvl w:val="0"/>
          <w:numId w:val="0"/>
        </w:numPr>
        <w:rPr>
          <w:b/>
          <w:bCs/>
        </w:rPr>
      </w:pPr>
      <w:r w:rsidRPr="007364BA">
        <w:rPr>
          <w:b/>
          <w:bCs/>
        </w:rPr>
        <w:t xml:space="preserve">Libya </w:t>
      </w:r>
    </w:p>
    <w:p w:rsidR="00811222" w:rsidRPr="007364BA" w:rsidRDefault="00811222" w:rsidP="00F07746">
      <w:pPr>
        <w:pStyle w:val="Heading1"/>
        <w:numPr>
          <w:ilvl w:val="0"/>
          <w:numId w:val="26"/>
        </w:numPr>
      </w:pPr>
      <w:r w:rsidRPr="007364BA">
        <w:t xml:space="preserve">The Executive Committee reviewed the report presented with the request for the institutional strengthening </w:t>
      </w:r>
      <w:r>
        <w:t>(</w:t>
      </w:r>
      <w:r w:rsidRPr="007364BA">
        <w:t>IS</w:t>
      </w:r>
      <w:r>
        <w:t>)</w:t>
      </w:r>
      <w:r w:rsidRPr="007364BA">
        <w:t xml:space="preserve"> project for Libya (phase IV, second year) and noted with appreciation that Libya reported data to the Ozone Secretariat for the year 2015 indicating that it was in compliance with its commitments under decision XXVII/11 of the Parties to the Montreal Protocol. The Executive Committee further noted that that within the framework of the </w:t>
      </w:r>
      <w:r>
        <w:t xml:space="preserve">IS </w:t>
      </w:r>
      <w:r w:rsidRPr="007364BA">
        <w:t xml:space="preserve">project, Libya </w:t>
      </w:r>
      <w:r>
        <w:t xml:space="preserve">had </w:t>
      </w:r>
      <w:r w:rsidRPr="007364BA">
        <w:t>achieved substantive progress towards control of HCFCs. The Executive Committee acknowledged that the national ozone unit has kept working in an un-interrupted mode despite the difficulties faced since 2011</w:t>
      </w:r>
      <w:r>
        <w:t>,</w:t>
      </w:r>
      <w:r w:rsidRPr="007364BA">
        <w:t xml:space="preserve"> and </w:t>
      </w:r>
      <w:r>
        <w:t xml:space="preserve">further acknowledges with appreciation that </w:t>
      </w:r>
      <w:r w:rsidRPr="007364BA">
        <w:t xml:space="preserve">the country </w:t>
      </w:r>
      <w:r>
        <w:t xml:space="preserve">has </w:t>
      </w:r>
      <w:r w:rsidRPr="007364BA">
        <w:t xml:space="preserve">established a licensing and quota system by Decree Law No. 228 in June 2015, elaborated a plan of action to return to compliance by 2018 for submission to the Implementation Committee,  and submitted the stage I of the HCFC phase-out management plan (HPMP) to effectively implement the plan of action </w:t>
      </w:r>
      <w:r>
        <w:t xml:space="preserve">mainly </w:t>
      </w:r>
      <w:r w:rsidRPr="007364BA">
        <w:t xml:space="preserve">through reduction </w:t>
      </w:r>
      <w:r>
        <w:t xml:space="preserve">of HCFC consumption </w:t>
      </w:r>
      <w:r w:rsidRPr="007364BA">
        <w:t xml:space="preserve">in the foam manufacturing sector. The Executive Committee is therefore hopeful that Libya will continue implementing its HPMP and IS project </w:t>
      </w:r>
      <w:r>
        <w:t xml:space="preserve">with success and that </w:t>
      </w:r>
      <w:r w:rsidRPr="007364BA">
        <w:t xml:space="preserve">sustained priority </w:t>
      </w:r>
      <w:r>
        <w:t xml:space="preserve">will be given </w:t>
      </w:r>
      <w:r w:rsidRPr="007364BA">
        <w:t xml:space="preserve">toward compliance with the </w:t>
      </w:r>
      <w:r>
        <w:t xml:space="preserve">targets set out in </w:t>
      </w:r>
      <w:r w:rsidRPr="007364BA">
        <w:t xml:space="preserve">decision XXVII/11 </w:t>
      </w:r>
      <w:r>
        <w:t xml:space="preserve">so that Libya can </w:t>
      </w:r>
      <w:r w:rsidRPr="007364BA">
        <w:t xml:space="preserve">return to compliance with the </w:t>
      </w:r>
      <w:r>
        <w:t xml:space="preserve">Montreal Protocol. </w:t>
      </w:r>
    </w:p>
    <w:p w:rsidR="00811222" w:rsidRPr="007364BA" w:rsidRDefault="00811222" w:rsidP="00811222"/>
    <w:p w:rsidR="00FE3C53" w:rsidRDefault="00FE3C53">
      <w:pPr>
        <w:jc w:val="left"/>
        <w:sectPr w:rsidR="00FE3C53" w:rsidSect="001A04C3">
          <w:footerReference w:type="default" r:id="rId22"/>
          <w:headerReference w:type="first" r:id="rId23"/>
          <w:footerReference w:type="first" r:id="rId24"/>
          <w:pgSz w:w="12240" w:h="15840" w:code="1"/>
          <w:pgMar w:top="720" w:right="1440" w:bottom="864" w:left="1440" w:header="720" w:footer="475" w:gutter="0"/>
          <w:pgNumType w:start="1"/>
          <w:cols w:space="720"/>
          <w:titlePg/>
        </w:sectPr>
      </w:pPr>
    </w:p>
    <w:p w:rsidR="00DF1FBF" w:rsidRDefault="00DF1FBF" w:rsidP="00DF1FBF">
      <w:pPr>
        <w:framePr w:w="1134" w:h="1134" w:hRule="exact" w:hSpace="240" w:vSpace="240" w:wrap="auto" w:vAnchor="text" w:hAnchor="margin" w:x="3945" w:y="1"/>
        <w:pBdr>
          <w:top w:val="single" w:sz="6" w:space="0" w:color="FFFFFF"/>
          <w:left w:val="single" w:sz="6" w:space="0" w:color="FFFFFF"/>
          <w:bottom w:val="single" w:sz="6" w:space="0" w:color="FFFFFF"/>
          <w:right w:val="single" w:sz="6" w:space="0" w:color="FFFFFF"/>
        </w:pBdr>
      </w:pPr>
      <w:r>
        <w:rPr>
          <w:noProof/>
          <w:lang w:val="en-US"/>
        </w:rPr>
        <w:lastRenderedPageBreak/>
        <w:drawing>
          <wp:inline distT="0" distB="0" distL="0" distR="0">
            <wp:extent cx="723265" cy="723265"/>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l="-2734" t="-8621" r="-2734" b="-8621"/>
                    <a:stretch>
                      <a:fillRect/>
                    </a:stretch>
                  </pic:blipFill>
                  <pic:spPr bwMode="auto">
                    <a:xfrm>
                      <a:off x="0" y="0"/>
                      <a:ext cx="723265" cy="723265"/>
                    </a:xfrm>
                    <a:prstGeom prst="rect">
                      <a:avLst/>
                    </a:prstGeom>
                    <a:noFill/>
                    <a:ln>
                      <a:noFill/>
                    </a:ln>
                  </pic:spPr>
                </pic:pic>
              </a:graphicData>
            </a:graphic>
          </wp:inline>
        </w:drawing>
      </w:r>
    </w:p>
    <w:p w:rsidR="00DF1FBF" w:rsidRDefault="00DF1FBF" w:rsidP="00DF1FBF">
      <w:pPr>
        <w:rPr>
          <w:b/>
          <w:bCs/>
        </w:rPr>
      </w:pPr>
    </w:p>
    <w:p w:rsidR="00DF1FBF" w:rsidRDefault="00DF1FBF" w:rsidP="00DF1FBF">
      <w:pPr>
        <w:rPr>
          <w:b/>
          <w:bCs/>
        </w:rPr>
      </w:pPr>
    </w:p>
    <w:p w:rsidR="00DF1FBF" w:rsidRDefault="00DF1FBF" w:rsidP="00DF1FBF">
      <w:pPr>
        <w:rPr>
          <w:b/>
          <w:bCs/>
        </w:rPr>
      </w:pPr>
    </w:p>
    <w:p w:rsidR="00DF1FBF" w:rsidRDefault="00DF1FBF" w:rsidP="00DF1FBF">
      <w:pPr>
        <w:rPr>
          <w:b/>
          <w:bCs/>
        </w:rPr>
      </w:pPr>
    </w:p>
    <w:p w:rsidR="00DF1FBF" w:rsidRDefault="00DF1FBF" w:rsidP="00DF1FBF">
      <w:pPr>
        <w:rPr>
          <w:b/>
          <w:bCs/>
        </w:rPr>
      </w:pPr>
    </w:p>
    <w:p w:rsidR="00DF1FBF" w:rsidRDefault="00DF1FBF" w:rsidP="00DF1FBF">
      <w:pPr>
        <w:rPr>
          <w:b/>
          <w:bCs/>
        </w:rPr>
      </w:pPr>
    </w:p>
    <w:p w:rsidR="00DF1FBF" w:rsidRDefault="00DF1FBF" w:rsidP="00DF1FBF">
      <w:pPr>
        <w:rPr>
          <w:sz w:val="24"/>
          <w:szCs w:val="24"/>
        </w:rPr>
      </w:pPr>
    </w:p>
    <w:p w:rsidR="00DF1FBF" w:rsidRDefault="00DF1FBF" w:rsidP="00DF1FBF">
      <w:pPr>
        <w:jc w:val="center"/>
      </w:pPr>
      <w:r>
        <w:rPr>
          <w:b/>
          <w:bCs/>
          <w:u w:val="single"/>
        </w:rPr>
        <w:t>UNITED NATIONS INDUSTRIAL DEVELOPMENT ORGANIZATION</w:t>
      </w:r>
    </w:p>
    <w:p w:rsidR="00DF1FBF" w:rsidRDefault="00DF1FBF" w:rsidP="00DF1FBF">
      <w:pPr>
        <w:jc w:val="center"/>
      </w:pPr>
    </w:p>
    <w:p w:rsidR="00DF1FBF" w:rsidRDefault="00DF1FBF" w:rsidP="00DF1FBF">
      <w:pPr>
        <w:jc w:val="center"/>
      </w:pPr>
      <w:r>
        <w:t>77</w:t>
      </w:r>
      <w:r>
        <w:rPr>
          <w:vertAlign w:val="superscript"/>
        </w:rPr>
        <w:t>th</w:t>
      </w:r>
      <w:r>
        <w:t xml:space="preserve"> Executive Committee of the</w:t>
      </w:r>
    </w:p>
    <w:p w:rsidR="00DF1FBF" w:rsidRDefault="00DF1FBF" w:rsidP="00DF1FBF">
      <w:pPr>
        <w:jc w:val="center"/>
      </w:pPr>
      <w:r>
        <w:t>Multilateral Fund for the Implementation of the Montreal Protocol</w:t>
      </w:r>
    </w:p>
    <w:p w:rsidR="00DF1FBF" w:rsidRDefault="00DF1FBF" w:rsidP="00DF1FBF"/>
    <w:p w:rsidR="00DF1FBF" w:rsidRDefault="00DF1FBF" w:rsidP="00DF1FBF"/>
    <w:p w:rsidR="00DF1FBF" w:rsidRDefault="00DF1FBF" w:rsidP="00DF1FBF">
      <w:pPr>
        <w:ind w:firstLine="6480"/>
      </w:pPr>
      <w:r>
        <w:t xml:space="preserve"> </w:t>
      </w:r>
    </w:p>
    <w:p w:rsidR="00DF1FBF" w:rsidRDefault="00DF1FBF" w:rsidP="00DF1FBF"/>
    <w:p w:rsidR="00DF1FBF" w:rsidRDefault="00DF1FBF" w:rsidP="00DF1FBF"/>
    <w:p w:rsidR="00DF1FBF" w:rsidRDefault="00DF1FBF" w:rsidP="00DF1FBF"/>
    <w:p w:rsidR="00DF1FBF" w:rsidRDefault="00DF1FBF" w:rsidP="00DF1FBF">
      <w:r>
        <w:t xml:space="preserve"> </w:t>
      </w:r>
    </w:p>
    <w:p w:rsidR="00DF1FBF" w:rsidRDefault="00DF1FBF" w:rsidP="00DF1FBF"/>
    <w:p w:rsidR="00DF1FBF" w:rsidRDefault="00DF1FBF" w:rsidP="00DF1FBF"/>
    <w:p w:rsidR="00DF1FBF" w:rsidRDefault="00DF1FBF" w:rsidP="00DF1FBF"/>
    <w:p w:rsidR="00DF1FBF" w:rsidRDefault="00DF1FBF" w:rsidP="00DF1FBF"/>
    <w:p w:rsidR="00DF1FBF" w:rsidRDefault="00DF1FBF" w:rsidP="00DF1FBF"/>
    <w:p w:rsidR="00DF1FBF" w:rsidRDefault="00DF1FBF" w:rsidP="00DF1FBF">
      <w:pPr>
        <w:jc w:val="center"/>
        <w:rPr>
          <w:b/>
          <w:bCs/>
        </w:rPr>
      </w:pPr>
      <w:r>
        <w:rPr>
          <w:b/>
          <w:bCs/>
        </w:rPr>
        <w:t>UNIDO Work Programme</w:t>
      </w:r>
    </w:p>
    <w:p w:rsidR="00DF1FBF" w:rsidRDefault="00DF1FBF" w:rsidP="00DF1FBF"/>
    <w:p w:rsidR="00DF1FBF" w:rsidRDefault="00DF1FBF" w:rsidP="00DF1FBF">
      <w:pPr>
        <w:jc w:val="center"/>
        <w:rPr>
          <w:b/>
          <w:bCs/>
        </w:rPr>
      </w:pPr>
      <w:r>
        <w:rPr>
          <w:b/>
          <w:bCs/>
        </w:rPr>
        <w:t>77</w:t>
      </w:r>
      <w:r>
        <w:rPr>
          <w:b/>
          <w:bCs/>
          <w:vertAlign w:val="superscript"/>
        </w:rPr>
        <w:t xml:space="preserve">th </w:t>
      </w:r>
      <w:r>
        <w:rPr>
          <w:b/>
          <w:bCs/>
        </w:rPr>
        <w:t>Executive Committee</w:t>
      </w:r>
    </w:p>
    <w:p w:rsidR="00DF1FBF" w:rsidRDefault="00DF1FBF" w:rsidP="00DF1FBF"/>
    <w:p w:rsidR="00DF1FBF" w:rsidRDefault="00DF1FBF" w:rsidP="00DF1FBF"/>
    <w:p w:rsidR="00DF1FBF" w:rsidRDefault="00DF1FBF" w:rsidP="00DF1FBF"/>
    <w:p w:rsidR="00DF1FBF" w:rsidRDefault="00DF1FBF" w:rsidP="00DF1FBF"/>
    <w:p w:rsidR="00DF1FBF" w:rsidRDefault="00DF1FBF" w:rsidP="00DF1FBF"/>
    <w:p w:rsidR="00DF1FBF" w:rsidRDefault="00DF1FBF" w:rsidP="00DF1FBF"/>
    <w:p w:rsidR="00DF1FBF" w:rsidRDefault="00DF1FBF" w:rsidP="00DF1FBF"/>
    <w:p w:rsidR="00DF1FBF" w:rsidRDefault="00DF1FBF" w:rsidP="00DF1FBF"/>
    <w:p w:rsidR="00DF1FBF" w:rsidRDefault="00DF1FBF" w:rsidP="00DF1FBF"/>
    <w:p w:rsidR="00DF1FBF" w:rsidRDefault="00DF1FBF" w:rsidP="00DF1FBF"/>
    <w:p w:rsidR="00DF1FBF" w:rsidRDefault="00DF1FBF" w:rsidP="00DF1FBF"/>
    <w:p w:rsidR="00DF1FBF" w:rsidRDefault="00DF1FBF" w:rsidP="00DF1FBF"/>
    <w:p w:rsidR="00DF1FBF" w:rsidRDefault="00DF1FBF" w:rsidP="00DF1FBF"/>
    <w:p w:rsidR="00DF1FBF" w:rsidRDefault="00DF1FBF" w:rsidP="00DF1FBF"/>
    <w:p w:rsidR="00DF1FBF" w:rsidRDefault="00DF1FBF" w:rsidP="00DF1FBF"/>
    <w:p w:rsidR="00DF1FBF" w:rsidRDefault="00DF1FBF" w:rsidP="00DF1FBF"/>
    <w:p w:rsidR="00DF1FBF" w:rsidRDefault="00DF1FBF" w:rsidP="00DF1FBF">
      <w:pPr>
        <w:rPr>
          <w:b/>
          <w:sz w:val="24"/>
          <w:szCs w:val="24"/>
          <w:lang w:val="en-US"/>
        </w:rPr>
      </w:pPr>
      <w:r>
        <w:br w:type="page"/>
      </w:r>
      <w:r>
        <w:rPr>
          <w:b/>
        </w:rPr>
        <w:lastRenderedPageBreak/>
        <w:t>Introduction</w:t>
      </w:r>
    </w:p>
    <w:p w:rsidR="00DF1FBF" w:rsidRDefault="00DF1FBF" w:rsidP="00DF1FBF">
      <w:pPr>
        <w:rPr>
          <w:b/>
        </w:rPr>
      </w:pPr>
    </w:p>
    <w:p w:rsidR="00DF1FBF" w:rsidRDefault="00DF1FBF" w:rsidP="00DF1FBF"/>
    <w:p w:rsidR="00DF1FBF" w:rsidRDefault="00DF1FBF" w:rsidP="00DF1FBF">
      <w:r>
        <w:t>The UNIDO Work Programme for the consideration of the 77</w:t>
      </w:r>
      <w:r>
        <w:rPr>
          <w:vertAlign w:val="superscript"/>
        </w:rPr>
        <w:t>th</w:t>
      </w:r>
      <w:r>
        <w:t xml:space="preserve"> Meeting of the Executive Committee (ExCom) of the Multilateral Fund (MLF) has been prepared following the Government requests as well as based on ongoing and planned activities.  The Work Programme will support the implementation of UNIDO’s three year Rolling Business Plan 2016-2018.</w:t>
      </w:r>
    </w:p>
    <w:p w:rsidR="00DF1FBF" w:rsidRDefault="00DF1FBF" w:rsidP="00DF1FBF"/>
    <w:p w:rsidR="00DF1FBF" w:rsidRDefault="00DF1FBF" w:rsidP="00DF1FBF"/>
    <w:p w:rsidR="00DF1FBF" w:rsidRDefault="00DF1FBF" w:rsidP="00DF1FBF">
      <w:pPr>
        <w:pStyle w:val="CommentText"/>
      </w:pPr>
      <w:r>
        <w:rPr>
          <w:sz w:val="24"/>
          <w:szCs w:val="24"/>
        </w:rPr>
        <w:t>The 77</w:t>
      </w:r>
      <w:r>
        <w:rPr>
          <w:sz w:val="24"/>
          <w:szCs w:val="24"/>
          <w:vertAlign w:val="superscript"/>
        </w:rPr>
        <w:t>th</w:t>
      </w:r>
      <w:r>
        <w:rPr>
          <w:sz w:val="24"/>
          <w:szCs w:val="24"/>
        </w:rPr>
        <w:t xml:space="preserve"> UNIDO WPA is addressing institutional strengthening request for Libya in line with the Decision 74/51 of the ExCom that increased eligible funding amount with 28% against the historical approved levels. </w:t>
      </w:r>
    </w:p>
    <w:p w:rsidR="00DF1FBF" w:rsidRDefault="00DF1FBF" w:rsidP="00DF1FBF">
      <w:r>
        <w:t>Preparatory assistance is submitted for the 77</w:t>
      </w:r>
      <w:r>
        <w:rPr>
          <w:vertAlign w:val="superscript"/>
        </w:rPr>
        <w:t>th</w:t>
      </w:r>
      <w:r>
        <w:t xml:space="preserve"> Executive Committee Meeting consideration for Argentina and Tunisia, to enable the countries to address the HPMP Stage II.</w:t>
      </w:r>
    </w:p>
    <w:p w:rsidR="00DF1FBF" w:rsidRDefault="00DF1FBF" w:rsidP="00DF1FBF"/>
    <w:p w:rsidR="00DF1FBF" w:rsidRDefault="00DF1FBF" w:rsidP="00DF1FBF">
      <w:r>
        <w:t>Verification Report related funding is required in line with the Decision 76/17 for Ecuador, classified as an LVC country.</w:t>
      </w:r>
    </w:p>
    <w:p w:rsidR="00DF1FBF" w:rsidRDefault="00DF1FBF" w:rsidP="00DF1FBF"/>
    <w:p w:rsidR="00DF1FBF" w:rsidRDefault="00DF1FBF" w:rsidP="00DF1FBF">
      <w:r>
        <w:t>The UNIDO 77</w:t>
      </w:r>
      <w:r>
        <w:rPr>
          <w:vertAlign w:val="superscript"/>
        </w:rPr>
        <w:t>th</w:t>
      </w:r>
      <w:r>
        <w:t xml:space="preserve"> Work Programme Amendment included UNIDO Core Unit funding that has been individually submitted to the Multilateral Fund Secretariat for its consideration.</w:t>
      </w:r>
    </w:p>
    <w:p w:rsidR="00DF1FBF" w:rsidRDefault="00DF1FBF" w:rsidP="00DF1FBF"/>
    <w:p w:rsidR="00DF1FBF" w:rsidRDefault="00DF1FBF" w:rsidP="00DF1FBF">
      <w:r>
        <w:t>The UNIDO Work Programme Amendment for the consideration of the 77</w:t>
      </w:r>
      <w:r>
        <w:rPr>
          <w:vertAlign w:val="superscript"/>
        </w:rPr>
        <w:t>th</w:t>
      </w:r>
      <w:r>
        <w:t xml:space="preserve"> ExCom Meeting comprises the following sections:</w:t>
      </w:r>
    </w:p>
    <w:p w:rsidR="00DF1FBF" w:rsidRDefault="00DF1FBF" w:rsidP="00DF1FBF">
      <w:pPr>
        <w:pStyle w:val="Heading8"/>
      </w:pPr>
    </w:p>
    <w:p w:rsidR="00DF1FBF" w:rsidRDefault="00DF1FBF" w:rsidP="00DF1FBF">
      <w:pPr>
        <w:rPr>
          <w:rFonts w:ascii="Times New Roman TUR" w:hAnsi="Times New Roman TUR"/>
        </w:rPr>
      </w:pPr>
    </w:p>
    <w:p w:rsidR="00DF1FBF" w:rsidRDefault="00DF1FBF" w:rsidP="00DF1FBF">
      <w:pPr>
        <w:pStyle w:val="Heading8"/>
      </w:pPr>
      <w:r>
        <w:t>Section 1</w:t>
      </w:r>
    </w:p>
    <w:p w:rsidR="00DF1FBF" w:rsidRDefault="00DF1FBF" w:rsidP="00DF1FBF">
      <w:pPr>
        <w:pStyle w:val="Heading8"/>
        <w:rPr>
          <w:b w:val="0"/>
        </w:rPr>
      </w:pPr>
      <w:r>
        <w:rPr>
          <w:b w:val="0"/>
        </w:rPr>
        <w:t>Gives in a tabulated form by project types and country the consolidated list of activities foreseen for the above requests</w:t>
      </w:r>
    </w:p>
    <w:p w:rsidR="00DF1FBF" w:rsidRDefault="00DF1FBF" w:rsidP="00DF1FBF">
      <w:pPr>
        <w:ind w:firstLine="720"/>
      </w:pPr>
    </w:p>
    <w:p w:rsidR="00DF1FBF" w:rsidRDefault="00DF1FBF" w:rsidP="00DF1FBF">
      <w:r>
        <w:t>Funding is requested as follows:</w:t>
      </w:r>
    </w:p>
    <w:p w:rsidR="00DF1FBF" w:rsidRDefault="00DF1FBF" w:rsidP="00DF1FBF"/>
    <w:p w:rsidR="00DF1FBF" w:rsidRDefault="00DF1FBF" w:rsidP="00DF1FBF">
      <w:r>
        <w:t>- IS extension request for Libya amounting to US$ 93,178 (including US$ 6,096 representing 7.0 % A.S.C)</w:t>
      </w:r>
    </w:p>
    <w:p w:rsidR="00DF1FBF" w:rsidRDefault="00DF1FBF" w:rsidP="00DF1FBF">
      <w:r>
        <w:t>- Preparatory assistance funding for HPMP Stage II amounting to US$ 224,700 (including US$ 14,700 representing 7.0 % A.S.C)</w:t>
      </w:r>
    </w:p>
    <w:p w:rsidR="00DF1FBF" w:rsidRDefault="00DF1FBF" w:rsidP="00DF1FBF">
      <w:r>
        <w:t>- Verification Report funding amounting to US$ 32,100 (including US$ 2,100 representing 7.0 % A.S.C)</w:t>
      </w:r>
    </w:p>
    <w:p w:rsidR="00DF1FBF" w:rsidRDefault="00DF1FBF" w:rsidP="00DF1FBF">
      <w:r>
        <w:t>- Administrative support funding amounting US$ 2,055,000</w:t>
      </w:r>
    </w:p>
    <w:p w:rsidR="00DF1FBF" w:rsidRDefault="00DF1FBF" w:rsidP="00DF1FBF"/>
    <w:p w:rsidR="00DF1FBF" w:rsidRDefault="00DF1FBF" w:rsidP="00DF1FBF"/>
    <w:p w:rsidR="00DF1FBF" w:rsidRDefault="00DF1FBF" w:rsidP="00DF1FBF">
      <w:pPr>
        <w:shd w:val="clear" w:color="auto" w:fill="FFFFFF"/>
      </w:pPr>
    </w:p>
    <w:p w:rsidR="00DF1FBF" w:rsidRDefault="00DF1FBF" w:rsidP="00DF1FBF">
      <w:pPr>
        <w:ind w:left="360"/>
        <w:rPr>
          <w:b/>
        </w:rPr>
      </w:pPr>
    </w:p>
    <w:p w:rsidR="00DF1FBF" w:rsidRDefault="00DF1FBF" w:rsidP="00DF1FBF">
      <w:pPr>
        <w:ind w:left="360"/>
        <w:rPr>
          <w:b/>
        </w:rPr>
      </w:pPr>
      <w:r>
        <w:rPr>
          <w:b/>
        </w:rPr>
        <w:t>Total: US$ 2,382,082 (including US$ 22,896 agency support cost)</w:t>
      </w:r>
    </w:p>
    <w:p w:rsidR="00DF1FBF" w:rsidRDefault="00DF1FBF" w:rsidP="00DF1FBF">
      <w:pPr>
        <w:rPr>
          <w:b/>
        </w:rPr>
      </w:pPr>
    </w:p>
    <w:p w:rsidR="00DF1FBF" w:rsidRDefault="00DF1FBF" w:rsidP="00DF1FBF">
      <w:pPr>
        <w:rPr>
          <w:b/>
        </w:rPr>
      </w:pPr>
    </w:p>
    <w:p w:rsidR="00DF1FBF" w:rsidRDefault="00DF1FBF" w:rsidP="00DF1FBF">
      <w:r>
        <w:t xml:space="preserve">Project concepts indicating details and funding requirements are provided in Section 2. </w:t>
      </w:r>
    </w:p>
    <w:p w:rsidR="00DF1FBF" w:rsidRDefault="00DF1FBF" w:rsidP="00DF1FBF"/>
    <w:p w:rsidR="00DF1FBF" w:rsidRDefault="00DF1FBF" w:rsidP="00DF1FBF"/>
    <w:p w:rsidR="00DF1FBF" w:rsidRDefault="00DF1FBF" w:rsidP="00DF1FBF"/>
    <w:p w:rsidR="001279BB" w:rsidRDefault="001279BB">
      <w:pPr>
        <w:jc w:val="left"/>
      </w:pPr>
      <w:r>
        <w:br w:type="page"/>
      </w:r>
    </w:p>
    <w:p w:rsidR="00DF1FBF" w:rsidRDefault="00DF1FBF" w:rsidP="00DF1FBF">
      <w:pPr>
        <w:jc w:val="center"/>
        <w:rPr>
          <w:b/>
          <w:bCs/>
        </w:rPr>
      </w:pPr>
    </w:p>
    <w:p w:rsidR="00DF1FBF" w:rsidRDefault="00DF1FBF" w:rsidP="00DF1FBF">
      <w:pPr>
        <w:jc w:val="center"/>
        <w:rPr>
          <w:b/>
          <w:bCs/>
        </w:rPr>
      </w:pPr>
      <w:r>
        <w:rPr>
          <w:b/>
          <w:bCs/>
        </w:rPr>
        <w:t>Section 1</w:t>
      </w:r>
    </w:p>
    <w:p w:rsidR="00DF1FBF" w:rsidRDefault="00DF1FBF" w:rsidP="00DF1FBF">
      <w:pPr>
        <w:jc w:val="center"/>
      </w:pPr>
    </w:p>
    <w:p w:rsidR="00DF1FBF" w:rsidRDefault="00DF1FBF" w:rsidP="00DF1FBF">
      <w:pPr>
        <w:jc w:val="center"/>
      </w:pPr>
      <w:r>
        <w:t xml:space="preserve">Consolidated table of project preparation and non-investment projects </w:t>
      </w:r>
    </w:p>
    <w:p w:rsidR="00DF1FBF" w:rsidRDefault="00DF1FBF" w:rsidP="00DF1FBF">
      <w:pPr>
        <w:jc w:val="center"/>
      </w:pPr>
      <w:r>
        <w:t>in all countries and sectors</w:t>
      </w:r>
    </w:p>
    <w:p w:rsidR="00DF1FBF" w:rsidRDefault="00DF1FBF" w:rsidP="00DF1FBF">
      <w:pPr>
        <w:jc w:val="center"/>
      </w:pPr>
    </w:p>
    <w:p w:rsidR="00DF1FBF" w:rsidRDefault="00DF1FBF" w:rsidP="00DF1FBF">
      <w:pPr>
        <w:jc w:val="center"/>
      </w:pPr>
    </w:p>
    <w:tbl>
      <w:tblPr>
        <w:tblW w:w="10536" w:type="dxa"/>
        <w:tblInd w:w="-72" w:type="dxa"/>
        <w:tblLayout w:type="fixed"/>
        <w:tblLook w:val="04A0" w:firstRow="1" w:lastRow="0" w:firstColumn="1" w:lastColumn="0" w:noHBand="0" w:noVBand="1"/>
      </w:tblPr>
      <w:tblGrid>
        <w:gridCol w:w="991"/>
        <w:gridCol w:w="720"/>
        <w:gridCol w:w="720"/>
        <w:gridCol w:w="1941"/>
        <w:gridCol w:w="220"/>
        <w:gridCol w:w="16"/>
        <w:gridCol w:w="1065"/>
        <w:gridCol w:w="901"/>
        <w:gridCol w:w="1171"/>
        <w:gridCol w:w="720"/>
        <w:gridCol w:w="810"/>
        <w:gridCol w:w="1261"/>
      </w:tblGrid>
      <w:tr w:rsidR="00DF1FBF" w:rsidTr="00DF1FBF">
        <w:trPr>
          <w:trHeight w:val="255"/>
        </w:trPr>
        <w:tc>
          <w:tcPr>
            <w:tcW w:w="990" w:type="dxa"/>
            <w:vMerge w:val="restart"/>
            <w:tcBorders>
              <w:top w:val="single" w:sz="8" w:space="0" w:color="auto"/>
              <w:left w:val="single" w:sz="8" w:space="0" w:color="auto"/>
              <w:bottom w:val="single" w:sz="8" w:space="0" w:color="000000"/>
              <w:right w:val="single" w:sz="8" w:space="0" w:color="auto"/>
            </w:tcBorders>
            <w:shd w:val="clear" w:color="auto" w:fill="FFFFFF"/>
            <w:vAlign w:val="bottom"/>
            <w:hideMark/>
          </w:tcPr>
          <w:p w:rsidR="00DF1FBF" w:rsidRDefault="00DF1FBF">
            <w:pPr>
              <w:autoSpaceDN w:val="0"/>
              <w:rPr>
                <w:b/>
                <w:bCs/>
                <w:sz w:val="20"/>
                <w:szCs w:val="20"/>
              </w:rPr>
            </w:pPr>
            <w:r>
              <w:rPr>
                <w:b/>
                <w:bCs/>
                <w:sz w:val="20"/>
                <w:szCs w:val="20"/>
              </w:rPr>
              <w:t>Country</w:t>
            </w:r>
          </w:p>
        </w:tc>
        <w:tc>
          <w:tcPr>
            <w:tcW w:w="720" w:type="dxa"/>
            <w:vMerge w:val="restart"/>
            <w:tcBorders>
              <w:top w:val="single" w:sz="8" w:space="0" w:color="auto"/>
              <w:left w:val="single" w:sz="8" w:space="0" w:color="auto"/>
              <w:bottom w:val="single" w:sz="8" w:space="0" w:color="000000"/>
              <w:right w:val="single" w:sz="8" w:space="0" w:color="auto"/>
            </w:tcBorders>
            <w:shd w:val="clear" w:color="auto" w:fill="FFFFFF"/>
            <w:noWrap/>
            <w:vAlign w:val="bottom"/>
            <w:hideMark/>
          </w:tcPr>
          <w:p w:rsidR="00DF1FBF" w:rsidRDefault="00DF1FBF">
            <w:pPr>
              <w:autoSpaceDN w:val="0"/>
              <w:rPr>
                <w:b/>
                <w:bCs/>
                <w:sz w:val="20"/>
                <w:szCs w:val="20"/>
              </w:rPr>
            </w:pPr>
            <w:r>
              <w:rPr>
                <w:b/>
                <w:bCs/>
                <w:sz w:val="20"/>
                <w:szCs w:val="20"/>
              </w:rPr>
              <w:t>Type</w:t>
            </w:r>
          </w:p>
        </w:tc>
        <w:tc>
          <w:tcPr>
            <w:tcW w:w="720" w:type="dxa"/>
            <w:tcBorders>
              <w:top w:val="single" w:sz="8" w:space="0" w:color="auto"/>
              <w:left w:val="nil"/>
              <w:bottom w:val="nil"/>
              <w:right w:val="single" w:sz="8" w:space="0" w:color="auto"/>
            </w:tcBorders>
            <w:shd w:val="clear" w:color="auto" w:fill="FFFFFF"/>
            <w:noWrap/>
            <w:vAlign w:val="bottom"/>
            <w:hideMark/>
          </w:tcPr>
          <w:p w:rsidR="00DF1FBF" w:rsidRDefault="00DF1FBF">
            <w:pPr>
              <w:rPr>
                <w:sz w:val="20"/>
                <w:szCs w:val="20"/>
              </w:rPr>
            </w:pPr>
          </w:p>
        </w:tc>
        <w:tc>
          <w:tcPr>
            <w:tcW w:w="2160" w:type="dxa"/>
            <w:gridSpan w:val="2"/>
            <w:vMerge w:val="restart"/>
            <w:tcBorders>
              <w:top w:val="single" w:sz="8" w:space="0" w:color="auto"/>
              <w:left w:val="single" w:sz="8" w:space="0" w:color="auto"/>
              <w:bottom w:val="single" w:sz="8" w:space="0" w:color="auto"/>
              <w:right w:val="single" w:sz="8" w:space="0" w:color="000000"/>
            </w:tcBorders>
            <w:shd w:val="clear" w:color="auto" w:fill="FFFFFF"/>
            <w:vAlign w:val="bottom"/>
            <w:hideMark/>
          </w:tcPr>
          <w:p w:rsidR="00DF1FBF" w:rsidRDefault="00DF1FBF">
            <w:pPr>
              <w:autoSpaceDN w:val="0"/>
              <w:rPr>
                <w:b/>
                <w:bCs/>
                <w:sz w:val="20"/>
                <w:szCs w:val="20"/>
              </w:rPr>
            </w:pPr>
            <w:r>
              <w:rPr>
                <w:b/>
                <w:bCs/>
                <w:sz w:val="20"/>
                <w:szCs w:val="20"/>
              </w:rPr>
              <w:t>Title of Project</w:t>
            </w:r>
          </w:p>
        </w:tc>
        <w:tc>
          <w:tcPr>
            <w:tcW w:w="1080" w:type="dxa"/>
            <w:gridSpan w:val="2"/>
            <w:vMerge w:val="restart"/>
            <w:tcBorders>
              <w:top w:val="single" w:sz="8" w:space="0" w:color="auto"/>
              <w:left w:val="single" w:sz="8" w:space="0" w:color="auto"/>
              <w:bottom w:val="single" w:sz="8" w:space="0" w:color="auto"/>
              <w:right w:val="single" w:sz="8" w:space="0" w:color="000000"/>
            </w:tcBorders>
            <w:shd w:val="clear" w:color="auto" w:fill="FFFFFF"/>
            <w:vAlign w:val="bottom"/>
            <w:hideMark/>
          </w:tcPr>
          <w:p w:rsidR="00DF1FBF" w:rsidRDefault="00DF1FBF">
            <w:pPr>
              <w:autoSpaceDN w:val="0"/>
              <w:rPr>
                <w:b/>
                <w:bCs/>
                <w:sz w:val="20"/>
                <w:szCs w:val="20"/>
              </w:rPr>
            </w:pPr>
            <w:r>
              <w:rPr>
                <w:b/>
                <w:bCs/>
                <w:sz w:val="20"/>
                <w:szCs w:val="20"/>
              </w:rPr>
              <w:t>Requested amount USD</w:t>
            </w:r>
          </w:p>
        </w:tc>
        <w:tc>
          <w:tcPr>
            <w:tcW w:w="900" w:type="dxa"/>
            <w:tcBorders>
              <w:top w:val="single" w:sz="8" w:space="0" w:color="auto"/>
              <w:left w:val="nil"/>
              <w:bottom w:val="nil"/>
              <w:right w:val="single" w:sz="8" w:space="0" w:color="000000"/>
            </w:tcBorders>
            <w:shd w:val="clear" w:color="auto" w:fill="FFFFFF"/>
            <w:vAlign w:val="bottom"/>
            <w:hideMark/>
          </w:tcPr>
          <w:p w:rsidR="00DF1FBF" w:rsidRDefault="00DF1FBF">
            <w:pPr>
              <w:autoSpaceDN w:val="0"/>
              <w:rPr>
                <w:b/>
                <w:bCs/>
                <w:sz w:val="20"/>
                <w:szCs w:val="20"/>
              </w:rPr>
            </w:pPr>
            <w:r>
              <w:rPr>
                <w:b/>
                <w:bCs/>
                <w:sz w:val="20"/>
                <w:szCs w:val="20"/>
              </w:rPr>
              <w:t>A.S.C.</w:t>
            </w:r>
          </w:p>
        </w:tc>
        <w:tc>
          <w:tcPr>
            <w:tcW w:w="1170" w:type="dxa"/>
            <w:vMerge w:val="restart"/>
            <w:tcBorders>
              <w:top w:val="single" w:sz="8" w:space="0" w:color="auto"/>
              <w:left w:val="single" w:sz="8" w:space="0" w:color="auto"/>
              <w:bottom w:val="single" w:sz="8" w:space="0" w:color="000000"/>
              <w:right w:val="nil"/>
            </w:tcBorders>
            <w:shd w:val="clear" w:color="auto" w:fill="FFFFFF"/>
            <w:vAlign w:val="bottom"/>
            <w:hideMark/>
          </w:tcPr>
          <w:p w:rsidR="00DF1FBF" w:rsidRDefault="00DF1FBF">
            <w:pPr>
              <w:autoSpaceDN w:val="0"/>
              <w:rPr>
                <w:b/>
                <w:bCs/>
                <w:sz w:val="20"/>
                <w:szCs w:val="20"/>
              </w:rPr>
            </w:pPr>
            <w:r>
              <w:rPr>
                <w:b/>
                <w:bCs/>
                <w:sz w:val="20"/>
                <w:szCs w:val="20"/>
              </w:rPr>
              <w:t>Total (</w:t>
            </w:r>
            <w:proofErr w:type="spellStart"/>
            <w:r>
              <w:rPr>
                <w:b/>
                <w:bCs/>
                <w:sz w:val="20"/>
                <w:szCs w:val="20"/>
              </w:rPr>
              <w:t>incl</w:t>
            </w:r>
            <w:proofErr w:type="spellEnd"/>
            <w:r>
              <w:rPr>
                <w:b/>
                <w:bCs/>
                <w:sz w:val="20"/>
                <w:szCs w:val="20"/>
              </w:rPr>
              <w:t xml:space="preserve"> ASC) USD</w:t>
            </w:r>
          </w:p>
        </w:tc>
        <w:tc>
          <w:tcPr>
            <w:tcW w:w="720" w:type="dxa"/>
            <w:vMerge w:val="restart"/>
            <w:tcBorders>
              <w:top w:val="single" w:sz="8" w:space="0" w:color="auto"/>
              <w:left w:val="single" w:sz="8" w:space="0" w:color="auto"/>
              <w:bottom w:val="single" w:sz="8" w:space="0" w:color="000000"/>
              <w:right w:val="single" w:sz="8" w:space="0" w:color="auto"/>
            </w:tcBorders>
            <w:shd w:val="clear" w:color="auto" w:fill="FFFFFF"/>
            <w:vAlign w:val="bottom"/>
            <w:hideMark/>
          </w:tcPr>
          <w:p w:rsidR="00DF1FBF" w:rsidRDefault="00DF1FBF">
            <w:pPr>
              <w:autoSpaceDN w:val="0"/>
              <w:rPr>
                <w:b/>
                <w:bCs/>
                <w:sz w:val="20"/>
                <w:szCs w:val="20"/>
              </w:rPr>
            </w:pPr>
            <w:r>
              <w:rPr>
                <w:b/>
                <w:bCs/>
                <w:sz w:val="20"/>
                <w:szCs w:val="20"/>
              </w:rPr>
              <w:t>A.S.C. %</w:t>
            </w:r>
          </w:p>
        </w:tc>
        <w:tc>
          <w:tcPr>
            <w:tcW w:w="810" w:type="dxa"/>
            <w:vMerge w:val="restart"/>
            <w:tcBorders>
              <w:top w:val="single" w:sz="8" w:space="0" w:color="auto"/>
              <w:left w:val="single" w:sz="8" w:space="0" w:color="auto"/>
              <w:bottom w:val="single" w:sz="8" w:space="0" w:color="000000"/>
              <w:right w:val="nil"/>
            </w:tcBorders>
            <w:shd w:val="clear" w:color="auto" w:fill="FFFFFF"/>
            <w:vAlign w:val="bottom"/>
            <w:hideMark/>
          </w:tcPr>
          <w:p w:rsidR="00DF1FBF" w:rsidRDefault="00DF1FBF">
            <w:pPr>
              <w:autoSpaceDN w:val="0"/>
              <w:rPr>
                <w:b/>
                <w:bCs/>
                <w:sz w:val="20"/>
                <w:szCs w:val="20"/>
              </w:rPr>
            </w:pPr>
            <w:r>
              <w:rPr>
                <w:b/>
                <w:bCs/>
                <w:sz w:val="20"/>
                <w:szCs w:val="20"/>
              </w:rPr>
              <w:t>P.D.</w:t>
            </w:r>
          </w:p>
        </w:tc>
        <w:tc>
          <w:tcPr>
            <w:tcW w:w="1260" w:type="dxa"/>
            <w:vMerge w:val="restart"/>
            <w:tcBorders>
              <w:top w:val="single" w:sz="8" w:space="0" w:color="auto"/>
              <w:left w:val="single" w:sz="8" w:space="0" w:color="auto"/>
              <w:bottom w:val="single" w:sz="8" w:space="0" w:color="000000"/>
              <w:right w:val="single" w:sz="8" w:space="0" w:color="auto"/>
            </w:tcBorders>
            <w:shd w:val="clear" w:color="auto" w:fill="FFFFFF"/>
            <w:vAlign w:val="bottom"/>
            <w:hideMark/>
          </w:tcPr>
          <w:p w:rsidR="00DF1FBF" w:rsidRDefault="00DF1FBF">
            <w:pPr>
              <w:autoSpaceDN w:val="0"/>
              <w:rPr>
                <w:b/>
                <w:bCs/>
                <w:sz w:val="20"/>
                <w:szCs w:val="20"/>
              </w:rPr>
            </w:pPr>
            <w:r>
              <w:rPr>
                <w:b/>
                <w:bCs/>
                <w:sz w:val="20"/>
                <w:szCs w:val="20"/>
              </w:rPr>
              <w:t>Remarks</w:t>
            </w:r>
          </w:p>
        </w:tc>
      </w:tr>
      <w:tr w:rsidR="00DF1FBF" w:rsidTr="00DF1FBF">
        <w:trPr>
          <w:trHeight w:val="270"/>
        </w:trPr>
        <w:tc>
          <w:tcPr>
            <w:tcW w:w="10530" w:type="dxa"/>
            <w:vMerge/>
            <w:tcBorders>
              <w:top w:val="single" w:sz="8" w:space="0" w:color="auto"/>
              <w:left w:val="single" w:sz="8" w:space="0" w:color="auto"/>
              <w:bottom w:val="single" w:sz="8" w:space="0" w:color="000000"/>
              <w:right w:val="single" w:sz="8" w:space="0" w:color="auto"/>
            </w:tcBorders>
            <w:vAlign w:val="center"/>
            <w:hideMark/>
          </w:tcPr>
          <w:p w:rsidR="00DF1FBF" w:rsidRDefault="00DF1FBF">
            <w:pPr>
              <w:rPr>
                <w:b/>
                <w:bCs/>
                <w:sz w:val="20"/>
                <w:szCs w:val="20"/>
              </w:rPr>
            </w:pPr>
          </w:p>
        </w:tc>
        <w:tc>
          <w:tcPr>
            <w:tcW w:w="720" w:type="dxa"/>
            <w:vMerge/>
            <w:tcBorders>
              <w:top w:val="single" w:sz="8" w:space="0" w:color="auto"/>
              <w:left w:val="single" w:sz="8" w:space="0" w:color="auto"/>
              <w:bottom w:val="single" w:sz="8" w:space="0" w:color="000000"/>
              <w:right w:val="single" w:sz="8" w:space="0" w:color="auto"/>
            </w:tcBorders>
            <w:vAlign w:val="center"/>
            <w:hideMark/>
          </w:tcPr>
          <w:p w:rsidR="00DF1FBF" w:rsidRDefault="00DF1FBF">
            <w:pPr>
              <w:rPr>
                <w:b/>
                <w:bCs/>
                <w:sz w:val="20"/>
                <w:szCs w:val="20"/>
              </w:rPr>
            </w:pPr>
          </w:p>
        </w:tc>
        <w:tc>
          <w:tcPr>
            <w:tcW w:w="720" w:type="dxa"/>
            <w:tcBorders>
              <w:top w:val="nil"/>
              <w:left w:val="nil"/>
              <w:bottom w:val="single" w:sz="8" w:space="0" w:color="auto"/>
              <w:right w:val="single" w:sz="8" w:space="0" w:color="auto"/>
            </w:tcBorders>
            <w:shd w:val="clear" w:color="auto" w:fill="FFFFFF"/>
            <w:noWrap/>
            <w:vAlign w:val="bottom"/>
            <w:hideMark/>
          </w:tcPr>
          <w:p w:rsidR="00DF1FBF" w:rsidRDefault="00DF1FBF">
            <w:pPr>
              <w:autoSpaceDN w:val="0"/>
              <w:jc w:val="center"/>
              <w:rPr>
                <w:b/>
                <w:bCs/>
                <w:sz w:val="20"/>
                <w:szCs w:val="20"/>
              </w:rPr>
            </w:pPr>
            <w:r>
              <w:rPr>
                <w:b/>
                <w:bCs/>
                <w:sz w:val="20"/>
                <w:szCs w:val="20"/>
              </w:rPr>
              <w:t>Subs-</w:t>
            </w:r>
            <w:proofErr w:type="spellStart"/>
            <w:r>
              <w:rPr>
                <w:b/>
                <w:bCs/>
                <w:sz w:val="20"/>
                <w:szCs w:val="20"/>
              </w:rPr>
              <w:t>tance</w:t>
            </w:r>
            <w:proofErr w:type="spellEnd"/>
          </w:p>
        </w:tc>
        <w:tc>
          <w:tcPr>
            <w:tcW w:w="2396" w:type="dxa"/>
            <w:gridSpan w:val="2"/>
            <w:vMerge/>
            <w:tcBorders>
              <w:top w:val="nil"/>
              <w:left w:val="nil"/>
              <w:bottom w:val="single" w:sz="8" w:space="0" w:color="auto"/>
              <w:right w:val="single" w:sz="8" w:space="0" w:color="auto"/>
            </w:tcBorders>
            <w:vAlign w:val="center"/>
            <w:hideMark/>
          </w:tcPr>
          <w:p w:rsidR="00DF1FBF" w:rsidRDefault="00DF1FBF">
            <w:pPr>
              <w:rPr>
                <w:b/>
                <w:bCs/>
                <w:sz w:val="20"/>
                <w:szCs w:val="20"/>
              </w:rPr>
            </w:pPr>
          </w:p>
        </w:tc>
        <w:tc>
          <w:tcPr>
            <w:tcW w:w="2144" w:type="dxa"/>
            <w:gridSpan w:val="2"/>
            <w:vMerge/>
            <w:tcBorders>
              <w:top w:val="nil"/>
              <w:left w:val="nil"/>
              <w:bottom w:val="single" w:sz="8" w:space="0" w:color="auto"/>
              <w:right w:val="single" w:sz="8" w:space="0" w:color="auto"/>
            </w:tcBorders>
            <w:vAlign w:val="center"/>
            <w:hideMark/>
          </w:tcPr>
          <w:p w:rsidR="00DF1FBF" w:rsidRDefault="00DF1FBF">
            <w:pPr>
              <w:rPr>
                <w:b/>
                <w:bCs/>
                <w:sz w:val="20"/>
                <w:szCs w:val="20"/>
              </w:rPr>
            </w:pPr>
          </w:p>
        </w:tc>
        <w:tc>
          <w:tcPr>
            <w:tcW w:w="900" w:type="dxa"/>
            <w:tcBorders>
              <w:top w:val="nil"/>
              <w:left w:val="nil"/>
              <w:bottom w:val="single" w:sz="8" w:space="0" w:color="auto"/>
              <w:right w:val="single" w:sz="8" w:space="0" w:color="000000"/>
            </w:tcBorders>
            <w:shd w:val="clear" w:color="auto" w:fill="FFFFFF"/>
            <w:vAlign w:val="bottom"/>
            <w:hideMark/>
          </w:tcPr>
          <w:p w:rsidR="00DF1FBF" w:rsidRDefault="00DF1FBF">
            <w:pPr>
              <w:autoSpaceDN w:val="0"/>
              <w:jc w:val="center"/>
              <w:rPr>
                <w:b/>
                <w:bCs/>
                <w:sz w:val="20"/>
                <w:szCs w:val="20"/>
              </w:rPr>
            </w:pPr>
            <w:r>
              <w:rPr>
                <w:b/>
                <w:bCs/>
                <w:sz w:val="20"/>
                <w:szCs w:val="20"/>
              </w:rPr>
              <w:t>USD</w:t>
            </w:r>
          </w:p>
        </w:tc>
        <w:tc>
          <w:tcPr>
            <w:tcW w:w="1170" w:type="dxa"/>
            <w:vMerge/>
            <w:tcBorders>
              <w:top w:val="single" w:sz="8" w:space="0" w:color="auto"/>
              <w:left w:val="single" w:sz="8" w:space="0" w:color="auto"/>
              <w:bottom w:val="single" w:sz="8" w:space="0" w:color="000000"/>
              <w:right w:val="nil"/>
            </w:tcBorders>
            <w:vAlign w:val="center"/>
            <w:hideMark/>
          </w:tcPr>
          <w:p w:rsidR="00DF1FBF" w:rsidRDefault="00DF1FBF">
            <w:pPr>
              <w:rPr>
                <w:b/>
                <w:bCs/>
                <w:sz w:val="20"/>
                <w:szCs w:val="20"/>
              </w:rPr>
            </w:pPr>
          </w:p>
        </w:tc>
        <w:tc>
          <w:tcPr>
            <w:tcW w:w="720" w:type="dxa"/>
            <w:vMerge/>
            <w:tcBorders>
              <w:top w:val="single" w:sz="8" w:space="0" w:color="auto"/>
              <w:left w:val="single" w:sz="8" w:space="0" w:color="auto"/>
              <w:bottom w:val="single" w:sz="8" w:space="0" w:color="000000"/>
              <w:right w:val="single" w:sz="8" w:space="0" w:color="auto"/>
            </w:tcBorders>
            <w:vAlign w:val="center"/>
            <w:hideMark/>
          </w:tcPr>
          <w:p w:rsidR="00DF1FBF" w:rsidRDefault="00DF1FBF">
            <w:pPr>
              <w:rPr>
                <w:b/>
                <w:bCs/>
                <w:sz w:val="20"/>
                <w:szCs w:val="20"/>
              </w:rPr>
            </w:pPr>
          </w:p>
        </w:tc>
        <w:tc>
          <w:tcPr>
            <w:tcW w:w="810" w:type="dxa"/>
            <w:vMerge/>
            <w:tcBorders>
              <w:top w:val="single" w:sz="8" w:space="0" w:color="auto"/>
              <w:left w:val="single" w:sz="8" w:space="0" w:color="auto"/>
              <w:bottom w:val="single" w:sz="8" w:space="0" w:color="000000"/>
              <w:right w:val="nil"/>
            </w:tcBorders>
            <w:vAlign w:val="center"/>
            <w:hideMark/>
          </w:tcPr>
          <w:p w:rsidR="00DF1FBF" w:rsidRDefault="00DF1FBF">
            <w:pPr>
              <w:rPr>
                <w:b/>
                <w:bCs/>
                <w:sz w:val="20"/>
                <w:szCs w:val="20"/>
              </w:rPr>
            </w:pPr>
          </w:p>
        </w:tc>
        <w:tc>
          <w:tcPr>
            <w:tcW w:w="1260" w:type="dxa"/>
            <w:vMerge/>
            <w:tcBorders>
              <w:top w:val="single" w:sz="8" w:space="0" w:color="auto"/>
              <w:left w:val="single" w:sz="8" w:space="0" w:color="auto"/>
              <w:bottom w:val="single" w:sz="8" w:space="0" w:color="000000"/>
              <w:right w:val="single" w:sz="8" w:space="0" w:color="auto"/>
            </w:tcBorders>
            <w:vAlign w:val="center"/>
            <w:hideMark/>
          </w:tcPr>
          <w:p w:rsidR="00DF1FBF" w:rsidRDefault="00DF1FBF">
            <w:pPr>
              <w:rPr>
                <w:b/>
                <w:bCs/>
                <w:sz w:val="20"/>
                <w:szCs w:val="20"/>
              </w:rPr>
            </w:pPr>
          </w:p>
        </w:tc>
      </w:tr>
      <w:tr w:rsidR="00DF1FBF" w:rsidTr="00DF1FBF">
        <w:trPr>
          <w:trHeight w:val="314"/>
        </w:trPr>
        <w:tc>
          <w:tcPr>
            <w:tcW w:w="10530" w:type="dxa"/>
            <w:gridSpan w:val="12"/>
            <w:tcBorders>
              <w:top w:val="single" w:sz="8" w:space="0" w:color="auto"/>
              <w:left w:val="single" w:sz="8" w:space="0" w:color="auto"/>
              <w:bottom w:val="single" w:sz="8" w:space="0" w:color="auto"/>
              <w:right w:val="single" w:sz="8" w:space="0" w:color="000000"/>
            </w:tcBorders>
            <w:shd w:val="clear" w:color="auto" w:fill="FFFFFF"/>
            <w:noWrap/>
            <w:vAlign w:val="bottom"/>
            <w:hideMark/>
          </w:tcPr>
          <w:p w:rsidR="00DF1FBF" w:rsidRDefault="00DF1FBF">
            <w:pPr>
              <w:autoSpaceDN w:val="0"/>
              <w:jc w:val="center"/>
              <w:rPr>
                <w:b/>
                <w:bCs/>
                <w:sz w:val="20"/>
                <w:szCs w:val="20"/>
              </w:rPr>
            </w:pPr>
            <w:r>
              <w:rPr>
                <w:b/>
                <w:bCs/>
                <w:sz w:val="20"/>
                <w:szCs w:val="20"/>
              </w:rPr>
              <w:t>Institutional Strengthening</w:t>
            </w:r>
          </w:p>
        </w:tc>
      </w:tr>
      <w:tr w:rsidR="00DF1FBF" w:rsidTr="00DF1FBF">
        <w:trPr>
          <w:trHeight w:val="780"/>
        </w:trPr>
        <w:tc>
          <w:tcPr>
            <w:tcW w:w="990" w:type="dxa"/>
            <w:tcBorders>
              <w:top w:val="single" w:sz="4" w:space="0" w:color="auto"/>
              <w:left w:val="single" w:sz="8" w:space="0" w:color="auto"/>
              <w:bottom w:val="single" w:sz="4" w:space="0" w:color="auto"/>
              <w:right w:val="single" w:sz="4" w:space="0" w:color="auto"/>
            </w:tcBorders>
            <w:shd w:val="clear" w:color="auto" w:fill="FFFFFF"/>
            <w:vAlign w:val="center"/>
            <w:hideMark/>
          </w:tcPr>
          <w:p w:rsidR="00DF1FBF" w:rsidRDefault="00DF1FBF">
            <w:pPr>
              <w:autoSpaceDN w:val="0"/>
              <w:rPr>
                <w:sz w:val="18"/>
                <w:szCs w:val="18"/>
              </w:rPr>
            </w:pPr>
            <w:r>
              <w:rPr>
                <w:sz w:val="18"/>
                <w:szCs w:val="18"/>
              </w:rPr>
              <w:t>Libya</w:t>
            </w:r>
          </w:p>
        </w:tc>
        <w:tc>
          <w:tcPr>
            <w:tcW w:w="720" w:type="dxa"/>
            <w:tcBorders>
              <w:top w:val="single" w:sz="4" w:space="0" w:color="auto"/>
              <w:left w:val="nil"/>
              <w:bottom w:val="single" w:sz="4" w:space="0" w:color="auto"/>
              <w:right w:val="single" w:sz="4" w:space="0" w:color="auto"/>
            </w:tcBorders>
            <w:shd w:val="clear" w:color="auto" w:fill="FFFFFF"/>
            <w:vAlign w:val="center"/>
            <w:hideMark/>
          </w:tcPr>
          <w:p w:rsidR="00DF1FBF" w:rsidRDefault="00DF1FBF">
            <w:pPr>
              <w:autoSpaceDN w:val="0"/>
              <w:rPr>
                <w:sz w:val="18"/>
                <w:szCs w:val="18"/>
              </w:rPr>
            </w:pPr>
            <w:r>
              <w:rPr>
                <w:sz w:val="18"/>
                <w:szCs w:val="18"/>
              </w:rPr>
              <w:t>INS</w:t>
            </w:r>
          </w:p>
        </w:tc>
        <w:tc>
          <w:tcPr>
            <w:tcW w:w="720" w:type="dxa"/>
            <w:tcBorders>
              <w:top w:val="single" w:sz="4" w:space="0" w:color="auto"/>
              <w:left w:val="nil"/>
              <w:bottom w:val="single" w:sz="4" w:space="0" w:color="auto"/>
              <w:right w:val="single" w:sz="4" w:space="0" w:color="auto"/>
            </w:tcBorders>
            <w:shd w:val="clear" w:color="auto" w:fill="FFFFFF"/>
            <w:vAlign w:val="center"/>
            <w:hideMark/>
          </w:tcPr>
          <w:p w:rsidR="00DF1FBF" w:rsidRDefault="00DF1FBF">
            <w:pPr>
              <w:autoSpaceDN w:val="0"/>
              <w:rPr>
                <w:sz w:val="18"/>
                <w:szCs w:val="18"/>
              </w:rPr>
            </w:pPr>
            <w:r>
              <w:rPr>
                <w:sz w:val="18"/>
                <w:szCs w:val="18"/>
              </w:rPr>
              <w:t>All</w:t>
            </w:r>
          </w:p>
        </w:tc>
        <w:tc>
          <w:tcPr>
            <w:tcW w:w="2160" w:type="dxa"/>
            <w:gridSpan w:val="2"/>
            <w:tcBorders>
              <w:top w:val="single" w:sz="4" w:space="0" w:color="auto"/>
              <w:left w:val="nil"/>
              <w:bottom w:val="single" w:sz="4" w:space="0" w:color="auto"/>
              <w:right w:val="nil"/>
            </w:tcBorders>
            <w:shd w:val="clear" w:color="auto" w:fill="FFFFFF"/>
            <w:vAlign w:val="center"/>
            <w:hideMark/>
          </w:tcPr>
          <w:p w:rsidR="00DF1FBF" w:rsidRDefault="00DF1FBF">
            <w:pPr>
              <w:autoSpaceDN w:val="0"/>
              <w:rPr>
                <w:sz w:val="18"/>
                <w:szCs w:val="18"/>
              </w:rPr>
            </w:pPr>
            <w:r>
              <w:rPr>
                <w:sz w:val="18"/>
                <w:szCs w:val="18"/>
              </w:rPr>
              <w:t>Extension of Institutional Strengthening Phase IV (year 2)</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DF1FBF" w:rsidRDefault="00DF1FBF">
            <w:pPr>
              <w:autoSpaceDN w:val="0"/>
              <w:jc w:val="center"/>
              <w:rPr>
                <w:sz w:val="18"/>
                <w:szCs w:val="18"/>
              </w:rPr>
            </w:pPr>
            <w:r>
              <w:rPr>
                <w:sz w:val="18"/>
                <w:szCs w:val="18"/>
              </w:rPr>
              <w:t>87,082</w:t>
            </w:r>
          </w:p>
        </w:tc>
        <w:tc>
          <w:tcPr>
            <w:tcW w:w="900" w:type="dxa"/>
            <w:tcBorders>
              <w:top w:val="single" w:sz="4" w:space="0" w:color="auto"/>
              <w:left w:val="nil"/>
              <w:bottom w:val="single" w:sz="4" w:space="0" w:color="auto"/>
              <w:right w:val="single" w:sz="4" w:space="0" w:color="auto"/>
            </w:tcBorders>
            <w:shd w:val="clear" w:color="auto" w:fill="FFFFFF"/>
            <w:vAlign w:val="center"/>
            <w:hideMark/>
          </w:tcPr>
          <w:p w:rsidR="00DF1FBF" w:rsidRDefault="00DF1FBF">
            <w:pPr>
              <w:autoSpaceDN w:val="0"/>
              <w:jc w:val="center"/>
              <w:rPr>
                <w:sz w:val="18"/>
                <w:szCs w:val="18"/>
              </w:rPr>
            </w:pPr>
            <w:r>
              <w:rPr>
                <w:sz w:val="18"/>
                <w:szCs w:val="18"/>
              </w:rPr>
              <w:t>6,096</w:t>
            </w:r>
          </w:p>
        </w:tc>
        <w:tc>
          <w:tcPr>
            <w:tcW w:w="1170" w:type="dxa"/>
            <w:tcBorders>
              <w:top w:val="single" w:sz="4" w:space="0" w:color="auto"/>
              <w:left w:val="nil"/>
              <w:bottom w:val="single" w:sz="4" w:space="0" w:color="auto"/>
              <w:right w:val="single" w:sz="4" w:space="0" w:color="auto"/>
            </w:tcBorders>
            <w:shd w:val="clear" w:color="auto" w:fill="FFFFFF"/>
            <w:vAlign w:val="center"/>
            <w:hideMark/>
          </w:tcPr>
          <w:p w:rsidR="00DF1FBF" w:rsidRDefault="00DF1FBF">
            <w:pPr>
              <w:autoSpaceDN w:val="0"/>
              <w:jc w:val="center"/>
              <w:rPr>
                <w:sz w:val="18"/>
                <w:szCs w:val="18"/>
              </w:rPr>
            </w:pPr>
            <w:r>
              <w:rPr>
                <w:sz w:val="18"/>
                <w:szCs w:val="18"/>
              </w:rPr>
              <w:t>93,17</w:t>
            </w:r>
          </w:p>
        </w:tc>
        <w:tc>
          <w:tcPr>
            <w:tcW w:w="720" w:type="dxa"/>
            <w:tcBorders>
              <w:top w:val="single" w:sz="4" w:space="0" w:color="auto"/>
              <w:left w:val="nil"/>
              <w:bottom w:val="single" w:sz="4" w:space="0" w:color="auto"/>
              <w:right w:val="single" w:sz="4" w:space="0" w:color="auto"/>
            </w:tcBorders>
            <w:shd w:val="clear" w:color="auto" w:fill="FFFFFF"/>
            <w:vAlign w:val="center"/>
            <w:hideMark/>
          </w:tcPr>
          <w:p w:rsidR="00DF1FBF" w:rsidRDefault="00DF1FBF">
            <w:pPr>
              <w:autoSpaceDN w:val="0"/>
              <w:jc w:val="center"/>
              <w:rPr>
                <w:sz w:val="18"/>
                <w:szCs w:val="18"/>
              </w:rPr>
            </w:pPr>
            <w:r>
              <w:rPr>
                <w:sz w:val="18"/>
                <w:szCs w:val="18"/>
              </w:rPr>
              <w:t>7</w:t>
            </w:r>
          </w:p>
        </w:tc>
        <w:tc>
          <w:tcPr>
            <w:tcW w:w="810" w:type="dxa"/>
            <w:tcBorders>
              <w:top w:val="single" w:sz="4" w:space="0" w:color="auto"/>
              <w:left w:val="nil"/>
              <w:bottom w:val="single" w:sz="4" w:space="0" w:color="auto"/>
              <w:right w:val="nil"/>
            </w:tcBorders>
            <w:shd w:val="clear" w:color="auto" w:fill="FFFFFF"/>
            <w:vAlign w:val="center"/>
            <w:hideMark/>
          </w:tcPr>
          <w:p w:rsidR="00DF1FBF" w:rsidRDefault="00DF1FBF">
            <w:pPr>
              <w:autoSpaceDN w:val="0"/>
              <w:jc w:val="center"/>
              <w:rPr>
                <w:sz w:val="18"/>
                <w:szCs w:val="18"/>
              </w:rPr>
            </w:pPr>
            <w:r>
              <w:rPr>
                <w:sz w:val="18"/>
                <w:szCs w:val="18"/>
              </w:rPr>
              <w:t>24</w:t>
            </w:r>
          </w:p>
        </w:tc>
        <w:tc>
          <w:tcPr>
            <w:tcW w:w="1260" w:type="dxa"/>
            <w:tcBorders>
              <w:top w:val="single" w:sz="4" w:space="0" w:color="auto"/>
              <w:left w:val="single" w:sz="4" w:space="0" w:color="auto"/>
              <w:bottom w:val="single" w:sz="4" w:space="0" w:color="auto"/>
              <w:right w:val="single" w:sz="8" w:space="0" w:color="auto"/>
            </w:tcBorders>
            <w:shd w:val="clear" w:color="auto" w:fill="FFFFFF"/>
            <w:vAlign w:val="bottom"/>
            <w:hideMark/>
          </w:tcPr>
          <w:p w:rsidR="00DF1FBF" w:rsidRDefault="00DF1FBF">
            <w:pPr>
              <w:autoSpaceDN w:val="0"/>
              <w:rPr>
                <w:b/>
                <w:bCs/>
                <w:sz w:val="18"/>
                <w:szCs w:val="18"/>
              </w:rPr>
            </w:pPr>
            <w:r>
              <w:rPr>
                <w:b/>
                <w:bCs/>
                <w:sz w:val="18"/>
                <w:szCs w:val="18"/>
              </w:rPr>
              <w:t> </w:t>
            </w:r>
          </w:p>
        </w:tc>
      </w:tr>
      <w:tr w:rsidR="00DF1FBF" w:rsidTr="00DF1FBF">
        <w:trPr>
          <w:trHeight w:val="305"/>
        </w:trPr>
        <w:tc>
          <w:tcPr>
            <w:tcW w:w="2430" w:type="dxa"/>
            <w:gridSpan w:val="3"/>
            <w:tcBorders>
              <w:top w:val="single" w:sz="8" w:space="0" w:color="auto"/>
              <w:left w:val="single" w:sz="8" w:space="0" w:color="auto"/>
              <w:bottom w:val="single" w:sz="8" w:space="0" w:color="auto"/>
              <w:right w:val="single" w:sz="4" w:space="0" w:color="000000"/>
            </w:tcBorders>
            <w:shd w:val="clear" w:color="auto" w:fill="FFFFFF"/>
            <w:vAlign w:val="center"/>
            <w:hideMark/>
          </w:tcPr>
          <w:p w:rsidR="00DF1FBF" w:rsidRDefault="00DF1FBF">
            <w:pPr>
              <w:autoSpaceDN w:val="0"/>
              <w:jc w:val="center"/>
              <w:rPr>
                <w:b/>
                <w:bCs/>
                <w:sz w:val="18"/>
                <w:szCs w:val="18"/>
              </w:rPr>
            </w:pPr>
            <w:r>
              <w:rPr>
                <w:b/>
                <w:bCs/>
                <w:sz w:val="18"/>
                <w:szCs w:val="18"/>
              </w:rPr>
              <w:t>Subtotal</w:t>
            </w:r>
          </w:p>
        </w:tc>
        <w:tc>
          <w:tcPr>
            <w:tcW w:w="2160" w:type="dxa"/>
            <w:gridSpan w:val="2"/>
            <w:tcBorders>
              <w:top w:val="single" w:sz="8" w:space="0" w:color="auto"/>
              <w:left w:val="nil"/>
              <w:bottom w:val="single" w:sz="8" w:space="0" w:color="auto"/>
              <w:right w:val="single" w:sz="4" w:space="0" w:color="000000"/>
            </w:tcBorders>
            <w:shd w:val="clear" w:color="auto" w:fill="FFFFFF"/>
            <w:noWrap/>
            <w:vAlign w:val="bottom"/>
            <w:hideMark/>
          </w:tcPr>
          <w:p w:rsidR="00DF1FBF" w:rsidRDefault="00DF1FBF">
            <w:pPr>
              <w:autoSpaceDN w:val="0"/>
              <w:jc w:val="center"/>
              <w:rPr>
                <w:b/>
                <w:bCs/>
                <w:sz w:val="18"/>
                <w:szCs w:val="18"/>
              </w:rPr>
            </w:pPr>
            <w:r>
              <w:rPr>
                <w:b/>
                <w:bCs/>
                <w:sz w:val="18"/>
                <w:szCs w:val="18"/>
              </w:rPr>
              <w:t> </w:t>
            </w:r>
          </w:p>
        </w:tc>
        <w:tc>
          <w:tcPr>
            <w:tcW w:w="1080" w:type="dxa"/>
            <w:gridSpan w:val="2"/>
            <w:tcBorders>
              <w:top w:val="single" w:sz="8" w:space="0" w:color="auto"/>
              <w:left w:val="nil"/>
              <w:bottom w:val="single" w:sz="8" w:space="0" w:color="auto"/>
              <w:right w:val="single" w:sz="4" w:space="0" w:color="000000"/>
            </w:tcBorders>
            <w:shd w:val="clear" w:color="auto" w:fill="FFFFFF"/>
            <w:noWrap/>
            <w:vAlign w:val="bottom"/>
            <w:hideMark/>
          </w:tcPr>
          <w:p w:rsidR="00DF1FBF" w:rsidRDefault="00DF1FBF">
            <w:pPr>
              <w:widowControl w:val="0"/>
              <w:autoSpaceDE w:val="0"/>
              <w:autoSpaceDN w:val="0"/>
              <w:adjustRightInd w:val="0"/>
              <w:jc w:val="center"/>
              <w:rPr>
                <w:rFonts w:ascii="Times New Roman TUR" w:hAnsi="Times New Roman TUR"/>
                <w:b/>
                <w:bCs/>
                <w:sz w:val="20"/>
                <w:szCs w:val="20"/>
              </w:rPr>
            </w:pPr>
            <w:r>
              <w:rPr>
                <w:b/>
                <w:bCs/>
                <w:sz w:val="20"/>
                <w:szCs w:val="20"/>
              </w:rPr>
              <w:t>87,082</w:t>
            </w:r>
          </w:p>
        </w:tc>
        <w:tc>
          <w:tcPr>
            <w:tcW w:w="900" w:type="dxa"/>
            <w:tcBorders>
              <w:top w:val="single" w:sz="8" w:space="0" w:color="auto"/>
              <w:left w:val="nil"/>
              <w:bottom w:val="single" w:sz="8" w:space="0" w:color="auto"/>
              <w:right w:val="single" w:sz="4" w:space="0" w:color="000000"/>
            </w:tcBorders>
            <w:shd w:val="clear" w:color="auto" w:fill="FFFFFF"/>
            <w:noWrap/>
            <w:vAlign w:val="bottom"/>
            <w:hideMark/>
          </w:tcPr>
          <w:p w:rsidR="00DF1FBF" w:rsidRDefault="00DF1FBF">
            <w:pPr>
              <w:widowControl w:val="0"/>
              <w:autoSpaceDE w:val="0"/>
              <w:autoSpaceDN w:val="0"/>
              <w:adjustRightInd w:val="0"/>
              <w:jc w:val="center"/>
              <w:rPr>
                <w:rFonts w:ascii="Times New Roman TUR" w:hAnsi="Times New Roman TUR"/>
                <w:b/>
                <w:bCs/>
                <w:sz w:val="20"/>
                <w:szCs w:val="20"/>
              </w:rPr>
            </w:pPr>
            <w:r>
              <w:rPr>
                <w:b/>
                <w:bCs/>
                <w:sz w:val="20"/>
                <w:szCs w:val="20"/>
              </w:rPr>
              <w:t>6,096</w:t>
            </w:r>
          </w:p>
        </w:tc>
        <w:tc>
          <w:tcPr>
            <w:tcW w:w="1170" w:type="dxa"/>
            <w:tcBorders>
              <w:top w:val="single" w:sz="8" w:space="0" w:color="auto"/>
              <w:left w:val="nil"/>
              <w:bottom w:val="single" w:sz="8" w:space="0" w:color="auto"/>
              <w:right w:val="single" w:sz="4" w:space="0" w:color="auto"/>
            </w:tcBorders>
            <w:shd w:val="clear" w:color="auto" w:fill="FFFFFF"/>
            <w:noWrap/>
            <w:vAlign w:val="bottom"/>
            <w:hideMark/>
          </w:tcPr>
          <w:p w:rsidR="00DF1FBF" w:rsidRDefault="00DF1FBF">
            <w:pPr>
              <w:widowControl w:val="0"/>
              <w:autoSpaceDE w:val="0"/>
              <w:autoSpaceDN w:val="0"/>
              <w:adjustRightInd w:val="0"/>
              <w:jc w:val="center"/>
              <w:rPr>
                <w:rFonts w:ascii="Times New Roman TUR" w:hAnsi="Times New Roman TUR"/>
                <w:b/>
                <w:bCs/>
                <w:sz w:val="20"/>
                <w:szCs w:val="20"/>
              </w:rPr>
            </w:pPr>
            <w:r>
              <w:rPr>
                <w:b/>
                <w:bCs/>
                <w:sz w:val="20"/>
                <w:szCs w:val="20"/>
              </w:rPr>
              <w:t>93,178</w:t>
            </w:r>
          </w:p>
        </w:tc>
        <w:tc>
          <w:tcPr>
            <w:tcW w:w="720" w:type="dxa"/>
            <w:tcBorders>
              <w:top w:val="single" w:sz="8" w:space="0" w:color="auto"/>
              <w:left w:val="nil"/>
              <w:bottom w:val="single" w:sz="8" w:space="0" w:color="auto"/>
              <w:right w:val="single" w:sz="4" w:space="0" w:color="auto"/>
            </w:tcBorders>
            <w:shd w:val="clear" w:color="auto" w:fill="FFFFFF"/>
            <w:noWrap/>
            <w:vAlign w:val="bottom"/>
            <w:hideMark/>
          </w:tcPr>
          <w:p w:rsidR="00DF1FBF" w:rsidRDefault="00DF1FBF">
            <w:pPr>
              <w:autoSpaceDN w:val="0"/>
              <w:rPr>
                <w:b/>
                <w:bCs/>
                <w:sz w:val="18"/>
                <w:szCs w:val="18"/>
              </w:rPr>
            </w:pPr>
            <w:r>
              <w:rPr>
                <w:b/>
                <w:bCs/>
                <w:sz w:val="18"/>
                <w:szCs w:val="18"/>
              </w:rPr>
              <w:t> </w:t>
            </w:r>
          </w:p>
        </w:tc>
        <w:tc>
          <w:tcPr>
            <w:tcW w:w="810" w:type="dxa"/>
            <w:tcBorders>
              <w:top w:val="single" w:sz="8" w:space="0" w:color="auto"/>
              <w:left w:val="nil"/>
              <w:bottom w:val="single" w:sz="8" w:space="0" w:color="auto"/>
              <w:right w:val="single" w:sz="4" w:space="0" w:color="auto"/>
            </w:tcBorders>
            <w:shd w:val="clear" w:color="auto" w:fill="FFFFFF"/>
            <w:noWrap/>
            <w:vAlign w:val="bottom"/>
            <w:hideMark/>
          </w:tcPr>
          <w:p w:rsidR="00DF1FBF" w:rsidRDefault="00DF1FBF">
            <w:pPr>
              <w:autoSpaceDN w:val="0"/>
              <w:rPr>
                <w:b/>
                <w:bCs/>
                <w:sz w:val="18"/>
                <w:szCs w:val="18"/>
              </w:rPr>
            </w:pPr>
            <w:r>
              <w:rPr>
                <w:b/>
                <w:bCs/>
                <w:sz w:val="18"/>
                <w:szCs w:val="18"/>
              </w:rPr>
              <w:t> </w:t>
            </w:r>
          </w:p>
        </w:tc>
        <w:tc>
          <w:tcPr>
            <w:tcW w:w="1260" w:type="dxa"/>
            <w:tcBorders>
              <w:top w:val="single" w:sz="8" w:space="0" w:color="auto"/>
              <w:left w:val="nil"/>
              <w:bottom w:val="single" w:sz="8" w:space="0" w:color="auto"/>
              <w:right w:val="single" w:sz="8" w:space="0" w:color="auto"/>
            </w:tcBorders>
            <w:shd w:val="clear" w:color="auto" w:fill="FFFFFF"/>
            <w:noWrap/>
            <w:vAlign w:val="bottom"/>
            <w:hideMark/>
          </w:tcPr>
          <w:p w:rsidR="00DF1FBF" w:rsidRDefault="00DF1FBF">
            <w:pPr>
              <w:autoSpaceDN w:val="0"/>
              <w:rPr>
                <w:b/>
                <w:bCs/>
                <w:sz w:val="18"/>
                <w:szCs w:val="18"/>
              </w:rPr>
            </w:pPr>
            <w:r>
              <w:rPr>
                <w:b/>
                <w:bCs/>
                <w:sz w:val="18"/>
                <w:szCs w:val="18"/>
              </w:rPr>
              <w:t> </w:t>
            </w:r>
          </w:p>
        </w:tc>
      </w:tr>
      <w:tr w:rsidR="00DF1FBF" w:rsidTr="00DF1FBF">
        <w:trPr>
          <w:trHeight w:val="345"/>
        </w:trPr>
        <w:tc>
          <w:tcPr>
            <w:tcW w:w="10530" w:type="dxa"/>
            <w:gridSpan w:val="12"/>
            <w:tcBorders>
              <w:top w:val="single" w:sz="8" w:space="0" w:color="auto"/>
              <w:left w:val="single" w:sz="8" w:space="0" w:color="auto"/>
              <w:bottom w:val="single" w:sz="8" w:space="0" w:color="auto"/>
              <w:right w:val="single" w:sz="8" w:space="0" w:color="000000"/>
            </w:tcBorders>
            <w:shd w:val="clear" w:color="auto" w:fill="FFFFFF"/>
            <w:noWrap/>
            <w:vAlign w:val="bottom"/>
            <w:hideMark/>
          </w:tcPr>
          <w:p w:rsidR="00DF1FBF" w:rsidRDefault="00DF1FBF">
            <w:pPr>
              <w:autoSpaceDN w:val="0"/>
              <w:jc w:val="center"/>
              <w:rPr>
                <w:b/>
                <w:bCs/>
                <w:sz w:val="18"/>
                <w:szCs w:val="18"/>
              </w:rPr>
            </w:pPr>
            <w:r>
              <w:rPr>
                <w:b/>
                <w:bCs/>
                <w:sz w:val="18"/>
                <w:szCs w:val="18"/>
              </w:rPr>
              <w:t>Preparatory assistance</w:t>
            </w:r>
          </w:p>
        </w:tc>
      </w:tr>
      <w:tr w:rsidR="00DF1FBF" w:rsidTr="00DF1FBF">
        <w:trPr>
          <w:trHeight w:val="765"/>
        </w:trPr>
        <w:tc>
          <w:tcPr>
            <w:tcW w:w="990" w:type="dxa"/>
            <w:tcBorders>
              <w:top w:val="single" w:sz="4" w:space="0" w:color="auto"/>
              <w:left w:val="single" w:sz="8" w:space="0" w:color="auto"/>
              <w:bottom w:val="single" w:sz="4" w:space="0" w:color="auto"/>
              <w:right w:val="single" w:sz="4" w:space="0" w:color="auto"/>
            </w:tcBorders>
            <w:shd w:val="clear" w:color="auto" w:fill="FFFFFF"/>
            <w:vAlign w:val="center"/>
            <w:hideMark/>
          </w:tcPr>
          <w:p w:rsidR="00DF1FBF" w:rsidRDefault="00DF1FBF">
            <w:pPr>
              <w:autoSpaceDN w:val="0"/>
              <w:rPr>
                <w:sz w:val="18"/>
                <w:szCs w:val="18"/>
              </w:rPr>
            </w:pPr>
            <w:r>
              <w:rPr>
                <w:sz w:val="18"/>
                <w:szCs w:val="18"/>
              </w:rPr>
              <w:t>Argentina</w:t>
            </w:r>
          </w:p>
        </w:tc>
        <w:tc>
          <w:tcPr>
            <w:tcW w:w="720" w:type="dxa"/>
            <w:tcBorders>
              <w:top w:val="single" w:sz="4" w:space="0" w:color="auto"/>
              <w:left w:val="nil"/>
              <w:bottom w:val="single" w:sz="4" w:space="0" w:color="auto"/>
              <w:right w:val="single" w:sz="4" w:space="0" w:color="auto"/>
            </w:tcBorders>
            <w:shd w:val="clear" w:color="auto" w:fill="FFFFFF"/>
            <w:vAlign w:val="center"/>
            <w:hideMark/>
          </w:tcPr>
          <w:p w:rsidR="00DF1FBF" w:rsidRDefault="00DF1FBF">
            <w:pPr>
              <w:autoSpaceDN w:val="0"/>
              <w:rPr>
                <w:sz w:val="18"/>
                <w:szCs w:val="18"/>
              </w:rPr>
            </w:pPr>
            <w:r>
              <w:rPr>
                <w:sz w:val="18"/>
                <w:szCs w:val="18"/>
              </w:rPr>
              <w:t>PRP</w:t>
            </w:r>
          </w:p>
        </w:tc>
        <w:tc>
          <w:tcPr>
            <w:tcW w:w="720" w:type="dxa"/>
            <w:tcBorders>
              <w:top w:val="single" w:sz="4" w:space="0" w:color="auto"/>
              <w:left w:val="nil"/>
              <w:bottom w:val="single" w:sz="4" w:space="0" w:color="auto"/>
              <w:right w:val="single" w:sz="4" w:space="0" w:color="auto"/>
            </w:tcBorders>
            <w:shd w:val="clear" w:color="auto" w:fill="FFFFFF"/>
            <w:vAlign w:val="center"/>
            <w:hideMark/>
          </w:tcPr>
          <w:p w:rsidR="00DF1FBF" w:rsidRDefault="00DF1FBF">
            <w:pPr>
              <w:autoSpaceDN w:val="0"/>
              <w:rPr>
                <w:sz w:val="18"/>
                <w:szCs w:val="18"/>
              </w:rPr>
            </w:pPr>
            <w:r>
              <w:rPr>
                <w:sz w:val="18"/>
                <w:szCs w:val="18"/>
              </w:rPr>
              <w:t>HCFC</w:t>
            </w:r>
          </w:p>
        </w:tc>
        <w:tc>
          <w:tcPr>
            <w:tcW w:w="2160" w:type="dxa"/>
            <w:gridSpan w:val="2"/>
            <w:tcBorders>
              <w:top w:val="single" w:sz="4" w:space="0" w:color="auto"/>
              <w:left w:val="nil"/>
              <w:bottom w:val="single" w:sz="4" w:space="0" w:color="auto"/>
              <w:right w:val="nil"/>
            </w:tcBorders>
            <w:shd w:val="clear" w:color="auto" w:fill="FFFFFF"/>
            <w:vAlign w:val="center"/>
            <w:hideMark/>
          </w:tcPr>
          <w:p w:rsidR="00DF1FBF" w:rsidRDefault="00DF1FBF">
            <w:pPr>
              <w:autoSpaceDN w:val="0"/>
              <w:rPr>
                <w:sz w:val="18"/>
                <w:szCs w:val="18"/>
              </w:rPr>
            </w:pPr>
            <w:r>
              <w:rPr>
                <w:sz w:val="18"/>
                <w:szCs w:val="18"/>
              </w:rPr>
              <w:t>Preparation of HPMP Stage II -Refrigeration Servicing</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DF1FBF" w:rsidRDefault="00DF1FBF">
            <w:pPr>
              <w:autoSpaceDN w:val="0"/>
              <w:jc w:val="center"/>
              <w:rPr>
                <w:sz w:val="18"/>
                <w:szCs w:val="18"/>
              </w:rPr>
            </w:pPr>
            <w:r>
              <w:rPr>
                <w:sz w:val="18"/>
                <w:szCs w:val="18"/>
              </w:rPr>
              <w:t>90,000</w:t>
            </w:r>
          </w:p>
        </w:tc>
        <w:tc>
          <w:tcPr>
            <w:tcW w:w="900" w:type="dxa"/>
            <w:tcBorders>
              <w:top w:val="single" w:sz="4" w:space="0" w:color="auto"/>
              <w:left w:val="nil"/>
              <w:bottom w:val="single" w:sz="4" w:space="0" w:color="auto"/>
              <w:right w:val="single" w:sz="4" w:space="0" w:color="auto"/>
            </w:tcBorders>
            <w:shd w:val="clear" w:color="auto" w:fill="FFFFFF"/>
            <w:vAlign w:val="center"/>
            <w:hideMark/>
          </w:tcPr>
          <w:p w:rsidR="00DF1FBF" w:rsidRDefault="00DF1FBF">
            <w:pPr>
              <w:autoSpaceDN w:val="0"/>
              <w:jc w:val="center"/>
              <w:rPr>
                <w:sz w:val="18"/>
                <w:szCs w:val="18"/>
              </w:rPr>
            </w:pPr>
            <w:r>
              <w:rPr>
                <w:sz w:val="18"/>
                <w:szCs w:val="18"/>
              </w:rPr>
              <w:t>6,300</w:t>
            </w:r>
          </w:p>
        </w:tc>
        <w:tc>
          <w:tcPr>
            <w:tcW w:w="1170" w:type="dxa"/>
            <w:tcBorders>
              <w:top w:val="single" w:sz="4" w:space="0" w:color="auto"/>
              <w:left w:val="nil"/>
              <w:bottom w:val="single" w:sz="4" w:space="0" w:color="auto"/>
              <w:right w:val="single" w:sz="4" w:space="0" w:color="auto"/>
            </w:tcBorders>
            <w:shd w:val="clear" w:color="auto" w:fill="FFFFFF"/>
            <w:vAlign w:val="center"/>
            <w:hideMark/>
          </w:tcPr>
          <w:p w:rsidR="00DF1FBF" w:rsidRDefault="00DF1FBF">
            <w:pPr>
              <w:autoSpaceDN w:val="0"/>
              <w:jc w:val="center"/>
              <w:rPr>
                <w:sz w:val="18"/>
                <w:szCs w:val="18"/>
              </w:rPr>
            </w:pPr>
            <w:r>
              <w:rPr>
                <w:sz w:val="18"/>
                <w:szCs w:val="18"/>
              </w:rPr>
              <w:t>96,300</w:t>
            </w:r>
          </w:p>
        </w:tc>
        <w:tc>
          <w:tcPr>
            <w:tcW w:w="720" w:type="dxa"/>
            <w:tcBorders>
              <w:top w:val="single" w:sz="4" w:space="0" w:color="auto"/>
              <w:left w:val="nil"/>
              <w:bottom w:val="single" w:sz="4" w:space="0" w:color="auto"/>
              <w:right w:val="single" w:sz="4" w:space="0" w:color="auto"/>
            </w:tcBorders>
            <w:shd w:val="clear" w:color="auto" w:fill="FFFFFF"/>
            <w:vAlign w:val="center"/>
            <w:hideMark/>
          </w:tcPr>
          <w:p w:rsidR="00DF1FBF" w:rsidRDefault="00DF1FBF">
            <w:pPr>
              <w:autoSpaceDN w:val="0"/>
              <w:jc w:val="center"/>
              <w:rPr>
                <w:sz w:val="18"/>
                <w:szCs w:val="18"/>
              </w:rPr>
            </w:pPr>
            <w:r>
              <w:rPr>
                <w:sz w:val="18"/>
                <w:szCs w:val="18"/>
              </w:rPr>
              <w:t>7</w:t>
            </w:r>
          </w:p>
        </w:tc>
        <w:tc>
          <w:tcPr>
            <w:tcW w:w="810" w:type="dxa"/>
            <w:tcBorders>
              <w:top w:val="single" w:sz="4" w:space="0" w:color="auto"/>
              <w:left w:val="nil"/>
              <w:bottom w:val="single" w:sz="4" w:space="0" w:color="auto"/>
              <w:right w:val="nil"/>
            </w:tcBorders>
            <w:shd w:val="clear" w:color="auto" w:fill="FFFFFF"/>
            <w:vAlign w:val="center"/>
            <w:hideMark/>
          </w:tcPr>
          <w:p w:rsidR="00DF1FBF" w:rsidRDefault="00DF1FBF">
            <w:pPr>
              <w:autoSpaceDN w:val="0"/>
              <w:jc w:val="center"/>
              <w:rPr>
                <w:sz w:val="18"/>
                <w:szCs w:val="18"/>
              </w:rPr>
            </w:pPr>
            <w:r>
              <w:rPr>
                <w:sz w:val="18"/>
                <w:szCs w:val="18"/>
              </w:rPr>
              <w:t>12</w:t>
            </w:r>
          </w:p>
        </w:tc>
        <w:tc>
          <w:tcPr>
            <w:tcW w:w="1260" w:type="dxa"/>
            <w:tcBorders>
              <w:top w:val="single" w:sz="4" w:space="0" w:color="auto"/>
              <w:left w:val="single" w:sz="4" w:space="0" w:color="auto"/>
              <w:bottom w:val="single" w:sz="4" w:space="0" w:color="auto"/>
              <w:right w:val="single" w:sz="8" w:space="0" w:color="auto"/>
            </w:tcBorders>
            <w:shd w:val="clear" w:color="auto" w:fill="FFFFFF"/>
            <w:vAlign w:val="bottom"/>
            <w:hideMark/>
          </w:tcPr>
          <w:p w:rsidR="00DF1FBF" w:rsidRDefault="00DF1FBF">
            <w:pPr>
              <w:autoSpaceDN w:val="0"/>
              <w:rPr>
                <w:b/>
                <w:bCs/>
                <w:sz w:val="18"/>
                <w:szCs w:val="18"/>
              </w:rPr>
            </w:pPr>
            <w:r>
              <w:rPr>
                <w:b/>
                <w:bCs/>
                <w:sz w:val="18"/>
                <w:szCs w:val="18"/>
              </w:rPr>
              <w:t> </w:t>
            </w:r>
          </w:p>
        </w:tc>
      </w:tr>
      <w:tr w:rsidR="00DF1FBF" w:rsidTr="00DF1FBF">
        <w:trPr>
          <w:trHeight w:val="735"/>
        </w:trPr>
        <w:tc>
          <w:tcPr>
            <w:tcW w:w="990" w:type="dxa"/>
            <w:tcBorders>
              <w:top w:val="nil"/>
              <w:left w:val="single" w:sz="8" w:space="0" w:color="auto"/>
              <w:bottom w:val="single" w:sz="4" w:space="0" w:color="auto"/>
              <w:right w:val="single" w:sz="4" w:space="0" w:color="auto"/>
            </w:tcBorders>
            <w:shd w:val="clear" w:color="auto" w:fill="FFFFFF"/>
            <w:vAlign w:val="center"/>
            <w:hideMark/>
          </w:tcPr>
          <w:p w:rsidR="00DF1FBF" w:rsidRDefault="00DF1FBF">
            <w:pPr>
              <w:autoSpaceDN w:val="0"/>
              <w:rPr>
                <w:sz w:val="18"/>
                <w:szCs w:val="18"/>
              </w:rPr>
            </w:pPr>
            <w:r>
              <w:rPr>
                <w:sz w:val="18"/>
                <w:szCs w:val="18"/>
              </w:rPr>
              <w:t>Tunisia</w:t>
            </w:r>
          </w:p>
        </w:tc>
        <w:tc>
          <w:tcPr>
            <w:tcW w:w="720" w:type="dxa"/>
            <w:tcBorders>
              <w:top w:val="nil"/>
              <w:left w:val="nil"/>
              <w:bottom w:val="single" w:sz="4" w:space="0" w:color="auto"/>
              <w:right w:val="single" w:sz="4" w:space="0" w:color="auto"/>
            </w:tcBorders>
            <w:shd w:val="clear" w:color="auto" w:fill="FFFFFF"/>
            <w:vAlign w:val="center"/>
            <w:hideMark/>
          </w:tcPr>
          <w:p w:rsidR="00DF1FBF" w:rsidRDefault="00DF1FBF">
            <w:pPr>
              <w:autoSpaceDN w:val="0"/>
              <w:rPr>
                <w:sz w:val="18"/>
                <w:szCs w:val="18"/>
              </w:rPr>
            </w:pPr>
            <w:r>
              <w:rPr>
                <w:sz w:val="18"/>
                <w:szCs w:val="18"/>
              </w:rPr>
              <w:t>PRP</w:t>
            </w:r>
          </w:p>
        </w:tc>
        <w:tc>
          <w:tcPr>
            <w:tcW w:w="720" w:type="dxa"/>
            <w:tcBorders>
              <w:top w:val="nil"/>
              <w:left w:val="nil"/>
              <w:bottom w:val="single" w:sz="4" w:space="0" w:color="auto"/>
              <w:right w:val="single" w:sz="4" w:space="0" w:color="auto"/>
            </w:tcBorders>
            <w:shd w:val="clear" w:color="auto" w:fill="FFFFFF"/>
            <w:vAlign w:val="center"/>
            <w:hideMark/>
          </w:tcPr>
          <w:p w:rsidR="00DF1FBF" w:rsidRDefault="00DF1FBF">
            <w:pPr>
              <w:autoSpaceDN w:val="0"/>
              <w:rPr>
                <w:sz w:val="18"/>
                <w:szCs w:val="18"/>
              </w:rPr>
            </w:pPr>
            <w:r>
              <w:rPr>
                <w:sz w:val="18"/>
                <w:szCs w:val="18"/>
              </w:rPr>
              <w:t>HCFC</w:t>
            </w:r>
          </w:p>
        </w:tc>
        <w:tc>
          <w:tcPr>
            <w:tcW w:w="2160" w:type="dxa"/>
            <w:gridSpan w:val="2"/>
            <w:tcBorders>
              <w:top w:val="single" w:sz="4" w:space="0" w:color="auto"/>
              <w:left w:val="nil"/>
              <w:bottom w:val="single" w:sz="4" w:space="0" w:color="auto"/>
              <w:right w:val="nil"/>
            </w:tcBorders>
            <w:shd w:val="clear" w:color="auto" w:fill="FFFFFF"/>
            <w:vAlign w:val="center"/>
            <w:hideMark/>
          </w:tcPr>
          <w:p w:rsidR="00DF1FBF" w:rsidRDefault="00DF1FBF">
            <w:pPr>
              <w:autoSpaceDN w:val="0"/>
              <w:rPr>
                <w:sz w:val="18"/>
                <w:szCs w:val="18"/>
              </w:rPr>
            </w:pPr>
            <w:r>
              <w:rPr>
                <w:sz w:val="18"/>
                <w:szCs w:val="18"/>
              </w:rPr>
              <w:t>Preparation of HPMP Stage II - Refrigeration servicing sector</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DF1FBF" w:rsidRDefault="00DF1FBF">
            <w:pPr>
              <w:autoSpaceDN w:val="0"/>
              <w:jc w:val="center"/>
              <w:rPr>
                <w:sz w:val="18"/>
                <w:szCs w:val="18"/>
              </w:rPr>
            </w:pPr>
            <w:r>
              <w:rPr>
                <w:sz w:val="18"/>
                <w:szCs w:val="18"/>
              </w:rPr>
              <w:t>60,000</w:t>
            </w:r>
          </w:p>
        </w:tc>
        <w:tc>
          <w:tcPr>
            <w:tcW w:w="900" w:type="dxa"/>
            <w:tcBorders>
              <w:top w:val="single" w:sz="4" w:space="0" w:color="auto"/>
              <w:left w:val="nil"/>
              <w:bottom w:val="single" w:sz="4" w:space="0" w:color="auto"/>
              <w:right w:val="single" w:sz="4" w:space="0" w:color="auto"/>
            </w:tcBorders>
            <w:shd w:val="clear" w:color="auto" w:fill="FFFFFF"/>
            <w:vAlign w:val="center"/>
            <w:hideMark/>
          </w:tcPr>
          <w:p w:rsidR="00DF1FBF" w:rsidRDefault="00DF1FBF">
            <w:pPr>
              <w:autoSpaceDN w:val="0"/>
              <w:jc w:val="center"/>
              <w:rPr>
                <w:sz w:val="18"/>
                <w:szCs w:val="18"/>
              </w:rPr>
            </w:pPr>
            <w:r>
              <w:rPr>
                <w:sz w:val="18"/>
                <w:szCs w:val="18"/>
              </w:rPr>
              <w:t>4,200</w:t>
            </w:r>
          </w:p>
        </w:tc>
        <w:tc>
          <w:tcPr>
            <w:tcW w:w="1170" w:type="dxa"/>
            <w:tcBorders>
              <w:top w:val="nil"/>
              <w:left w:val="nil"/>
              <w:bottom w:val="single" w:sz="4" w:space="0" w:color="auto"/>
              <w:right w:val="single" w:sz="4" w:space="0" w:color="auto"/>
            </w:tcBorders>
            <w:shd w:val="clear" w:color="auto" w:fill="FFFFFF"/>
            <w:vAlign w:val="center"/>
            <w:hideMark/>
          </w:tcPr>
          <w:p w:rsidR="00DF1FBF" w:rsidRDefault="00DF1FBF">
            <w:pPr>
              <w:autoSpaceDN w:val="0"/>
              <w:jc w:val="center"/>
              <w:rPr>
                <w:sz w:val="18"/>
                <w:szCs w:val="18"/>
              </w:rPr>
            </w:pPr>
            <w:r>
              <w:rPr>
                <w:sz w:val="18"/>
                <w:szCs w:val="18"/>
              </w:rPr>
              <w:t>64,200</w:t>
            </w:r>
          </w:p>
        </w:tc>
        <w:tc>
          <w:tcPr>
            <w:tcW w:w="720" w:type="dxa"/>
            <w:tcBorders>
              <w:top w:val="nil"/>
              <w:left w:val="nil"/>
              <w:bottom w:val="single" w:sz="4" w:space="0" w:color="auto"/>
              <w:right w:val="single" w:sz="4" w:space="0" w:color="auto"/>
            </w:tcBorders>
            <w:shd w:val="clear" w:color="auto" w:fill="FFFFFF"/>
            <w:vAlign w:val="center"/>
            <w:hideMark/>
          </w:tcPr>
          <w:p w:rsidR="00DF1FBF" w:rsidRDefault="00DF1FBF">
            <w:pPr>
              <w:autoSpaceDN w:val="0"/>
              <w:jc w:val="center"/>
              <w:rPr>
                <w:sz w:val="18"/>
                <w:szCs w:val="18"/>
              </w:rPr>
            </w:pPr>
            <w:r>
              <w:rPr>
                <w:sz w:val="18"/>
                <w:szCs w:val="18"/>
              </w:rPr>
              <w:t>7</w:t>
            </w:r>
          </w:p>
        </w:tc>
        <w:tc>
          <w:tcPr>
            <w:tcW w:w="810" w:type="dxa"/>
            <w:tcBorders>
              <w:top w:val="nil"/>
              <w:left w:val="nil"/>
              <w:bottom w:val="single" w:sz="4" w:space="0" w:color="auto"/>
              <w:right w:val="nil"/>
            </w:tcBorders>
            <w:shd w:val="clear" w:color="auto" w:fill="FFFFFF"/>
            <w:vAlign w:val="center"/>
            <w:hideMark/>
          </w:tcPr>
          <w:p w:rsidR="00DF1FBF" w:rsidRDefault="00DF1FBF">
            <w:pPr>
              <w:autoSpaceDN w:val="0"/>
              <w:jc w:val="center"/>
              <w:rPr>
                <w:sz w:val="18"/>
                <w:szCs w:val="18"/>
              </w:rPr>
            </w:pPr>
            <w:r>
              <w:rPr>
                <w:sz w:val="18"/>
                <w:szCs w:val="18"/>
              </w:rPr>
              <w:t>12</w:t>
            </w:r>
          </w:p>
        </w:tc>
        <w:tc>
          <w:tcPr>
            <w:tcW w:w="1260" w:type="dxa"/>
            <w:tcBorders>
              <w:top w:val="nil"/>
              <w:left w:val="single" w:sz="4" w:space="0" w:color="auto"/>
              <w:bottom w:val="single" w:sz="4" w:space="0" w:color="auto"/>
              <w:right w:val="single" w:sz="8" w:space="0" w:color="auto"/>
            </w:tcBorders>
            <w:shd w:val="clear" w:color="auto" w:fill="FFFFFF"/>
            <w:vAlign w:val="center"/>
            <w:hideMark/>
          </w:tcPr>
          <w:p w:rsidR="00DF1FBF" w:rsidRDefault="00DF1FBF">
            <w:pPr>
              <w:autoSpaceDN w:val="0"/>
              <w:rPr>
                <w:sz w:val="18"/>
                <w:szCs w:val="18"/>
              </w:rPr>
            </w:pPr>
            <w:r>
              <w:rPr>
                <w:sz w:val="18"/>
                <w:szCs w:val="18"/>
              </w:rPr>
              <w:t> </w:t>
            </w:r>
          </w:p>
        </w:tc>
      </w:tr>
      <w:tr w:rsidR="00DF1FBF" w:rsidTr="00DF1FBF">
        <w:trPr>
          <w:trHeight w:val="825"/>
        </w:trPr>
        <w:tc>
          <w:tcPr>
            <w:tcW w:w="990" w:type="dxa"/>
            <w:tcBorders>
              <w:top w:val="nil"/>
              <w:left w:val="single" w:sz="8" w:space="0" w:color="auto"/>
              <w:bottom w:val="single" w:sz="4" w:space="0" w:color="auto"/>
              <w:right w:val="single" w:sz="4" w:space="0" w:color="auto"/>
            </w:tcBorders>
            <w:shd w:val="clear" w:color="auto" w:fill="FFFFFF"/>
            <w:vAlign w:val="center"/>
            <w:hideMark/>
          </w:tcPr>
          <w:p w:rsidR="00DF1FBF" w:rsidRDefault="00DF1FBF">
            <w:pPr>
              <w:autoSpaceDN w:val="0"/>
              <w:rPr>
                <w:sz w:val="18"/>
                <w:szCs w:val="18"/>
              </w:rPr>
            </w:pPr>
            <w:r>
              <w:rPr>
                <w:sz w:val="18"/>
                <w:szCs w:val="18"/>
              </w:rPr>
              <w:t>Tunisia</w:t>
            </w:r>
          </w:p>
        </w:tc>
        <w:tc>
          <w:tcPr>
            <w:tcW w:w="720" w:type="dxa"/>
            <w:tcBorders>
              <w:top w:val="nil"/>
              <w:left w:val="nil"/>
              <w:bottom w:val="single" w:sz="4" w:space="0" w:color="auto"/>
              <w:right w:val="single" w:sz="4" w:space="0" w:color="auto"/>
            </w:tcBorders>
            <w:shd w:val="clear" w:color="auto" w:fill="FFFFFF"/>
            <w:vAlign w:val="center"/>
            <w:hideMark/>
          </w:tcPr>
          <w:p w:rsidR="00DF1FBF" w:rsidRDefault="00DF1FBF">
            <w:pPr>
              <w:autoSpaceDN w:val="0"/>
              <w:rPr>
                <w:sz w:val="18"/>
                <w:szCs w:val="18"/>
              </w:rPr>
            </w:pPr>
            <w:r>
              <w:rPr>
                <w:sz w:val="18"/>
                <w:szCs w:val="18"/>
              </w:rPr>
              <w:t>PRP</w:t>
            </w:r>
          </w:p>
        </w:tc>
        <w:tc>
          <w:tcPr>
            <w:tcW w:w="720" w:type="dxa"/>
            <w:tcBorders>
              <w:top w:val="nil"/>
              <w:left w:val="nil"/>
              <w:bottom w:val="single" w:sz="4" w:space="0" w:color="auto"/>
              <w:right w:val="single" w:sz="4" w:space="0" w:color="auto"/>
            </w:tcBorders>
            <w:shd w:val="clear" w:color="auto" w:fill="FFFFFF"/>
            <w:vAlign w:val="center"/>
            <w:hideMark/>
          </w:tcPr>
          <w:p w:rsidR="00DF1FBF" w:rsidRDefault="00DF1FBF">
            <w:pPr>
              <w:autoSpaceDN w:val="0"/>
              <w:rPr>
                <w:sz w:val="18"/>
                <w:szCs w:val="18"/>
              </w:rPr>
            </w:pPr>
            <w:r>
              <w:rPr>
                <w:sz w:val="18"/>
                <w:szCs w:val="18"/>
              </w:rPr>
              <w:t>HCFC</w:t>
            </w:r>
          </w:p>
        </w:tc>
        <w:tc>
          <w:tcPr>
            <w:tcW w:w="2160" w:type="dxa"/>
            <w:gridSpan w:val="2"/>
            <w:tcBorders>
              <w:top w:val="single" w:sz="4" w:space="0" w:color="auto"/>
              <w:left w:val="nil"/>
              <w:bottom w:val="single" w:sz="4" w:space="0" w:color="auto"/>
              <w:right w:val="nil"/>
            </w:tcBorders>
            <w:shd w:val="clear" w:color="auto" w:fill="FFFFFF"/>
            <w:vAlign w:val="center"/>
            <w:hideMark/>
          </w:tcPr>
          <w:p w:rsidR="00DF1FBF" w:rsidRDefault="00DF1FBF">
            <w:pPr>
              <w:autoSpaceDN w:val="0"/>
              <w:rPr>
                <w:sz w:val="18"/>
                <w:szCs w:val="18"/>
              </w:rPr>
            </w:pPr>
            <w:r>
              <w:rPr>
                <w:sz w:val="18"/>
                <w:szCs w:val="18"/>
              </w:rPr>
              <w:t>Preparation of HPMP Stage II -Rigid PU foam component (Investment component for pre-blended polyols)</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DF1FBF" w:rsidRDefault="00DF1FBF">
            <w:pPr>
              <w:autoSpaceDN w:val="0"/>
              <w:jc w:val="center"/>
              <w:rPr>
                <w:sz w:val="18"/>
                <w:szCs w:val="18"/>
              </w:rPr>
            </w:pPr>
            <w:r>
              <w:rPr>
                <w:sz w:val="18"/>
                <w:szCs w:val="18"/>
              </w:rPr>
              <w:t>60,000</w:t>
            </w:r>
          </w:p>
        </w:tc>
        <w:tc>
          <w:tcPr>
            <w:tcW w:w="900" w:type="dxa"/>
            <w:tcBorders>
              <w:top w:val="single" w:sz="4" w:space="0" w:color="auto"/>
              <w:left w:val="nil"/>
              <w:bottom w:val="single" w:sz="4" w:space="0" w:color="auto"/>
              <w:right w:val="single" w:sz="4" w:space="0" w:color="auto"/>
            </w:tcBorders>
            <w:shd w:val="clear" w:color="auto" w:fill="FFFFFF"/>
            <w:vAlign w:val="center"/>
            <w:hideMark/>
          </w:tcPr>
          <w:p w:rsidR="00DF1FBF" w:rsidRDefault="00DF1FBF">
            <w:pPr>
              <w:autoSpaceDN w:val="0"/>
              <w:jc w:val="center"/>
              <w:rPr>
                <w:sz w:val="18"/>
                <w:szCs w:val="18"/>
              </w:rPr>
            </w:pPr>
            <w:r>
              <w:rPr>
                <w:sz w:val="18"/>
                <w:szCs w:val="18"/>
              </w:rPr>
              <w:t>4,200</w:t>
            </w:r>
          </w:p>
        </w:tc>
        <w:tc>
          <w:tcPr>
            <w:tcW w:w="1170" w:type="dxa"/>
            <w:tcBorders>
              <w:top w:val="nil"/>
              <w:left w:val="nil"/>
              <w:bottom w:val="single" w:sz="4" w:space="0" w:color="auto"/>
              <w:right w:val="single" w:sz="4" w:space="0" w:color="auto"/>
            </w:tcBorders>
            <w:shd w:val="clear" w:color="auto" w:fill="FFFFFF"/>
            <w:vAlign w:val="center"/>
            <w:hideMark/>
          </w:tcPr>
          <w:p w:rsidR="00DF1FBF" w:rsidRDefault="00DF1FBF">
            <w:pPr>
              <w:autoSpaceDN w:val="0"/>
              <w:jc w:val="center"/>
              <w:rPr>
                <w:sz w:val="18"/>
                <w:szCs w:val="18"/>
              </w:rPr>
            </w:pPr>
            <w:r>
              <w:rPr>
                <w:sz w:val="18"/>
                <w:szCs w:val="18"/>
              </w:rPr>
              <w:t>64,200</w:t>
            </w:r>
          </w:p>
        </w:tc>
        <w:tc>
          <w:tcPr>
            <w:tcW w:w="720" w:type="dxa"/>
            <w:tcBorders>
              <w:top w:val="nil"/>
              <w:left w:val="nil"/>
              <w:bottom w:val="single" w:sz="4" w:space="0" w:color="auto"/>
              <w:right w:val="single" w:sz="4" w:space="0" w:color="auto"/>
            </w:tcBorders>
            <w:shd w:val="clear" w:color="auto" w:fill="FFFFFF"/>
            <w:vAlign w:val="center"/>
            <w:hideMark/>
          </w:tcPr>
          <w:p w:rsidR="00DF1FBF" w:rsidRDefault="00DF1FBF">
            <w:pPr>
              <w:autoSpaceDN w:val="0"/>
              <w:jc w:val="center"/>
              <w:rPr>
                <w:sz w:val="18"/>
                <w:szCs w:val="18"/>
              </w:rPr>
            </w:pPr>
            <w:r>
              <w:rPr>
                <w:sz w:val="18"/>
                <w:szCs w:val="18"/>
              </w:rPr>
              <w:t>7</w:t>
            </w:r>
          </w:p>
        </w:tc>
        <w:tc>
          <w:tcPr>
            <w:tcW w:w="810" w:type="dxa"/>
            <w:tcBorders>
              <w:top w:val="nil"/>
              <w:left w:val="nil"/>
              <w:bottom w:val="single" w:sz="4" w:space="0" w:color="auto"/>
              <w:right w:val="nil"/>
            </w:tcBorders>
            <w:shd w:val="clear" w:color="auto" w:fill="FFFFFF"/>
            <w:vAlign w:val="center"/>
            <w:hideMark/>
          </w:tcPr>
          <w:p w:rsidR="00DF1FBF" w:rsidRDefault="00DF1FBF">
            <w:pPr>
              <w:autoSpaceDN w:val="0"/>
              <w:jc w:val="center"/>
              <w:rPr>
                <w:sz w:val="18"/>
                <w:szCs w:val="18"/>
              </w:rPr>
            </w:pPr>
            <w:r>
              <w:rPr>
                <w:sz w:val="18"/>
                <w:szCs w:val="18"/>
              </w:rPr>
              <w:t>12</w:t>
            </w:r>
          </w:p>
        </w:tc>
        <w:tc>
          <w:tcPr>
            <w:tcW w:w="1260" w:type="dxa"/>
            <w:tcBorders>
              <w:top w:val="nil"/>
              <w:left w:val="single" w:sz="4" w:space="0" w:color="auto"/>
              <w:bottom w:val="single" w:sz="4" w:space="0" w:color="auto"/>
              <w:right w:val="single" w:sz="8" w:space="0" w:color="auto"/>
            </w:tcBorders>
            <w:shd w:val="clear" w:color="auto" w:fill="FFFFFF"/>
            <w:vAlign w:val="center"/>
            <w:hideMark/>
          </w:tcPr>
          <w:p w:rsidR="00DF1FBF" w:rsidRDefault="00DF1FBF">
            <w:pPr>
              <w:autoSpaceDN w:val="0"/>
              <w:rPr>
                <w:sz w:val="18"/>
                <w:szCs w:val="18"/>
              </w:rPr>
            </w:pPr>
            <w:r>
              <w:rPr>
                <w:sz w:val="18"/>
                <w:szCs w:val="18"/>
              </w:rPr>
              <w:t> </w:t>
            </w:r>
          </w:p>
        </w:tc>
      </w:tr>
      <w:tr w:rsidR="00DF1FBF" w:rsidTr="00DF1FBF">
        <w:trPr>
          <w:trHeight w:val="278"/>
        </w:trPr>
        <w:tc>
          <w:tcPr>
            <w:tcW w:w="2430" w:type="dxa"/>
            <w:gridSpan w:val="3"/>
            <w:tcBorders>
              <w:top w:val="single" w:sz="8" w:space="0" w:color="auto"/>
              <w:left w:val="single" w:sz="8" w:space="0" w:color="auto"/>
              <w:bottom w:val="single" w:sz="8" w:space="0" w:color="auto"/>
              <w:right w:val="single" w:sz="4" w:space="0" w:color="000000"/>
            </w:tcBorders>
            <w:shd w:val="clear" w:color="auto" w:fill="FFFFFF"/>
            <w:vAlign w:val="center"/>
            <w:hideMark/>
          </w:tcPr>
          <w:p w:rsidR="00DF1FBF" w:rsidRDefault="00DF1FBF">
            <w:pPr>
              <w:autoSpaceDN w:val="0"/>
              <w:rPr>
                <w:b/>
                <w:bCs/>
                <w:sz w:val="18"/>
                <w:szCs w:val="18"/>
              </w:rPr>
            </w:pPr>
            <w:r>
              <w:rPr>
                <w:b/>
                <w:bCs/>
                <w:sz w:val="18"/>
                <w:szCs w:val="18"/>
              </w:rPr>
              <w:t>Subtotal</w:t>
            </w:r>
          </w:p>
        </w:tc>
        <w:tc>
          <w:tcPr>
            <w:tcW w:w="2160" w:type="dxa"/>
            <w:gridSpan w:val="2"/>
            <w:tcBorders>
              <w:top w:val="single" w:sz="8" w:space="0" w:color="auto"/>
              <w:left w:val="nil"/>
              <w:bottom w:val="single" w:sz="8" w:space="0" w:color="auto"/>
              <w:right w:val="single" w:sz="4" w:space="0" w:color="000000"/>
            </w:tcBorders>
            <w:shd w:val="clear" w:color="auto" w:fill="FFFFFF"/>
            <w:noWrap/>
            <w:vAlign w:val="bottom"/>
            <w:hideMark/>
          </w:tcPr>
          <w:p w:rsidR="00DF1FBF" w:rsidRDefault="00DF1FBF">
            <w:pPr>
              <w:rPr>
                <w:sz w:val="20"/>
                <w:szCs w:val="20"/>
              </w:rPr>
            </w:pPr>
          </w:p>
        </w:tc>
        <w:tc>
          <w:tcPr>
            <w:tcW w:w="1080" w:type="dxa"/>
            <w:gridSpan w:val="2"/>
            <w:tcBorders>
              <w:top w:val="single" w:sz="8" w:space="0" w:color="auto"/>
              <w:left w:val="nil"/>
              <w:bottom w:val="single" w:sz="8" w:space="0" w:color="auto"/>
              <w:right w:val="single" w:sz="4" w:space="0" w:color="000000"/>
            </w:tcBorders>
            <w:shd w:val="clear" w:color="auto" w:fill="FFFFFF"/>
            <w:noWrap/>
            <w:vAlign w:val="center"/>
            <w:hideMark/>
          </w:tcPr>
          <w:p w:rsidR="00DF1FBF" w:rsidRDefault="00DF1FBF">
            <w:pPr>
              <w:autoSpaceDN w:val="0"/>
              <w:jc w:val="center"/>
              <w:rPr>
                <w:b/>
                <w:bCs/>
                <w:sz w:val="18"/>
                <w:szCs w:val="18"/>
              </w:rPr>
            </w:pPr>
            <w:r>
              <w:rPr>
                <w:b/>
                <w:bCs/>
                <w:sz w:val="18"/>
                <w:szCs w:val="18"/>
              </w:rPr>
              <w:t>210,000</w:t>
            </w:r>
          </w:p>
        </w:tc>
        <w:tc>
          <w:tcPr>
            <w:tcW w:w="900" w:type="dxa"/>
            <w:tcBorders>
              <w:top w:val="single" w:sz="8" w:space="0" w:color="auto"/>
              <w:left w:val="nil"/>
              <w:bottom w:val="single" w:sz="8" w:space="0" w:color="auto"/>
              <w:right w:val="single" w:sz="4" w:space="0" w:color="000000"/>
            </w:tcBorders>
            <w:shd w:val="clear" w:color="auto" w:fill="FFFFFF"/>
            <w:noWrap/>
            <w:vAlign w:val="center"/>
            <w:hideMark/>
          </w:tcPr>
          <w:p w:rsidR="00DF1FBF" w:rsidRDefault="00DF1FBF">
            <w:pPr>
              <w:autoSpaceDN w:val="0"/>
              <w:jc w:val="center"/>
              <w:rPr>
                <w:b/>
                <w:bCs/>
                <w:sz w:val="18"/>
                <w:szCs w:val="18"/>
              </w:rPr>
            </w:pPr>
            <w:r>
              <w:rPr>
                <w:b/>
                <w:bCs/>
                <w:sz w:val="18"/>
                <w:szCs w:val="18"/>
              </w:rPr>
              <w:t>14,700</w:t>
            </w:r>
          </w:p>
        </w:tc>
        <w:tc>
          <w:tcPr>
            <w:tcW w:w="1170" w:type="dxa"/>
            <w:tcBorders>
              <w:top w:val="single" w:sz="8" w:space="0" w:color="auto"/>
              <w:left w:val="nil"/>
              <w:bottom w:val="single" w:sz="8" w:space="0" w:color="auto"/>
              <w:right w:val="single" w:sz="4" w:space="0" w:color="auto"/>
            </w:tcBorders>
            <w:shd w:val="clear" w:color="auto" w:fill="FFFFFF"/>
            <w:noWrap/>
            <w:vAlign w:val="center"/>
            <w:hideMark/>
          </w:tcPr>
          <w:p w:rsidR="00DF1FBF" w:rsidRDefault="00DF1FBF">
            <w:pPr>
              <w:autoSpaceDN w:val="0"/>
              <w:jc w:val="center"/>
              <w:rPr>
                <w:b/>
                <w:bCs/>
                <w:sz w:val="18"/>
                <w:szCs w:val="18"/>
              </w:rPr>
            </w:pPr>
            <w:r>
              <w:rPr>
                <w:b/>
                <w:bCs/>
                <w:sz w:val="18"/>
                <w:szCs w:val="18"/>
              </w:rPr>
              <w:t>224,700</w:t>
            </w:r>
          </w:p>
        </w:tc>
        <w:tc>
          <w:tcPr>
            <w:tcW w:w="720" w:type="dxa"/>
            <w:tcBorders>
              <w:top w:val="single" w:sz="8" w:space="0" w:color="auto"/>
              <w:left w:val="nil"/>
              <w:bottom w:val="single" w:sz="8" w:space="0" w:color="auto"/>
              <w:right w:val="single" w:sz="4" w:space="0" w:color="auto"/>
            </w:tcBorders>
            <w:shd w:val="clear" w:color="auto" w:fill="FFFFFF"/>
            <w:noWrap/>
            <w:vAlign w:val="bottom"/>
            <w:hideMark/>
          </w:tcPr>
          <w:p w:rsidR="00DF1FBF" w:rsidRDefault="00DF1FBF">
            <w:pPr>
              <w:rPr>
                <w:sz w:val="20"/>
                <w:szCs w:val="20"/>
              </w:rPr>
            </w:pPr>
          </w:p>
        </w:tc>
        <w:tc>
          <w:tcPr>
            <w:tcW w:w="810" w:type="dxa"/>
            <w:tcBorders>
              <w:top w:val="single" w:sz="8" w:space="0" w:color="auto"/>
              <w:left w:val="nil"/>
              <w:bottom w:val="single" w:sz="8" w:space="0" w:color="auto"/>
              <w:right w:val="single" w:sz="4" w:space="0" w:color="auto"/>
            </w:tcBorders>
            <w:shd w:val="clear" w:color="auto" w:fill="FFFFFF"/>
            <w:noWrap/>
            <w:vAlign w:val="bottom"/>
            <w:hideMark/>
          </w:tcPr>
          <w:p w:rsidR="00DF1FBF" w:rsidRDefault="00DF1FBF">
            <w:pPr>
              <w:rPr>
                <w:sz w:val="20"/>
                <w:szCs w:val="20"/>
              </w:rPr>
            </w:pPr>
          </w:p>
        </w:tc>
        <w:tc>
          <w:tcPr>
            <w:tcW w:w="1260" w:type="dxa"/>
            <w:tcBorders>
              <w:top w:val="single" w:sz="8" w:space="0" w:color="auto"/>
              <w:left w:val="nil"/>
              <w:bottom w:val="single" w:sz="8" w:space="0" w:color="auto"/>
              <w:right w:val="single" w:sz="8" w:space="0" w:color="auto"/>
            </w:tcBorders>
            <w:shd w:val="clear" w:color="auto" w:fill="FFFFFF"/>
            <w:noWrap/>
            <w:vAlign w:val="bottom"/>
            <w:hideMark/>
          </w:tcPr>
          <w:p w:rsidR="00DF1FBF" w:rsidRDefault="00DF1FBF">
            <w:pPr>
              <w:autoSpaceDN w:val="0"/>
              <w:rPr>
                <w:b/>
                <w:bCs/>
                <w:sz w:val="18"/>
                <w:szCs w:val="18"/>
              </w:rPr>
            </w:pPr>
            <w:r>
              <w:rPr>
                <w:b/>
                <w:bCs/>
                <w:sz w:val="18"/>
                <w:szCs w:val="18"/>
              </w:rPr>
              <w:t> </w:t>
            </w:r>
          </w:p>
        </w:tc>
      </w:tr>
      <w:tr w:rsidR="00DF1FBF" w:rsidTr="00DF1FBF">
        <w:trPr>
          <w:trHeight w:val="405"/>
        </w:trPr>
        <w:tc>
          <w:tcPr>
            <w:tcW w:w="10530" w:type="dxa"/>
            <w:gridSpan w:val="12"/>
            <w:tcBorders>
              <w:top w:val="single" w:sz="8" w:space="0" w:color="auto"/>
              <w:left w:val="single" w:sz="8" w:space="0" w:color="auto"/>
              <w:bottom w:val="single" w:sz="8" w:space="0" w:color="auto"/>
              <w:right w:val="single" w:sz="8" w:space="0" w:color="000000"/>
            </w:tcBorders>
            <w:shd w:val="clear" w:color="auto" w:fill="FFFFFF"/>
            <w:vAlign w:val="bottom"/>
            <w:hideMark/>
          </w:tcPr>
          <w:p w:rsidR="00DF1FBF" w:rsidRDefault="00DF1FBF">
            <w:pPr>
              <w:autoSpaceDN w:val="0"/>
              <w:jc w:val="center"/>
              <w:rPr>
                <w:b/>
                <w:bCs/>
                <w:sz w:val="18"/>
                <w:szCs w:val="18"/>
              </w:rPr>
            </w:pPr>
            <w:r>
              <w:rPr>
                <w:b/>
                <w:bCs/>
                <w:sz w:val="18"/>
                <w:szCs w:val="18"/>
              </w:rPr>
              <w:t>Verification Reports</w:t>
            </w:r>
          </w:p>
        </w:tc>
      </w:tr>
      <w:tr w:rsidR="00DF1FBF" w:rsidTr="00DF1FBF">
        <w:trPr>
          <w:trHeight w:val="525"/>
        </w:trPr>
        <w:tc>
          <w:tcPr>
            <w:tcW w:w="990" w:type="dxa"/>
            <w:tcBorders>
              <w:top w:val="nil"/>
              <w:left w:val="single" w:sz="8" w:space="0" w:color="auto"/>
              <w:bottom w:val="single" w:sz="8" w:space="0" w:color="auto"/>
              <w:right w:val="single" w:sz="4" w:space="0" w:color="auto"/>
            </w:tcBorders>
            <w:shd w:val="clear" w:color="auto" w:fill="FFFFFF"/>
            <w:vAlign w:val="center"/>
            <w:hideMark/>
          </w:tcPr>
          <w:p w:rsidR="00DF1FBF" w:rsidRDefault="00DF1FBF">
            <w:pPr>
              <w:autoSpaceDN w:val="0"/>
              <w:rPr>
                <w:sz w:val="18"/>
                <w:szCs w:val="18"/>
              </w:rPr>
            </w:pPr>
            <w:r>
              <w:rPr>
                <w:sz w:val="18"/>
                <w:szCs w:val="18"/>
              </w:rPr>
              <w:t>Ecuador</w:t>
            </w:r>
          </w:p>
        </w:tc>
        <w:tc>
          <w:tcPr>
            <w:tcW w:w="720" w:type="dxa"/>
            <w:tcBorders>
              <w:top w:val="nil"/>
              <w:left w:val="nil"/>
              <w:bottom w:val="single" w:sz="8" w:space="0" w:color="auto"/>
              <w:right w:val="nil"/>
            </w:tcBorders>
            <w:shd w:val="clear" w:color="auto" w:fill="FFFFFF"/>
            <w:vAlign w:val="center"/>
            <w:hideMark/>
          </w:tcPr>
          <w:p w:rsidR="00DF1FBF" w:rsidRDefault="00DF1FBF">
            <w:pPr>
              <w:autoSpaceDN w:val="0"/>
              <w:rPr>
                <w:sz w:val="18"/>
                <w:szCs w:val="18"/>
              </w:rPr>
            </w:pPr>
            <w:r>
              <w:rPr>
                <w:sz w:val="18"/>
                <w:szCs w:val="18"/>
              </w:rPr>
              <w:t>Verification report</w:t>
            </w:r>
          </w:p>
        </w:tc>
        <w:tc>
          <w:tcPr>
            <w:tcW w:w="720" w:type="dxa"/>
            <w:tcBorders>
              <w:top w:val="nil"/>
              <w:left w:val="single" w:sz="4" w:space="0" w:color="auto"/>
              <w:bottom w:val="single" w:sz="8" w:space="0" w:color="auto"/>
              <w:right w:val="single" w:sz="4" w:space="0" w:color="auto"/>
            </w:tcBorders>
            <w:shd w:val="clear" w:color="auto" w:fill="FFFFFF"/>
            <w:vAlign w:val="center"/>
            <w:hideMark/>
          </w:tcPr>
          <w:p w:rsidR="00DF1FBF" w:rsidRDefault="00DF1FBF">
            <w:pPr>
              <w:autoSpaceDN w:val="0"/>
              <w:rPr>
                <w:sz w:val="18"/>
                <w:szCs w:val="18"/>
              </w:rPr>
            </w:pPr>
            <w:r>
              <w:rPr>
                <w:sz w:val="18"/>
                <w:szCs w:val="18"/>
              </w:rPr>
              <w:t>All</w:t>
            </w:r>
          </w:p>
        </w:tc>
        <w:tc>
          <w:tcPr>
            <w:tcW w:w="2160" w:type="dxa"/>
            <w:gridSpan w:val="2"/>
            <w:tcBorders>
              <w:top w:val="single" w:sz="8" w:space="0" w:color="auto"/>
              <w:left w:val="nil"/>
              <w:bottom w:val="single" w:sz="8" w:space="0" w:color="auto"/>
              <w:right w:val="single" w:sz="4" w:space="0" w:color="000000"/>
            </w:tcBorders>
            <w:shd w:val="clear" w:color="auto" w:fill="FFFFFF"/>
            <w:vAlign w:val="center"/>
            <w:hideMark/>
          </w:tcPr>
          <w:p w:rsidR="00DF1FBF" w:rsidRDefault="00DF1FBF">
            <w:pPr>
              <w:autoSpaceDN w:val="0"/>
              <w:rPr>
                <w:sz w:val="18"/>
                <w:szCs w:val="18"/>
              </w:rPr>
            </w:pPr>
            <w:r>
              <w:rPr>
                <w:sz w:val="18"/>
                <w:szCs w:val="18"/>
              </w:rPr>
              <w:t>Verification report</w:t>
            </w:r>
          </w:p>
        </w:tc>
        <w:tc>
          <w:tcPr>
            <w:tcW w:w="1080" w:type="dxa"/>
            <w:gridSpan w:val="2"/>
            <w:tcBorders>
              <w:top w:val="single" w:sz="8" w:space="0" w:color="auto"/>
              <w:left w:val="nil"/>
              <w:bottom w:val="single" w:sz="8" w:space="0" w:color="auto"/>
              <w:right w:val="single" w:sz="4" w:space="0" w:color="000000"/>
            </w:tcBorders>
            <w:shd w:val="clear" w:color="auto" w:fill="FFFFFF"/>
            <w:vAlign w:val="center"/>
            <w:hideMark/>
          </w:tcPr>
          <w:p w:rsidR="00DF1FBF" w:rsidRDefault="00DF1FBF">
            <w:pPr>
              <w:autoSpaceDN w:val="0"/>
              <w:jc w:val="center"/>
              <w:rPr>
                <w:sz w:val="18"/>
                <w:szCs w:val="18"/>
              </w:rPr>
            </w:pPr>
            <w:r>
              <w:rPr>
                <w:sz w:val="18"/>
                <w:szCs w:val="18"/>
              </w:rPr>
              <w:t>30,000</w:t>
            </w:r>
          </w:p>
        </w:tc>
        <w:tc>
          <w:tcPr>
            <w:tcW w:w="900" w:type="dxa"/>
            <w:tcBorders>
              <w:top w:val="single" w:sz="8" w:space="0" w:color="auto"/>
              <w:left w:val="nil"/>
              <w:bottom w:val="single" w:sz="8" w:space="0" w:color="auto"/>
              <w:right w:val="single" w:sz="4" w:space="0" w:color="000000"/>
            </w:tcBorders>
            <w:shd w:val="clear" w:color="auto" w:fill="FFFFFF"/>
            <w:vAlign w:val="center"/>
            <w:hideMark/>
          </w:tcPr>
          <w:p w:rsidR="00DF1FBF" w:rsidRDefault="00DF1FBF">
            <w:pPr>
              <w:autoSpaceDN w:val="0"/>
              <w:jc w:val="center"/>
              <w:rPr>
                <w:sz w:val="18"/>
                <w:szCs w:val="18"/>
              </w:rPr>
            </w:pPr>
            <w:r>
              <w:rPr>
                <w:sz w:val="18"/>
                <w:szCs w:val="18"/>
              </w:rPr>
              <w:t>2,100</w:t>
            </w:r>
          </w:p>
        </w:tc>
        <w:tc>
          <w:tcPr>
            <w:tcW w:w="1170" w:type="dxa"/>
            <w:tcBorders>
              <w:top w:val="nil"/>
              <w:left w:val="nil"/>
              <w:bottom w:val="single" w:sz="8" w:space="0" w:color="auto"/>
              <w:right w:val="nil"/>
            </w:tcBorders>
            <w:shd w:val="clear" w:color="auto" w:fill="FFFFFF"/>
            <w:vAlign w:val="center"/>
            <w:hideMark/>
          </w:tcPr>
          <w:p w:rsidR="00DF1FBF" w:rsidRDefault="00DF1FBF">
            <w:pPr>
              <w:autoSpaceDN w:val="0"/>
              <w:jc w:val="center"/>
              <w:rPr>
                <w:sz w:val="18"/>
                <w:szCs w:val="18"/>
              </w:rPr>
            </w:pPr>
            <w:r>
              <w:rPr>
                <w:sz w:val="18"/>
                <w:szCs w:val="18"/>
              </w:rPr>
              <w:t>32,100</w:t>
            </w:r>
          </w:p>
        </w:tc>
        <w:tc>
          <w:tcPr>
            <w:tcW w:w="720" w:type="dxa"/>
            <w:tcBorders>
              <w:top w:val="nil"/>
              <w:left w:val="single" w:sz="4" w:space="0" w:color="auto"/>
              <w:bottom w:val="single" w:sz="8" w:space="0" w:color="auto"/>
              <w:right w:val="single" w:sz="4" w:space="0" w:color="auto"/>
            </w:tcBorders>
            <w:shd w:val="clear" w:color="auto" w:fill="FFFFFF"/>
            <w:vAlign w:val="center"/>
            <w:hideMark/>
          </w:tcPr>
          <w:p w:rsidR="00DF1FBF" w:rsidRDefault="00DF1FBF">
            <w:pPr>
              <w:autoSpaceDN w:val="0"/>
              <w:jc w:val="center"/>
              <w:rPr>
                <w:sz w:val="18"/>
                <w:szCs w:val="18"/>
              </w:rPr>
            </w:pPr>
            <w:r>
              <w:rPr>
                <w:sz w:val="18"/>
                <w:szCs w:val="18"/>
              </w:rPr>
              <w:t>7</w:t>
            </w:r>
          </w:p>
        </w:tc>
        <w:tc>
          <w:tcPr>
            <w:tcW w:w="810" w:type="dxa"/>
            <w:tcBorders>
              <w:top w:val="nil"/>
              <w:left w:val="nil"/>
              <w:bottom w:val="single" w:sz="8" w:space="0" w:color="auto"/>
              <w:right w:val="nil"/>
            </w:tcBorders>
            <w:shd w:val="clear" w:color="auto" w:fill="FFFFFF"/>
            <w:vAlign w:val="center"/>
            <w:hideMark/>
          </w:tcPr>
          <w:p w:rsidR="00DF1FBF" w:rsidRDefault="00DF1FBF">
            <w:pPr>
              <w:autoSpaceDN w:val="0"/>
              <w:jc w:val="center"/>
              <w:rPr>
                <w:sz w:val="18"/>
                <w:szCs w:val="18"/>
              </w:rPr>
            </w:pPr>
            <w:r>
              <w:rPr>
                <w:sz w:val="18"/>
                <w:szCs w:val="18"/>
              </w:rPr>
              <w:t>12</w:t>
            </w:r>
          </w:p>
        </w:tc>
        <w:tc>
          <w:tcPr>
            <w:tcW w:w="1260" w:type="dxa"/>
            <w:tcBorders>
              <w:top w:val="nil"/>
              <w:left w:val="single" w:sz="4" w:space="0" w:color="auto"/>
              <w:bottom w:val="single" w:sz="8" w:space="0" w:color="auto"/>
              <w:right w:val="single" w:sz="8" w:space="0" w:color="auto"/>
            </w:tcBorders>
            <w:shd w:val="clear" w:color="auto" w:fill="FFFFFF"/>
            <w:vAlign w:val="bottom"/>
            <w:hideMark/>
          </w:tcPr>
          <w:p w:rsidR="00DF1FBF" w:rsidRDefault="00DF1FBF">
            <w:pPr>
              <w:autoSpaceDN w:val="0"/>
              <w:rPr>
                <w:b/>
                <w:bCs/>
                <w:sz w:val="18"/>
                <w:szCs w:val="18"/>
              </w:rPr>
            </w:pPr>
            <w:r>
              <w:rPr>
                <w:b/>
                <w:bCs/>
                <w:sz w:val="18"/>
                <w:szCs w:val="18"/>
              </w:rPr>
              <w:t> </w:t>
            </w:r>
          </w:p>
        </w:tc>
      </w:tr>
      <w:tr w:rsidR="00DF1FBF" w:rsidTr="00DF1FBF">
        <w:trPr>
          <w:trHeight w:val="360"/>
        </w:trPr>
        <w:tc>
          <w:tcPr>
            <w:tcW w:w="2430" w:type="dxa"/>
            <w:gridSpan w:val="3"/>
            <w:tcBorders>
              <w:top w:val="single" w:sz="8" w:space="0" w:color="auto"/>
              <w:left w:val="single" w:sz="8" w:space="0" w:color="auto"/>
              <w:bottom w:val="single" w:sz="8" w:space="0" w:color="auto"/>
              <w:right w:val="single" w:sz="4" w:space="0" w:color="000000"/>
            </w:tcBorders>
            <w:shd w:val="clear" w:color="auto" w:fill="FFFFFF"/>
            <w:vAlign w:val="center"/>
            <w:hideMark/>
          </w:tcPr>
          <w:p w:rsidR="00DF1FBF" w:rsidRDefault="00DF1FBF">
            <w:pPr>
              <w:autoSpaceDN w:val="0"/>
              <w:jc w:val="center"/>
              <w:rPr>
                <w:b/>
                <w:bCs/>
                <w:sz w:val="18"/>
                <w:szCs w:val="18"/>
              </w:rPr>
            </w:pPr>
            <w:r>
              <w:rPr>
                <w:b/>
                <w:bCs/>
                <w:sz w:val="18"/>
                <w:szCs w:val="18"/>
              </w:rPr>
              <w:t>Subtotal</w:t>
            </w:r>
          </w:p>
        </w:tc>
        <w:tc>
          <w:tcPr>
            <w:tcW w:w="1940" w:type="dxa"/>
            <w:tcBorders>
              <w:top w:val="nil"/>
              <w:left w:val="nil"/>
              <w:bottom w:val="single" w:sz="8" w:space="0" w:color="auto"/>
              <w:right w:val="nil"/>
            </w:tcBorders>
            <w:shd w:val="clear" w:color="auto" w:fill="FFFFFF"/>
            <w:vAlign w:val="center"/>
            <w:hideMark/>
          </w:tcPr>
          <w:p w:rsidR="00DF1FBF" w:rsidRDefault="00DF1FBF">
            <w:pPr>
              <w:autoSpaceDN w:val="0"/>
              <w:jc w:val="center"/>
              <w:rPr>
                <w:b/>
                <w:bCs/>
                <w:sz w:val="18"/>
                <w:szCs w:val="18"/>
              </w:rPr>
            </w:pPr>
            <w:r>
              <w:rPr>
                <w:b/>
                <w:bCs/>
                <w:sz w:val="18"/>
                <w:szCs w:val="18"/>
              </w:rPr>
              <w:t> </w:t>
            </w:r>
          </w:p>
        </w:tc>
        <w:tc>
          <w:tcPr>
            <w:tcW w:w="236" w:type="dxa"/>
            <w:gridSpan w:val="2"/>
            <w:tcBorders>
              <w:top w:val="nil"/>
              <w:left w:val="nil"/>
              <w:bottom w:val="single" w:sz="8" w:space="0" w:color="auto"/>
              <w:right w:val="single" w:sz="4" w:space="0" w:color="auto"/>
            </w:tcBorders>
            <w:shd w:val="clear" w:color="auto" w:fill="FFFFFF"/>
            <w:vAlign w:val="center"/>
            <w:hideMark/>
          </w:tcPr>
          <w:p w:rsidR="00DF1FBF" w:rsidRDefault="00DF1FBF">
            <w:pPr>
              <w:autoSpaceDN w:val="0"/>
              <w:jc w:val="center"/>
              <w:rPr>
                <w:b/>
                <w:bCs/>
                <w:sz w:val="18"/>
                <w:szCs w:val="18"/>
              </w:rPr>
            </w:pPr>
            <w:r>
              <w:rPr>
                <w:b/>
                <w:bCs/>
                <w:sz w:val="18"/>
                <w:szCs w:val="18"/>
              </w:rPr>
              <w:t> </w:t>
            </w:r>
          </w:p>
        </w:tc>
        <w:tc>
          <w:tcPr>
            <w:tcW w:w="1064" w:type="dxa"/>
            <w:tcBorders>
              <w:top w:val="single" w:sz="8" w:space="0" w:color="auto"/>
              <w:left w:val="nil"/>
              <w:bottom w:val="single" w:sz="8" w:space="0" w:color="auto"/>
              <w:right w:val="single" w:sz="4" w:space="0" w:color="000000"/>
            </w:tcBorders>
            <w:shd w:val="clear" w:color="auto" w:fill="FFFFFF"/>
            <w:vAlign w:val="center"/>
            <w:hideMark/>
          </w:tcPr>
          <w:p w:rsidR="00DF1FBF" w:rsidRDefault="00DF1FBF">
            <w:pPr>
              <w:autoSpaceDN w:val="0"/>
              <w:jc w:val="center"/>
              <w:rPr>
                <w:b/>
                <w:bCs/>
                <w:sz w:val="18"/>
                <w:szCs w:val="18"/>
              </w:rPr>
            </w:pPr>
            <w:r>
              <w:rPr>
                <w:b/>
                <w:bCs/>
                <w:sz w:val="18"/>
                <w:szCs w:val="18"/>
              </w:rPr>
              <w:t>30,000</w:t>
            </w:r>
          </w:p>
        </w:tc>
        <w:tc>
          <w:tcPr>
            <w:tcW w:w="900" w:type="dxa"/>
            <w:tcBorders>
              <w:top w:val="single" w:sz="8" w:space="0" w:color="auto"/>
              <w:left w:val="nil"/>
              <w:bottom w:val="single" w:sz="8" w:space="0" w:color="auto"/>
              <w:right w:val="single" w:sz="4" w:space="0" w:color="000000"/>
            </w:tcBorders>
            <w:shd w:val="clear" w:color="auto" w:fill="FFFFFF"/>
            <w:vAlign w:val="center"/>
            <w:hideMark/>
          </w:tcPr>
          <w:p w:rsidR="00DF1FBF" w:rsidRDefault="00DF1FBF">
            <w:pPr>
              <w:autoSpaceDN w:val="0"/>
              <w:jc w:val="center"/>
              <w:rPr>
                <w:b/>
                <w:bCs/>
                <w:sz w:val="18"/>
                <w:szCs w:val="18"/>
              </w:rPr>
            </w:pPr>
            <w:r>
              <w:rPr>
                <w:b/>
                <w:bCs/>
                <w:sz w:val="18"/>
                <w:szCs w:val="18"/>
              </w:rPr>
              <w:t>2,100</w:t>
            </w:r>
          </w:p>
        </w:tc>
        <w:tc>
          <w:tcPr>
            <w:tcW w:w="1170" w:type="dxa"/>
            <w:tcBorders>
              <w:top w:val="nil"/>
              <w:left w:val="nil"/>
              <w:bottom w:val="single" w:sz="8" w:space="0" w:color="auto"/>
              <w:right w:val="nil"/>
            </w:tcBorders>
            <w:shd w:val="clear" w:color="auto" w:fill="FFFFFF"/>
            <w:vAlign w:val="center"/>
            <w:hideMark/>
          </w:tcPr>
          <w:p w:rsidR="00DF1FBF" w:rsidRDefault="00DF1FBF">
            <w:pPr>
              <w:autoSpaceDN w:val="0"/>
              <w:jc w:val="center"/>
              <w:rPr>
                <w:b/>
                <w:sz w:val="18"/>
                <w:szCs w:val="18"/>
              </w:rPr>
            </w:pPr>
            <w:r>
              <w:rPr>
                <w:b/>
                <w:sz w:val="18"/>
                <w:szCs w:val="18"/>
              </w:rPr>
              <w:t>32,100</w:t>
            </w:r>
          </w:p>
        </w:tc>
        <w:tc>
          <w:tcPr>
            <w:tcW w:w="720" w:type="dxa"/>
            <w:tcBorders>
              <w:top w:val="nil"/>
              <w:left w:val="single" w:sz="4" w:space="0" w:color="auto"/>
              <w:bottom w:val="single" w:sz="8" w:space="0" w:color="auto"/>
              <w:right w:val="single" w:sz="4" w:space="0" w:color="auto"/>
            </w:tcBorders>
            <w:shd w:val="clear" w:color="auto" w:fill="FFFFFF"/>
            <w:vAlign w:val="center"/>
            <w:hideMark/>
          </w:tcPr>
          <w:p w:rsidR="00DF1FBF" w:rsidRDefault="00DF1FBF">
            <w:pPr>
              <w:autoSpaceDN w:val="0"/>
              <w:jc w:val="center"/>
              <w:rPr>
                <w:b/>
                <w:bCs/>
                <w:sz w:val="18"/>
                <w:szCs w:val="18"/>
              </w:rPr>
            </w:pPr>
            <w:r>
              <w:rPr>
                <w:b/>
                <w:bCs/>
                <w:sz w:val="18"/>
                <w:szCs w:val="18"/>
              </w:rPr>
              <w:t> </w:t>
            </w:r>
          </w:p>
        </w:tc>
        <w:tc>
          <w:tcPr>
            <w:tcW w:w="810" w:type="dxa"/>
            <w:tcBorders>
              <w:top w:val="nil"/>
              <w:left w:val="nil"/>
              <w:bottom w:val="single" w:sz="8" w:space="0" w:color="auto"/>
              <w:right w:val="nil"/>
            </w:tcBorders>
            <w:shd w:val="clear" w:color="auto" w:fill="FFFFFF"/>
            <w:vAlign w:val="center"/>
            <w:hideMark/>
          </w:tcPr>
          <w:p w:rsidR="00DF1FBF" w:rsidRDefault="00DF1FBF">
            <w:pPr>
              <w:autoSpaceDN w:val="0"/>
              <w:jc w:val="center"/>
              <w:rPr>
                <w:b/>
                <w:bCs/>
                <w:sz w:val="18"/>
                <w:szCs w:val="18"/>
              </w:rPr>
            </w:pPr>
            <w:r>
              <w:rPr>
                <w:b/>
                <w:bCs/>
                <w:sz w:val="18"/>
                <w:szCs w:val="18"/>
              </w:rPr>
              <w:t> </w:t>
            </w:r>
          </w:p>
        </w:tc>
        <w:tc>
          <w:tcPr>
            <w:tcW w:w="1260" w:type="dxa"/>
            <w:tcBorders>
              <w:top w:val="nil"/>
              <w:left w:val="single" w:sz="4" w:space="0" w:color="auto"/>
              <w:bottom w:val="single" w:sz="8" w:space="0" w:color="auto"/>
              <w:right w:val="single" w:sz="8" w:space="0" w:color="auto"/>
            </w:tcBorders>
            <w:shd w:val="clear" w:color="auto" w:fill="FFFFFF"/>
            <w:vAlign w:val="bottom"/>
            <w:hideMark/>
          </w:tcPr>
          <w:p w:rsidR="00DF1FBF" w:rsidRDefault="00DF1FBF">
            <w:pPr>
              <w:autoSpaceDN w:val="0"/>
              <w:rPr>
                <w:b/>
                <w:bCs/>
                <w:sz w:val="18"/>
                <w:szCs w:val="18"/>
              </w:rPr>
            </w:pPr>
            <w:r>
              <w:rPr>
                <w:b/>
                <w:bCs/>
                <w:sz w:val="18"/>
                <w:szCs w:val="18"/>
              </w:rPr>
              <w:t> </w:t>
            </w:r>
          </w:p>
        </w:tc>
      </w:tr>
      <w:tr w:rsidR="00DF1FBF" w:rsidTr="00DF1FBF">
        <w:trPr>
          <w:trHeight w:val="375"/>
        </w:trPr>
        <w:tc>
          <w:tcPr>
            <w:tcW w:w="10530" w:type="dxa"/>
            <w:gridSpan w:val="12"/>
            <w:tcBorders>
              <w:top w:val="single" w:sz="8" w:space="0" w:color="auto"/>
              <w:left w:val="single" w:sz="8" w:space="0" w:color="auto"/>
              <w:bottom w:val="single" w:sz="8" w:space="0" w:color="auto"/>
              <w:right w:val="single" w:sz="8" w:space="0" w:color="000000"/>
            </w:tcBorders>
            <w:shd w:val="clear" w:color="auto" w:fill="FFFFFF"/>
            <w:vAlign w:val="bottom"/>
            <w:hideMark/>
          </w:tcPr>
          <w:p w:rsidR="00DF1FBF" w:rsidRDefault="00DF1FBF">
            <w:pPr>
              <w:autoSpaceDN w:val="0"/>
              <w:jc w:val="center"/>
              <w:rPr>
                <w:b/>
                <w:bCs/>
                <w:sz w:val="18"/>
                <w:szCs w:val="18"/>
              </w:rPr>
            </w:pPr>
            <w:r>
              <w:rPr>
                <w:b/>
                <w:bCs/>
                <w:sz w:val="18"/>
                <w:szCs w:val="18"/>
              </w:rPr>
              <w:t>Administrative support cost</w:t>
            </w:r>
          </w:p>
        </w:tc>
      </w:tr>
      <w:tr w:rsidR="00DF1FBF" w:rsidTr="00DF1FBF">
        <w:trPr>
          <w:trHeight w:val="570"/>
        </w:trPr>
        <w:tc>
          <w:tcPr>
            <w:tcW w:w="990" w:type="dxa"/>
            <w:tcBorders>
              <w:top w:val="nil"/>
              <w:left w:val="single" w:sz="8" w:space="0" w:color="auto"/>
              <w:bottom w:val="single" w:sz="8" w:space="0" w:color="auto"/>
              <w:right w:val="single" w:sz="4" w:space="0" w:color="auto"/>
            </w:tcBorders>
            <w:shd w:val="clear" w:color="auto" w:fill="FFFFFF"/>
            <w:vAlign w:val="center"/>
            <w:hideMark/>
          </w:tcPr>
          <w:p w:rsidR="00DF1FBF" w:rsidRDefault="00DF1FBF">
            <w:pPr>
              <w:autoSpaceDN w:val="0"/>
              <w:rPr>
                <w:sz w:val="18"/>
                <w:szCs w:val="18"/>
              </w:rPr>
            </w:pPr>
            <w:r>
              <w:rPr>
                <w:sz w:val="18"/>
                <w:szCs w:val="18"/>
              </w:rPr>
              <w:t>UNIDO</w:t>
            </w:r>
          </w:p>
        </w:tc>
        <w:tc>
          <w:tcPr>
            <w:tcW w:w="720" w:type="dxa"/>
            <w:tcBorders>
              <w:top w:val="nil"/>
              <w:left w:val="nil"/>
              <w:bottom w:val="single" w:sz="8" w:space="0" w:color="auto"/>
              <w:right w:val="single" w:sz="4" w:space="0" w:color="auto"/>
            </w:tcBorders>
            <w:shd w:val="clear" w:color="auto" w:fill="FFFFFF"/>
            <w:vAlign w:val="center"/>
            <w:hideMark/>
          </w:tcPr>
          <w:p w:rsidR="00DF1FBF" w:rsidRDefault="00DF1FBF">
            <w:pPr>
              <w:autoSpaceDN w:val="0"/>
              <w:rPr>
                <w:sz w:val="18"/>
                <w:szCs w:val="18"/>
              </w:rPr>
            </w:pPr>
            <w:r>
              <w:rPr>
                <w:sz w:val="18"/>
                <w:szCs w:val="18"/>
              </w:rPr>
              <w:t>ASC</w:t>
            </w:r>
          </w:p>
        </w:tc>
        <w:tc>
          <w:tcPr>
            <w:tcW w:w="720" w:type="dxa"/>
            <w:tcBorders>
              <w:top w:val="nil"/>
              <w:left w:val="nil"/>
              <w:bottom w:val="single" w:sz="8" w:space="0" w:color="auto"/>
              <w:right w:val="single" w:sz="4" w:space="0" w:color="auto"/>
            </w:tcBorders>
            <w:shd w:val="clear" w:color="auto" w:fill="FFFFFF"/>
            <w:vAlign w:val="center"/>
            <w:hideMark/>
          </w:tcPr>
          <w:p w:rsidR="00DF1FBF" w:rsidRDefault="00DF1FBF">
            <w:pPr>
              <w:autoSpaceDN w:val="0"/>
              <w:rPr>
                <w:sz w:val="18"/>
                <w:szCs w:val="18"/>
              </w:rPr>
            </w:pPr>
            <w:proofErr w:type="spellStart"/>
            <w:r>
              <w:rPr>
                <w:sz w:val="18"/>
                <w:szCs w:val="18"/>
              </w:rPr>
              <w:t>ALl</w:t>
            </w:r>
            <w:proofErr w:type="spellEnd"/>
          </w:p>
        </w:tc>
        <w:tc>
          <w:tcPr>
            <w:tcW w:w="2160" w:type="dxa"/>
            <w:gridSpan w:val="2"/>
            <w:tcBorders>
              <w:top w:val="single" w:sz="8" w:space="0" w:color="auto"/>
              <w:left w:val="nil"/>
              <w:bottom w:val="single" w:sz="8" w:space="0" w:color="auto"/>
              <w:right w:val="single" w:sz="4" w:space="0" w:color="000000"/>
            </w:tcBorders>
            <w:shd w:val="clear" w:color="auto" w:fill="FFFFFF"/>
            <w:vAlign w:val="center"/>
            <w:hideMark/>
          </w:tcPr>
          <w:p w:rsidR="00DF1FBF" w:rsidRDefault="00DF1FBF">
            <w:pPr>
              <w:autoSpaceDN w:val="0"/>
              <w:rPr>
                <w:sz w:val="18"/>
                <w:szCs w:val="18"/>
              </w:rPr>
            </w:pPr>
            <w:r>
              <w:rPr>
                <w:sz w:val="18"/>
                <w:szCs w:val="18"/>
              </w:rPr>
              <w:t>Core Unit funding</w:t>
            </w:r>
          </w:p>
        </w:tc>
        <w:tc>
          <w:tcPr>
            <w:tcW w:w="1080" w:type="dxa"/>
            <w:gridSpan w:val="2"/>
            <w:tcBorders>
              <w:top w:val="single" w:sz="8" w:space="0" w:color="auto"/>
              <w:left w:val="nil"/>
              <w:bottom w:val="single" w:sz="8" w:space="0" w:color="auto"/>
              <w:right w:val="single" w:sz="4" w:space="0" w:color="000000"/>
            </w:tcBorders>
            <w:shd w:val="clear" w:color="auto" w:fill="FFFFFF"/>
            <w:vAlign w:val="center"/>
            <w:hideMark/>
          </w:tcPr>
          <w:p w:rsidR="00DF1FBF" w:rsidRDefault="00DF1FBF">
            <w:pPr>
              <w:autoSpaceDN w:val="0"/>
              <w:jc w:val="center"/>
              <w:rPr>
                <w:sz w:val="18"/>
                <w:szCs w:val="18"/>
              </w:rPr>
            </w:pPr>
            <w:r>
              <w:rPr>
                <w:sz w:val="18"/>
                <w:szCs w:val="18"/>
              </w:rPr>
              <w:t>2,055,000</w:t>
            </w:r>
          </w:p>
        </w:tc>
        <w:tc>
          <w:tcPr>
            <w:tcW w:w="900" w:type="dxa"/>
            <w:tcBorders>
              <w:top w:val="single" w:sz="8" w:space="0" w:color="auto"/>
              <w:left w:val="nil"/>
              <w:bottom w:val="single" w:sz="8" w:space="0" w:color="auto"/>
              <w:right w:val="single" w:sz="4" w:space="0" w:color="000000"/>
            </w:tcBorders>
            <w:shd w:val="clear" w:color="auto" w:fill="FFFFFF"/>
            <w:vAlign w:val="center"/>
            <w:hideMark/>
          </w:tcPr>
          <w:p w:rsidR="00DF1FBF" w:rsidRDefault="00DF1FBF">
            <w:pPr>
              <w:autoSpaceDN w:val="0"/>
              <w:jc w:val="center"/>
              <w:rPr>
                <w:sz w:val="18"/>
                <w:szCs w:val="18"/>
              </w:rPr>
            </w:pPr>
            <w:r>
              <w:rPr>
                <w:sz w:val="18"/>
                <w:szCs w:val="18"/>
              </w:rPr>
              <w:t>0</w:t>
            </w:r>
          </w:p>
        </w:tc>
        <w:tc>
          <w:tcPr>
            <w:tcW w:w="1170" w:type="dxa"/>
            <w:tcBorders>
              <w:top w:val="nil"/>
              <w:left w:val="nil"/>
              <w:bottom w:val="single" w:sz="8" w:space="0" w:color="auto"/>
              <w:right w:val="nil"/>
            </w:tcBorders>
            <w:shd w:val="clear" w:color="auto" w:fill="FFFFFF"/>
            <w:vAlign w:val="center"/>
            <w:hideMark/>
          </w:tcPr>
          <w:p w:rsidR="00DF1FBF" w:rsidRDefault="00DF1FBF">
            <w:pPr>
              <w:autoSpaceDN w:val="0"/>
              <w:jc w:val="center"/>
              <w:rPr>
                <w:sz w:val="18"/>
                <w:szCs w:val="18"/>
              </w:rPr>
            </w:pPr>
            <w:r>
              <w:rPr>
                <w:sz w:val="18"/>
                <w:szCs w:val="18"/>
              </w:rPr>
              <w:t>2,055,000</w:t>
            </w:r>
          </w:p>
        </w:tc>
        <w:tc>
          <w:tcPr>
            <w:tcW w:w="720" w:type="dxa"/>
            <w:tcBorders>
              <w:top w:val="nil"/>
              <w:left w:val="single" w:sz="4" w:space="0" w:color="auto"/>
              <w:bottom w:val="single" w:sz="8" w:space="0" w:color="auto"/>
              <w:right w:val="single" w:sz="4" w:space="0" w:color="auto"/>
            </w:tcBorders>
            <w:shd w:val="clear" w:color="auto" w:fill="FFFFFF"/>
            <w:vAlign w:val="center"/>
            <w:hideMark/>
          </w:tcPr>
          <w:p w:rsidR="00DF1FBF" w:rsidRDefault="00DF1FBF">
            <w:pPr>
              <w:autoSpaceDN w:val="0"/>
              <w:jc w:val="center"/>
              <w:rPr>
                <w:sz w:val="18"/>
                <w:szCs w:val="18"/>
              </w:rPr>
            </w:pPr>
            <w:r>
              <w:rPr>
                <w:sz w:val="18"/>
                <w:szCs w:val="18"/>
              </w:rPr>
              <w:t>0</w:t>
            </w:r>
          </w:p>
        </w:tc>
        <w:tc>
          <w:tcPr>
            <w:tcW w:w="810" w:type="dxa"/>
            <w:tcBorders>
              <w:top w:val="nil"/>
              <w:left w:val="nil"/>
              <w:bottom w:val="single" w:sz="8" w:space="0" w:color="auto"/>
              <w:right w:val="nil"/>
            </w:tcBorders>
            <w:shd w:val="clear" w:color="auto" w:fill="FFFFFF"/>
            <w:vAlign w:val="center"/>
            <w:hideMark/>
          </w:tcPr>
          <w:p w:rsidR="00DF1FBF" w:rsidRDefault="00DF1FBF">
            <w:pPr>
              <w:autoSpaceDN w:val="0"/>
              <w:jc w:val="center"/>
              <w:rPr>
                <w:sz w:val="18"/>
                <w:szCs w:val="18"/>
              </w:rPr>
            </w:pPr>
            <w:r>
              <w:rPr>
                <w:sz w:val="18"/>
                <w:szCs w:val="18"/>
              </w:rPr>
              <w:t>12</w:t>
            </w:r>
          </w:p>
        </w:tc>
        <w:tc>
          <w:tcPr>
            <w:tcW w:w="1260" w:type="dxa"/>
            <w:tcBorders>
              <w:top w:val="nil"/>
              <w:left w:val="single" w:sz="4" w:space="0" w:color="auto"/>
              <w:bottom w:val="single" w:sz="8" w:space="0" w:color="auto"/>
              <w:right w:val="single" w:sz="8" w:space="0" w:color="auto"/>
            </w:tcBorders>
            <w:shd w:val="clear" w:color="auto" w:fill="FFFFFF"/>
            <w:vAlign w:val="bottom"/>
            <w:hideMark/>
          </w:tcPr>
          <w:p w:rsidR="00DF1FBF" w:rsidRDefault="00DF1FBF">
            <w:pPr>
              <w:autoSpaceDN w:val="0"/>
              <w:rPr>
                <w:sz w:val="18"/>
                <w:szCs w:val="18"/>
              </w:rPr>
            </w:pPr>
            <w:r>
              <w:rPr>
                <w:sz w:val="18"/>
                <w:szCs w:val="18"/>
              </w:rPr>
              <w:t>individually submitted</w:t>
            </w:r>
          </w:p>
        </w:tc>
      </w:tr>
      <w:tr w:rsidR="00DF1FBF" w:rsidTr="00DF1FBF">
        <w:trPr>
          <w:trHeight w:val="495"/>
        </w:trPr>
        <w:tc>
          <w:tcPr>
            <w:tcW w:w="2430" w:type="dxa"/>
            <w:gridSpan w:val="3"/>
            <w:tcBorders>
              <w:top w:val="single" w:sz="4" w:space="0" w:color="auto"/>
              <w:left w:val="single" w:sz="8" w:space="0" w:color="auto"/>
              <w:bottom w:val="single" w:sz="8" w:space="0" w:color="auto"/>
              <w:right w:val="single" w:sz="4" w:space="0" w:color="000000"/>
            </w:tcBorders>
            <w:shd w:val="clear" w:color="auto" w:fill="FFFFFF"/>
            <w:vAlign w:val="center"/>
            <w:hideMark/>
          </w:tcPr>
          <w:p w:rsidR="00DF1FBF" w:rsidRDefault="00DF1FBF">
            <w:pPr>
              <w:autoSpaceDN w:val="0"/>
              <w:jc w:val="center"/>
              <w:rPr>
                <w:b/>
                <w:bCs/>
                <w:sz w:val="18"/>
                <w:szCs w:val="18"/>
              </w:rPr>
            </w:pPr>
            <w:r>
              <w:rPr>
                <w:b/>
                <w:bCs/>
                <w:sz w:val="18"/>
                <w:szCs w:val="18"/>
              </w:rPr>
              <w:t>Subtotal</w:t>
            </w:r>
          </w:p>
        </w:tc>
        <w:tc>
          <w:tcPr>
            <w:tcW w:w="2160" w:type="dxa"/>
            <w:gridSpan w:val="2"/>
            <w:tcBorders>
              <w:top w:val="single" w:sz="4" w:space="0" w:color="auto"/>
              <w:left w:val="nil"/>
              <w:bottom w:val="single" w:sz="8" w:space="0" w:color="auto"/>
              <w:right w:val="single" w:sz="4" w:space="0" w:color="000000"/>
            </w:tcBorders>
            <w:shd w:val="clear" w:color="auto" w:fill="FFFFFF"/>
            <w:noWrap/>
            <w:vAlign w:val="bottom"/>
            <w:hideMark/>
          </w:tcPr>
          <w:p w:rsidR="00DF1FBF" w:rsidRDefault="00DF1FBF">
            <w:pPr>
              <w:autoSpaceDN w:val="0"/>
              <w:jc w:val="center"/>
              <w:rPr>
                <w:b/>
                <w:bCs/>
                <w:sz w:val="18"/>
                <w:szCs w:val="18"/>
              </w:rPr>
            </w:pPr>
            <w:r>
              <w:rPr>
                <w:b/>
                <w:bCs/>
                <w:sz w:val="18"/>
                <w:szCs w:val="18"/>
              </w:rPr>
              <w:t> </w:t>
            </w:r>
          </w:p>
        </w:tc>
        <w:tc>
          <w:tcPr>
            <w:tcW w:w="1080" w:type="dxa"/>
            <w:gridSpan w:val="2"/>
            <w:tcBorders>
              <w:top w:val="nil"/>
              <w:left w:val="nil"/>
              <w:bottom w:val="single" w:sz="8" w:space="0" w:color="auto"/>
              <w:right w:val="single" w:sz="4" w:space="0" w:color="000000"/>
            </w:tcBorders>
            <w:shd w:val="clear" w:color="auto" w:fill="FFFFFF"/>
            <w:vAlign w:val="center"/>
            <w:hideMark/>
          </w:tcPr>
          <w:p w:rsidR="00DF1FBF" w:rsidRDefault="00DF1FBF">
            <w:pPr>
              <w:autoSpaceDN w:val="0"/>
              <w:jc w:val="center"/>
              <w:rPr>
                <w:b/>
                <w:bCs/>
                <w:sz w:val="18"/>
                <w:szCs w:val="18"/>
              </w:rPr>
            </w:pPr>
            <w:r>
              <w:rPr>
                <w:b/>
                <w:bCs/>
                <w:sz w:val="18"/>
                <w:szCs w:val="18"/>
              </w:rPr>
              <w:t>2,055,000</w:t>
            </w:r>
          </w:p>
        </w:tc>
        <w:tc>
          <w:tcPr>
            <w:tcW w:w="900" w:type="dxa"/>
            <w:tcBorders>
              <w:top w:val="nil"/>
              <w:left w:val="nil"/>
              <w:bottom w:val="single" w:sz="8" w:space="0" w:color="auto"/>
              <w:right w:val="single" w:sz="4" w:space="0" w:color="000000"/>
            </w:tcBorders>
            <w:shd w:val="clear" w:color="auto" w:fill="FFFFFF"/>
            <w:vAlign w:val="center"/>
            <w:hideMark/>
          </w:tcPr>
          <w:p w:rsidR="00DF1FBF" w:rsidRDefault="00DF1FBF">
            <w:pPr>
              <w:autoSpaceDN w:val="0"/>
              <w:jc w:val="center"/>
              <w:rPr>
                <w:b/>
                <w:bCs/>
                <w:sz w:val="18"/>
                <w:szCs w:val="18"/>
              </w:rPr>
            </w:pPr>
            <w:r>
              <w:rPr>
                <w:b/>
                <w:bCs/>
                <w:sz w:val="18"/>
                <w:szCs w:val="18"/>
              </w:rPr>
              <w:t>0</w:t>
            </w:r>
          </w:p>
        </w:tc>
        <w:tc>
          <w:tcPr>
            <w:tcW w:w="1170" w:type="dxa"/>
            <w:tcBorders>
              <w:top w:val="nil"/>
              <w:left w:val="nil"/>
              <w:bottom w:val="single" w:sz="8" w:space="0" w:color="auto"/>
              <w:right w:val="nil"/>
            </w:tcBorders>
            <w:shd w:val="clear" w:color="auto" w:fill="FFFFFF"/>
            <w:vAlign w:val="center"/>
            <w:hideMark/>
          </w:tcPr>
          <w:p w:rsidR="00DF1FBF" w:rsidRDefault="00DF1FBF">
            <w:pPr>
              <w:autoSpaceDN w:val="0"/>
              <w:jc w:val="center"/>
              <w:rPr>
                <w:b/>
                <w:bCs/>
                <w:sz w:val="18"/>
                <w:szCs w:val="18"/>
              </w:rPr>
            </w:pPr>
            <w:r>
              <w:rPr>
                <w:b/>
                <w:bCs/>
                <w:sz w:val="18"/>
                <w:szCs w:val="18"/>
              </w:rPr>
              <w:t>2,055,000</w:t>
            </w:r>
          </w:p>
        </w:tc>
        <w:tc>
          <w:tcPr>
            <w:tcW w:w="720" w:type="dxa"/>
            <w:tcBorders>
              <w:top w:val="nil"/>
              <w:left w:val="single" w:sz="4" w:space="0" w:color="auto"/>
              <w:bottom w:val="single" w:sz="8" w:space="0" w:color="auto"/>
              <w:right w:val="single" w:sz="4" w:space="0" w:color="auto"/>
            </w:tcBorders>
            <w:shd w:val="clear" w:color="auto" w:fill="FFFFFF"/>
            <w:noWrap/>
            <w:vAlign w:val="bottom"/>
            <w:hideMark/>
          </w:tcPr>
          <w:p w:rsidR="00DF1FBF" w:rsidRDefault="00DF1FBF">
            <w:pPr>
              <w:autoSpaceDN w:val="0"/>
              <w:rPr>
                <w:b/>
                <w:bCs/>
                <w:sz w:val="18"/>
                <w:szCs w:val="18"/>
              </w:rPr>
            </w:pPr>
            <w:r>
              <w:rPr>
                <w:b/>
                <w:bCs/>
                <w:sz w:val="18"/>
                <w:szCs w:val="18"/>
              </w:rPr>
              <w:t> </w:t>
            </w:r>
          </w:p>
        </w:tc>
        <w:tc>
          <w:tcPr>
            <w:tcW w:w="810" w:type="dxa"/>
            <w:tcBorders>
              <w:top w:val="single" w:sz="4" w:space="0" w:color="auto"/>
              <w:left w:val="nil"/>
              <w:bottom w:val="single" w:sz="8" w:space="0" w:color="auto"/>
              <w:right w:val="single" w:sz="4" w:space="0" w:color="auto"/>
            </w:tcBorders>
            <w:shd w:val="clear" w:color="auto" w:fill="FFFFFF"/>
            <w:noWrap/>
            <w:vAlign w:val="bottom"/>
            <w:hideMark/>
          </w:tcPr>
          <w:p w:rsidR="00DF1FBF" w:rsidRDefault="00DF1FBF">
            <w:pPr>
              <w:autoSpaceDN w:val="0"/>
              <w:rPr>
                <w:b/>
                <w:bCs/>
                <w:sz w:val="18"/>
                <w:szCs w:val="18"/>
              </w:rPr>
            </w:pPr>
            <w:r>
              <w:rPr>
                <w:b/>
                <w:bCs/>
                <w:sz w:val="18"/>
                <w:szCs w:val="18"/>
              </w:rPr>
              <w:t> </w:t>
            </w:r>
          </w:p>
        </w:tc>
        <w:tc>
          <w:tcPr>
            <w:tcW w:w="1260" w:type="dxa"/>
            <w:tcBorders>
              <w:top w:val="single" w:sz="4" w:space="0" w:color="auto"/>
              <w:left w:val="nil"/>
              <w:bottom w:val="single" w:sz="8" w:space="0" w:color="auto"/>
              <w:right w:val="single" w:sz="8" w:space="0" w:color="auto"/>
            </w:tcBorders>
            <w:shd w:val="clear" w:color="auto" w:fill="FFFFFF"/>
            <w:noWrap/>
            <w:vAlign w:val="bottom"/>
            <w:hideMark/>
          </w:tcPr>
          <w:p w:rsidR="00DF1FBF" w:rsidRDefault="00DF1FBF">
            <w:pPr>
              <w:autoSpaceDN w:val="0"/>
              <w:rPr>
                <w:b/>
                <w:bCs/>
                <w:sz w:val="18"/>
                <w:szCs w:val="18"/>
              </w:rPr>
            </w:pPr>
            <w:r>
              <w:rPr>
                <w:b/>
                <w:bCs/>
                <w:sz w:val="18"/>
                <w:szCs w:val="18"/>
              </w:rPr>
              <w:t> </w:t>
            </w:r>
          </w:p>
        </w:tc>
      </w:tr>
      <w:tr w:rsidR="00DF1FBF" w:rsidTr="00DF1FBF">
        <w:trPr>
          <w:trHeight w:val="525"/>
        </w:trPr>
        <w:tc>
          <w:tcPr>
            <w:tcW w:w="2430" w:type="dxa"/>
            <w:gridSpan w:val="3"/>
            <w:tcBorders>
              <w:top w:val="nil"/>
              <w:left w:val="single" w:sz="8" w:space="0" w:color="auto"/>
              <w:bottom w:val="single" w:sz="8" w:space="0" w:color="auto"/>
              <w:right w:val="single" w:sz="4" w:space="0" w:color="000000"/>
            </w:tcBorders>
            <w:shd w:val="clear" w:color="auto" w:fill="FFFFFF"/>
            <w:vAlign w:val="center"/>
            <w:hideMark/>
          </w:tcPr>
          <w:p w:rsidR="00DF1FBF" w:rsidRDefault="00DF1FBF">
            <w:pPr>
              <w:autoSpaceDN w:val="0"/>
              <w:jc w:val="center"/>
              <w:rPr>
                <w:b/>
                <w:bCs/>
                <w:sz w:val="18"/>
                <w:szCs w:val="18"/>
              </w:rPr>
            </w:pPr>
            <w:r>
              <w:rPr>
                <w:b/>
                <w:bCs/>
                <w:sz w:val="18"/>
                <w:szCs w:val="18"/>
              </w:rPr>
              <w:t>Grand Total</w:t>
            </w:r>
          </w:p>
        </w:tc>
        <w:tc>
          <w:tcPr>
            <w:tcW w:w="2160" w:type="dxa"/>
            <w:gridSpan w:val="2"/>
            <w:tcBorders>
              <w:top w:val="nil"/>
              <w:left w:val="nil"/>
              <w:bottom w:val="single" w:sz="8" w:space="0" w:color="auto"/>
              <w:right w:val="single" w:sz="4" w:space="0" w:color="000000"/>
            </w:tcBorders>
            <w:shd w:val="clear" w:color="auto" w:fill="FFFFFF"/>
            <w:vAlign w:val="center"/>
            <w:hideMark/>
          </w:tcPr>
          <w:p w:rsidR="00DF1FBF" w:rsidRDefault="00DF1FBF">
            <w:pPr>
              <w:autoSpaceDN w:val="0"/>
              <w:jc w:val="center"/>
              <w:rPr>
                <w:b/>
                <w:bCs/>
                <w:sz w:val="18"/>
                <w:szCs w:val="18"/>
              </w:rPr>
            </w:pPr>
            <w:r>
              <w:rPr>
                <w:b/>
                <w:bCs/>
                <w:sz w:val="18"/>
                <w:szCs w:val="18"/>
              </w:rPr>
              <w:t> </w:t>
            </w:r>
          </w:p>
        </w:tc>
        <w:tc>
          <w:tcPr>
            <w:tcW w:w="1080" w:type="dxa"/>
            <w:gridSpan w:val="2"/>
            <w:tcBorders>
              <w:top w:val="nil"/>
              <w:left w:val="nil"/>
              <w:bottom w:val="single" w:sz="8" w:space="0" w:color="auto"/>
              <w:right w:val="single" w:sz="4" w:space="0" w:color="000000"/>
            </w:tcBorders>
            <w:shd w:val="clear" w:color="auto" w:fill="FFFFFF"/>
            <w:vAlign w:val="center"/>
            <w:hideMark/>
          </w:tcPr>
          <w:p w:rsidR="00DF1FBF" w:rsidRDefault="00DF1FBF">
            <w:pPr>
              <w:widowControl w:val="0"/>
              <w:autoSpaceDE w:val="0"/>
              <w:autoSpaceDN w:val="0"/>
              <w:adjustRightInd w:val="0"/>
              <w:jc w:val="center"/>
              <w:rPr>
                <w:rFonts w:ascii="Times New Roman TUR" w:hAnsi="Times New Roman TUR"/>
                <w:b/>
                <w:bCs/>
                <w:sz w:val="20"/>
                <w:szCs w:val="20"/>
              </w:rPr>
            </w:pPr>
            <w:r>
              <w:rPr>
                <w:b/>
                <w:bCs/>
                <w:sz w:val="20"/>
                <w:szCs w:val="20"/>
              </w:rPr>
              <w:t>2,382,082</w:t>
            </w:r>
          </w:p>
        </w:tc>
        <w:tc>
          <w:tcPr>
            <w:tcW w:w="900" w:type="dxa"/>
            <w:tcBorders>
              <w:top w:val="single" w:sz="8" w:space="0" w:color="auto"/>
              <w:left w:val="nil"/>
              <w:bottom w:val="single" w:sz="8" w:space="0" w:color="auto"/>
              <w:right w:val="single" w:sz="4" w:space="0" w:color="000000"/>
            </w:tcBorders>
            <w:shd w:val="clear" w:color="auto" w:fill="FFFFFF"/>
            <w:vAlign w:val="center"/>
            <w:hideMark/>
          </w:tcPr>
          <w:p w:rsidR="00DF1FBF" w:rsidRDefault="00DF1FBF">
            <w:pPr>
              <w:widowControl w:val="0"/>
              <w:autoSpaceDE w:val="0"/>
              <w:autoSpaceDN w:val="0"/>
              <w:adjustRightInd w:val="0"/>
              <w:jc w:val="center"/>
              <w:rPr>
                <w:rFonts w:ascii="Times New Roman TUR" w:hAnsi="Times New Roman TUR"/>
                <w:b/>
                <w:bCs/>
                <w:sz w:val="20"/>
                <w:szCs w:val="20"/>
              </w:rPr>
            </w:pPr>
            <w:r>
              <w:rPr>
                <w:b/>
                <w:bCs/>
                <w:sz w:val="20"/>
                <w:szCs w:val="20"/>
              </w:rPr>
              <w:t>22,896</w:t>
            </w:r>
          </w:p>
        </w:tc>
        <w:tc>
          <w:tcPr>
            <w:tcW w:w="1170" w:type="dxa"/>
            <w:tcBorders>
              <w:top w:val="nil"/>
              <w:left w:val="nil"/>
              <w:bottom w:val="single" w:sz="8" w:space="0" w:color="auto"/>
              <w:right w:val="nil"/>
            </w:tcBorders>
            <w:shd w:val="clear" w:color="auto" w:fill="FFFFFF"/>
            <w:vAlign w:val="center"/>
            <w:hideMark/>
          </w:tcPr>
          <w:p w:rsidR="00DF1FBF" w:rsidRDefault="00DF1FBF">
            <w:pPr>
              <w:widowControl w:val="0"/>
              <w:autoSpaceDE w:val="0"/>
              <w:autoSpaceDN w:val="0"/>
              <w:adjustRightInd w:val="0"/>
              <w:jc w:val="center"/>
              <w:rPr>
                <w:rFonts w:ascii="Times New Roman TUR" w:hAnsi="Times New Roman TUR"/>
                <w:b/>
                <w:bCs/>
                <w:sz w:val="20"/>
                <w:szCs w:val="20"/>
              </w:rPr>
            </w:pPr>
            <w:r>
              <w:rPr>
                <w:b/>
                <w:bCs/>
                <w:sz w:val="20"/>
                <w:szCs w:val="20"/>
              </w:rPr>
              <w:t>2,404,978</w:t>
            </w:r>
          </w:p>
        </w:tc>
        <w:tc>
          <w:tcPr>
            <w:tcW w:w="720" w:type="dxa"/>
            <w:tcBorders>
              <w:top w:val="nil"/>
              <w:left w:val="single" w:sz="4" w:space="0" w:color="auto"/>
              <w:bottom w:val="single" w:sz="8" w:space="0" w:color="auto"/>
              <w:right w:val="single" w:sz="4" w:space="0" w:color="auto"/>
            </w:tcBorders>
            <w:shd w:val="clear" w:color="auto" w:fill="FFFFFF"/>
            <w:vAlign w:val="center"/>
            <w:hideMark/>
          </w:tcPr>
          <w:p w:rsidR="00DF1FBF" w:rsidRDefault="00DF1FBF">
            <w:pPr>
              <w:autoSpaceDN w:val="0"/>
              <w:rPr>
                <w:b/>
                <w:bCs/>
                <w:sz w:val="18"/>
                <w:szCs w:val="18"/>
              </w:rPr>
            </w:pPr>
            <w:r>
              <w:rPr>
                <w:b/>
                <w:bCs/>
                <w:sz w:val="18"/>
                <w:szCs w:val="18"/>
              </w:rPr>
              <w:t> </w:t>
            </w:r>
          </w:p>
        </w:tc>
        <w:tc>
          <w:tcPr>
            <w:tcW w:w="810" w:type="dxa"/>
            <w:tcBorders>
              <w:top w:val="nil"/>
              <w:left w:val="nil"/>
              <w:bottom w:val="single" w:sz="8" w:space="0" w:color="auto"/>
              <w:right w:val="nil"/>
            </w:tcBorders>
            <w:shd w:val="clear" w:color="auto" w:fill="FFFFFF"/>
            <w:vAlign w:val="center"/>
            <w:hideMark/>
          </w:tcPr>
          <w:p w:rsidR="00DF1FBF" w:rsidRDefault="00DF1FBF">
            <w:pPr>
              <w:autoSpaceDN w:val="0"/>
              <w:jc w:val="center"/>
              <w:rPr>
                <w:b/>
                <w:bCs/>
                <w:sz w:val="18"/>
                <w:szCs w:val="18"/>
              </w:rPr>
            </w:pPr>
            <w:r>
              <w:rPr>
                <w:b/>
                <w:bCs/>
                <w:sz w:val="18"/>
                <w:szCs w:val="18"/>
              </w:rPr>
              <w:t> </w:t>
            </w:r>
          </w:p>
        </w:tc>
        <w:tc>
          <w:tcPr>
            <w:tcW w:w="1260" w:type="dxa"/>
            <w:tcBorders>
              <w:top w:val="nil"/>
              <w:left w:val="single" w:sz="4" w:space="0" w:color="auto"/>
              <w:bottom w:val="single" w:sz="8" w:space="0" w:color="auto"/>
              <w:right w:val="single" w:sz="8" w:space="0" w:color="auto"/>
            </w:tcBorders>
            <w:shd w:val="clear" w:color="auto" w:fill="FFFFFF"/>
            <w:vAlign w:val="bottom"/>
            <w:hideMark/>
          </w:tcPr>
          <w:p w:rsidR="00DF1FBF" w:rsidRDefault="00DF1FBF">
            <w:pPr>
              <w:autoSpaceDN w:val="0"/>
              <w:rPr>
                <w:b/>
                <w:bCs/>
                <w:sz w:val="18"/>
                <w:szCs w:val="18"/>
              </w:rPr>
            </w:pPr>
            <w:r>
              <w:rPr>
                <w:b/>
                <w:bCs/>
                <w:sz w:val="18"/>
                <w:szCs w:val="18"/>
              </w:rPr>
              <w:t> </w:t>
            </w:r>
          </w:p>
        </w:tc>
      </w:tr>
    </w:tbl>
    <w:p w:rsidR="00DF1FBF" w:rsidRDefault="00DF1FBF" w:rsidP="00DF1FBF">
      <w:pPr>
        <w:jc w:val="center"/>
        <w:rPr>
          <w:sz w:val="18"/>
          <w:szCs w:val="18"/>
        </w:rPr>
      </w:pPr>
    </w:p>
    <w:p w:rsidR="00DF1FBF" w:rsidRDefault="00DF1FBF" w:rsidP="00DF1FBF">
      <w:pPr>
        <w:jc w:val="center"/>
        <w:rPr>
          <w:sz w:val="24"/>
          <w:szCs w:val="24"/>
        </w:rPr>
      </w:pPr>
    </w:p>
    <w:p w:rsidR="00DF1FBF" w:rsidRDefault="00DF1FBF" w:rsidP="00DF1FBF">
      <w:pPr>
        <w:rPr>
          <w:sz w:val="18"/>
          <w:szCs w:val="18"/>
        </w:rPr>
      </w:pPr>
    </w:p>
    <w:p w:rsidR="00DF1FBF" w:rsidRDefault="00DF1FBF" w:rsidP="00DF1FBF">
      <w:pPr>
        <w:tabs>
          <w:tab w:val="left" w:pos="9360"/>
        </w:tabs>
        <w:jc w:val="center"/>
        <w:rPr>
          <w:b/>
          <w:bCs/>
        </w:rPr>
      </w:pPr>
      <w:r>
        <w:rPr>
          <w:sz w:val="18"/>
          <w:szCs w:val="18"/>
        </w:rPr>
        <w:br w:type="page"/>
      </w:r>
      <w:r>
        <w:rPr>
          <w:b/>
          <w:bCs/>
        </w:rPr>
        <w:lastRenderedPageBreak/>
        <w:t>Section 2</w:t>
      </w:r>
    </w:p>
    <w:p w:rsidR="00DF1FBF" w:rsidRDefault="00DF1FBF" w:rsidP="00DF1FBF">
      <w:pPr>
        <w:tabs>
          <w:tab w:val="left" w:pos="720"/>
          <w:tab w:val="right" w:pos="9360"/>
        </w:tabs>
        <w:ind w:left="360"/>
        <w:jc w:val="center"/>
        <w:rPr>
          <w:b/>
          <w:sz w:val="24"/>
          <w:szCs w:val="24"/>
          <w:lang w:val="en-US"/>
        </w:rPr>
      </w:pPr>
      <w:r>
        <w:rPr>
          <w:b/>
        </w:rPr>
        <w:t>Project Concept</w:t>
      </w:r>
    </w:p>
    <w:p w:rsidR="00DF1FBF" w:rsidRDefault="00DF1FBF" w:rsidP="00DF1FBF"/>
    <w:p w:rsidR="00DF1FBF" w:rsidRDefault="00DF1FBF" w:rsidP="00DF1FBF">
      <w:r>
        <w:rPr>
          <w:b/>
        </w:rPr>
        <w:t>Country:</w:t>
      </w:r>
      <w:r>
        <w:t xml:space="preserve">  </w:t>
      </w:r>
      <w:r>
        <w:tab/>
      </w:r>
      <w:r>
        <w:tab/>
      </w:r>
      <w:r>
        <w:tab/>
      </w:r>
      <w:r>
        <w:rPr>
          <w:b/>
        </w:rPr>
        <w:t>Libya</w:t>
      </w:r>
    </w:p>
    <w:p w:rsidR="00DF1FBF" w:rsidRDefault="00DF1FBF" w:rsidP="00DF1FBF"/>
    <w:p w:rsidR="00DF1FBF" w:rsidRDefault="00DF1FBF" w:rsidP="00DF1FBF">
      <w:pPr>
        <w:ind w:left="2835" w:hanging="2835"/>
      </w:pPr>
      <w:r>
        <w:rPr>
          <w:b/>
        </w:rPr>
        <w:t>Title:</w:t>
      </w:r>
      <w:r>
        <w:t xml:space="preserve"> </w:t>
      </w:r>
      <w:r>
        <w:tab/>
      </w:r>
      <w:r>
        <w:tab/>
      </w:r>
      <w:r>
        <w:tab/>
      </w:r>
      <w:r>
        <w:tab/>
        <w:t>Extension of Institutional Strengthening for the implementation of</w:t>
      </w:r>
    </w:p>
    <w:p w:rsidR="00DF1FBF" w:rsidRDefault="00DF1FBF" w:rsidP="00DF1FBF">
      <w:pPr>
        <w:ind w:left="2835" w:hanging="2835"/>
      </w:pPr>
      <w:r>
        <w:tab/>
      </w:r>
      <w:r>
        <w:tab/>
      </w:r>
      <w:r>
        <w:tab/>
      </w:r>
      <w:r>
        <w:tab/>
        <w:t>Montreal Protocol in Libya – Phase IV second year funding</w:t>
      </w:r>
    </w:p>
    <w:p w:rsidR="00DF1FBF" w:rsidRDefault="00DF1FBF" w:rsidP="00DF1FBF">
      <w:r>
        <w:tab/>
      </w:r>
      <w:r>
        <w:tab/>
      </w:r>
    </w:p>
    <w:p w:rsidR="00DF1FBF" w:rsidRDefault="00DF1FBF" w:rsidP="00DF1FBF">
      <w:pPr>
        <w:ind w:left="3600" w:hanging="3600"/>
      </w:pPr>
      <w:r>
        <w:rPr>
          <w:b/>
        </w:rPr>
        <w:t>Project Duration:</w:t>
      </w:r>
      <w:r>
        <w:tab/>
      </w:r>
      <w:r>
        <w:tab/>
        <w:t>12 months (December 2016 – November 2017)</w:t>
      </w:r>
    </w:p>
    <w:p w:rsidR="00DF1FBF" w:rsidRDefault="00DF1FBF" w:rsidP="00DF1FBF">
      <w:pPr>
        <w:ind w:left="3600" w:hanging="3600"/>
      </w:pPr>
    </w:p>
    <w:p w:rsidR="00DF1FBF" w:rsidRDefault="00DF1FBF" w:rsidP="00DF1FBF">
      <w:pPr>
        <w:ind w:left="3600" w:hanging="3600"/>
      </w:pPr>
      <w:r>
        <w:rPr>
          <w:b/>
        </w:rPr>
        <w:t>Project Budget:</w:t>
      </w:r>
      <w:r>
        <w:rPr>
          <w:b/>
        </w:rPr>
        <w:tab/>
      </w:r>
      <w:r>
        <w:rPr>
          <w:b/>
        </w:rPr>
        <w:tab/>
      </w:r>
      <w:r>
        <w:t xml:space="preserve">US$ 87,082 (excluding US$ 6,096 representing 7% Agency Support </w:t>
      </w:r>
    </w:p>
    <w:p w:rsidR="00DF1FBF" w:rsidRDefault="00DF1FBF" w:rsidP="00DF1FBF">
      <w:pPr>
        <w:ind w:left="3600" w:hanging="3600"/>
        <w:rPr>
          <w:b/>
          <w:lang w:val="en-US"/>
        </w:rPr>
      </w:pPr>
      <w:r>
        <w:tab/>
      </w:r>
      <w:r>
        <w:tab/>
      </w:r>
      <w:r>
        <w:tab/>
      </w:r>
      <w:r>
        <w:tab/>
        <w:t>Costs)</w:t>
      </w:r>
    </w:p>
    <w:p w:rsidR="00DF1FBF" w:rsidRDefault="00DF1FBF" w:rsidP="00DF1FBF"/>
    <w:p w:rsidR="00DF1FBF" w:rsidRDefault="00DF1FBF" w:rsidP="00DF1FBF">
      <w:r>
        <w:rPr>
          <w:b/>
        </w:rPr>
        <w:t>Implementing Agency:</w:t>
      </w:r>
      <w:r>
        <w:t xml:space="preserve"> </w:t>
      </w:r>
      <w:r>
        <w:tab/>
        <w:t>UNIDO</w:t>
      </w:r>
    </w:p>
    <w:p w:rsidR="00DF1FBF" w:rsidRDefault="00DF1FBF" w:rsidP="00DF1FBF"/>
    <w:p w:rsidR="00DF1FBF" w:rsidRDefault="00DF1FBF" w:rsidP="00DF1FBF">
      <w:r>
        <w:rPr>
          <w:b/>
          <w:bCs/>
        </w:rPr>
        <w:t>Coordinating Agency:</w:t>
      </w:r>
      <w:r>
        <w:rPr>
          <w:b/>
          <w:bCs/>
        </w:rPr>
        <w:tab/>
      </w:r>
      <w:r>
        <w:t>National Ozone Unit / Environmental General Authority</w:t>
      </w:r>
    </w:p>
    <w:p w:rsidR="00DF1FBF" w:rsidRDefault="00DF1FBF" w:rsidP="00DF1FBF">
      <w:pPr>
        <w:spacing w:line="19" w:lineRule="exact"/>
      </w:pPr>
    </w:p>
    <w:p w:rsidR="00DF1FBF" w:rsidRDefault="00DF1FBF" w:rsidP="00DF1FBF">
      <w:pPr>
        <w:spacing w:line="19" w:lineRule="exact"/>
      </w:pPr>
    </w:p>
    <w:p w:rsidR="00DF1FBF" w:rsidRDefault="00DF1FBF" w:rsidP="00DF1FBF">
      <w:pPr>
        <w:spacing w:line="19" w:lineRule="exact"/>
      </w:pPr>
    </w:p>
    <w:p w:rsidR="00DF1FBF" w:rsidRDefault="00DF1FBF" w:rsidP="00DF1FBF">
      <w:pPr>
        <w:spacing w:line="19" w:lineRule="exact"/>
      </w:pPr>
    </w:p>
    <w:p w:rsidR="00DF1FBF" w:rsidRDefault="00DF1FBF" w:rsidP="00DF1FBF">
      <w:pPr>
        <w:spacing w:line="19" w:lineRule="exact"/>
      </w:pPr>
    </w:p>
    <w:p w:rsidR="00DF1FBF" w:rsidRDefault="00DF1FBF" w:rsidP="00DF1FBF">
      <w:pPr>
        <w:spacing w:line="19" w:lineRule="exact"/>
      </w:pPr>
    </w:p>
    <w:p w:rsidR="00DF1FBF" w:rsidRDefault="00DF1FBF" w:rsidP="00DF1FBF">
      <w:pPr>
        <w:spacing w:line="19" w:lineRule="exact"/>
      </w:pPr>
    </w:p>
    <w:p w:rsidR="00DF1FBF" w:rsidRDefault="00DF1FBF" w:rsidP="00DF1FBF">
      <w:pPr>
        <w:spacing w:line="19" w:lineRule="exact"/>
      </w:pPr>
      <w:r>
        <w:rPr>
          <w:rFonts w:ascii="Times New Roman TUR" w:hAnsi="Times New Roman TUR"/>
          <w:noProof/>
          <w:lang w:val="en-US"/>
        </w:rPr>
        <mc:AlternateContent>
          <mc:Choice Requires="wps">
            <w:drawing>
              <wp:anchor distT="0" distB="0" distL="114300" distR="114300" simplePos="0" relativeHeight="251663360" behindDoc="1" locked="1" layoutInCell="0" allowOverlap="1">
                <wp:simplePos x="0" y="0"/>
                <wp:positionH relativeFrom="page">
                  <wp:posOffset>914400</wp:posOffset>
                </wp:positionH>
                <wp:positionV relativeFrom="paragraph">
                  <wp:posOffset>0</wp:posOffset>
                </wp:positionV>
                <wp:extent cx="5731510" cy="12065"/>
                <wp:effectExtent l="0" t="0" r="254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1in;margin-top:0;width:451.3pt;height:.9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" o:allowincell="f" fillcolor="black" stroked="f" strokeweight="0">
                <w10:wrap anchorx="page"/>
                <w10:anchorlock/>
              </v:rect>
            </w:pict>
          </mc:Fallback>
        </mc:AlternateContent>
      </w:r>
    </w:p>
    <w:p w:rsidR="00DF1FBF" w:rsidRDefault="00DF1FBF" w:rsidP="00DF1FBF">
      <w:pPr>
        <w:ind w:left="720"/>
      </w:pPr>
    </w:p>
    <w:p w:rsidR="00DF1FBF" w:rsidRDefault="00DF1FBF" w:rsidP="00DF1FBF">
      <w:pPr>
        <w:tabs>
          <w:tab w:val="center" w:pos="4513"/>
        </w:tabs>
        <w:rPr>
          <w:b/>
          <w:bCs/>
        </w:rPr>
      </w:pPr>
      <w:r>
        <w:tab/>
      </w:r>
      <w:r>
        <w:rPr>
          <w:b/>
          <w:bCs/>
        </w:rPr>
        <w:t>Project Summary</w:t>
      </w:r>
    </w:p>
    <w:p w:rsidR="00DF1FBF" w:rsidRDefault="00DF1FBF" w:rsidP="00DF1FBF">
      <w:pPr>
        <w:rPr>
          <w:lang w:val="en-US"/>
        </w:rPr>
      </w:pPr>
    </w:p>
    <w:p w:rsidR="00DF1FBF" w:rsidRDefault="00DF1FBF" w:rsidP="00DF1FBF">
      <w:pPr>
        <w:pStyle w:val="BalloonText"/>
        <w:rPr>
          <w:rFonts w:ascii="Times New Roman" w:hAnsi="Times New Roman"/>
          <w:sz w:val="24"/>
          <w:szCs w:val="24"/>
        </w:rPr>
      </w:pPr>
      <w:r>
        <w:rPr>
          <w:rFonts w:ascii="Times New Roman" w:hAnsi="Times New Roman"/>
          <w:sz w:val="24"/>
          <w:szCs w:val="24"/>
        </w:rPr>
        <w:t>The project is addressing further institutional strengthening and capacity building for the</w:t>
      </w:r>
      <w:r>
        <w:rPr>
          <w:rFonts w:ascii="Times New Roman" w:hAnsi="Times New Roman"/>
          <w:b/>
          <w:sz w:val="24"/>
          <w:szCs w:val="24"/>
        </w:rPr>
        <w:t xml:space="preserve"> </w:t>
      </w:r>
      <w:r>
        <w:rPr>
          <w:rFonts w:ascii="Times New Roman" w:hAnsi="Times New Roman"/>
          <w:sz w:val="24"/>
          <w:szCs w:val="24"/>
        </w:rPr>
        <w:t xml:space="preserve">National Ozone Unit / </w:t>
      </w:r>
      <w:r>
        <w:rPr>
          <w:rFonts w:ascii="Times New Roman" w:hAnsi="Times New Roman" w:cs="Courier New"/>
          <w:sz w:val="22"/>
          <w:szCs w:val="22"/>
        </w:rPr>
        <w:t>Environmental General Authority</w:t>
      </w:r>
      <w:r>
        <w:rPr>
          <w:rFonts w:ascii="Times New Roman" w:hAnsi="Times New Roman"/>
          <w:sz w:val="24"/>
          <w:szCs w:val="24"/>
        </w:rPr>
        <w:t xml:space="preserve"> and will ensure that the Government will meet its obligations under the Montreal Protocol on the substances that deplete the Ozone Layer.</w:t>
      </w:r>
    </w:p>
    <w:p w:rsidR="00DF1FBF" w:rsidRDefault="00DF1FBF" w:rsidP="00DF1FBF">
      <w:pPr>
        <w:pStyle w:val="BalloonText"/>
        <w:rPr>
          <w:rFonts w:ascii="Times New Roman" w:hAnsi="Times New Roman"/>
          <w:sz w:val="24"/>
          <w:szCs w:val="24"/>
        </w:rPr>
      </w:pPr>
    </w:p>
    <w:p w:rsidR="00DF1FBF" w:rsidRDefault="00DF1FBF" w:rsidP="00DF1FBF">
      <w:pPr>
        <w:tabs>
          <w:tab w:val="left" w:pos="-1440"/>
          <w:tab w:val="left" w:pos="-720"/>
          <w:tab w:val="left" w:pos="0"/>
          <w:tab w:val="left" w:pos="819"/>
          <w:tab w:val="left" w:pos="2160"/>
          <w:tab w:val="left" w:pos="2880"/>
          <w:tab w:val="left" w:pos="3600"/>
          <w:tab w:val="left" w:pos="4320"/>
          <w:tab w:val="left" w:pos="5040"/>
          <w:tab w:val="left" w:pos="5760"/>
          <w:tab w:val="left" w:pos="6480"/>
          <w:tab w:val="left" w:pos="7200"/>
          <w:tab w:val="left" w:pos="7920"/>
          <w:tab w:val="left" w:pos="8640"/>
          <w:tab w:val="left" w:pos="9360"/>
        </w:tabs>
        <w:rPr>
          <w:rFonts w:cs="Courier New"/>
        </w:rPr>
      </w:pPr>
      <w:r>
        <w:rPr>
          <w:color w:val="000000"/>
        </w:rPr>
        <w:t>During phase IV (year 2) the NOU will continue to monitor HCFCs consumption to maintain compliance with quota system and with licensing system. Quotas will be issued for the years 2017 and 2018 to maintain HCFC consumption in line with the Agreement between the Executive Committee and the Executive Committee and with its commitments in decision XXVII/11.  Monitoring of HCFC distribution monitoring by sub-sectors will be given special attention as it will be critical for the successful implementation of the HCFCs phase-out policies.</w:t>
      </w:r>
    </w:p>
    <w:p w:rsidR="00DF1FBF" w:rsidRDefault="00DF1FBF" w:rsidP="00DF1FBF">
      <w:pPr>
        <w:pStyle w:val="BalloonText"/>
        <w:rPr>
          <w:rFonts w:ascii="Times New Roman" w:hAnsi="Times New Roman" w:cs="Times New Roman"/>
          <w:sz w:val="24"/>
          <w:szCs w:val="24"/>
        </w:rPr>
      </w:pPr>
    </w:p>
    <w:p w:rsidR="00DF1FBF" w:rsidRDefault="00DF1FBF" w:rsidP="00DF1FBF">
      <w:pPr>
        <w:pStyle w:val="BalloonText"/>
        <w:rPr>
          <w:rFonts w:ascii="Times New Roman" w:hAnsi="Times New Roman"/>
          <w:sz w:val="24"/>
          <w:szCs w:val="24"/>
        </w:rPr>
      </w:pPr>
      <w:r>
        <w:rPr>
          <w:rFonts w:ascii="Times New Roman" w:hAnsi="Times New Roman"/>
          <w:sz w:val="24"/>
          <w:szCs w:val="24"/>
        </w:rPr>
        <w:t>Libya has passed through challenges due to administrative restructuring and delays in adoption HCFCs specific regulatory measures to ensure full control of the country consumption. Being in non-compliance, the country was relaying on the institutional strengthening funding in the year 2015, and the financial support approved for one year duration by the 74</w:t>
      </w:r>
      <w:r>
        <w:rPr>
          <w:rFonts w:ascii="Times New Roman" w:hAnsi="Times New Roman"/>
          <w:sz w:val="24"/>
          <w:szCs w:val="24"/>
          <w:vertAlign w:val="superscript"/>
        </w:rPr>
        <w:t>th</w:t>
      </w:r>
      <w:r>
        <w:rPr>
          <w:rFonts w:ascii="Times New Roman" w:hAnsi="Times New Roman"/>
          <w:sz w:val="24"/>
          <w:szCs w:val="24"/>
        </w:rPr>
        <w:t xml:space="preserve"> ExCom enabled the country to complete its HPMP and the expedite the national legislation in the approval process.</w:t>
      </w:r>
    </w:p>
    <w:p w:rsidR="00DF1FBF" w:rsidRDefault="00DF1FBF" w:rsidP="00DF1FBF">
      <w:pPr>
        <w:pStyle w:val="BalloonText"/>
        <w:rPr>
          <w:rFonts w:ascii="Times New Roman" w:hAnsi="Times New Roman"/>
          <w:sz w:val="24"/>
          <w:szCs w:val="24"/>
        </w:rPr>
      </w:pPr>
    </w:p>
    <w:p w:rsidR="00DF1FBF" w:rsidRDefault="00DF1FBF" w:rsidP="00DF1FBF">
      <w:pPr>
        <w:pStyle w:val="BalloonText"/>
        <w:rPr>
          <w:rFonts w:ascii="Times New Roman" w:hAnsi="Times New Roman"/>
          <w:sz w:val="24"/>
          <w:szCs w:val="24"/>
        </w:rPr>
      </w:pPr>
      <w:r>
        <w:rPr>
          <w:rFonts w:ascii="Times New Roman" w:hAnsi="Times New Roman"/>
          <w:sz w:val="24"/>
          <w:szCs w:val="24"/>
        </w:rPr>
        <w:t>The HPMP Stage I was approved and is under implementation. NOU was maintained active, staff continuity was ensured and there are no major administrative changes to further affect functionality of NOU. This underlines the country commitment to comply with the Montreal Protocol obligations.</w:t>
      </w:r>
    </w:p>
    <w:p w:rsidR="00DF1FBF" w:rsidRDefault="00DF1FBF" w:rsidP="00DF1FBF">
      <w:pPr>
        <w:tabs>
          <w:tab w:val="left" w:pos="1985"/>
        </w:tabs>
        <w:spacing w:before="1" w:after="1"/>
        <w:rPr>
          <w:sz w:val="24"/>
          <w:szCs w:val="24"/>
        </w:rPr>
      </w:pPr>
    </w:p>
    <w:p w:rsidR="00DF1FBF" w:rsidRDefault="00DF1FBF" w:rsidP="00DF1FBF">
      <w:pPr>
        <w:pStyle w:val="Style"/>
        <w:tabs>
          <w:tab w:val="left" w:pos="1985"/>
        </w:tabs>
        <w:spacing w:before="1" w:after="1"/>
        <w:ind w:right="283"/>
        <w:rPr>
          <w:lang w:val="en-GB"/>
        </w:rPr>
      </w:pPr>
      <w:r>
        <w:rPr>
          <w:lang w:val="en-GB"/>
        </w:rPr>
        <w:t xml:space="preserve">The National Ozone Unit is responsible for and oversees the implementation of the HPMP project and ensures the further phase-out of the annual HCFCs consumption, beyond the 10 % reduction target achieved in 2015. It has a major role in the process of monitoring of the project activities.  </w:t>
      </w:r>
    </w:p>
    <w:p w:rsidR="00DF1FBF" w:rsidRDefault="00DF1FBF" w:rsidP="00DF1FBF">
      <w:pPr>
        <w:pStyle w:val="Style"/>
        <w:tabs>
          <w:tab w:val="left" w:pos="1985"/>
        </w:tabs>
        <w:spacing w:before="1" w:after="1"/>
        <w:ind w:right="283"/>
        <w:rPr>
          <w:lang w:val="en-GB"/>
        </w:rPr>
      </w:pPr>
    </w:p>
    <w:p w:rsidR="00DF1FBF" w:rsidRDefault="00DF1FBF" w:rsidP="00DF1FBF">
      <w:pPr>
        <w:pStyle w:val="Style"/>
        <w:tabs>
          <w:tab w:val="left" w:pos="1985"/>
        </w:tabs>
        <w:spacing w:before="1" w:after="1"/>
        <w:ind w:right="283"/>
        <w:rPr>
          <w:lang w:val="en-GB"/>
        </w:rPr>
      </w:pPr>
      <w:r>
        <w:rPr>
          <w:lang w:val="en-GB"/>
        </w:rPr>
        <w:t>The NOU actively cooperate with ministries and inter-ministerial bodies as well as with advisory groups such as customs authorities, refrigeration sector representatives, NGOs and others.</w:t>
      </w:r>
    </w:p>
    <w:p w:rsidR="00DF1FBF" w:rsidRDefault="00DF1FBF" w:rsidP="00DF1FBF">
      <w:pPr>
        <w:jc w:val="center"/>
        <w:rPr>
          <w:b/>
          <w:lang w:val="en-US"/>
        </w:rPr>
      </w:pPr>
      <w:r>
        <w:rPr>
          <w:b/>
        </w:rPr>
        <w:br w:type="page"/>
      </w:r>
      <w:r>
        <w:rPr>
          <w:b/>
        </w:rPr>
        <w:lastRenderedPageBreak/>
        <w:t>Project Concept</w:t>
      </w:r>
    </w:p>
    <w:p w:rsidR="00DF1FBF" w:rsidRDefault="00DF1FBF" w:rsidP="00DF1FBF">
      <w:pPr>
        <w:tabs>
          <w:tab w:val="left" w:pos="1418"/>
        </w:tabs>
      </w:pPr>
    </w:p>
    <w:p w:rsidR="00DF1FBF" w:rsidRDefault="00DF1FBF" w:rsidP="00DF1FBF">
      <w:pPr>
        <w:tabs>
          <w:tab w:val="left" w:pos="1418"/>
        </w:tabs>
      </w:pPr>
      <w:r>
        <w:rPr>
          <w:b/>
        </w:rPr>
        <w:t>Country:</w:t>
      </w:r>
      <w:r>
        <w:rPr>
          <w:b/>
        </w:rPr>
        <w:tab/>
      </w:r>
      <w:r>
        <w:rPr>
          <w:b/>
        </w:rPr>
        <w:tab/>
      </w:r>
      <w:r>
        <w:rPr>
          <w:b/>
          <w:bCs/>
        </w:rPr>
        <w:t>Argentina</w:t>
      </w:r>
    </w:p>
    <w:p w:rsidR="00DF1FBF" w:rsidRDefault="00DF1FBF" w:rsidP="00DF1FBF"/>
    <w:p w:rsidR="00DF1FBF" w:rsidRDefault="00DF1FBF" w:rsidP="00DF1FBF">
      <w:pPr>
        <w:ind w:left="2160" w:hanging="2160"/>
      </w:pPr>
      <w:r>
        <w:rPr>
          <w:b/>
        </w:rPr>
        <w:t>Title:</w:t>
      </w:r>
      <w:r>
        <w:rPr>
          <w:b/>
        </w:rPr>
        <w:tab/>
      </w:r>
      <w:r>
        <w:rPr>
          <w:b/>
        </w:rPr>
        <w:tab/>
      </w:r>
      <w:r>
        <w:t>Project preparation for stage II of HPMP</w:t>
      </w:r>
    </w:p>
    <w:p w:rsidR="00DF1FBF" w:rsidRDefault="00DF1FBF" w:rsidP="00DF1FBF">
      <w:pPr>
        <w:ind w:left="1418" w:hanging="1418"/>
      </w:pPr>
    </w:p>
    <w:p w:rsidR="00DF1FBF" w:rsidRDefault="00DF1FBF" w:rsidP="00DF1FBF">
      <w:r>
        <w:rPr>
          <w:b/>
        </w:rPr>
        <w:t>Project Duration:</w:t>
      </w:r>
      <w:r>
        <w:tab/>
      </w:r>
      <w:r>
        <w:tab/>
        <w:t>12 months</w:t>
      </w:r>
    </w:p>
    <w:p w:rsidR="00DF1FBF" w:rsidRDefault="00DF1FBF" w:rsidP="00DF1FBF"/>
    <w:p w:rsidR="00DF1FBF" w:rsidRDefault="00DF1FBF" w:rsidP="00DF1FBF">
      <w:pPr>
        <w:tabs>
          <w:tab w:val="left" w:pos="2835"/>
        </w:tabs>
        <w:ind w:left="3600" w:hanging="3600"/>
        <w:rPr>
          <w:b/>
        </w:rPr>
      </w:pPr>
      <w:r>
        <w:rPr>
          <w:b/>
        </w:rPr>
        <w:t xml:space="preserve">Project Budget:     </w:t>
      </w:r>
      <w:r>
        <w:rPr>
          <w:b/>
        </w:rPr>
        <w:tab/>
      </w:r>
      <w:r>
        <w:t>US$ 90,000</w:t>
      </w:r>
      <w:r>
        <w:rPr>
          <w:b/>
        </w:rPr>
        <w:t xml:space="preserve"> </w:t>
      </w:r>
      <w:r>
        <w:t xml:space="preserve">(excl. 7% Agency Support Costs) </w:t>
      </w:r>
    </w:p>
    <w:p w:rsidR="00DF1FBF" w:rsidRDefault="00DF1FBF" w:rsidP="00DF1FBF"/>
    <w:p w:rsidR="00DF1FBF" w:rsidRDefault="00DF1FBF" w:rsidP="00DF1FBF">
      <w:pPr>
        <w:tabs>
          <w:tab w:val="left" w:pos="3544"/>
        </w:tabs>
      </w:pPr>
      <w:r>
        <w:rPr>
          <w:b/>
        </w:rPr>
        <w:t>Implementing Agency:</w:t>
      </w:r>
      <w:r>
        <w:t xml:space="preserve">         UNIDO</w:t>
      </w:r>
    </w:p>
    <w:p w:rsidR="00DF1FBF" w:rsidRDefault="00DF1FBF" w:rsidP="00DF1FBF"/>
    <w:p w:rsidR="00DF1FBF" w:rsidRDefault="00DF1FBF" w:rsidP="00DF1FBF">
      <w:pPr>
        <w:tabs>
          <w:tab w:val="left" w:pos="2835"/>
        </w:tabs>
        <w:ind w:left="3600" w:hanging="3600"/>
      </w:pPr>
      <w:r>
        <w:rPr>
          <w:b/>
        </w:rPr>
        <w:t>Coordinating Agency:</w:t>
      </w:r>
      <w:r>
        <w:rPr>
          <w:b/>
        </w:rPr>
        <w:tab/>
      </w:r>
      <w:r>
        <w:t>OPROZ - National Ozone Unit</w:t>
      </w:r>
    </w:p>
    <w:p w:rsidR="00DF1FBF" w:rsidRDefault="00DF1FBF" w:rsidP="00DF1FBF">
      <w:pPr>
        <w:spacing w:line="19" w:lineRule="exact"/>
      </w:pPr>
      <w:r>
        <w:rPr>
          <w:rFonts w:ascii="Times New Roman TUR" w:hAnsi="Times New Roman TUR"/>
          <w:noProof/>
          <w:lang w:val="en-US"/>
        </w:rPr>
        <mc:AlternateContent>
          <mc:Choice Requires="wps">
            <w:drawing>
              <wp:anchor distT="0" distB="0" distL="114300" distR="114300" simplePos="0" relativeHeight="251664384" behindDoc="1" locked="1" layoutInCell="0" allowOverlap="1">
                <wp:simplePos x="0" y="0"/>
                <wp:positionH relativeFrom="page">
                  <wp:posOffset>914400</wp:posOffset>
                </wp:positionH>
                <wp:positionV relativeFrom="paragraph">
                  <wp:posOffset>0</wp:posOffset>
                </wp:positionV>
                <wp:extent cx="5731510" cy="12065"/>
                <wp:effectExtent l="0" t="0" r="2540" b="698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1in;margin-top:0;width:451.3pt;height:.9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" o:allowincell="f" fillcolor="black" stroked="f" strokeweight="0">
                <w10:wrap anchorx="page"/>
                <w10:anchorlock/>
              </v:rect>
            </w:pict>
          </mc:Fallback>
        </mc:AlternateContent>
      </w:r>
    </w:p>
    <w:p w:rsidR="00DF1FBF" w:rsidRDefault="00DF1FBF" w:rsidP="00DF1FBF">
      <w:pPr>
        <w:ind w:left="720"/>
      </w:pPr>
    </w:p>
    <w:p w:rsidR="00DF1FBF" w:rsidRDefault="00DF1FBF" w:rsidP="00DF1FBF">
      <w:pPr>
        <w:tabs>
          <w:tab w:val="center" w:pos="4513"/>
        </w:tabs>
        <w:rPr>
          <w:b/>
          <w:bCs/>
        </w:rPr>
      </w:pPr>
      <w:r>
        <w:tab/>
      </w:r>
      <w:r>
        <w:rPr>
          <w:b/>
          <w:bCs/>
        </w:rPr>
        <w:t>Project Summary</w:t>
      </w:r>
    </w:p>
    <w:p w:rsidR="00DF1FBF" w:rsidRDefault="00DF1FBF" w:rsidP="00DF1FBF">
      <w:pPr>
        <w:jc w:val="center"/>
        <w:rPr>
          <w:b/>
          <w:lang w:val="en-US"/>
        </w:rPr>
      </w:pPr>
    </w:p>
    <w:p w:rsidR="00DF1FBF" w:rsidRDefault="00DF1FBF" w:rsidP="00DF1FBF">
      <w:r>
        <w:t>The Implementing Agency has received an official request from the Government of Argentina for project preparation in the stage II of HPMP. In response to the decision 71/42(b) UNIDO is submitting a request for funds for the preparation of stage II of HPMP.</w:t>
      </w:r>
    </w:p>
    <w:p w:rsidR="00DF1FBF" w:rsidRDefault="00DF1FBF" w:rsidP="00DF1FBF">
      <w:pPr>
        <w:tabs>
          <w:tab w:val="left" w:pos="-1440"/>
        </w:tabs>
      </w:pPr>
    </w:p>
    <w:p w:rsidR="00DF1FBF" w:rsidRDefault="00DF1FBF" w:rsidP="00DF1FBF">
      <w:pPr>
        <w:tabs>
          <w:tab w:val="left" w:pos="-1440"/>
        </w:tabs>
      </w:pPr>
      <w:r>
        <w:t xml:space="preserve">Argentina’s base line consumption of HCFCs amounted to 400.7 ODP tonnes. After the approval of the HPMP Stage I, Argentina committed to reduce 53.46 by 2015, once completed, the remaining consumption in the HPMP will be 273.33 ODP. </w:t>
      </w:r>
    </w:p>
    <w:p w:rsidR="00DF1FBF" w:rsidRDefault="00DF1FBF" w:rsidP="00DF1FBF"/>
    <w:p w:rsidR="00DF1FBF" w:rsidRDefault="00DF1FBF" w:rsidP="00DF1FBF">
      <w:pPr>
        <w:rPr>
          <w:rFonts w:eastAsia="MS Mincho" w:cs="Arial"/>
          <w:lang w:val="en-US" w:eastAsia="ja-JP"/>
        </w:rPr>
      </w:pPr>
      <w:r>
        <w:rPr>
          <w:rFonts w:eastAsia="MS Mincho" w:cs="Arial"/>
          <w:lang w:eastAsia="ja-JP"/>
        </w:rPr>
        <w:t xml:space="preserve">Argentina is a major consumer of HCFC-141b and HCFC-22, and a producer of HCFC-22.  Thus, the phase out of the national consumption of Annex C, group I substances (HCFCs) by 356.86 ODP Tonnes from the starting point established at the HPMP Stage I. </w:t>
      </w:r>
    </w:p>
    <w:p w:rsidR="00DF1FBF" w:rsidRDefault="00DF1FBF" w:rsidP="00DF1FBF">
      <w:pPr>
        <w:rPr>
          <w:rFonts w:eastAsia="MS Mincho" w:cs="Arial"/>
          <w:lang w:eastAsia="ja-JP"/>
        </w:rPr>
      </w:pPr>
    </w:p>
    <w:p w:rsidR="00DF1FBF" w:rsidRDefault="00DF1FBF" w:rsidP="00DF1FBF">
      <w:pPr>
        <w:rPr>
          <w:rFonts w:eastAsia="MS Mincho"/>
          <w:szCs w:val="24"/>
          <w:lang w:eastAsia="ja-JP"/>
        </w:rPr>
      </w:pPr>
      <w:r>
        <w:rPr>
          <w:rFonts w:eastAsia="MS Mincho"/>
          <w:lang w:eastAsia="ja-JP"/>
        </w:rPr>
        <w:t>The reduction and compliance targets are as follows:</w:t>
      </w:r>
    </w:p>
    <w:p w:rsidR="00DF1FBF" w:rsidRDefault="00DF1FBF" w:rsidP="00DF1FBF">
      <w:pPr>
        <w:rPr>
          <w:rFonts w:eastAsia="MS Mincho"/>
          <w:lang w:eastAsia="ja-JP"/>
        </w:rPr>
      </w:pPr>
    </w:p>
    <w:tbl>
      <w:tblPr>
        <w:tblW w:w="5000"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2510"/>
        <w:gridCol w:w="2300"/>
        <w:gridCol w:w="2258"/>
        <w:gridCol w:w="2508"/>
      </w:tblGrid>
      <w:tr w:rsidR="00DF1FBF" w:rsidTr="00DF1FBF">
        <w:trPr>
          <w:cantSplit/>
          <w:jc w:val="center"/>
        </w:trPr>
        <w:tc>
          <w:tcPr>
            <w:tcW w:w="2434" w:type="dxa"/>
            <w:tcBorders>
              <w:top w:val="double" w:sz="4" w:space="0" w:color="auto"/>
              <w:left w:val="double" w:sz="4" w:space="0" w:color="auto"/>
              <w:bottom w:val="single" w:sz="6" w:space="0" w:color="auto"/>
              <w:right w:val="single" w:sz="6" w:space="0" w:color="auto"/>
            </w:tcBorders>
            <w:shd w:val="clear" w:color="auto" w:fill="DBE5F1"/>
            <w:noWrap/>
            <w:vAlign w:val="center"/>
            <w:hideMark/>
          </w:tcPr>
          <w:p w:rsidR="00DF1FBF" w:rsidRDefault="00DF1FBF">
            <w:pPr>
              <w:autoSpaceDN w:val="0"/>
              <w:jc w:val="center"/>
              <w:rPr>
                <w:rFonts w:cs="Arial"/>
                <w:b/>
                <w:bCs/>
                <w:szCs w:val="18"/>
                <w:lang w:eastAsia="es-MX"/>
              </w:rPr>
            </w:pPr>
            <w:r>
              <w:rPr>
                <w:rFonts w:cs="Arial"/>
                <w:b/>
                <w:bCs/>
                <w:szCs w:val="18"/>
                <w:lang w:eastAsia="es-MX"/>
              </w:rPr>
              <w:t>Year</w:t>
            </w:r>
          </w:p>
        </w:tc>
        <w:tc>
          <w:tcPr>
            <w:tcW w:w="2230" w:type="dxa"/>
            <w:tcBorders>
              <w:top w:val="double" w:sz="4" w:space="0" w:color="auto"/>
              <w:left w:val="single" w:sz="6" w:space="0" w:color="auto"/>
              <w:bottom w:val="single" w:sz="6" w:space="0" w:color="auto"/>
              <w:right w:val="single" w:sz="6" w:space="0" w:color="auto"/>
            </w:tcBorders>
            <w:shd w:val="clear" w:color="auto" w:fill="DBE5F1"/>
            <w:noWrap/>
            <w:vAlign w:val="center"/>
            <w:hideMark/>
          </w:tcPr>
          <w:p w:rsidR="00DF1FBF" w:rsidRDefault="00DF1FBF">
            <w:pPr>
              <w:autoSpaceDN w:val="0"/>
              <w:jc w:val="center"/>
              <w:rPr>
                <w:rFonts w:cs="Arial"/>
                <w:b/>
                <w:bCs/>
                <w:szCs w:val="18"/>
                <w:lang w:eastAsia="es-MX"/>
              </w:rPr>
            </w:pPr>
            <w:r>
              <w:rPr>
                <w:rFonts w:cs="Arial"/>
                <w:b/>
                <w:bCs/>
                <w:szCs w:val="18"/>
                <w:lang w:eastAsia="es-MX"/>
              </w:rPr>
              <w:t>Consumption (ODP Tonnes)</w:t>
            </w:r>
          </w:p>
        </w:tc>
        <w:tc>
          <w:tcPr>
            <w:tcW w:w="2190" w:type="dxa"/>
            <w:tcBorders>
              <w:top w:val="double" w:sz="4" w:space="0" w:color="auto"/>
              <w:left w:val="single" w:sz="6" w:space="0" w:color="auto"/>
              <w:bottom w:val="single" w:sz="6" w:space="0" w:color="auto"/>
              <w:right w:val="single" w:sz="6" w:space="0" w:color="auto"/>
            </w:tcBorders>
            <w:shd w:val="clear" w:color="auto" w:fill="DBE5F1"/>
            <w:noWrap/>
            <w:vAlign w:val="center"/>
            <w:hideMark/>
          </w:tcPr>
          <w:p w:rsidR="00DF1FBF" w:rsidRDefault="00DF1FBF">
            <w:pPr>
              <w:jc w:val="center"/>
              <w:rPr>
                <w:rFonts w:cs="Arial"/>
                <w:b/>
                <w:bCs/>
                <w:szCs w:val="18"/>
                <w:lang w:eastAsia="es-MX"/>
              </w:rPr>
            </w:pPr>
            <w:r>
              <w:rPr>
                <w:rFonts w:cs="Arial"/>
                <w:b/>
                <w:bCs/>
                <w:szCs w:val="18"/>
                <w:lang w:eastAsia="es-MX"/>
              </w:rPr>
              <w:t>Reduction</w:t>
            </w:r>
          </w:p>
          <w:p w:rsidR="00DF1FBF" w:rsidRDefault="00DF1FBF">
            <w:pPr>
              <w:autoSpaceDN w:val="0"/>
              <w:jc w:val="center"/>
              <w:rPr>
                <w:rFonts w:cs="Arial"/>
                <w:b/>
                <w:bCs/>
                <w:szCs w:val="18"/>
                <w:lang w:eastAsia="es-MX"/>
              </w:rPr>
            </w:pPr>
            <w:r>
              <w:rPr>
                <w:rFonts w:cs="Arial"/>
                <w:b/>
                <w:bCs/>
                <w:szCs w:val="18"/>
                <w:lang w:eastAsia="es-MX"/>
              </w:rPr>
              <w:t>(ODP Tonnes)</w:t>
            </w:r>
          </w:p>
        </w:tc>
        <w:tc>
          <w:tcPr>
            <w:tcW w:w="2432" w:type="dxa"/>
            <w:tcBorders>
              <w:top w:val="double" w:sz="4" w:space="0" w:color="auto"/>
              <w:left w:val="single" w:sz="6" w:space="0" w:color="auto"/>
              <w:bottom w:val="single" w:sz="6" w:space="0" w:color="auto"/>
              <w:right w:val="double" w:sz="4" w:space="0" w:color="auto"/>
            </w:tcBorders>
            <w:shd w:val="clear" w:color="auto" w:fill="DBE5F1"/>
            <w:noWrap/>
            <w:vAlign w:val="center"/>
            <w:hideMark/>
          </w:tcPr>
          <w:p w:rsidR="00DF1FBF" w:rsidRDefault="00DF1FBF">
            <w:pPr>
              <w:jc w:val="center"/>
              <w:rPr>
                <w:rFonts w:cs="Arial"/>
                <w:b/>
                <w:bCs/>
                <w:szCs w:val="18"/>
                <w:lang w:eastAsia="es-MX"/>
              </w:rPr>
            </w:pPr>
            <w:r>
              <w:rPr>
                <w:rFonts w:cs="Arial"/>
                <w:b/>
                <w:bCs/>
                <w:szCs w:val="18"/>
                <w:lang w:eastAsia="es-MX"/>
              </w:rPr>
              <w:t>Consumption allowed</w:t>
            </w:r>
          </w:p>
          <w:p w:rsidR="00DF1FBF" w:rsidRDefault="00DF1FBF">
            <w:pPr>
              <w:autoSpaceDN w:val="0"/>
              <w:jc w:val="center"/>
              <w:rPr>
                <w:rFonts w:cs="Arial"/>
                <w:b/>
                <w:bCs/>
                <w:szCs w:val="18"/>
                <w:lang w:eastAsia="es-MX"/>
              </w:rPr>
            </w:pPr>
            <w:r>
              <w:rPr>
                <w:rFonts w:cs="Arial"/>
                <w:b/>
                <w:bCs/>
                <w:szCs w:val="18"/>
                <w:lang w:eastAsia="es-MX"/>
              </w:rPr>
              <w:t>(ODP Tonnes)</w:t>
            </w:r>
          </w:p>
        </w:tc>
      </w:tr>
      <w:tr w:rsidR="00DF1FBF" w:rsidTr="00DF1FBF">
        <w:trPr>
          <w:cantSplit/>
          <w:jc w:val="center"/>
        </w:trPr>
        <w:tc>
          <w:tcPr>
            <w:tcW w:w="2434" w:type="dxa"/>
            <w:tcBorders>
              <w:top w:val="single" w:sz="6" w:space="0" w:color="auto"/>
              <w:left w:val="double" w:sz="4" w:space="0" w:color="auto"/>
              <w:bottom w:val="single" w:sz="6" w:space="0" w:color="auto"/>
              <w:right w:val="single" w:sz="6" w:space="0" w:color="auto"/>
            </w:tcBorders>
            <w:noWrap/>
            <w:vAlign w:val="center"/>
            <w:hideMark/>
          </w:tcPr>
          <w:p w:rsidR="00DF1FBF" w:rsidRDefault="00DF1FBF">
            <w:pPr>
              <w:autoSpaceDN w:val="0"/>
              <w:jc w:val="center"/>
              <w:rPr>
                <w:rFonts w:cs="Arial"/>
                <w:szCs w:val="18"/>
                <w:lang w:eastAsia="es-MX"/>
              </w:rPr>
            </w:pPr>
            <w:r>
              <w:rPr>
                <w:rFonts w:cs="Arial"/>
                <w:szCs w:val="18"/>
                <w:lang w:eastAsia="es-MX"/>
              </w:rPr>
              <w:t>2009</w:t>
            </w:r>
          </w:p>
        </w:tc>
        <w:tc>
          <w:tcPr>
            <w:tcW w:w="2230" w:type="dxa"/>
            <w:tcBorders>
              <w:top w:val="single" w:sz="6" w:space="0" w:color="auto"/>
              <w:left w:val="single" w:sz="6" w:space="0" w:color="auto"/>
              <w:bottom w:val="single" w:sz="6" w:space="0" w:color="auto"/>
              <w:right w:val="single" w:sz="6" w:space="0" w:color="auto"/>
            </w:tcBorders>
            <w:noWrap/>
            <w:vAlign w:val="bottom"/>
            <w:hideMark/>
          </w:tcPr>
          <w:p w:rsidR="00DF1FBF" w:rsidRDefault="00DF1FBF">
            <w:pPr>
              <w:autoSpaceDN w:val="0"/>
              <w:jc w:val="center"/>
              <w:rPr>
                <w:lang w:val="es-ES" w:eastAsia="ja-JP"/>
              </w:rPr>
            </w:pPr>
            <w:r>
              <w:rPr>
                <w:rFonts w:eastAsia="MS Mincho"/>
                <w:szCs w:val="18"/>
                <w:lang w:val="es-ES" w:eastAsia="ja-JP"/>
              </w:rPr>
              <w:t>326.15</w:t>
            </w:r>
          </w:p>
        </w:tc>
        <w:tc>
          <w:tcPr>
            <w:tcW w:w="2190" w:type="dxa"/>
            <w:tcBorders>
              <w:top w:val="single" w:sz="6" w:space="0" w:color="auto"/>
              <w:left w:val="single" w:sz="6" w:space="0" w:color="auto"/>
              <w:bottom w:val="single" w:sz="6" w:space="0" w:color="auto"/>
              <w:right w:val="single" w:sz="6" w:space="0" w:color="auto"/>
            </w:tcBorders>
            <w:noWrap/>
            <w:vAlign w:val="center"/>
            <w:hideMark/>
          </w:tcPr>
          <w:p w:rsidR="00DF1FBF" w:rsidRDefault="00DF1FBF">
            <w:pPr>
              <w:autoSpaceDN w:val="0"/>
              <w:jc w:val="center"/>
              <w:rPr>
                <w:rFonts w:cs="Arial"/>
                <w:szCs w:val="18"/>
                <w:lang w:eastAsia="es-MX"/>
              </w:rPr>
            </w:pPr>
            <w:r>
              <w:rPr>
                <w:rFonts w:cs="Arial"/>
                <w:szCs w:val="18"/>
                <w:lang w:eastAsia="es-MX"/>
              </w:rPr>
              <w:t>N/A</w:t>
            </w:r>
          </w:p>
        </w:tc>
        <w:tc>
          <w:tcPr>
            <w:tcW w:w="2432" w:type="dxa"/>
            <w:tcBorders>
              <w:top w:val="single" w:sz="6" w:space="0" w:color="auto"/>
              <w:left w:val="single" w:sz="6" w:space="0" w:color="auto"/>
              <w:bottom w:val="single" w:sz="6" w:space="0" w:color="auto"/>
              <w:right w:val="double" w:sz="4" w:space="0" w:color="auto"/>
            </w:tcBorders>
            <w:noWrap/>
            <w:vAlign w:val="center"/>
            <w:hideMark/>
          </w:tcPr>
          <w:p w:rsidR="00DF1FBF" w:rsidRDefault="00DF1FBF">
            <w:pPr>
              <w:autoSpaceDN w:val="0"/>
              <w:jc w:val="center"/>
              <w:rPr>
                <w:szCs w:val="24"/>
                <w:lang w:eastAsia="ja-JP"/>
              </w:rPr>
            </w:pPr>
            <w:r>
              <w:rPr>
                <w:rFonts w:cs="Arial"/>
                <w:szCs w:val="18"/>
                <w:lang w:eastAsia="es-MX"/>
              </w:rPr>
              <w:t>N/A</w:t>
            </w:r>
          </w:p>
        </w:tc>
      </w:tr>
      <w:tr w:rsidR="00DF1FBF" w:rsidTr="00DF1FBF">
        <w:trPr>
          <w:cantSplit/>
          <w:jc w:val="center"/>
        </w:trPr>
        <w:tc>
          <w:tcPr>
            <w:tcW w:w="2434" w:type="dxa"/>
            <w:tcBorders>
              <w:top w:val="single" w:sz="6" w:space="0" w:color="auto"/>
              <w:left w:val="double" w:sz="4" w:space="0" w:color="auto"/>
              <w:bottom w:val="single" w:sz="6" w:space="0" w:color="auto"/>
              <w:right w:val="single" w:sz="6" w:space="0" w:color="auto"/>
            </w:tcBorders>
            <w:noWrap/>
            <w:vAlign w:val="center"/>
            <w:hideMark/>
          </w:tcPr>
          <w:p w:rsidR="00DF1FBF" w:rsidRDefault="00DF1FBF">
            <w:pPr>
              <w:autoSpaceDN w:val="0"/>
              <w:jc w:val="center"/>
              <w:rPr>
                <w:rFonts w:cs="Arial"/>
                <w:szCs w:val="18"/>
                <w:lang w:eastAsia="es-MX"/>
              </w:rPr>
            </w:pPr>
            <w:r>
              <w:rPr>
                <w:rFonts w:cs="Arial"/>
                <w:szCs w:val="18"/>
                <w:lang w:eastAsia="es-MX"/>
              </w:rPr>
              <w:t>2010</w:t>
            </w:r>
          </w:p>
        </w:tc>
        <w:tc>
          <w:tcPr>
            <w:tcW w:w="2230" w:type="dxa"/>
            <w:tcBorders>
              <w:top w:val="single" w:sz="6" w:space="0" w:color="auto"/>
              <w:left w:val="single" w:sz="6" w:space="0" w:color="auto"/>
              <w:bottom w:val="single" w:sz="6" w:space="0" w:color="auto"/>
              <w:right w:val="single" w:sz="6" w:space="0" w:color="auto"/>
            </w:tcBorders>
            <w:noWrap/>
            <w:vAlign w:val="bottom"/>
            <w:hideMark/>
          </w:tcPr>
          <w:p w:rsidR="00DF1FBF" w:rsidRDefault="00DF1FBF">
            <w:pPr>
              <w:autoSpaceDN w:val="0"/>
              <w:jc w:val="center"/>
              <w:rPr>
                <w:lang w:val="es-ES" w:eastAsia="ja-JP"/>
              </w:rPr>
            </w:pPr>
            <w:r>
              <w:rPr>
                <w:rFonts w:eastAsia="MS Mincho"/>
                <w:szCs w:val="18"/>
                <w:lang w:val="es-ES" w:eastAsia="ja-JP"/>
              </w:rPr>
              <w:t>475.16</w:t>
            </w:r>
          </w:p>
        </w:tc>
        <w:tc>
          <w:tcPr>
            <w:tcW w:w="2190" w:type="dxa"/>
            <w:tcBorders>
              <w:top w:val="single" w:sz="6" w:space="0" w:color="auto"/>
              <w:left w:val="single" w:sz="6" w:space="0" w:color="auto"/>
              <w:bottom w:val="single" w:sz="6" w:space="0" w:color="auto"/>
              <w:right w:val="single" w:sz="6" w:space="0" w:color="auto"/>
            </w:tcBorders>
            <w:noWrap/>
            <w:vAlign w:val="center"/>
            <w:hideMark/>
          </w:tcPr>
          <w:p w:rsidR="00DF1FBF" w:rsidRDefault="00DF1FBF">
            <w:pPr>
              <w:autoSpaceDN w:val="0"/>
              <w:jc w:val="center"/>
              <w:rPr>
                <w:szCs w:val="24"/>
                <w:lang w:eastAsia="ja-JP"/>
              </w:rPr>
            </w:pPr>
            <w:r>
              <w:rPr>
                <w:rFonts w:cs="Arial"/>
                <w:szCs w:val="18"/>
                <w:lang w:eastAsia="es-MX"/>
              </w:rPr>
              <w:t>N/A</w:t>
            </w:r>
          </w:p>
        </w:tc>
        <w:tc>
          <w:tcPr>
            <w:tcW w:w="2432" w:type="dxa"/>
            <w:tcBorders>
              <w:top w:val="single" w:sz="6" w:space="0" w:color="auto"/>
              <w:left w:val="single" w:sz="6" w:space="0" w:color="auto"/>
              <w:bottom w:val="single" w:sz="6" w:space="0" w:color="auto"/>
              <w:right w:val="double" w:sz="4" w:space="0" w:color="auto"/>
            </w:tcBorders>
            <w:noWrap/>
            <w:vAlign w:val="center"/>
            <w:hideMark/>
          </w:tcPr>
          <w:p w:rsidR="00DF1FBF" w:rsidRDefault="00DF1FBF">
            <w:pPr>
              <w:autoSpaceDN w:val="0"/>
              <w:jc w:val="center"/>
              <w:rPr>
                <w:szCs w:val="24"/>
                <w:lang w:eastAsia="ja-JP"/>
              </w:rPr>
            </w:pPr>
            <w:r>
              <w:rPr>
                <w:rFonts w:cs="Arial"/>
                <w:szCs w:val="18"/>
                <w:lang w:eastAsia="es-MX"/>
              </w:rPr>
              <w:t>N/A</w:t>
            </w:r>
          </w:p>
        </w:tc>
      </w:tr>
      <w:tr w:rsidR="00DF1FBF" w:rsidTr="00DF1FBF">
        <w:trPr>
          <w:cantSplit/>
          <w:jc w:val="center"/>
        </w:trPr>
        <w:tc>
          <w:tcPr>
            <w:tcW w:w="2434" w:type="dxa"/>
            <w:tcBorders>
              <w:top w:val="single" w:sz="6" w:space="0" w:color="auto"/>
              <w:left w:val="double" w:sz="4" w:space="0" w:color="auto"/>
              <w:bottom w:val="single" w:sz="6" w:space="0" w:color="auto"/>
              <w:right w:val="single" w:sz="6" w:space="0" w:color="auto"/>
            </w:tcBorders>
            <w:noWrap/>
            <w:vAlign w:val="center"/>
            <w:hideMark/>
          </w:tcPr>
          <w:p w:rsidR="00DF1FBF" w:rsidRDefault="00DF1FBF">
            <w:pPr>
              <w:autoSpaceDN w:val="0"/>
              <w:jc w:val="center"/>
              <w:rPr>
                <w:rFonts w:cs="Arial"/>
                <w:b/>
                <w:szCs w:val="18"/>
                <w:lang w:eastAsia="es-MX"/>
              </w:rPr>
            </w:pPr>
            <w:r>
              <w:rPr>
                <w:rFonts w:cs="Arial"/>
                <w:b/>
                <w:szCs w:val="18"/>
                <w:lang w:eastAsia="es-MX"/>
              </w:rPr>
              <w:t>Base line</w:t>
            </w:r>
          </w:p>
        </w:tc>
        <w:tc>
          <w:tcPr>
            <w:tcW w:w="2230" w:type="dxa"/>
            <w:tcBorders>
              <w:top w:val="single" w:sz="6" w:space="0" w:color="auto"/>
              <w:left w:val="single" w:sz="6" w:space="0" w:color="auto"/>
              <w:bottom w:val="single" w:sz="6" w:space="0" w:color="auto"/>
              <w:right w:val="single" w:sz="6" w:space="0" w:color="auto"/>
            </w:tcBorders>
            <w:noWrap/>
            <w:vAlign w:val="bottom"/>
            <w:hideMark/>
          </w:tcPr>
          <w:p w:rsidR="00DF1FBF" w:rsidRDefault="00DF1FBF">
            <w:pPr>
              <w:autoSpaceDN w:val="0"/>
              <w:jc w:val="center"/>
              <w:rPr>
                <w:b/>
                <w:bCs/>
                <w:szCs w:val="24"/>
                <w:lang w:val="es-ES" w:eastAsia="ja-JP"/>
              </w:rPr>
            </w:pPr>
            <w:r>
              <w:rPr>
                <w:rFonts w:eastAsia="MS Mincho"/>
                <w:b/>
                <w:bCs/>
                <w:szCs w:val="18"/>
                <w:lang w:val="es-ES" w:eastAsia="ja-JP"/>
              </w:rPr>
              <w:t>400.66</w:t>
            </w:r>
          </w:p>
        </w:tc>
        <w:tc>
          <w:tcPr>
            <w:tcW w:w="2190" w:type="dxa"/>
            <w:tcBorders>
              <w:top w:val="single" w:sz="6" w:space="0" w:color="auto"/>
              <w:left w:val="single" w:sz="6" w:space="0" w:color="auto"/>
              <w:bottom w:val="single" w:sz="6" w:space="0" w:color="auto"/>
              <w:right w:val="single" w:sz="6" w:space="0" w:color="auto"/>
            </w:tcBorders>
            <w:noWrap/>
            <w:vAlign w:val="center"/>
            <w:hideMark/>
          </w:tcPr>
          <w:p w:rsidR="00DF1FBF" w:rsidRDefault="00DF1FBF">
            <w:pPr>
              <w:autoSpaceDN w:val="0"/>
              <w:jc w:val="center"/>
              <w:rPr>
                <w:szCs w:val="24"/>
                <w:lang w:eastAsia="ja-JP"/>
              </w:rPr>
            </w:pPr>
            <w:r>
              <w:rPr>
                <w:rFonts w:cs="Arial"/>
                <w:szCs w:val="18"/>
                <w:lang w:eastAsia="es-MX"/>
              </w:rPr>
              <w:t>N/A</w:t>
            </w:r>
          </w:p>
        </w:tc>
        <w:tc>
          <w:tcPr>
            <w:tcW w:w="2432" w:type="dxa"/>
            <w:tcBorders>
              <w:top w:val="single" w:sz="6" w:space="0" w:color="auto"/>
              <w:left w:val="single" w:sz="6" w:space="0" w:color="auto"/>
              <w:bottom w:val="single" w:sz="6" w:space="0" w:color="auto"/>
              <w:right w:val="double" w:sz="4" w:space="0" w:color="auto"/>
            </w:tcBorders>
            <w:noWrap/>
            <w:vAlign w:val="center"/>
            <w:hideMark/>
          </w:tcPr>
          <w:p w:rsidR="00DF1FBF" w:rsidRDefault="00DF1FBF">
            <w:pPr>
              <w:autoSpaceDN w:val="0"/>
              <w:jc w:val="center"/>
              <w:rPr>
                <w:szCs w:val="24"/>
                <w:lang w:eastAsia="ja-JP"/>
              </w:rPr>
            </w:pPr>
            <w:r>
              <w:rPr>
                <w:rFonts w:cs="Arial"/>
                <w:szCs w:val="18"/>
                <w:lang w:eastAsia="es-MX"/>
              </w:rPr>
              <w:t>N/A</w:t>
            </w:r>
          </w:p>
        </w:tc>
      </w:tr>
      <w:tr w:rsidR="00DF1FBF" w:rsidTr="00DF1FBF">
        <w:trPr>
          <w:cantSplit/>
          <w:jc w:val="center"/>
        </w:trPr>
        <w:tc>
          <w:tcPr>
            <w:tcW w:w="2434" w:type="dxa"/>
            <w:tcBorders>
              <w:top w:val="single" w:sz="6" w:space="0" w:color="auto"/>
              <w:left w:val="double" w:sz="4" w:space="0" w:color="auto"/>
              <w:bottom w:val="single" w:sz="6" w:space="0" w:color="auto"/>
              <w:right w:val="single" w:sz="6" w:space="0" w:color="auto"/>
            </w:tcBorders>
            <w:noWrap/>
            <w:vAlign w:val="center"/>
            <w:hideMark/>
          </w:tcPr>
          <w:p w:rsidR="00DF1FBF" w:rsidRDefault="00DF1FBF">
            <w:pPr>
              <w:autoSpaceDN w:val="0"/>
              <w:jc w:val="center"/>
              <w:rPr>
                <w:rFonts w:cs="Arial"/>
                <w:szCs w:val="18"/>
                <w:lang w:eastAsia="es-MX"/>
              </w:rPr>
            </w:pPr>
            <w:r>
              <w:rPr>
                <w:rFonts w:cs="Arial"/>
                <w:szCs w:val="18"/>
                <w:lang w:eastAsia="es-MX"/>
              </w:rPr>
              <w:t>2015</w:t>
            </w:r>
          </w:p>
        </w:tc>
        <w:tc>
          <w:tcPr>
            <w:tcW w:w="2230" w:type="dxa"/>
            <w:tcBorders>
              <w:top w:val="single" w:sz="6" w:space="0" w:color="auto"/>
              <w:left w:val="single" w:sz="6" w:space="0" w:color="auto"/>
              <w:bottom w:val="single" w:sz="6" w:space="0" w:color="auto"/>
              <w:right w:val="single" w:sz="6" w:space="0" w:color="auto"/>
            </w:tcBorders>
            <w:noWrap/>
            <w:vAlign w:val="bottom"/>
            <w:hideMark/>
          </w:tcPr>
          <w:p w:rsidR="00DF1FBF" w:rsidRDefault="00DF1FBF">
            <w:pPr>
              <w:autoSpaceDN w:val="0"/>
              <w:jc w:val="center"/>
              <w:rPr>
                <w:rFonts w:cs="Arial"/>
                <w:szCs w:val="18"/>
                <w:lang w:eastAsia="es-MX"/>
              </w:rPr>
            </w:pPr>
            <w:r>
              <w:rPr>
                <w:rFonts w:eastAsia="MS Mincho"/>
                <w:szCs w:val="18"/>
                <w:lang w:val="es-ES" w:eastAsia="ja-JP"/>
              </w:rPr>
              <w:t>295.42</w:t>
            </w:r>
          </w:p>
        </w:tc>
        <w:tc>
          <w:tcPr>
            <w:tcW w:w="2190" w:type="dxa"/>
            <w:tcBorders>
              <w:top w:val="single" w:sz="6" w:space="0" w:color="auto"/>
              <w:left w:val="single" w:sz="6" w:space="0" w:color="auto"/>
              <w:bottom w:val="single" w:sz="6" w:space="0" w:color="auto"/>
              <w:right w:val="single" w:sz="6" w:space="0" w:color="auto"/>
            </w:tcBorders>
            <w:noWrap/>
            <w:vAlign w:val="center"/>
          </w:tcPr>
          <w:p w:rsidR="00DF1FBF" w:rsidRDefault="00DF1FBF">
            <w:pPr>
              <w:autoSpaceDN w:val="0"/>
              <w:jc w:val="center"/>
              <w:rPr>
                <w:rFonts w:cs="Arial"/>
                <w:szCs w:val="18"/>
                <w:lang w:eastAsia="es-MX"/>
              </w:rPr>
            </w:pPr>
          </w:p>
        </w:tc>
        <w:tc>
          <w:tcPr>
            <w:tcW w:w="2432" w:type="dxa"/>
            <w:tcBorders>
              <w:top w:val="single" w:sz="6" w:space="0" w:color="auto"/>
              <w:left w:val="single" w:sz="6" w:space="0" w:color="auto"/>
              <w:bottom w:val="single" w:sz="6" w:space="0" w:color="auto"/>
              <w:right w:val="double" w:sz="4" w:space="0" w:color="auto"/>
            </w:tcBorders>
            <w:noWrap/>
            <w:vAlign w:val="center"/>
          </w:tcPr>
          <w:p w:rsidR="00DF1FBF" w:rsidRDefault="00DF1FBF">
            <w:pPr>
              <w:autoSpaceDN w:val="0"/>
              <w:jc w:val="center"/>
              <w:rPr>
                <w:rFonts w:cs="Arial"/>
                <w:szCs w:val="18"/>
                <w:lang w:eastAsia="es-MX"/>
              </w:rPr>
            </w:pPr>
          </w:p>
        </w:tc>
      </w:tr>
      <w:tr w:rsidR="00DF1FBF" w:rsidTr="00DF1FBF">
        <w:trPr>
          <w:cantSplit/>
          <w:jc w:val="center"/>
        </w:trPr>
        <w:tc>
          <w:tcPr>
            <w:tcW w:w="2434" w:type="dxa"/>
            <w:tcBorders>
              <w:top w:val="single" w:sz="6" w:space="0" w:color="auto"/>
              <w:left w:val="double" w:sz="4" w:space="0" w:color="auto"/>
              <w:bottom w:val="single" w:sz="6" w:space="0" w:color="auto"/>
              <w:right w:val="single" w:sz="6" w:space="0" w:color="auto"/>
            </w:tcBorders>
            <w:shd w:val="clear" w:color="auto" w:fill="DBE5F1"/>
            <w:noWrap/>
            <w:vAlign w:val="center"/>
            <w:hideMark/>
          </w:tcPr>
          <w:p w:rsidR="00DF1FBF" w:rsidRDefault="00DF1FBF">
            <w:pPr>
              <w:autoSpaceDN w:val="0"/>
              <w:jc w:val="center"/>
              <w:rPr>
                <w:rFonts w:cs="Arial"/>
                <w:b/>
                <w:bCs/>
                <w:color w:val="000000"/>
                <w:szCs w:val="16"/>
                <w:lang w:eastAsia="es-MX"/>
              </w:rPr>
            </w:pPr>
            <w:r>
              <w:rPr>
                <w:rFonts w:cs="Arial"/>
                <w:b/>
                <w:bCs/>
                <w:color w:val="000000"/>
                <w:szCs w:val="16"/>
                <w:lang w:eastAsia="es-MX"/>
              </w:rPr>
              <w:t>Year</w:t>
            </w:r>
          </w:p>
        </w:tc>
        <w:tc>
          <w:tcPr>
            <w:tcW w:w="2230" w:type="dxa"/>
            <w:tcBorders>
              <w:top w:val="single" w:sz="6" w:space="0" w:color="auto"/>
              <w:left w:val="single" w:sz="6" w:space="0" w:color="auto"/>
              <w:bottom w:val="single" w:sz="6" w:space="0" w:color="auto"/>
              <w:right w:val="single" w:sz="6" w:space="0" w:color="auto"/>
            </w:tcBorders>
            <w:shd w:val="clear" w:color="auto" w:fill="DBE5F1"/>
            <w:noWrap/>
            <w:vAlign w:val="center"/>
            <w:hideMark/>
          </w:tcPr>
          <w:p w:rsidR="00DF1FBF" w:rsidRDefault="00DF1FBF">
            <w:pPr>
              <w:autoSpaceDN w:val="0"/>
              <w:jc w:val="center"/>
              <w:rPr>
                <w:rFonts w:cs="Arial"/>
                <w:b/>
                <w:bCs/>
                <w:color w:val="000000"/>
                <w:szCs w:val="16"/>
                <w:lang w:eastAsia="es-MX"/>
              </w:rPr>
            </w:pPr>
            <w:r>
              <w:rPr>
                <w:rFonts w:cs="Arial"/>
                <w:b/>
                <w:bCs/>
                <w:color w:val="000000"/>
                <w:szCs w:val="16"/>
                <w:lang w:eastAsia="es-MX"/>
              </w:rPr>
              <w:t>Control measure</w:t>
            </w:r>
          </w:p>
        </w:tc>
        <w:tc>
          <w:tcPr>
            <w:tcW w:w="2190" w:type="dxa"/>
            <w:tcBorders>
              <w:top w:val="single" w:sz="6" w:space="0" w:color="auto"/>
              <w:left w:val="single" w:sz="6" w:space="0" w:color="auto"/>
              <w:bottom w:val="single" w:sz="6" w:space="0" w:color="auto"/>
              <w:right w:val="single" w:sz="6" w:space="0" w:color="auto"/>
            </w:tcBorders>
            <w:shd w:val="clear" w:color="auto" w:fill="DBE5F1"/>
            <w:noWrap/>
            <w:vAlign w:val="center"/>
          </w:tcPr>
          <w:p w:rsidR="00DF1FBF" w:rsidRDefault="00DF1FBF">
            <w:pPr>
              <w:autoSpaceDN w:val="0"/>
              <w:jc w:val="center"/>
              <w:rPr>
                <w:rFonts w:cs="Arial"/>
                <w:b/>
                <w:bCs/>
                <w:color w:val="000000"/>
                <w:szCs w:val="16"/>
                <w:lang w:eastAsia="es-MX"/>
              </w:rPr>
            </w:pPr>
          </w:p>
        </w:tc>
        <w:tc>
          <w:tcPr>
            <w:tcW w:w="2432" w:type="dxa"/>
            <w:tcBorders>
              <w:top w:val="single" w:sz="6" w:space="0" w:color="auto"/>
              <w:left w:val="single" w:sz="6" w:space="0" w:color="auto"/>
              <w:bottom w:val="single" w:sz="6" w:space="0" w:color="auto"/>
              <w:right w:val="double" w:sz="4" w:space="0" w:color="auto"/>
            </w:tcBorders>
            <w:shd w:val="clear" w:color="auto" w:fill="DBE5F1"/>
            <w:noWrap/>
            <w:vAlign w:val="center"/>
          </w:tcPr>
          <w:p w:rsidR="00DF1FBF" w:rsidRDefault="00DF1FBF">
            <w:pPr>
              <w:autoSpaceDN w:val="0"/>
              <w:jc w:val="center"/>
              <w:rPr>
                <w:rFonts w:cs="Arial"/>
                <w:b/>
                <w:bCs/>
                <w:color w:val="000000"/>
                <w:szCs w:val="16"/>
                <w:lang w:eastAsia="es-MX"/>
              </w:rPr>
            </w:pPr>
          </w:p>
        </w:tc>
      </w:tr>
      <w:tr w:rsidR="00DF1FBF" w:rsidTr="00DF1FBF">
        <w:trPr>
          <w:cantSplit/>
          <w:jc w:val="center"/>
        </w:trPr>
        <w:tc>
          <w:tcPr>
            <w:tcW w:w="2434" w:type="dxa"/>
            <w:tcBorders>
              <w:top w:val="single" w:sz="6" w:space="0" w:color="auto"/>
              <w:left w:val="double" w:sz="4" w:space="0" w:color="auto"/>
              <w:bottom w:val="single" w:sz="6" w:space="0" w:color="auto"/>
              <w:right w:val="single" w:sz="6" w:space="0" w:color="auto"/>
            </w:tcBorders>
            <w:noWrap/>
            <w:vAlign w:val="center"/>
            <w:hideMark/>
          </w:tcPr>
          <w:p w:rsidR="00DF1FBF" w:rsidRDefault="00DF1FBF">
            <w:pPr>
              <w:autoSpaceDN w:val="0"/>
              <w:jc w:val="center"/>
              <w:rPr>
                <w:rFonts w:cs="Arial"/>
                <w:szCs w:val="18"/>
                <w:lang w:eastAsia="es-MX"/>
              </w:rPr>
            </w:pPr>
            <w:r>
              <w:rPr>
                <w:rFonts w:cs="Arial"/>
                <w:szCs w:val="18"/>
                <w:lang w:eastAsia="es-MX"/>
              </w:rPr>
              <w:t>2013</w:t>
            </w:r>
          </w:p>
        </w:tc>
        <w:tc>
          <w:tcPr>
            <w:tcW w:w="2230" w:type="dxa"/>
            <w:tcBorders>
              <w:top w:val="single" w:sz="6" w:space="0" w:color="auto"/>
              <w:left w:val="single" w:sz="6" w:space="0" w:color="auto"/>
              <w:bottom w:val="single" w:sz="6" w:space="0" w:color="auto"/>
              <w:right w:val="single" w:sz="6" w:space="0" w:color="auto"/>
            </w:tcBorders>
            <w:noWrap/>
            <w:vAlign w:val="bottom"/>
            <w:hideMark/>
          </w:tcPr>
          <w:p w:rsidR="00DF1FBF" w:rsidRDefault="00DF1FBF">
            <w:pPr>
              <w:autoSpaceDN w:val="0"/>
              <w:jc w:val="center"/>
              <w:rPr>
                <w:rFonts w:cs="Arial"/>
                <w:szCs w:val="18"/>
                <w:lang w:eastAsia="es-MX"/>
              </w:rPr>
            </w:pPr>
            <w:proofErr w:type="spellStart"/>
            <w:r>
              <w:rPr>
                <w:rFonts w:eastAsia="MS Mincho"/>
                <w:szCs w:val="18"/>
                <w:lang w:val="es-ES" w:eastAsia="ja-JP"/>
              </w:rPr>
              <w:t>Freeze</w:t>
            </w:r>
            <w:proofErr w:type="spellEnd"/>
          </w:p>
        </w:tc>
        <w:tc>
          <w:tcPr>
            <w:tcW w:w="2190" w:type="dxa"/>
            <w:tcBorders>
              <w:top w:val="single" w:sz="6" w:space="0" w:color="auto"/>
              <w:left w:val="single" w:sz="6" w:space="0" w:color="auto"/>
              <w:bottom w:val="single" w:sz="6" w:space="0" w:color="auto"/>
              <w:right w:val="single" w:sz="6" w:space="0" w:color="auto"/>
            </w:tcBorders>
            <w:noWrap/>
            <w:vAlign w:val="bottom"/>
            <w:hideMark/>
          </w:tcPr>
          <w:p w:rsidR="00DF1FBF" w:rsidRDefault="00DF1FBF">
            <w:pPr>
              <w:autoSpaceDN w:val="0"/>
              <w:jc w:val="center"/>
              <w:rPr>
                <w:rFonts w:cs="Arial"/>
                <w:szCs w:val="18"/>
                <w:lang w:eastAsia="es-MX"/>
              </w:rPr>
            </w:pPr>
            <w:r>
              <w:rPr>
                <w:rFonts w:eastAsia="MS Mincho"/>
                <w:szCs w:val="18"/>
                <w:lang w:val="es-ES" w:eastAsia="ja-JP"/>
              </w:rPr>
              <w:t xml:space="preserve"> 125.72 </w:t>
            </w:r>
          </w:p>
        </w:tc>
        <w:tc>
          <w:tcPr>
            <w:tcW w:w="2432" w:type="dxa"/>
            <w:tcBorders>
              <w:top w:val="single" w:sz="6" w:space="0" w:color="auto"/>
              <w:left w:val="single" w:sz="6" w:space="0" w:color="auto"/>
              <w:bottom w:val="single" w:sz="6" w:space="0" w:color="auto"/>
              <w:right w:val="double" w:sz="4" w:space="0" w:color="auto"/>
            </w:tcBorders>
            <w:noWrap/>
            <w:vAlign w:val="bottom"/>
            <w:hideMark/>
          </w:tcPr>
          <w:p w:rsidR="00DF1FBF" w:rsidRDefault="00DF1FBF">
            <w:pPr>
              <w:autoSpaceDN w:val="0"/>
              <w:jc w:val="center"/>
              <w:rPr>
                <w:rFonts w:cs="Arial"/>
                <w:szCs w:val="18"/>
                <w:lang w:eastAsia="es-MX"/>
              </w:rPr>
            </w:pPr>
            <w:r>
              <w:rPr>
                <w:rFonts w:eastAsia="MS Mincho"/>
                <w:szCs w:val="18"/>
                <w:lang w:val="es-ES" w:eastAsia="ja-JP"/>
              </w:rPr>
              <w:t xml:space="preserve"> 401 </w:t>
            </w:r>
          </w:p>
        </w:tc>
      </w:tr>
      <w:tr w:rsidR="00DF1FBF" w:rsidTr="00DF1FBF">
        <w:trPr>
          <w:cantSplit/>
          <w:jc w:val="center"/>
        </w:trPr>
        <w:tc>
          <w:tcPr>
            <w:tcW w:w="2434" w:type="dxa"/>
            <w:tcBorders>
              <w:top w:val="single" w:sz="6" w:space="0" w:color="auto"/>
              <w:left w:val="double" w:sz="4" w:space="0" w:color="auto"/>
              <w:bottom w:val="single" w:sz="6" w:space="0" w:color="auto"/>
              <w:right w:val="single" w:sz="6" w:space="0" w:color="auto"/>
            </w:tcBorders>
            <w:noWrap/>
            <w:vAlign w:val="center"/>
            <w:hideMark/>
          </w:tcPr>
          <w:p w:rsidR="00DF1FBF" w:rsidRDefault="00DF1FBF">
            <w:pPr>
              <w:autoSpaceDN w:val="0"/>
              <w:jc w:val="center"/>
              <w:rPr>
                <w:rFonts w:cs="Arial"/>
                <w:szCs w:val="18"/>
                <w:lang w:eastAsia="es-MX"/>
              </w:rPr>
            </w:pPr>
            <w:r>
              <w:rPr>
                <w:rFonts w:cs="Arial"/>
                <w:szCs w:val="18"/>
                <w:lang w:eastAsia="es-MX"/>
              </w:rPr>
              <w:t>2015</w:t>
            </w:r>
          </w:p>
        </w:tc>
        <w:tc>
          <w:tcPr>
            <w:tcW w:w="2230" w:type="dxa"/>
            <w:tcBorders>
              <w:top w:val="single" w:sz="6" w:space="0" w:color="auto"/>
              <w:left w:val="single" w:sz="6" w:space="0" w:color="auto"/>
              <w:bottom w:val="single" w:sz="6" w:space="0" w:color="auto"/>
              <w:right w:val="single" w:sz="6" w:space="0" w:color="auto"/>
            </w:tcBorders>
            <w:noWrap/>
            <w:vAlign w:val="bottom"/>
            <w:hideMark/>
          </w:tcPr>
          <w:p w:rsidR="00DF1FBF" w:rsidRDefault="00DF1FBF">
            <w:pPr>
              <w:autoSpaceDN w:val="0"/>
              <w:jc w:val="center"/>
              <w:rPr>
                <w:rFonts w:cs="Arial"/>
                <w:szCs w:val="18"/>
                <w:lang w:eastAsia="es-MX"/>
              </w:rPr>
            </w:pPr>
            <w:r>
              <w:rPr>
                <w:rFonts w:eastAsia="MS Mincho"/>
                <w:szCs w:val="18"/>
                <w:lang w:val="es-ES" w:eastAsia="ja-JP"/>
              </w:rPr>
              <w:t xml:space="preserve">10% </w:t>
            </w:r>
            <w:proofErr w:type="spellStart"/>
            <w:r>
              <w:rPr>
                <w:rFonts w:eastAsia="MS Mincho"/>
                <w:szCs w:val="18"/>
                <w:lang w:val="es-ES" w:eastAsia="ja-JP"/>
              </w:rPr>
              <w:t>reduction</w:t>
            </w:r>
            <w:proofErr w:type="spellEnd"/>
          </w:p>
        </w:tc>
        <w:tc>
          <w:tcPr>
            <w:tcW w:w="2190" w:type="dxa"/>
            <w:tcBorders>
              <w:top w:val="single" w:sz="6" w:space="0" w:color="auto"/>
              <w:left w:val="single" w:sz="6" w:space="0" w:color="auto"/>
              <w:bottom w:val="single" w:sz="6" w:space="0" w:color="auto"/>
              <w:right w:val="single" w:sz="6" w:space="0" w:color="auto"/>
            </w:tcBorders>
            <w:noWrap/>
            <w:vAlign w:val="bottom"/>
            <w:hideMark/>
          </w:tcPr>
          <w:p w:rsidR="00DF1FBF" w:rsidRDefault="00DF1FBF">
            <w:pPr>
              <w:autoSpaceDN w:val="0"/>
              <w:jc w:val="center"/>
              <w:rPr>
                <w:szCs w:val="18"/>
                <w:highlight w:val="yellow"/>
                <w:lang w:val="es-ES" w:eastAsia="ja-JP"/>
              </w:rPr>
            </w:pPr>
            <w:r>
              <w:rPr>
                <w:rFonts w:eastAsia="MS Mincho"/>
                <w:szCs w:val="18"/>
                <w:lang w:val="es-ES" w:eastAsia="ja-JP"/>
              </w:rPr>
              <w:t xml:space="preserve"> 40.07 </w:t>
            </w:r>
          </w:p>
        </w:tc>
        <w:tc>
          <w:tcPr>
            <w:tcW w:w="2432" w:type="dxa"/>
            <w:tcBorders>
              <w:top w:val="single" w:sz="6" w:space="0" w:color="auto"/>
              <w:left w:val="single" w:sz="6" w:space="0" w:color="auto"/>
              <w:bottom w:val="single" w:sz="6" w:space="0" w:color="auto"/>
              <w:right w:val="double" w:sz="4" w:space="0" w:color="auto"/>
            </w:tcBorders>
            <w:noWrap/>
            <w:vAlign w:val="bottom"/>
            <w:hideMark/>
          </w:tcPr>
          <w:p w:rsidR="00DF1FBF" w:rsidRDefault="00DF1FBF">
            <w:pPr>
              <w:autoSpaceDN w:val="0"/>
              <w:jc w:val="center"/>
              <w:rPr>
                <w:szCs w:val="18"/>
                <w:highlight w:val="yellow"/>
                <w:lang w:val="es-ES" w:eastAsia="ja-JP"/>
              </w:rPr>
            </w:pPr>
            <w:r>
              <w:rPr>
                <w:rFonts w:eastAsia="MS Mincho"/>
                <w:szCs w:val="18"/>
                <w:lang w:val="es-ES" w:eastAsia="ja-JP"/>
              </w:rPr>
              <w:t xml:space="preserve"> 361 </w:t>
            </w:r>
          </w:p>
        </w:tc>
      </w:tr>
      <w:tr w:rsidR="00DF1FBF" w:rsidTr="00DF1FBF">
        <w:trPr>
          <w:cantSplit/>
          <w:jc w:val="center"/>
        </w:trPr>
        <w:tc>
          <w:tcPr>
            <w:tcW w:w="2434" w:type="dxa"/>
            <w:tcBorders>
              <w:top w:val="single" w:sz="6" w:space="0" w:color="auto"/>
              <w:left w:val="double" w:sz="4" w:space="0" w:color="auto"/>
              <w:bottom w:val="single" w:sz="6" w:space="0" w:color="auto"/>
              <w:right w:val="single" w:sz="6" w:space="0" w:color="auto"/>
            </w:tcBorders>
            <w:noWrap/>
            <w:vAlign w:val="center"/>
            <w:hideMark/>
          </w:tcPr>
          <w:p w:rsidR="00DF1FBF" w:rsidRDefault="00DF1FBF">
            <w:pPr>
              <w:autoSpaceDN w:val="0"/>
              <w:jc w:val="center"/>
              <w:rPr>
                <w:rFonts w:cs="Arial"/>
                <w:szCs w:val="18"/>
                <w:lang w:eastAsia="es-MX"/>
              </w:rPr>
            </w:pPr>
            <w:r>
              <w:rPr>
                <w:rFonts w:cs="Arial"/>
                <w:szCs w:val="18"/>
                <w:lang w:eastAsia="es-MX"/>
              </w:rPr>
              <w:t>2020</w:t>
            </w:r>
          </w:p>
        </w:tc>
        <w:tc>
          <w:tcPr>
            <w:tcW w:w="2230" w:type="dxa"/>
            <w:tcBorders>
              <w:top w:val="single" w:sz="6" w:space="0" w:color="auto"/>
              <w:left w:val="single" w:sz="6" w:space="0" w:color="auto"/>
              <w:bottom w:val="single" w:sz="6" w:space="0" w:color="auto"/>
              <w:right w:val="single" w:sz="6" w:space="0" w:color="auto"/>
            </w:tcBorders>
            <w:noWrap/>
            <w:vAlign w:val="bottom"/>
            <w:hideMark/>
          </w:tcPr>
          <w:p w:rsidR="00DF1FBF" w:rsidRDefault="00DF1FBF">
            <w:pPr>
              <w:autoSpaceDN w:val="0"/>
              <w:jc w:val="center"/>
              <w:rPr>
                <w:rFonts w:cs="Arial"/>
                <w:szCs w:val="18"/>
                <w:lang w:eastAsia="es-MX"/>
              </w:rPr>
            </w:pPr>
            <w:r>
              <w:rPr>
                <w:rFonts w:eastAsia="MS Mincho"/>
                <w:szCs w:val="18"/>
                <w:lang w:val="es-ES" w:eastAsia="ja-JP"/>
              </w:rPr>
              <w:t xml:space="preserve">35% </w:t>
            </w:r>
            <w:proofErr w:type="spellStart"/>
            <w:r>
              <w:rPr>
                <w:rFonts w:eastAsia="MS Mincho"/>
                <w:szCs w:val="18"/>
                <w:lang w:val="es-ES" w:eastAsia="ja-JP"/>
              </w:rPr>
              <w:t>reduction</w:t>
            </w:r>
            <w:proofErr w:type="spellEnd"/>
          </w:p>
        </w:tc>
        <w:tc>
          <w:tcPr>
            <w:tcW w:w="2190" w:type="dxa"/>
            <w:tcBorders>
              <w:top w:val="single" w:sz="6" w:space="0" w:color="auto"/>
              <w:left w:val="single" w:sz="6" w:space="0" w:color="auto"/>
              <w:bottom w:val="single" w:sz="6" w:space="0" w:color="auto"/>
              <w:right w:val="single" w:sz="6" w:space="0" w:color="auto"/>
            </w:tcBorders>
            <w:noWrap/>
            <w:vAlign w:val="bottom"/>
            <w:hideMark/>
          </w:tcPr>
          <w:p w:rsidR="00DF1FBF" w:rsidRDefault="00DF1FBF">
            <w:pPr>
              <w:autoSpaceDN w:val="0"/>
              <w:jc w:val="center"/>
              <w:rPr>
                <w:szCs w:val="18"/>
                <w:highlight w:val="yellow"/>
                <w:lang w:val="es-ES" w:eastAsia="ja-JP"/>
              </w:rPr>
            </w:pPr>
            <w:r>
              <w:rPr>
                <w:rFonts w:eastAsia="MS Mincho"/>
                <w:szCs w:val="18"/>
                <w:lang w:val="es-ES" w:eastAsia="ja-JP"/>
              </w:rPr>
              <w:t xml:space="preserve"> 100.16 </w:t>
            </w:r>
          </w:p>
        </w:tc>
        <w:tc>
          <w:tcPr>
            <w:tcW w:w="2432" w:type="dxa"/>
            <w:tcBorders>
              <w:top w:val="single" w:sz="6" w:space="0" w:color="auto"/>
              <w:left w:val="single" w:sz="6" w:space="0" w:color="auto"/>
              <w:bottom w:val="single" w:sz="6" w:space="0" w:color="auto"/>
              <w:right w:val="double" w:sz="4" w:space="0" w:color="auto"/>
            </w:tcBorders>
            <w:noWrap/>
            <w:vAlign w:val="bottom"/>
            <w:hideMark/>
          </w:tcPr>
          <w:p w:rsidR="00DF1FBF" w:rsidRDefault="00DF1FBF">
            <w:pPr>
              <w:autoSpaceDN w:val="0"/>
              <w:jc w:val="center"/>
              <w:rPr>
                <w:szCs w:val="18"/>
                <w:highlight w:val="yellow"/>
                <w:lang w:val="es-ES" w:eastAsia="ja-JP"/>
              </w:rPr>
            </w:pPr>
            <w:r>
              <w:rPr>
                <w:rFonts w:eastAsia="MS Mincho"/>
                <w:szCs w:val="18"/>
                <w:lang w:val="es-ES" w:eastAsia="ja-JP"/>
              </w:rPr>
              <w:t xml:space="preserve"> 260 </w:t>
            </w:r>
          </w:p>
        </w:tc>
      </w:tr>
      <w:tr w:rsidR="00DF1FBF" w:rsidTr="00DF1FBF">
        <w:trPr>
          <w:cantSplit/>
          <w:jc w:val="center"/>
        </w:trPr>
        <w:tc>
          <w:tcPr>
            <w:tcW w:w="2434" w:type="dxa"/>
            <w:tcBorders>
              <w:top w:val="single" w:sz="6" w:space="0" w:color="auto"/>
              <w:left w:val="double" w:sz="4" w:space="0" w:color="auto"/>
              <w:bottom w:val="single" w:sz="6" w:space="0" w:color="auto"/>
              <w:right w:val="single" w:sz="6" w:space="0" w:color="auto"/>
            </w:tcBorders>
            <w:noWrap/>
            <w:vAlign w:val="center"/>
            <w:hideMark/>
          </w:tcPr>
          <w:p w:rsidR="00DF1FBF" w:rsidRDefault="00DF1FBF">
            <w:pPr>
              <w:autoSpaceDN w:val="0"/>
              <w:jc w:val="center"/>
              <w:rPr>
                <w:rFonts w:cs="Arial"/>
                <w:szCs w:val="18"/>
                <w:lang w:eastAsia="es-MX"/>
              </w:rPr>
            </w:pPr>
            <w:r>
              <w:rPr>
                <w:rFonts w:cs="Arial"/>
                <w:szCs w:val="18"/>
                <w:lang w:eastAsia="es-MX"/>
              </w:rPr>
              <w:t>2025</w:t>
            </w:r>
          </w:p>
        </w:tc>
        <w:tc>
          <w:tcPr>
            <w:tcW w:w="2230" w:type="dxa"/>
            <w:tcBorders>
              <w:top w:val="single" w:sz="6" w:space="0" w:color="auto"/>
              <w:left w:val="single" w:sz="6" w:space="0" w:color="auto"/>
              <w:bottom w:val="single" w:sz="6" w:space="0" w:color="auto"/>
              <w:right w:val="single" w:sz="6" w:space="0" w:color="auto"/>
            </w:tcBorders>
            <w:noWrap/>
            <w:vAlign w:val="bottom"/>
            <w:hideMark/>
          </w:tcPr>
          <w:p w:rsidR="00DF1FBF" w:rsidRDefault="00DF1FBF">
            <w:pPr>
              <w:autoSpaceDN w:val="0"/>
              <w:jc w:val="center"/>
              <w:rPr>
                <w:rFonts w:cs="Arial"/>
                <w:szCs w:val="18"/>
                <w:lang w:eastAsia="es-MX"/>
              </w:rPr>
            </w:pPr>
            <w:r>
              <w:rPr>
                <w:rFonts w:eastAsia="MS Mincho"/>
                <w:szCs w:val="18"/>
                <w:lang w:val="es-ES" w:eastAsia="ja-JP"/>
              </w:rPr>
              <w:t xml:space="preserve">67.50% </w:t>
            </w:r>
            <w:proofErr w:type="spellStart"/>
            <w:r>
              <w:rPr>
                <w:rFonts w:eastAsia="MS Mincho"/>
                <w:szCs w:val="18"/>
                <w:lang w:val="es-ES" w:eastAsia="ja-JP"/>
              </w:rPr>
              <w:t>reduction</w:t>
            </w:r>
            <w:proofErr w:type="spellEnd"/>
          </w:p>
        </w:tc>
        <w:tc>
          <w:tcPr>
            <w:tcW w:w="2190" w:type="dxa"/>
            <w:tcBorders>
              <w:top w:val="single" w:sz="6" w:space="0" w:color="auto"/>
              <w:left w:val="single" w:sz="6" w:space="0" w:color="auto"/>
              <w:bottom w:val="single" w:sz="6" w:space="0" w:color="auto"/>
              <w:right w:val="single" w:sz="6" w:space="0" w:color="auto"/>
            </w:tcBorders>
            <w:noWrap/>
            <w:vAlign w:val="bottom"/>
            <w:hideMark/>
          </w:tcPr>
          <w:p w:rsidR="00DF1FBF" w:rsidRDefault="00DF1FBF">
            <w:pPr>
              <w:autoSpaceDN w:val="0"/>
              <w:jc w:val="center"/>
              <w:rPr>
                <w:szCs w:val="18"/>
                <w:highlight w:val="yellow"/>
                <w:lang w:val="es-ES" w:eastAsia="ja-JP"/>
              </w:rPr>
            </w:pPr>
            <w:r>
              <w:rPr>
                <w:rFonts w:eastAsia="MS Mincho"/>
                <w:szCs w:val="18"/>
                <w:lang w:val="es-ES" w:eastAsia="ja-JP"/>
              </w:rPr>
              <w:t xml:space="preserve"> 130.21 </w:t>
            </w:r>
          </w:p>
        </w:tc>
        <w:tc>
          <w:tcPr>
            <w:tcW w:w="2432" w:type="dxa"/>
            <w:tcBorders>
              <w:top w:val="single" w:sz="6" w:space="0" w:color="auto"/>
              <w:left w:val="single" w:sz="6" w:space="0" w:color="auto"/>
              <w:bottom w:val="single" w:sz="6" w:space="0" w:color="auto"/>
              <w:right w:val="double" w:sz="4" w:space="0" w:color="auto"/>
            </w:tcBorders>
            <w:noWrap/>
            <w:vAlign w:val="bottom"/>
            <w:hideMark/>
          </w:tcPr>
          <w:p w:rsidR="00DF1FBF" w:rsidRDefault="00DF1FBF">
            <w:pPr>
              <w:autoSpaceDN w:val="0"/>
              <w:jc w:val="center"/>
              <w:rPr>
                <w:szCs w:val="18"/>
                <w:highlight w:val="yellow"/>
                <w:lang w:val="es-ES" w:eastAsia="ja-JP"/>
              </w:rPr>
            </w:pPr>
            <w:r>
              <w:rPr>
                <w:rFonts w:eastAsia="MS Mincho"/>
                <w:szCs w:val="18"/>
                <w:lang w:val="es-ES" w:eastAsia="ja-JP"/>
              </w:rPr>
              <w:t xml:space="preserve"> 130 </w:t>
            </w:r>
          </w:p>
        </w:tc>
      </w:tr>
      <w:tr w:rsidR="00DF1FBF" w:rsidTr="00DF1FBF">
        <w:trPr>
          <w:cantSplit/>
          <w:jc w:val="center"/>
        </w:trPr>
        <w:tc>
          <w:tcPr>
            <w:tcW w:w="2434" w:type="dxa"/>
            <w:tcBorders>
              <w:top w:val="single" w:sz="6" w:space="0" w:color="auto"/>
              <w:left w:val="double" w:sz="4" w:space="0" w:color="auto"/>
              <w:bottom w:val="single" w:sz="6" w:space="0" w:color="auto"/>
              <w:right w:val="single" w:sz="6" w:space="0" w:color="auto"/>
            </w:tcBorders>
            <w:noWrap/>
            <w:vAlign w:val="center"/>
            <w:hideMark/>
          </w:tcPr>
          <w:p w:rsidR="00DF1FBF" w:rsidRDefault="00DF1FBF">
            <w:pPr>
              <w:autoSpaceDN w:val="0"/>
              <w:jc w:val="center"/>
              <w:rPr>
                <w:rFonts w:cs="Arial"/>
                <w:szCs w:val="18"/>
                <w:lang w:eastAsia="es-MX"/>
              </w:rPr>
            </w:pPr>
            <w:r>
              <w:rPr>
                <w:rFonts w:cs="Arial"/>
                <w:szCs w:val="18"/>
                <w:lang w:eastAsia="es-MX"/>
              </w:rPr>
              <w:t>2030</w:t>
            </w:r>
          </w:p>
        </w:tc>
        <w:tc>
          <w:tcPr>
            <w:tcW w:w="2230" w:type="dxa"/>
            <w:tcBorders>
              <w:top w:val="single" w:sz="6" w:space="0" w:color="auto"/>
              <w:left w:val="single" w:sz="6" w:space="0" w:color="auto"/>
              <w:bottom w:val="single" w:sz="6" w:space="0" w:color="auto"/>
              <w:right w:val="single" w:sz="6" w:space="0" w:color="auto"/>
            </w:tcBorders>
            <w:noWrap/>
            <w:vAlign w:val="bottom"/>
            <w:hideMark/>
          </w:tcPr>
          <w:p w:rsidR="00DF1FBF" w:rsidRDefault="00DF1FBF">
            <w:pPr>
              <w:autoSpaceDN w:val="0"/>
              <w:jc w:val="center"/>
              <w:rPr>
                <w:rFonts w:cs="Arial"/>
                <w:szCs w:val="18"/>
                <w:lang w:eastAsia="es-MX"/>
              </w:rPr>
            </w:pPr>
            <w:r>
              <w:rPr>
                <w:rFonts w:eastAsia="MS Mincho"/>
                <w:szCs w:val="18"/>
                <w:lang w:val="es-ES" w:eastAsia="ja-JP"/>
              </w:rPr>
              <w:t xml:space="preserve">97.50% </w:t>
            </w:r>
            <w:proofErr w:type="spellStart"/>
            <w:r>
              <w:rPr>
                <w:rFonts w:eastAsia="MS Mincho"/>
                <w:szCs w:val="18"/>
                <w:lang w:val="es-ES" w:eastAsia="ja-JP"/>
              </w:rPr>
              <w:t>reduction</w:t>
            </w:r>
            <w:proofErr w:type="spellEnd"/>
          </w:p>
        </w:tc>
        <w:tc>
          <w:tcPr>
            <w:tcW w:w="2190" w:type="dxa"/>
            <w:tcBorders>
              <w:top w:val="single" w:sz="6" w:space="0" w:color="auto"/>
              <w:left w:val="single" w:sz="6" w:space="0" w:color="auto"/>
              <w:bottom w:val="single" w:sz="6" w:space="0" w:color="auto"/>
              <w:right w:val="single" w:sz="6" w:space="0" w:color="auto"/>
            </w:tcBorders>
            <w:noWrap/>
            <w:vAlign w:val="bottom"/>
            <w:hideMark/>
          </w:tcPr>
          <w:p w:rsidR="00DF1FBF" w:rsidRDefault="00DF1FBF">
            <w:pPr>
              <w:autoSpaceDN w:val="0"/>
              <w:jc w:val="center"/>
              <w:rPr>
                <w:szCs w:val="18"/>
                <w:highlight w:val="yellow"/>
                <w:lang w:val="es-ES" w:eastAsia="ja-JP"/>
              </w:rPr>
            </w:pPr>
            <w:r>
              <w:rPr>
                <w:rFonts w:eastAsia="MS Mincho"/>
                <w:szCs w:val="18"/>
                <w:lang w:val="es-ES" w:eastAsia="ja-JP"/>
              </w:rPr>
              <w:t xml:space="preserve"> 120.20 </w:t>
            </w:r>
          </w:p>
        </w:tc>
        <w:tc>
          <w:tcPr>
            <w:tcW w:w="2432" w:type="dxa"/>
            <w:tcBorders>
              <w:top w:val="single" w:sz="6" w:space="0" w:color="auto"/>
              <w:left w:val="single" w:sz="6" w:space="0" w:color="auto"/>
              <w:bottom w:val="single" w:sz="6" w:space="0" w:color="auto"/>
              <w:right w:val="double" w:sz="4" w:space="0" w:color="auto"/>
            </w:tcBorders>
            <w:noWrap/>
            <w:vAlign w:val="bottom"/>
            <w:hideMark/>
          </w:tcPr>
          <w:p w:rsidR="00DF1FBF" w:rsidRDefault="00DF1FBF">
            <w:pPr>
              <w:autoSpaceDN w:val="0"/>
              <w:jc w:val="center"/>
              <w:rPr>
                <w:szCs w:val="18"/>
                <w:highlight w:val="yellow"/>
                <w:lang w:val="es-ES" w:eastAsia="ja-JP"/>
              </w:rPr>
            </w:pPr>
            <w:r>
              <w:rPr>
                <w:rFonts w:eastAsia="MS Mincho"/>
                <w:szCs w:val="18"/>
                <w:lang w:val="es-ES" w:eastAsia="ja-JP"/>
              </w:rPr>
              <w:t xml:space="preserve"> 10 </w:t>
            </w:r>
          </w:p>
        </w:tc>
      </w:tr>
      <w:tr w:rsidR="00DF1FBF" w:rsidTr="00DF1FBF">
        <w:trPr>
          <w:cantSplit/>
          <w:jc w:val="center"/>
        </w:trPr>
        <w:tc>
          <w:tcPr>
            <w:tcW w:w="2434" w:type="dxa"/>
            <w:tcBorders>
              <w:top w:val="single" w:sz="6" w:space="0" w:color="auto"/>
              <w:left w:val="double" w:sz="4" w:space="0" w:color="auto"/>
              <w:bottom w:val="double" w:sz="4" w:space="0" w:color="auto"/>
              <w:right w:val="single" w:sz="6" w:space="0" w:color="auto"/>
            </w:tcBorders>
            <w:noWrap/>
            <w:vAlign w:val="center"/>
            <w:hideMark/>
          </w:tcPr>
          <w:p w:rsidR="00DF1FBF" w:rsidRDefault="00DF1FBF">
            <w:pPr>
              <w:autoSpaceDN w:val="0"/>
              <w:jc w:val="center"/>
              <w:rPr>
                <w:rFonts w:cs="Arial"/>
                <w:szCs w:val="18"/>
                <w:lang w:eastAsia="es-MX"/>
              </w:rPr>
            </w:pPr>
            <w:r>
              <w:rPr>
                <w:rFonts w:cs="Arial"/>
                <w:szCs w:val="18"/>
                <w:lang w:eastAsia="es-MX"/>
              </w:rPr>
              <w:t>2040</w:t>
            </w:r>
          </w:p>
        </w:tc>
        <w:tc>
          <w:tcPr>
            <w:tcW w:w="2230" w:type="dxa"/>
            <w:tcBorders>
              <w:top w:val="single" w:sz="6" w:space="0" w:color="auto"/>
              <w:left w:val="single" w:sz="6" w:space="0" w:color="auto"/>
              <w:bottom w:val="double" w:sz="4" w:space="0" w:color="auto"/>
              <w:right w:val="single" w:sz="6" w:space="0" w:color="auto"/>
            </w:tcBorders>
            <w:noWrap/>
            <w:vAlign w:val="bottom"/>
            <w:hideMark/>
          </w:tcPr>
          <w:p w:rsidR="00DF1FBF" w:rsidRDefault="00DF1FBF">
            <w:pPr>
              <w:autoSpaceDN w:val="0"/>
              <w:jc w:val="center"/>
              <w:rPr>
                <w:rFonts w:cs="Arial"/>
                <w:szCs w:val="18"/>
                <w:lang w:eastAsia="es-MX"/>
              </w:rPr>
            </w:pPr>
            <w:r>
              <w:rPr>
                <w:rFonts w:cs="Arial"/>
                <w:szCs w:val="18"/>
                <w:lang w:eastAsia="es-MX"/>
              </w:rPr>
              <w:t xml:space="preserve">100% </w:t>
            </w:r>
            <w:proofErr w:type="spellStart"/>
            <w:r>
              <w:rPr>
                <w:rFonts w:eastAsia="MS Mincho"/>
                <w:szCs w:val="18"/>
                <w:lang w:val="es-ES" w:eastAsia="ja-JP"/>
              </w:rPr>
              <w:t>reduction</w:t>
            </w:r>
            <w:proofErr w:type="spellEnd"/>
          </w:p>
        </w:tc>
        <w:tc>
          <w:tcPr>
            <w:tcW w:w="2190" w:type="dxa"/>
            <w:tcBorders>
              <w:top w:val="single" w:sz="6" w:space="0" w:color="auto"/>
              <w:left w:val="single" w:sz="6" w:space="0" w:color="auto"/>
              <w:bottom w:val="double" w:sz="4" w:space="0" w:color="auto"/>
              <w:right w:val="single" w:sz="6" w:space="0" w:color="auto"/>
            </w:tcBorders>
            <w:noWrap/>
            <w:vAlign w:val="bottom"/>
            <w:hideMark/>
          </w:tcPr>
          <w:p w:rsidR="00DF1FBF" w:rsidRDefault="00DF1FBF">
            <w:pPr>
              <w:autoSpaceDN w:val="0"/>
              <w:jc w:val="center"/>
              <w:rPr>
                <w:szCs w:val="18"/>
                <w:highlight w:val="yellow"/>
                <w:lang w:val="es-ES" w:eastAsia="ja-JP"/>
              </w:rPr>
            </w:pPr>
            <w:r>
              <w:rPr>
                <w:rFonts w:eastAsia="MS Mincho"/>
                <w:szCs w:val="18"/>
                <w:lang w:val="es-ES" w:eastAsia="ja-JP"/>
              </w:rPr>
              <w:t xml:space="preserve"> 10.02 </w:t>
            </w:r>
          </w:p>
        </w:tc>
        <w:tc>
          <w:tcPr>
            <w:tcW w:w="2432" w:type="dxa"/>
            <w:tcBorders>
              <w:top w:val="single" w:sz="6" w:space="0" w:color="auto"/>
              <w:left w:val="single" w:sz="6" w:space="0" w:color="auto"/>
              <w:bottom w:val="double" w:sz="4" w:space="0" w:color="auto"/>
              <w:right w:val="double" w:sz="4" w:space="0" w:color="auto"/>
            </w:tcBorders>
            <w:noWrap/>
            <w:vAlign w:val="bottom"/>
            <w:hideMark/>
          </w:tcPr>
          <w:p w:rsidR="00DF1FBF" w:rsidRDefault="00DF1FBF">
            <w:pPr>
              <w:autoSpaceDN w:val="0"/>
              <w:jc w:val="center"/>
              <w:rPr>
                <w:szCs w:val="18"/>
                <w:highlight w:val="yellow"/>
                <w:lang w:val="es-ES" w:eastAsia="ja-JP"/>
              </w:rPr>
            </w:pPr>
            <w:r>
              <w:rPr>
                <w:rFonts w:eastAsia="MS Mincho"/>
                <w:szCs w:val="18"/>
                <w:lang w:val="es-ES" w:eastAsia="ja-JP"/>
              </w:rPr>
              <w:t xml:space="preserve"> -   </w:t>
            </w:r>
          </w:p>
        </w:tc>
      </w:tr>
    </w:tbl>
    <w:p w:rsidR="00DF1FBF" w:rsidRDefault="00DF1FBF" w:rsidP="00DF1FBF">
      <w:pPr>
        <w:rPr>
          <w:rFonts w:eastAsia="MS Mincho"/>
          <w:bCs/>
          <w:szCs w:val="18"/>
          <w:u w:val="single"/>
          <w:lang w:eastAsia="ja-JP"/>
        </w:rPr>
      </w:pPr>
    </w:p>
    <w:p w:rsidR="00DF1FBF" w:rsidRDefault="00DF1FBF" w:rsidP="00DF1FBF">
      <w:pPr>
        <w:rPr>
          <w:rFonts w:eastAsia="MS Mincho" w:cs="Arial"/>
          <w:lang w:eastAsia="ja-JP"/>
        </w:rPr>
      </w:pPr>
      <w:r>
        <w:rPr>
          <w:rFonts w:eastAsia="MS Mincho" w:cs="Arial"/>
          <w:lang w:eastAsia="ja-JP"/>
        </w:rPr>
        <w:t>The strategy followed by Argentina is based on the following criteria and priorities:</w:t>
      </w:r>
    </w:p>
    <w:p w:rsidR="00DF1FBF" w:rsidRDefault="00DF1FBF" w:rsidP="00650B21">
      <w:pPr>
        <w:numPr>
          <w:ilvl w:val="0"/>
          <w:numId w:val="11"/>
        </w:numPr>
        <w:autoSpaceDN w:val="0"/>
        <w:spacing w:line="260" w:lineRule="atLeast"/>
        <w:ind w:left="450"/>
        <w:rPr>
          <w:rFonts w:eastAsia="MS Mincho" w:cs="Arial"/>
          <w:color w:val="000000"/>
          <w:szCs w:val="24"/>
          <w:lang w:eastAsia="ja-JP"/>
        </w:rPr>
      </w:pPr>
      <w:r>
        <w:rPr>
          <w:rFonts w:eastAsia="MS Mincho" w:cs="Arial"/>
          <w:color w:val="000000"/>
          <w:lang w:eastAsia="ja-JP"/>
        </w:rPr>
        <w:t xml:space="preserve">Accelerated elimination of the production and consumption of the HCFC, in agreement with decision XIX/6 of the Parties. </w:t>
      </w:r>
    </w:p>
    <w:p w:rsidR="00DF1FBF" w:rsidRDefault="00DF1FBF" w:rsidP="00650B21">
      <w:pPr>
        <w:numPr>
          <w:ilvl w:val="0"/>
          <w:numId w:val="11"/>
        </w:numPr>
        <w:autoSpaceDN w:val="0"/>
        <w:spacing w:line="260" w:lineRule="atLeast"/>
        <w:ind w:left="450"/>
        <w:rPr>
          <w:rFonts w:eastAsia="MS Mincho" w:cs="Arial"/>
          <w:lang w:eastAsia="ja-JP"/>
        </w:rPr>
      </w:pPr>
      <w:r>
        <w:rPr>
          <w:rFonts w:eastAsia="MS Mincho" w:cs="Arial"/>
          <w:lang w:eastAsia="ja-JP"/>
        </w:rPr>
        <w:t>Application of well-known, affordable, available and widely used HCFC replacement alternatives and related technologies, while supporting efforts for identification and selection of such alternatives.</w:t>
      </w:r>
    </w:p>
    <w:p w:rsidR="00DF1FBF" w:rsidRDefault="00DF1FBF" w:rsidP="00650B21">
      <w:pPr>
        <w:numPr>
          <w:ilvl w:val="0"/>
          <w:numId w:val="11"/>
        </w:numPr>
        <w:autoSpaceDN w:val="0"/>
        <w:spacing w:line="260" w:lineRule="atLeast"/>
        <w:ind w:left="450"/>
        <w:rPr>
          <w:rFonts w:eastAsia="MS Mincho" w:cs="Arial"/>
          <w:lang w:eastAsia="ja-JP"/>
        </w:rPr>
      </w:pPr>
      <w:r>
        <w:rPr>
          <w:rFonts w:eastAsia="MS Mincho" w:cs="Arial"/>
          <w:lang w:eastAsia="ja-JP"/>
        </w:rPr>
        <w:t xml:space="preserve">To start elimination of HCFC in those HCFC consuming manufacturing sectors, this would guarantee timely compliance with the freeze and 10% reduction targets by 2015, and focus in the servicing sector to reach 35% reduction by 2020.  </w:t>
      </w:r>
    </w:p>
    <w:p w:rsidR="00DF1FBF" w:rsidRDefault="00DF1FBF" w:rsidP="00650B21">
      <w:pPr>
        <w:numPr>
          <w:ilvl w:val="0"/>
          <w:numId w:val="11"/>
        </w:numPr>
        <w:autoSpaceDN w:val="0"/>
        <w:spacing w:line="260" w:lineRule="atLeast"/>
        <w:ind w:left="450"/>
        <w:rPr>
          <w:rFonts w:eastAsia="MS Mincho" w:cs="Arial"/>
          <w:lang w:eastAsia="ja-JP"/>
        </w:rPr>
      </w:pPr>
      <w:r>
        <w:rPr>
          <w:rFonts w:eastAsia="MS Mincho" w:cs="Arial"/>
          <w:lang w:eastAsia="ja-JP"/>
        </w:rPr>
        <w:lastRenderedPageBreak/>
        <w:t xml:space="preserve">Through adoption of appropriate alternative technologies, limit climate and adverse environmental impact of converted enterprises and comply with safety, economic and sustainability requirements. </w:t>
      </w:r>
    </w:p>
    <w:p w:rsidR="00DF1FBF" w:rsidRDefault="00DF1FBF" w:rsidP="00DF1FBF">
      <w:pPr>
        <w:rPr>
          <w:rFonts w:eastAsia="MS Mincho" w:cs="Arial"/>
          <w:lang w:eastAsia="ja-JP"/>
        </w:rPr>
      </w:pPr>
    </w:p>
    <w:p w:rsidR="00DF1FBF" w:rsidRDefault="00DF1FBF" w:rsidP="00DF1FBF">
      <w:pPr>
        <w:rPr>
          <w:rFonts w:eastAsia="MS Mincho" w:cs="Arial"/>
          <w:lang w:eastAsia="ja-JP"/>
        </w:rPr>
      </w:pPr>
      <w:r>
        <w:rPr>
          <w:rFonts w:eastAsia="MS Mincho" w:cs="Arial"/>
          <w:lang w:eastAsia="ja-JP"/>
        </w:rPr>
        <w:t>Policy measures:</w:t>
      </w:r>
    </w:p>
    <w:p w:rsidR="00DF1FBF" w:rsidRDefault="00DF1FBF" w:rsidP="00DF1FBF">
      <w:pPr>
        <w:rPr>
          <w:rFonts w:eastAsia="MS Mincho" w:cs="Arial"/>
          <w:lang w:eastAsia="ja-JP"/>
        </w:rPr>
      </w:pPr>
    </w:p>
    <w:p w:rsidR="00DF1FBF" w:rsidRDefault="00DF1FBF" w:rsidP="00DF1FBF">
      <w:pPr>
        <w:rPr>
          <w:rFonts w:eastAsia="MS Mincho" w:cs="Arial"/>
          <w:lang w:eastAsia="ja-JP"/>
        </w:rPr>
      </w:pPr>
      <w:r>
        <w:rPr>
          <w:rFonts w:eastAsia="MS Mincho" w:cs="Arial"/>
          <w:lang w:eastAsia="ja-JP"/>
        </w:rPr>
        <w:t>To achieve compliance with the control measures Argentina is preparing several policy interventions.</w:t>
      </w:r>
    </w:p>
    <w:p w:rsidR="00DF1FBF" w:rsidRDefault="00DF1FBF" w:rsidP="00DF1FBF">
      <w:pPr>
        <w:rPr>
          <w:rFonts w:eastAsia="MS Mincho" w:cs="Arial"/>
          <w:lang w:eastAsia="ja-JP"/>
        </w:rPr>
      </w:pPr>
    </w:p>
    <w:p w:rsidR="00DF1FBF" w:rsidRDefault="00DF1FBF" w:rsidP="00650B21">
      <w:pPr>
        <w:numPr>
          <w:ilvl w:val="0"/>
          <w:numId w:val="12"/>
        </w:numPr>
        <w:autoSpaceDN w:val="0"/>
        <w:ind w:left="1080" w:hanging="720"/>
        <w:rPr>
          <w:rFonts w:eastAsia="MS Mincho" w:cs="Arial"/>
          <w:lang w:eastAsia="ja-JP"/>
        </w:rPr>
      </w:pPr>
      <w:r>
        <w:rPr>
          <w:rFonts w:eastAsia="MS Mincho" w:cs="Arial"/>
          <w:lang w:eastAsia="ja-JP"/>
        </w:rPr>
        <w:t xml:space="preserve">The quota system was redesigned to address production of HCFC-22 and imports of several HCFCs, </w:t>
      </w:r>
    </w:p>
    <w:p w:rsidR="00DF1FBF" w:rsidRDefault="00DF1FBF" w:rsidP="00650B21">
      <w:pPr>
        <w:numPr>
          <w:ilvl w:val="0"/>
          <w:numId w:val="12"/>
        </w:numPr>
        <w:autoSpaceDN w:val="0"/>
        <w:ind w:left="720"/>
        <w:rPr>
          <w:rFonts w:eastAsia="MS Mincho" w:cs="Arial"/>
          <w:lang w:eastAsia="ja-JP"/>
        </w:rPr>
      </w:pPr>
      <w:r>
        <w:rPr>
          <w:rFonts w:eastAsia="MS Mincho" w:cs="Arial"/>
          <w:lang w:eastAsia="ja-JP"/>
        </w:rPr>
        <w:t>The quota system is being updated in harmony with the reduction targets.</w:t>
      </w:r>
    </w:p>
    <w:p w:rsidR="00DF1FBF" w:rsidRDefault="00DF1FBF" w:rsidP="00650B21">
      <w:pPr>
        <w:numPr>
          <w:ilvl w:val="0"/>
          <w:numId w:val="12"/>
        </w:numPr>
        <w:autoSpaceDN w:val="0"/>
        <w:ind w:left="720"/>
        <w:rPr>
          <w:rFonts w:eastAsia="MS Mincho" w:cs="Arial"/>
          <w:lang w:eastAsia="ja-JP"/>
        </w:rPr>
      </w:pPr>
      <w:r>
        <w:rPr>
          <w:rFonts w:eastAsia="MS Mincho" w:cs="Arial"/>
          <w:lang w:eastAsia="ja-JP"/>
        </w:rPr>
        <w:t xml:space="preserve">The installation of new HCFC production capacities is banned. </w:t>
      </w:r>
    </w:p>
    <w:p w:rsidR="00DF1FBF" w:rsidRDefault="00DF1FBF" w:rsidP="00650B21">
      <w:pPr>
        <w:numPr>
          <w:ilvl w:val="0"/>
          <w:numId w:val="12"/>
        </w:numPr>
        <w:autoSpaceDN w:val="0"/>
        <w:ind w:left="720"/>
        <w:rPr>
          <w:rFonts w:eastAsia="MS Mincho" w:cs="Arial"/>
          <w:lang w:eastAsia="ja-JP"/>
        </w:rPr>
      </w:pPr>
      <w:r>
        <w:rPr>
          <w:rFonts w:eastAsia="MS Mincho" w:cs="Arial"/>
          <w:lang w:eastAsia="ja-JP"/>
        </w:rPr>
        <w:t xml:space="preserve">The import of HCFC-based domestic Air conditioning equipment has been banned.  </w:t>
      </w:r>
    </w:p>
    <w:p w:rsidR="00DF1FBF" w:rsidRDefault="00DF1FBF" w:rsidP="00650B21">
      <w:pPr>
        <w:numPr>
          <w:ilvl w:val="0"/>
          <w:numId w:val="12"/>
        </w:numPr>
        <w:autoSpaceDN w:val="0"/>
        <w:ind w:left="720"/>
        <w:rPr>
          <w:rFonts w:eastAsia="MS Mincho" w:cs="Arial"/>
          <w:lang w:eastAsia="ja-JP"/>
        </w:rPr>
      </w:pPr>
      <w:r>
        <w:rPr>
          <w:rFonts w:eastAsia="MS Mincho" w:cs="Arial"/>
          <w:lang w:eastAsia="ja-JP"/>
        </w:rPr>
        <w:t>Production of HCFC-22 is being  monitored at FIASA</w:t>
      </w:r>
    </w:p>
    <w:p w:rsidR="00DF1FBF" w:rsidRDefault="00DF1FBF" w:rsidP="00650B21">
      <w:pPr>
        <w:numPr>
          <w:ilvl w:val="0"/>
          <w:numId w:val="12"/>
        </w:numPr>
        <w:autoSpaceDN w:val="0"/>
        <w:ind w:left="720"/>
        <w:rPr>
          <w:rFonts w:eastAsia="MS Mincho" w:cs="Arial"/>
          <w:lang w:eastAsia="ja-JP"/>
        </w:rPr>
      </w:pPr>
      <w:r>
        <w:rPr>
          <w:rFonts w:eastAsia="MS Mincho" w:cs="Arial"/>
          <w:lang w:eastAsia="ja-JP"/>
        </w:rPr>
        <w:t>All stakeholders are being updated on the progress and requirements of the legislation.</w:t>
      </w:r>
    </w:p>
    <w:p w:rsidR="00DF1FBF" w:rsidRDefault="00DF1FBF" w:rsidP="00650B21">
      <w:pPr>
        <w:numPr>
          <w:ilvl w:val="0"/>
          <w:numId w:val="12"/>
        </w:numPr>
        <w:autoSpaceDN w:val="0"/>
        <w:ind w:left="720"/>
        <w:rPr>
          <w:rFonts w:eastAsia="MS Mincho" w:cs="Arial"/>
          <w:lang w:eastAsia="ja-JP"/>
        </w:rPr>
      </w:pPr>
      <w:r>
        <w:rPr>
          <w:rFonts w:eastAsia="MS Mincho" w:cs="Arial"/>
          <w:lang w:eastAsia="ja-JP"/>
        </w:rPr>
        <w:t>Regular public awareness activities are being designed and implemented.</w:t>
      </w:r>
    </w:p>
    <w:p w:rsidR="00DF1FBF" w:rsidRDefault="00DF1FBF" w:rsidP="00DF1FBF">
      <w:pPr>
        <w:ind w:left="360"/>
        <w:rPr>
          <w:szCs w:val="24"/>
        </w:rPr>
      </w:pPr>
    </w:p>
    <w:p w:rsidR="00DF1FBF" w:rsidRDefault="00DF1FBF" w:rsidP="00DF1FBF">
      <w:r>
        <w:t>Regarding the HPMP implementation the general strategy has been executed successfully. The following activities summarize the progress in the project:</w:t>
      </w:r>
    </w:p>
    <w:p w:rsidR="00DF1FBF" w:rsidRDefault="00DF1FBF" w:rsidP="00DF1FBF"/>
    <w:p w:rsidR="00DF1FBF" w:rsidRDefault="00DF1FBF" w:rsidP="00DF1FBF">
      <w:r>
        <w:t>Implementation progress</w:t>
      </w:r>
    </w:p>
    <w:p w:rsidR="00DF1FBF" w:rsidRDefault="00DF1FBF" w:rsidP="00DF1FBF"/>
    <w:p w:rsidR="00DF1FBF" w:rsidRDefault="00DF1FBF" w:rsidP="00DF1FBF">
      <w:pPr>
        <w:ind w:left="720" w:hanging="720"/>
        <w:rPr>
          <w:rFonts w:eastAsia="MS Mincho" w:cs="Arial"/>
          <w:lang w:val="en-US" w:eastAsia="ja-JP"/>
        </w:rPr>
      </w:pPr>
      <w:r>
        <w:rPr>
          <w:rFonts w:eastAsia="MS Mincho" w:cs="Arial"/>
          <w:lang w:eastAsia="ja-JP"/>
        </w:rPr>
        <w:t>The HPMP Stage I addressed to the extent possible conversion at large enterprises:</w:t>
      </w:r>
    </w:p>
    <w:p w:rsidR="00DF1FBF" w:rsidRDefault="00DF1FBF" w:rsidP="00DF1FBF">
      <w:pPr>
        <w:ind w:left="720" w:hanging="360"/>
        <w:rPr>
          <w:color w:val="000000"/>
          <w:szCs w:val="24"/>
        </w:rPr>
      </w:pPr>
      <w:r>
        <w:rPr>
          <w:color w:val="000000"/>
        </w:rPr>
        <w:t>a.</w:t>
      </w:r>
      <w:r>
        <w:rPr>
          <w:color w:val="000000"/>
        </w:rPr>
        <w:tab/>
        <w:t>Conversion of HCFC-22 in room and unitary air-conditioning equipment manufacturing sector approved at 61</w:t>
      </w:r>
      <w:r>
        <w:rPr>
          <w:color w:val="000000"/>
          <w:vertAlign w:val="superscript"/>
        </w:rPr>
        <w:t>st</w:t>
      </w:r>
      <w:r>
        <w:rPr>
          <w:color w:val="000000"/>
        </w:rPr>
        <w:t xml:space="preserve"> Executive Committee Meeting (Component 1, UNIDO)</w:t>
      </w:r>
    </w:p>
    <w:p w:rsidR="00DF1FBF" w:rsidRDefault="00DF1FBF" w:rsidP="00DF1FBF">
      <w:pPr>
        <w:ind w:left="720" w:hanging="360"/>
        <w:rPr>
          <w:color w:val="000000"/>
        </w:rPr>
      </w:pPr>
      <w:r>
        <w:rPr>
          <w:color w:val="000000"/>
        </w:rPr>
        <w:t>b.</w:t>
      </w:r>
      <w:r>
        <w:rPr>
          <w:color w:val="000000"/>
        </w:rPr>
        <w:tab/>
        <w:t xml:space="preserve">Conversion from HCFC-141b in the manufacture of polyurethane rigid insulation foam for domestic refrigerators at </w:t>
      </w:r>
      <w:proofErr w:type="spellStart"/>
      <w:r>
        <w:rPr>
          <w:color w:val="000000"/>
        </w:rPr>
        <w:t>Mabe</w:t>
      </w:r>
      <w:proofErr w:type="spellEnd"/>
      <w:r>
        <w:rPr>
          <w:color w:val="000000"/>
        </w:rPr>
        <w:t xml:space="preserve"> Argentina (Component 2, World Bank)</w:t>
      </w:r>
    </w:p>
    <w:p w:rsidR="00DF1FBF" w:rsidRDefault="00DF1FBF" w:rsidP="00DF1FBF">
      <w:pPr>
        <w:ind w:left="720" w:hanging="360"/>
        <w:rPr>
          <w:color w:val="000000"/>
        </w:rPr>
      </w:pPr>
      <w:r>
        <w:rPr>
          <w:color w:val="000000"/>
        </w:rPr>
        <w:t>c.</w:t>
      </w:r>
      <w:r>
        <w:rPr>
          <w:color w:val="000000"/>
        </w:rPr>
        <w:tab/>
        <w:t>Technical assistance to reduce the use of HCFC-141b in flushing during servicing (Component 3, UNIDO)</w:t>
      </w:r>
    </w:p>
    <w:p w:rsidR="00DF1FBF" w:rsidRDefault="00DF1FBF" w:rsidP="00DF1FBF">
      <w:pPr>
        <w:ind w:left="720" w:hanging="360"/>
        <w:rPr>
          <w:color w:val="000000"/>
        </w:rPr>
      </w:pPr>
      <w:r>
        <w:rPr>
          <w:color w:val="000000"/>
        </w:rPr>
        <w:t>d.</w:t>
      </w:r>
      <w:r>
        <w:rPr>
          <w:color w:val="000000"/>
        </w:rPr>
        <w:tab/>
        <w:t>Training of technicians on good practices, servicing using alternatives (Component 3, UNIDO)</w:t>
      </w:r>
    </w:p>
    <w:p w:rsidR="00DF1FBF" w:rsidRDefault="00DF1FBF" w:rsidP="00DF1FBF">
      <w:pPr>
        <w:ind w:left="360"/>
        <w:rPr>
          <w:color w:val="000000"/>
        </w:rPr>
      </w:pPr>
      <w:r>
        <w:rPr>
          <w:color w:val="000000"/>
        </w:rPr>
        <w:t>e.</w:t>
      </w:r>
      <w:r>
        <w:rPr>
          <w:color w:val="000000"/>
        </w:rPr>
        <w:tab/>
        <w:t>Support to the project coordination and monitoring.  (Component 3, UNIDO)</w:t>
      </w:r>
    </w:p>
    <w:p w:rsidR="00DF1FBF" w:rsidRDefault="00DF1FBF" w:rsidP="00DF1FBF">
      <w:pPr>
        <w:ind w:left="360"/>
        <w:rPr>
          <w:color w:val="000000"/>
        </w:rPr>
      </w:pPr>
      <w:r>
        <w:rPr>
          <w:color w:val="000000"/>
        </w:rPr>
        <w:t>d.</w:t>
      </w:r>
      <w:r>
        <w:rPr>
          <w:color w:val="000000"/>
        </w:rPr>
        <w:tab/>
        <w:t>Monitoring Production (Component 4, World Bank)</w:t>
      </w:r>
    </w:p>
    <w:p w:rsidR="00DF1FBF" w:rsidRDefault="00DF1FBF" w:rsidP="00DF1FBF">
      <w:pPr>
        <w:rPr>
          <w:color w:val="000000"/>
        </w:rPr>
      </w:pPr>
    </w:p>
    <w:p w:rsidR="00DF1FBF" w:rsidRDefault="00DF1FBF" w:rsidP="00DF1FBF">
      <w:pPr>
        <w:tabs>
          <w:tab w:val="num" w:pos="720"/>
        </w:tabs>
        <w:rPr>
          <w:lang w:val="en-US"/>
        </w:rPr>
      </w:pPr>
      <w:r>
        <w:t xml:space="preserve">The remaining eligible consumption of HCFCs in manufacturing and servicing sector to reach 2020 is 100.16 ODP Tons. It is projected that this amount will be phased out from the servicing sector using HCFC-22.  The World Bank will continue be in charge of </w:t>
      </w:r>
      <w:proofErr w:type="spellStart"/>
      <w:r>
        <w:t>th</w:t>
      </w:r>
      <w:proofErr w:type="spellEnd"/>
      <w:r>
        <w:t xml:space="preserve"> foam, for which at the 76</w:t>
      </w:r>
      <w:r>
        <w:rPr>
          <w:vertAlign w:val="superscript"/>
        </w:rPr>
        <w:t>th</w:t>
      </w:r>
      <w:r>
        <w:t xml:space="preserve"> Meeting, PRP amounting 137,000 was approved. </w:t>
      </w:r>
    </w:p>
    <w:p w:rsidR="00DF1FBF" w:rsidRDefault="00DF1FBF" w:rsidP="00DF1FBF">
      <w:pPr>
        <w:tabs>
          <w:tab w:val="num" w:pos="720"/>
        </w:tabs>
      </w:pPr>
      <w:r>
        <w:t>The training and support of technicians already started during the HPMP stage I</w:t>
      </w:r>
      <w:r>
        <w:rPr>
          <w:rFonts w:eastAsia="MS Mincho" w:cs="Tahoma"/>
          <w:szCs w:val="20"/>
          <w:lang w:eastAsia="ja-JP"/>
        </w:rPr>
        <w:t xml:space="preserve">.  It is expected to continue and enlarge the scope during the Stage II of the HPMP as </w:t>
      </w:r>
      <w:r>
        <w:t>stipulated in overarching HPMP strategy document approved by 61</w:t>
      </w:r>
      <w:r>
        <w:rPr>
          <w:vertAlign w:val="superscript"/>
        </w:rPr>
        <w:t>st</w:t>
      </w:r>
      <w:r>
        <w:t xml:space="preserve"> Executive Committee.  </w:t>
      </w:r>
    </w:p>
    <w:p w:rsidR="00DF1FBF" w:rsidRDefault="00DF1FBF" w:rsidP="00DF1FBF">
      <w:pPr>
        <w:ind w:left="720"/>
        <w:contextualSpacing/>
        <w:rPr>
          <w:b/>
        </w:rPr>
      </w:pPr>
    </w:p>
    <w:p w:rsidR="00DF1FBF" w:rsidRDefault="00DF1FBF" w:rsidP="00DF1FBF">
      <w:pPr>
        <w:ind w:left="720"/>
        <w:contextualSpacing/>
        <w:rPr>
          <w:b/>
        </w:rPr>
      </w:pPr>
    </w:p>
    <w:p w:rsidR="00DF1FBF" w:rsidRDefault="00DF1FBF">
      <w:pPr>
        <w:jc w:val="left"/>
        <w:rPr>
          <w:b/>
        </w:rPr>
      </w:pPr>
      <w:r>
        <w:rPr>
          <w:b/>
        </w:rPr>
        <w:br w:type="page"/>
      </w:r>
    </w:p>
    <w:p w:rsidR="00DF1FBF" w:rsidRDefault="00DF1FBF" w:rsidP="00DF1FBF">
      <w:pPr>
        <w:rPr>
          <w:b/>
        </w:rPr>
      </w:pPr>
      <w:r>
        <w:rPr>
          <w:b/>
        </w:rPr>
        <w:lastRenderedPageBreak/>
        <w:t xml:space="preserve">Funding Requirement </w:t>
      </w:r>
    </w:p>
    <w:p w:rsidR="00DF1FBF" w:rsidRDefault="00DF1FBF" w:rsidP="00DF1FBF">
      <w:r>
        <w:t>In accordance with the guideline 71/55 the preparatory funds are requested for UNIDO, as follows:</w:t>
      </w:r>
    </w:p>
    <w:p w:rsidR="00DF1FBF" w:rsidRDefault="00DF1FBF" w:rsidP="00DF1FBF">
      <w:pPr>
        <w:ind w:left="720"/>
        <w:contextualSpacing/>
      </w:pPr>
      <w:r>
        <w:t xml:space="preserve"> </w:t>
      </w:r>
    </w:p>
    <w:tbl>
      <w:tblPr>
        <w:tblW w:w="5670" w:type="dxa"/>
        <w:jc w:val="center"/>
        <w:tblInd w:w="828" w:type="dxa"/>
        <w:tblLook w:val="04A0" w:firstRow="1" w:lastRow="0" w:firstColumn="1" w:lastColumn="0" w:noHBand="0" w:noVBand="1"/>
      </w:tblPr>
      <w:tblGrid>
        <w:gridCol w:w="4410"/>
        <w:gridCol w:w="1260"/>
      </w:tblGrid>
      <w:tr w:rsidR="00DF1FBF" w:rsidTr="00DF1FBF">
        <w:trPr>
          <w:trHeight w:val="360"/>
          <w:jc w:val="center"/>
        </w:trPr>
        <w:tc>
          <w:tcPr>
            <w:tcW w:w="4410" w:type="dxa"/>
            <w:tcBorders>
              <w:top w:val="single" w:sz="4" w:space="0" w:color="auto"/>
              <w:left w:val="single" w:sz="4" w:space="0" w:color="auto"/>
              <w:bottom w:val="single" w:sz="4" w:space="0" w:color="auto"/>
              <w:right w:val="single" w:sz="4" w:space="0" w:color="auto"/>
            </w:tcBorders>
            <w:vAlign w:val="center"/>
            <w:hideMark/>
          </w:tcPr>
          <w:p w:rsidR="00DF1FBF" w:rsidRDefault="00DF1FBF">
            <w:pPr>
              <w:widowControl w:val="0"/>
              <w:autoSpaceDE w:val="0"/>
              <w:autoSpaceDN w:val="0"/>
              <w:adjustRightInd w:val="0"/>
              <w:jc w:val="center"/>
              <w:rPr>
                <w:b/>
                <w:color w:val="000000"/>
                <w:sz w:val="20"/>
                <w:szCs w:val="20"/>
              </w:rPr>
            </w:pPr>
            <w:r>
              <w:rPr>
                <w:b/>
                <w:color w:val="000000"/>
                <w:sz w:val="20"/>
                <w:szCs w:val="20"/>
              </w:rPr>
              <w:t>Activities</w:t>
            </w:r>
          </w:p>
        </w:tc>
        <w:tc>
          <w:tcPr>
            <w:tcW w:w="1260" w:type="dxa"/>
            <w:tcBorders>
              <w:top w:val="single" w:sz="4" w:space="0" w:color="auto"/>
              <w:left w:val="nil"/>
              <w:bottom w:val="single" w:sz="4" w:space="0" w:color="auto"/>
              <w:right w:val="single" w:sz="4" w:space="0" w:color="auto"/>
            </w:tcBorders>
            <w:noWrap/>
            <w:vAlign w:val="center"/>
            <w:hideMark/>
          </w:tcPr>
          <w:p w:rsidR="00DF1FBF" w:rsidRDefault="00DF1FBF">
            <w:pPr>
              <w:widowControl w:val="0"/>
              <w:autoSpaceDE w:val="0"/>
              <w:autoSpaceDN w:val="0"/>
              <w:adjustRightInd w:val="0"/>
              <w:jc w:val="center"/>
              <w:rPr>
                <w:b/>
                <w:color w:val="000000"/>
                <w:sz w:val="20"/>
                <w:szCs w:val="20"/>
              </w:rPr>
            </w:pPr>
            <w:r>
              <w:rPr>
                <w:b/>
                <w:color w:val="000000"/>
                <w:sz w:val="20"/>
                <w:szCs w:val="20"/>
              </w:rPr>
              <w:t>Total</w:t>
            </w:r>
          </w:p>
        </w:tc>
      </w:tr>
      <w:tr w:rsidR="00DF1FBF" w:rsidTr="00DF1FBF">
        <w:trPr>
          <w:trHeight w:val="360"/>
          <w:jc w:val="center"/>
        </w:trPr>
        <w:tc>
          <w:tcPr>
            <w:tcW w:w="4410" w:type="dxa"/>
            <w:tcBorders>
              <w:top w:val="nil"/>
              <w:left w:val="single" w:sz="4" w:space="0" w:color="auto"/>
              <w:bottom w:val="single" w:sz="4" w:space="0" w:color="auto"/>
              <w:right w:val="single" w:sz="4" w:space="0" w:color="auto"/>
            </w:tcBorders>
            <w:vAlign w:val="center"/>
          </w:tcPr>
          <w:p w:rsidR="00DF1FBF" w:rsidRDefault="00DF1FBF">
            <w:pPr>
              <w:widowControl w:val="0"/>
              <w:autoSpaceDE w:val="0"/>
              <w:autoSpaceDN w:val="0"/>
              <w:adjustRightInd w:val="0"/>
              <w:rPr>
                <w:color w:val="000000"/>
                <w:sz w:val="20"/>
                <w:szCs w:val="20"/>
              </w:rPr>
            </w:pPr>
          </w:p>
        </w:tc>
        <w:tc>
          <w:tcPr>
            <w:tcW w:w="1260" w:type="dxa"/>
            <w:tcBorders>
              <w:top w:val="nil"/>
              <w:left w:val="nil"/>
              <w:bottom w:val="single" w:sz="4" w:space="0" w:color="auto"/>
              <w:right w:val="single" w:sz="4" w:space="0" w:color="auto"/>
            </w:tcBorders>
            <w:noWrap/>
            <w:vAlign w:val="center"/>
          </w:tcPr>
          <w:p w:rsidR="00DF1FBF" w:rsidRDefault="00DF1FBF">
            <w:pPr>
              <w:widowControl w:val="0"/>
              <w:autoSpaceDE w:val="0"/>
              <w:autoSpaceDN w:val="0"/>
              <w:adjustRightInd w:val="0"/>
              <w:jc w:val="center"/>
              <w:rPr>
                <w:color w:val="000000"/>
                <w:sz w:val="20"/>
                <w:szCs w:val="20"/>
              </w:rPr>
            </w:pPr>
          </w:p>
        </w:tc>
      </w:tr>
      <w:tr w:rsidR="00DF1FBF" w:rsidTr="00DF1FBF">
        <w:trPr>
          <w:trHeight w:val="360"/>
          <w:jc w:val="center"/>
        </w:trPr>
        <w:tc>
          <w:tcPr>
            <w:tcW w:w="4410" w:type="dxa"/>
            <w:tcBorders>
              <w:top w:val="nil"/>
              <w:left w:val="single" w:sz="4" w:space="0" w:color="auto"/>
              <w:bottom w:val="single" w:sz="4" w:space="0" w:color="auto"/>
              <w:right w:val="single" w:sz="4" w:space="0" w:color="auto"/>
            </w:tcBorders>
            <w:vAlign w:val="center"/>
            <w:hideMark/>
          </w:tcPr>
          <w:p w:rsidR="00DF1FBF" w:rsidRDefault="00DF1FBF">
            <w:pPr>
              <w:widowControl w:val="0"/>
              <w:autoSpaceDE w:val="0"/>
              <w:autoSpaceDN w:val="0"/>
              <w:adjustRightInd w:val="0"/>
              <w:rPr>
                <w:color w:val="000000"/>
                <w:sz w:val="20"/>
                <w:szCs w:val="20"/>
              </w:rPr>
            </w:pPr>
            <w:r>
              <w:rPr>
                <w:color w:val="000000"/>
                <w:sz w:val="20"/>
                <w:szCs w:val="20"/>
              </w:rPr>
              <w:t xml:space="preserve">Survey to update consumption  all over the country </w:t>
            </w:r>
          </w:p>
        </w:tc>
        <w:tc>
          <w:tcPr>
            <w:tcW w:w="1260" w:type="dxa"/>
            <w:tcBorders>
              <w:top w:val="nil"/>
              <w:left w:val="nil"/>
              <w:bottom w:val="single" w:sz="4" w:space="0" w:color="auto"/>
              <w:right w:val="single" w:sz="4" w:space="0" w:color="auto"/>
            </w:tcBorders>
            <w:noWrap/>
            <w:vAlign w:val="bottom"/>
            <w:hideMark/>
          </w:tcPr>
          <w:p w:rsidR="00DF1FBF" w:rsidRDefault="00DF1FBF">
            <w:pPr>
              <w:widowControl w:val="0"/>
              <w:autoSpaceDE w:val="0"/>
              <w:autoSpaceDN w:val="0"/>
              <w:adjustRightInd w:val="0"/>
              <w:jc w:val="center"/>
              <w:rPr>
                <w:color w:val="000000"/>
                <w:sz w:val="20"/>
                <w:szCs w:val="20"/>
              </w:rPr>
            </w:pPr>
            <w:r>
              <w:rPr>
                <w:color w:val="000000"/>
                <w:sz w:val="20"/>
                <w:szCs w:val="20"/>
              </w:rPr>
              <w:t>15,000</w:t>
            </w:r>
          </w:p>
        </w:tc>
      </w:tr>
      <w:tr w:rsidR="00DF1FBF" w:rsidTr="00DF1FBF">
        <w:trPr>
          <w:trHeight w:val="360"/>
          <w:jc w:val="center"/>
        </w:trPr>
        <w:tc>
          <w:tcPr>
            <w:tcW w:w="4410" w:type="dxa"/>
            <w:tcBorders>
              <w:top w:val="nil"/>
              <w:left w:val="single" w:sz="4" w:space="0" w:color="auto"/>
              <w:bottom w:val="single" w:sz="4" w:space="0" w:color="auto"/>
              <w:right w:val="single" w:sz="4" w:space="0" w:color="auto"/>
            </w:tcBorders>
            <w:vAlign w:val="center"/>
            <w:hideMark/>
          </w:tcPr>
          <w:p w:rsidR="00DF1FBF" w:rsidRDefault="00DF1FBF">
            <w:pPr>
              <w:widowControl w:val="0"/>
              <w:autoSpaceDE w:val="0"/>
              <w:autoSpaceDN w:val="0"/>
              <w:adjustRightInd w:val="0"/>
              <w:rPr>
                <w:color w:val="000000"/>
                <w:sz w:val="20"/>
                <w:szCs w:val="20"/>
              </w:rPr>
            </w:pPr>
            <w:r>
              <w:rPr>
                <w:color w:val="000000"/>
                <w:sz w:val="20"/>
                <w:szCs w:val="20"/>
              </w:rPr>
              <w:t>Survey to update the numbers of technicians related to the refrigeration sector for all Provinces</w:t>
            </w:r>
          </w:p>
        </w:tc>
        <w:tc>
          <w:tcPr>
            <w:tcW w:w="1260" w:type="dxa"/>
            <w:tcBorders>
              <w:top w:val="nil"/>
              <w:left w:val="nil"/>
              <w:bottom w:val="single" w:sz="4" w:space="0" w:color="auto"/>
              <w:right w:val="single" w:sz="4" w:space="0" w:color="auto"/>
            </w:tcBorders>
            <w:noWrap/>
            <w:vAlign w:val="bottom"/>
            <w:hideMark/>
          </w:tcPr>
          <w:p w:rsidR="00DF1FBF" w:rsidRDefault="00DF1FBF">
            <w:pPr>
              <w:widowControl w:val="0"/>
              <w:autoSpaceDE w:val="0"/>
              <w:autoSpaceDN w:val="0"/>
              <w:adjustRightInd w:val="0"/>
              <w:jc w:val="center"/>
              <w:rPr>
                <w:color w:val="000000"/>
                <w:sz w:val="20"/>
                <w:szCs w:val="20"/>
              </w:rPr>
            </w:pPr>
            <w:r>
              <w:rPr>
                <w:color w:val="000000"/>
                <w:sz w:val="20"/>
                <w:szCs w:val="20"/>
              </w:rPr>
              <w:t>15,000</w:t>
            </w:r>
          </w:p>
        </w:tc>
      </w:tr>
      <w:tr w:rsidR="00DF1FBF" w:rsidTr="00DF1FBF">
        <w:trPr>
          <w:trHeight w:val="360"/>
          <w:jc w:val="center"/>
        </w:trPr>
        <w:tc>
          <w:tcPr>
            <w:tcW w:w="4410" w:type="dxa"/>
            <w:tcBorders>
              <w:top w:val="nil"/>
              <w:left w:val="single" w:sz="4" w:space="0" w:color="auto"/>
              <w:bottom w:val="single" w:sz="4" w:space="0" w:color="auto"/>
              <w:right w:val="single" w:sz="4" w:space="0" w:color="auto"/>
            </w:tcBorders>
            <w:vAlign w:val="center"/>
            <w:hideMark/>
          </w:tcPr>
          <w:p w:rsidR="00DF1FBF" w:rsidRDefault="00DF1FBF">
            <w:pPr>
              <w:widowControl w:val="0"/>
              <w:autoSpaceDE w:val="0"/>
              <w:autoSpaceDN w:val="0"/>
              <w:adjustRightInd w:val="0"/>
              <w:rPr>
                <w:color w:val="000000"/>
                <w:sz w:val="20"/>
                <w:szCs w:val="20"/>
              </w:rPr>
            </w:pPr>
            <w:r>
              <w:rPr>
                <w:color w:val="000000"/>
                <w:sz w:val="20"/>
                <w:szCs w:val="20"/>
              </w:rPr>
              <w:t>Consultancy (international consultant)</w:t>
            </w:r>
          </w:p>
        </w:tc>
        <w:tc>
          <w:tcPr>
            <w:tcW w:w="1260" w:type="dxa"/>
            <w:tcBorders>
              <w:top w:val="nil"/>
              <w:left w:val="nil"/>
              <w:bottom w:val="single" w:sz="4" w:space="0" w:color="auto"/>
              <w:right w:val="single" w:sz="4" w:space="0" w:color="auto"/>
            </w:tcBorders>
            <w:noWrap/>
            <w:vAlign w:val="bottom"/>
            <w:hideMark/>
          </w:tcPr>
          <w:p w:rsidR="00DF1FBF" w:rsidRDefault="00DF1FBF">
            <w:pPr>
              <w:widowControl w:val="0"/>
              <w:autoSpaceDE w:val="0"/>
              <w:autoSpaceDN w:val="0"/>
              <w:adjustRightInd w:val="0"/>
              <w:jc w:val="center"/>
              <w:rPr>
                <w:color w:val="000000"/>
                <w:sz w:val="20"/>
                <w:szCs w:val="20"/>
              </w:rPr>
            </w:pPr>
            <w:r>
              <w:rPr>
                <w:color w:val="000000"/>
                <w:sz w:val="20"/>
                <w:szCs w:val="20"/>
              </w:rPr>
              <w:t>40,000</w:t>
            </w:r>
          </w:p>
        </w:tc>
      </w:tr>
      <w:tr w:rsidR="00DF1FBF" w:rsidTr="00DF1FBF">
        <w:trPr>
          <w:trHeight w:val="360"/>
          <w:jc w:val="center"/>
        </w:trPr>
        <w:tc>
          <w:tcPr>
            <w:tcW w:w="4410" w:type="dxa"/>
            <w:tcBorders>
              <w:top w:val="nil"/>
              <w:left w:val="single" w:sz="4" w:space="0" w:color="auto"/>
              <w:bottom w:val="single" w:sz="4" w:space="0" w:color="auto"/>
              <w:right w:val="single" w:sz="4" w:space="0" w:color="auto"/>
            </w:tcBorders>
            <w:vAlign w:val="center"/>
            <w:hideMark/>
          </w:tcPr>
          <w:p w:rsidR="00DF1FBF" w:rsidRDefault="00DF1FBF">
            <w:pPr>
              <w:widowControl w:val="0"/>
              <w:autoSpaceDE w:val="0"/>
              <w:autoSpaceDN w:val="0"/>
              <w:adjustRightInd w:val="0"/>
              <w:rPr>
                <w:color w:val="000000"/>
                <w:sz w:val="20"/>
                <w:szCs w:val="20"/>
              </w:rPr>
            </w:pPr>
            <w:r>
              <w:rPr>
                <w:color w:val="000000"/>
                <w:sz w:val="20"/>
                <w:szCs w:val="20"/>
              </w:rPr>
              <w:t>Stake holders meetings</w:t>
            </w:r>
          </w:p>
        </w:tc>
        <w:tc>
          <w:tcPr>
            <w:tcW w:w="1260" w:type="dxa"/>
            <w:tcBorders>
              <w:top w:val="nil"/>
              <w:left w:val="nil"/>
              <w:bottom w:val="single" w:sz="4" w:space="0" w:color="auto"/>
              <w:right w:val="single" w:sz="4" w:space="0" w:color="auto"/>
            </w:tcBorders>
            <w:noWrap/>
            <w:vAlign w:val="bottom"/>
            <w:hideMark/>
          </w:tcPr>
          <w:p w:rsidR="00DF1FBF" w:rsidRDefault="00DF1FBF">
            <w:pPr>
              <w:widowControl w:val="0"/>
              <w:autoSpaceDE w:val="0"/>
              <w:autoSpaceDN w:val="0"/>
              <w:adjustRightInd w:val="0"/>
              <w:jc w:val="center"/>
              <w:rPr>
                <w:color w:val="000000"/>
                <w:sz w:val="20"/>
                <w:szCs w:val="20"/>
              </w:rPr>
            </w:pPr>
            <w:r>
              <w:rPr>
                <w:color w:val="000000"/>
                <w:sz w:val="20"/>
                <w:szCs w:val="20"/>
              </w:rPr>
              <w:t>10,000</w:t>
            </w:r>
          </w:p>
        </w:tc>
      </w:tr>
      <w:tr w:rsidR="00DF1FBF" w:rsidTr="00DF1FBF">
        <w:trPr>
          <w:trHeight w:val="360"/>
          <w:jc w:val="center"/>
        </w:trPr>
        <w:tc>
          <w:tcPr>
            <w:tcW w:w="4410" w:type="dxa"/>
            <w:tcBorders>
              <w:top w:val="nil"/>
              <w:left w:val="single" w:sz="4" w:space="0" w:color="auto"/>
              <w:bottom w:val="single" w:sz="4" w:space="0" w:color="auto"/>
              <w:right w:val="single" w:sz="4" w:space="0" w:color="auto"/>
            </w:tcBorders>
            <w:vAlign w:val="center"/>
            <w:hideMark/>
          </w:tcPr>
          <w:p w:rsidR="00DF1FBF" w:rsidRDefault="00DF1FBF">
            <w:pPr>
              <w:widowControl w:val="0"/>
              <w:autoSpaceDE w:val="0"/>
              <w:autoSpaceDN w:val="0"/>
              <w:adjustRightInd w:val="0"/>
              <w:rPr>
                <w:color w:val="000000"/>
                <w:sz w:val="20"/>
                <w:szCs w:val="20"/>
              </w:rPr>
            </w:pPr>
            <w:r>
              <w:rPr>
                <w:color w:val="000000"/>
                <w:sz w:val="20"/>
                <w:szCs w:val="20"/>
              </w:rPr>
              <w:t>Consultation meeting</w:t>
            </w:r>
          </w:p>
        </w:tc>
        <w:tc>
          <w:tcPr>
            <w:tcW w:w="1260" w:type="dxa"/>
            <w:tcBorders>
              <w:top w:val="nil"/>
              <w:left w:val="nil"/>
              <w:bottom w:val="single" w:sz="4" w:space="0" w:color="auto"/>
              <w:right w:val="single" w:sz="4" w:space="0" w:color="auto"/>
            </w:tcBorders>
            <w:noWrap/>
            <w:vAlign w:val="bottom"/>
            <w:hideMark/>
          </w:tcPr>
          <w:p w:rsidR="00DF1FBF" w:rsidRDefault="00DF1FBF">
            <w:pPr>
              <w:widowControl w:val="0"/>
              <w:autoSpaceDE w:val="0"/>
              <w:autoSpaceDN w:val="0"/>
              <w:adjustRightInd w:val="0"/>
              <w:jc w:val="center"/>
              <w:rPr>
                <w:color w:val="000000"/>
                <w:sz w:val="20"/>
                <w:szCs w:val="20"/>
              </w:rPr>
            </w:pPr>
            <w:r>
              <w:rPr>
                <w:color w:val="000000"/>
                <w:sz w:val="20"/>
                <w:szCs w:val="20"/>
              </w:rPr>
              <w:t>10,000</w:t>
            </w:r>
          </w:p>
        </w:tc>
      </w:tr>
      <w:tr w:rsidR="00DF1FBF" w:rsidTr="00DF1FBF">
        <w:trPr>
          <w:trHeight w:val="360"/>
          <w:jc w:val="center"/>
        </w:trPr>
        <w:tc>
          <w:tcPr>
            <w:tcW w:w="4410" w:type="dxa"/>
            <w:tcBorders>
              <w:top w:val="nil"/>
              <w:left w:val="single" w:sz="4" w:space="0" w:color="auto"/>
              <w:bottom w:val="single" w:sz="4" w:space="0" w:color="auto"/>
              <w:right w:val="single" w:sz="4" w:space="0" w:color="auto"/>
            </w:tcBorders>
            <w:vAlign w:val="center"/>
          </w:tcPr>
          <w:p w:rsidR="00DF1FBF" w:rsidRDefault="00DF1FBF">
            <w:pPr>
              <w:widowControl w:val="0"/>
              <w:autoSpaceDE w:val="0"/>
              <w:autoSpaceDN w:val="0"/>
              <w:adjustRightInd w:val="0"/>
              <w:rPr>
                <w:color w:val="000000"/>
                <w:sz w:val="20"/>
                <w:szCs w:val="20"/>
              </w:rPr>
            </w:pPr>
          </w:p>
        </w:tc>
        <w:tc>
          <w:tcPr>
            <w:tcW w:w="1260" w:type="dxa"/>
            <w:tcBorders>
              <w:top w:val="nil"/>
              <w:left w:val="nil"/>
              <w:bottom w:val="single" w:sz="4" w:space="0" w:color="auto"/>
              <w:right w:val="single" w:sz="4" w:space="0" w:color="auto"/>
            </w:tcBorders>
            <w:noWrap/>
            <w:vAlign w:val="bottom"/>
            <w:hideMark/>
          </w:tcPr>
          <w:p w:rsidR="00DF1FBF" w:rsidRDefault="00DF1FBF">
            <w:pPr>
              <w:widowControl w:val="0"/>
              <w:autoSpaceDE w:val="0"/>
              <w:autoSpaceDN w:val="0"/>
              <w:adjustRightInd w:val="0"/>
              <w:jc w:val="center"/>
              <w:rPr>
                <w:color w:val="000000"/>
                <w:sz w:val="20"/>
                <w:szCs w:val="20"/>
              </w:rPr>
            </w:pPr>
            <w:r>
              <w:rPr>
                <w:color w:val="000000"/>
                <w:sz w:val="20"/>
                <w:szCs w:val="20"/>
              </w:rPr>
              <w:t>90,000</w:t>
            </w:r>
          </w:p>
        </w:tc>
      </w:tr>
    </w:tbl>
    <w:p w:rsidR="00DF1FBF" w:rsidRDefault="00DF1FBF" w:rsidP="00DF1FBF">
      <w:pPr>
        <w:ind w:left="720"/>
      </w:pPr>
    </w:p>
    <w:p w:rsidR="00DF1FBF" w:rsidRDefault="00DF1FBF" w:rsidP="00DF1FBF">
      <w:pPr>
        <w:ind w:left="720"/>
      </w:pPr>
    </w:p>
    <w:p w:rsidR="00DF1FBF" w:rsidRDefault="00DF1FBF" w:rsidP="00DF1FBF">
      <w:pPr>
        <w:rPr>
          <w:b/>
        </w:rPr>
      </w:pPr>
      <w:r>
        <w:rPr>
          <w:b/>
        </w:rPr>
        <w:t>Activities to be undertaken to develop Stage-II document</w:t>
      </w:r>
    </w:p>
    <w:p w:rsidR="00DF1FBF" w:rsidRDefault="00DF1FBF" w:rsidP="00DF1FBF">
      <w:pPr>
        <w:rPr>
          <w:color w:val="000000"/>
        </w:rPr>
      </w:pPr>
    </w:p>
    <w:p w:rsidR="00DF1FBF" w:rsidRDefault="00DF1FBF" w:rsidP="00DF1FBF">
      <w:pPr>
        <w:spacing w:before="120"/>
        <w:rPr>
          <w:color w:val="000000"/>
        </w:rPr>
      </w:pPr>
      <w:r>
        <w:rPr>
          <w:color w:val="000000"/>
        </w:rPr>
        <w:t>The following activities shall be undertaken for the preparation of stage-II HPMP to be prepared from the proposed funding:</w:t>
      </w:r>
    </w:p>
    <w:p w:rsidR="00DF1FBF" w:rsidRDefault="00DF1FBF" w:rsidP="00650B21">
      <w:pPr>
        <w:numPr>
          <w:ilvl w:val="0"/>
          <w:numId w:val="13"/>
        </w:numPr>
        <w:autoSpaceDN w:val="0"/>
        <w:spacing w:before="120"/>
        <w:contextualSpacing/>
        <w:rPr>
          <w:color w:val="000000"/>
        </w:rPr>
      </w:pPr>
      <w:r>
        <w:rPr>
          <w:color w:val="000000"/>
        </w:rPr>
        <w:t>Data Collection and Surveys</w:t>
      </w:r>
    </w:p>
    <w:p w:rsidR="00DF1FBF" w:rsidRDefault="00DF1FBF" w:rsidP="00650B21">
      <w:pPr>
        <w:numPr>
          <w:ilvl w:val="0"/>
          <w:numId w:val="13"/>
        </w:numPr>
        <w:autoSpaceDN w:val="0"/>
        <w:spacing w:before="120"/>
        <w:contextualSpacing/>
        <w:rPr>
          <w:color w:val="000000"/>
        </w:rPr>
      </w:pPr>
      <w:r>
        <w:rPr>
          <w:color w:val="000000"/>
        </w:rPr>
        <w:t>Collection, verification and validation of HCFC consumption in various sectors/ sub-sectors through survey of Government departments, traders, distributors, importers and manufacturers to access the sectoral distribution of HCFC consumption (update previous data collection)</w:t>
      </w:r>
    </w:p>
    <w:p w:rsidR="00DF1FBF" w:rsidRDefault="00DF1FBF" w:rsidP="00650B21">
      <w:pPr>
        <w:numPr>
          <w:ilvl w:val="0"/>
          <w:numId w:val="13"/>
        </w:numPr>
        <w:autoSpaceDN w:val="0"/>
        <w:spacing w:before="120"/>
        <w:contextualSpacing/>
        <w:rPr>
          <w:color w:val="000000"/>
        </w:rPr>
      </w:pPr>
      <w:r>
        <w:rPr>
          <w:color w:val="000000"/>
        </w:rPr>
        <w:t>Collect information to determine the number of technicians, their needs, in all 28 Provinces of Argentina.</w:t>
      </w:r>
    </w:p>
    <w:p w:rsidR="00DF1FBF" w:rsidRDefault="00DF1FBF" w:rsidP="00650B21">
      <w:pPr>
        <w:numPr>
          <w:ilvl w:val="0"/>
          <w:numId w:val="13"/>
        </w:numPr>
        <w:autoSpaceDN w:val="0"/>
        <w:spacing w:before="120"/>
        <w:contextualSpacing/>
        <w:rPr>
          <w:color w:val="000000"/>
        </w:rPr>
      </w:pPr>
      <w:r>
        <w:rPr>
          <w:color w:val="000000"/>
        </w:rPr>
        <w:t>Develop a plan for implementation of the servicing sector related activities to be integrated  in the overall strategy</w:t>
      </w:r>
    </w:p>
    <w:p w:rsidR="00DF1FBF" w:rsidRDefault="00DF1FBF" w:rsidP="00650B21">
      <w:pPr>
        <w:numPr>
          <w:ilvl w:val="0"/>
          <w:numId w:val="13"/>
        </w:numPr>
        <w:autoSpaceDN w:val="0"/>
        <w:spacing w:before="120"/>
        <w:contextualSpacing/>
        <w:rPr>
          <w:color w:val="000000"/>
        </w:rPr>
      </w:pPr>
      <w:r>
        <w:rPr>
          <w:color w:val="000000"/>
        </w:rPr>
        <w:t>Evaluate the climate co-benefits</w:t>
      </w:r>
    </w:p>
    <w:p w:rsidR="00DF1FBF" w:rsidRDefault="00DF1FBF" w:rsidP="00650B21">
      <w:pPr>
        <w:numPr>
          <w:ilvl w:val="0"/>
          <w:numId w:val="13"/>
        </w:numPr>
        <w:autoSpaceDN w:val="0"/>
        <w:spacing w:before="120"/>
        <w:contextualSpacing/>
        <w:rPr>
          <w:color w:val="000000"/>
        </w:rPr>
      </w:pPr>
      <w:r>
        <w:rPr>
          <w:color w:val="000000"/>
        </w:rPr>
        <w:t xml:space="preserve"> Prepare a project document</w:t>
      </w:r>
    </w:p>
    <w:p w:rsidR="00DF1FBF" w:rsidRDefault="00DF1FBF" w:rsidP="00DF1FBF">
      <w:pPr>
        <w:tabs>
          <w:tab w:val="num" w:pos="1068"/>
        </w:tabs>
        <w:spacing w:before="120" w:line="240" w:lineRule="atLeast"/>
      </w:pPr>
    </w:p>
    <w:p w:rsidR="00DF1FBF" w:rsidRDefault="00DF1FBF" w:rsidP="00DF1FBF"/>
    <w:p w:rsidR="00DF1FBF" w:rsidRDefault="00DF1FBF">
      <w:pPr>
        <w:jc w:val="left"/>
        <w:rPr>
          <w:rFonts w:cs="Courier New"/>
          <w:lang w:val="en-US"/>
        </w:rPr>
      </w:pPr>
      <w:r>
        <w:rPr>
          <w:rFonts w:cs="Courier New"/>
          <w:lang w:val="en-US"/>
        </w:rPr>
        <w:br w:type="page"/>
      </w:r>
    </w:p>
    <w:p w:rsidR="00DF1FBF" w:rsidRDefault="00DF1FBF" w:rsidP="00DF1FBF">
      <w:pPr>
        <w:tabs>
          <w:tab w:val="center" w:pos="4513"/>
        </w:tabs>
        <w:jc w:val="center"/>
      </w:pPr>
      <w:r>
        <w:rPr>
          <w:b/>
          <w:bCs/>
        </w:rPr>
        <w:lastRenderedPageBreak/>
        <w:t>PROJECT CONCEPT</w:t>
      </w:r>
    </w:p>
    <w:p w:rsidR="00DF1FBF" w:rsidRDefault="00DF1FBF" w:rsidP="00DF1FBF">
      <w:pPr>
        <w:rPr>
          <w:color w:val="000000"/>
          <w:lang w:val="en-US"/>
        </w:rPr>
      </w:pPr>
      <w:r>
        <w:rPr>
          <w:color w:val="000000"/>
        </w:rPr>
        <w:t xml:space="preserve"> </w:t>
      </w:r>
    </w:p>
    <w:p w:rsidR="00DF1FBF" w:rsidRDefault="00DF1FBF" w:rsidP="00DF1FBF">
      <w:pPr>
        <w:rPr>
          <w:color w:val="000000"/>
        </w:rPr>
      </w:pPr>
    </w:p>
    <w:p w:rsidR="00DF1FBF" w:rsidRDefault="00DF1FBF" w:rsidP="00DF1FBF">
      <w:pPr>
        <w:ind w:left="360"/>
        <w:rPr>
          <w:b/>
          <w:bCs/>
          <w:color w:val="000000"/>
          <w:sz w:val="24"/>
          <w:szCs w:val="24"/>
        </w:rPr>
      </w:pPr>
    </w:p>
    <w:p w:rsidR="00DF1FBF" w:rsidRDefault="00DF1FBF" w:rsidP="00DF1FBF">
      <w:pPr>
        <w:spacing w:after="120"/>
        <w:ind w:left="360"/>
        <w:rPr>
          <w:color w:val="000000"/>
        </w:rPr>
      </w:pPr>
      <w:r>
        <w:rPr>
          <w:b/>
          <w:bCs/>
          <w:color w:val="000000"/>
        </w:rPr>
        <w:t xml:space="preserve">Country: </w:t>
      </w:r>
      <w:r>
        <w:rPr>
          <w:b/>
          <w:bCs/>
          <w:color w:val="000000"/>
        </w:rPr>
        <w:tab/>
      </w:r>
      <w:r>
        <w:rPr>
          <w:b/>
          <w:bCs/>
          <w:color w:val="000000"/>
        </w:rPr>
        <w:tab/>
      </w:r>
      <w:r>
        <w:rPr>
          <w:b/>
          <w:bCs/>
          <w:color w:val="000000"/>
        </w:rPr>
        <w:tab/>
      </w:r>
      <w:r>
        <w:rPr>
          <w:color w:val="000000"/>
        </w:rPr>
        <w:t>Tunisia</w:t>
      </w:r>
    </w:p>
    <w:p w:rsidR="00DF1FBF" w:rsidRDefault="00DF1FBF" w:rsidP="00DF1FBF">
      <w:pPr>
        <w:spacing w:after="120"/>
        <w:ind w:left="360"/>
        <w:rPr>
          <w:color w:val="000000"/>
        </w:rPr>
      </w:pPr>
      <w:r>
        <w:rPr>
          <w:b/>
          <w:bCs/>
          <w:color w:val="000000"/>
        </w:rPr>
        <w:t xml:space="preserve">Title: </w:t>
      </w:r>
      <w:r>
        <w:rPr>
          <w:b/>
          <w:bCs/>
          <w:color w:val="000000"/>
        </w:rPr>
        <w:tab/>
      </w:r>
      <w:r>
        <w:rPr>
          <w:b/>
          <w:bCs/>
          <w:color w:val="000000"/>
        </w:rPr>
        <w:tab/>
      </w:r>
      <w:r>
        <w:rPr>
          <w:b/>
          <w:bCs/>
          <w:color w:val="000000"/>
        </w:rPr>
        <w:tab/>
      </w:r>
      <w:r>
        <w:rPr>
          <w:color w:val="000000"/>
        </w:rPr>
        <w:t xml:space="preserve">Preparatory funding request - Second Stage of HPMP </w:t>
      </w:r>
    </w:p>
    <w:p w:rsidR="00DF1FBF" w:rsidRDefault="00DF1FBF" w:rsidP="00DF1FBF">
      <w:pPr>
        <w:spacing w:after="120"/>
        <w:ind w:left="2520" w:firstLine="360"/>
        <w:rPr>
          <w:color w:val="000000"/>
        </w:rPr>
      </w:pPr>
      <w:r>
        <w:rPr>
          <w:color w:val="000000"/>
        </w:rPr>
        <w:t xml:space="preserve">Servicing sector </w:t>
      </w:r>
    </w:p>
    <w:p w:rsidR="00DF1FBF" w:rsidRDefault="00DF1FBF" w:rsidP="00DF1FBF">
      <w:pPr>
        <w:spacing w:after="120"/>
        <w:ind w:left="2160" w:firstLine="720"/>
        <w:rPr>
          <w:color w:val="000000"/>
        </w:rPr>
      </w:pPr>
      <w:r>
        <w:rPr>
          <w:color w:val="000000"/>
        </w:rPr>
        <w:t>Investment component for pre-blended polyols (Rigid PU foam)</w:t>
      </w:r>
    </w:p>
    <w:p w:rsidR="00DF1FBF" w:rsidRDefault="00DF1FBF" w:rsidP="00DF1FBF">
      <w:pPr>
        <w:spacing w:after="120"/>
        <w:ind w:left="360"/>
        <w:rPr>
          <w:color w:val="000000"/>
        </w:rPr>
      </w:pPr>
      <w:r>
        <w:rPr>
          <w:b/>
          <w:bCs/>
          <w:color w:val="000000"/>
        </w:rPr>
        <w:t xml:space="preserve">Project Duration: </w:t>
      </w:r>
      <w:r>
        <w:rPr>
          <w:b/>
          <w:bCs/>
          <w:color w:val="000000"/>
        </w:rPr>
        <w:tab/>
      </w:r>
      <w:r>
        <w:rPr>
          <w:color w:val="000000"/>
        </w:rPr>
        <w:t xml:space="preserve">12 months </w:t>
      </w:r>
    </w:p>
    <w:p w:rsidR="00DF1FBF" w:rsidRDefault="00DF1FBF" w:rsidP="00DF1FBF">
      <w:pPr>
        <w:spacing w:after="120"/>
        <w:ind w:left="360"/>
        <w:rPr>
          <w:color w:val="000000"/>
        </w:rPr>
      </w:pPr>
      <w:r>
        <w:rPr>
          <w:b/>
          <w:bCs/>
          <w:color w:val="000000"/>
        </w:rPr>
        <w:t xml:space="preserve">Project Budget: </w:t>
      </w:r>
      <w:r>
        <w:rPr>
          <w:b/>
          <w:bCs/>
          <w:color w:val="000000"/>
        </w:rPr>
        <w:tab/>
      </w:r>
      <w:r>
        <w:rPr>
          <w:b/>
          <w:bCs/>
          <w:color w:val="000000"/>
        </w:rPr>
        <w:tab/>
      </w:r>
      <w:r>
        <w:rPr>
          <w:color w:val="000000"/>
        </w:rPr>
        <w:t xml:space="preserve">US$ 120,000 (excl. 7% Agency Support Costs) </w:t>
      </w:r>
    </w:p>
    <w:p w:rsidR="00DF1FBF" w:rsidRDefault="00DF1FBF" w:rsidP="00DF1FBF">
      <w:pPr>
        <w:spacing w:after="120"/>
        <w:ind w:left="360"/>
        <w:rPr>
          <w:bCs/>
          <w:color w:val="000000"/>
        </w:rPr>
      </w:pPr>
      <w:r>
        <w:rPr>
          <w:bCs/>
          <w:color w:val="000000"/>
        </w:rPr>
        <w:tab/>
      </w:r>
      <w:r>
        <w:rPr>
          <w:bCs/>
          <w:color w:val="000000"/>
        </w:rPr>
        <w:tab/>
      </w:r>
      <w:r>
        <w:rPr>
          <w:bCs/>
          <w:color w:val="000000"/>
        </w:rPr>
        <w:tab/>
      </w:r>
      <w:r>
        <w:rPr>
          <w:bCs/>
          <w:color w:val="000000"/>
        </w:rPr>
        <w:tab/>
      </w:r>
      <w:r>
        <w:rPr>
          <w:bCs/>
          <w:color w:val="000000"/>
        </w:rPr>
        <w:tab/>
        <w:t>US$ 60,000 to Servicing sector</w:t>
      </w:r>
    </w:p>
    <w:p w:rsidR="00DF1FBF" w:rsidRDefault="00DF1FBF" w:rsidP="00DF1FBF">
      <w:pPr>
        <w:spacing w:after="120"/>
        <w:ind w:left="360"/>
        <w:rPr>
          <w:color w:val="000000"/>
        </w:rPr>
      </w:pPr>
      <w:r>
        <w:rPr>
          <w:bCs/>
          <w:color w:val="000000"/>
        </w:rPr>
        <w:tab/>
      </w:r>
      <w:r>
        <w:rPr>
          <w:bCs/>
          <w:color w:val="000000"/>
        </w:rPr>
        <w:tab/>
      </w:r>
      <w:r>
        <w:rPr>
          <w:bCs/>
          <w:color w:val="000000"/>
        </w:rPr>
        <w:tab/>
      </w:r>
      <w:r>
        <w:rPr>
          <w:bCs/>
          <w:color w:val="000000"/>
        </w:rPr>
        <w:tab/>
      </w:r>
      <w:r>
        <w:rPr>
          <w:bCs/>
          <w:color w:val="000000"/>
        </w:rPr>
        <w:tab/>
        <w:t>US$ 60,000 to Pre-blended polyol sector</w:t>
      </w:r>
    </w:p>
    <w:p w:rsidR="00DF1FBF" w:rsidRDefault="00DF1FBF" w:rsidP="00DF1FBF">
      <w:pPr>
        <w:spacing w:after="120"/>
        <w:ind w:left="360"/>
        <w:rPr>
          <w:color w:val="000000"/>
        </w:rPr>
      </w:pPr>
      <w:r>
        <w:rPr>
          <w:b/>
          <w:bCs/>
          <w:color w:val="000000"/>
        </w:rPr>
        <w:t xml:space="preserve">Implementing Agency: </w:t>
      </w:r>
      <w:r>
        <w:rPr>
          <w:b/>
          <w:bCs/>
          <w:color w:val="000000"/>
        </w:rPr>
        <w:tab/>
      </w:r>
      <w:r>
        <w:rPr>
          <w:color w:val="000000"/>
        </w:rPr>
        <w:t xml:space="preserve">UNIDO </w:t>
      </w:r>
    </w:p>
    <w:p w:rsidR="00DF1FBF" w:rsidRDefault="00DF1FBF" w:rsidP="00DF1FBF">
      <w:pPr>
        <w:spacing w:after="120"/>
        <w:ind w:left="2880" w:hanging="2520"/>
        <w:rPr>
          <w:color w:val="000000"/>
        </w:rPr>
      </w:pPr>
      <w:r>
        <w:rPr>
          <w:b/>
          <w:bCs/>
          <w:color w:val="000000"/>
        </w:rPr>
        <w:t xml:space="preserve">Coordinating Agency: </w:t>
      </w:r>
      <w:r>
        <w:rPr>
          <w:b/>
          <w:bCs/>
          <w:color w:val="000000"/>
        </w:rPr>
        <w:tab/>
      </w:r>
      <w:r>
        <w:rPr>
          <w:color w:val="000000"/>
        </w:rPr>
        <w:t>Ministry of Environment and Sustainable Development (National Ozone Unit)</w:t>
      </w:r>
    </w:p>
    <w:p w:rsidR="00DF1FBF" w:rsidRDefault="00DF1FBF" w:rsidP="00DF1FBF">
      <w:pPr>
        <w:ind w:left="1800" w:firstLine="360"/>
        <w:rPr>
          <w:color w:val="000000"/>
        </w:rPr>
      </w:pPr>
      <w:r>
        <w:rPr>
          <w:color w:val="000000"/>
        </w:rPr>
        <w:tab/>
      </w:r>
      <w:r>
        <w:rPr>
          <w:color w:val="000000"/>
        </w:rPr>
        <w:tab/>
      </w:r>
      <w:r>
        <w:rPr>
          <w:color w:val="000000"/>
        </w:rPr>
        <w:tab/>
      </w:r>
      <w:r>
        <w:rPr>
          <w:color w:val="000000"/>
        </w:rPr>
        <w:tab/>
      </w:r>
      <w:r>
        <w:rPr>
          <w:color w:val="000000"/>
        </w:rPr>
        <w:tab/>
      </w:r>
    </w:p>
    <w:p w:rsidR="00DF1FBF" w:rsidRDefault="00DF1FBF" w:rsidP="00DF1FBF">
      <w:pPr>
        <w:rPr>
          <w:color w:val="000000"/>
          <w:sz w:val="24"/>
          <w:szCs w:val="24"/>
          <w:bdr w:val="none" w:sz="0" w:space="0" w:color="auto" w:frame="1"/>
        </w:rPr>
      </w:pPr>
    </w:p>
    <w:p w:rsidR="00DF1FBF" w:rsidRDefault="00DF1FBF" w:rsidP="00650B21">
      <w:pPr>
        <w:numPr>
          <w:ilvl w:val="0"/>
          <w:numId w:val="14"/>
        </w:numPr>
        <w:autoSpaceDN w:val="0"/>
        <w:rPr>
          <w:rFonts w:eastAsia="Arial Unicode MS" w:cs="Arial Unicode MS"/>
          <w:b/>
          <w:color w:val="000000"/>
          <w:u w:val="single" w:color="000000"/>
          <w:bdr w:val="none" w:sz="0" w:space="0" w:color="auto" w:frame="1"/>
        </w:rPr>
      </w:pPr>
      <w:r>
        <w:rPr>
          <w:rFonts w:eastAsia="Arial Unicode MS" w:cs="Arial Unicode MS"/>
          <w:b/>
          <w:color w:val="000000"/>
          <w:u w:val="single" w:color="000000"/>
          <w:bdr w:val="none" w:sz="0" w:space="0" w:color="auto" w:frame="1"/>
        </w:rPr>
        <w:t xml:space="preserve">Project Summary </w:t>
      </w:r>
    </w:p>
    <w:p w:rsidR="00DF1FBF" w:rsidRDefault="00DF1FBF" w:rsidP="00DF1FBF">
      <w:pPr>
        <w:ind w:left="360"/>
        <w:rPr>
          <w:color w:val="000000"/>
        </w:rPr>
      </w:pPr>
    </w:p>
    <w:p w:rsidR="00DF1FBF" w:rsidRDefault="00DF1FBF" w:rsidP="00DF1FBF">
      <w:pPr>
        <w:rPr>
          <w:rFonts w:eastAsia="Arial Unicode MS" w:cs="Arial Unicode MS"/>
          <w:color w:val="000000"/>
          <w:sz w:val="24"/>
          <w:szCs w:val="24"/>
          <w:bdr w:val="none" w:sz="0" w:space="0" w:color="auto" w:frame="1"/>
        </w:rPr>
      </w:pPr>
      <w:r>
        <w:rPr>
          <w:rFonts w:eastAsia="Arial Unicode MS" w:cs="Arial Unicode MS"/>
          <w:color w:val="000000"/>
          <w:bdr w:val="none" w:sz="0" w:space="0" w:color="auto" w:frame="1"/>
        </w:rPr>
        <w:t xml:space="preserve">The Implementing Agency has received an official request from the Government of Tunisia for preparatory funding for the stage II of HPMP. In response to the decision 71/42(b) UNIDO is submitting a request for funds for the preparation of stage II of HPMP. </w:t>
      </w:r>
    </w:p>
    <w:p w:rsidR="00DF1FBF" w:rsidRDefault="00DF1FBF" w:rsidP="00DF1FBF">
      <w:pPr>
        <w:rPr>
          <w:rFonts w:eastAsia="Arial Unicode MS" w:cs="Arial Unicode MS"/>
          <w:color w:val="000000"/>
          <w:bdr w:val="none" w:sz="0" w:space="0" w:color="auto" w:frame="1"/>
        </w:rPr>
      </w:pPr>
    </w:p>
    <w:p w:rsidR="00DF1FBF" w:rsidRDefault="00DF1FBF" w:rsidP="00DF1FBF">
      <w:pPr>
        <w:rPr>
          <w:rFonts w:eastAsia="Arial Unicode MS" w:cs="Arial Unicode MS"/>
          <w:color w:val="000000"/>
          <w:bdr w:val="none" w:sz="0" w:space="0" w:color="auto" w:frame="1"/>
        </w:rPr>
      </w:pPr>
      <w:r>
        <w:rPr>
          <w:rFonts w:eastAsia="Arial Unicode MS" w:cs="Arial Unicode MS"/>
          <w:color w:val="000000"/>
          <w:bdr w:val="none" w:sz="0" w:space="0" w:color="auto" w:frame="1"/>
        </w:rPr>
        <w:t xml:space="preserve">Tunisia’s base line consumption of HCFCs amounted to 40.7 ODP tonnes. During the implementation of the first phase, 9.26 ODP tonnes of HCFC-22 and 1.60 ODP tonnes of HCFC-141b, excluding pre-blended polyol consumption, are planned to be eliminated by 2018, while the remaining eligible consumption amounts to 29.75 ODP tonnes of HCFC-22 and 5.02 ODP tonnes of HCFC-141b contained in imported pre-blended polyols. </w:t>
      </w:r>
    </w:p>
    <w:p w:rsidR="00DF1FBF" w:rsidRDefault="00DF1FBF" w:rsidP="00DF1FBF">
      <w:pPr>
        <w:rPr>
          <w:rFonts w:eastAsia="Arial Unicode MS" w:cs="Arial Unicode MS"/>
          <w:color w:val="000000"/>
          <w:bdr w:val="none" w:sz="0" w:space="0" w:color="auto" w:frame="1"/>
        </w:rPr>
      </w:pPr>
    </w:p>
    <w:p w:rsidR="00DF1FBF" w:rsidRDefault="00DF1FBF" w:rsidP="00DF1FBF">
      <w:pPr>
        <w:rPr>
          <w:rFonts w:eastAsia="Arial Unicode MS" w:cs="Arial Unicode MS"/>
          <w:color w:val="000000"/>
          <w:bdr w:val="none" w:sz="0" w:space="0" w:color="auto" w:frame="1"/>
        </w:rPr>
      </w:pPr>
      <w:r>
        <w:rPr>
          <w:rFonts w:eastAsia="Arial Unicode MS" w:cs="Arial Unicode MS"/>
          <w:color w:val="000000"/>
          <w:bdr w:val="none" w:sz="0" w:space="0" w:color="auto" w:frame="1"/>
        </w:rPr>
        <w:t xml:space="preserve">In the Second Stage of HPMP, Tunisia will further address with priority the servicing sector aiming to reach a 68% (67.5) reduction in HCFCs consumption by the year 2025. The Stage II strategy will also include activities to address investment component in the </w:t>
      </w:r>
      <w:proofErr w:type="spellStart"/>
      <w:r>
        <w:rPr>
          <w:rFonts w:eastAsia="Arial Unicode MS" w:cs="Arial Unicode MS"/>
          <w:color w:val="000000"/>
          <w:bdr w:val="none" w:sz="0" w:space="0" w:color="auto" w:frame="1"/>
        </w:rPr>
        <w:t>the</w:t>
      </w:r>
      <w:proofErr w:type="spellEnd"/>
      <w:r>
        <w:rPr>
          <w:rFonts w:eastAsia="Arial Unicode MS" w:cs="Arial Unicode MS"/>
          <w:color w:val="000000"/>
          <w:bdr w:val="none" w:sz="0" w:space="0" w:color="auto" w:frame="1"/>
        </w:rPr>
        <w:t xml:space="preserve"> pre-blended polyol sector</w:t>
      </w:r>
    </w:p>
    <w:p w:rsidR="00DF1FBF" w:rsidRDefault="00DF1FBF" w:rsidP="00DF1FBF">
      <w:pPr>
        <w:ind w:left="360"/>
        <w:rPr>
          <w:b/>
          <w:color w:val="000000"/>
        </w:rPr>
      </w:pPr>
    </w:p>
    <w:p w:rsidR="00DF1FBF" w:rsidRDefault="00DF1FBF" w:rsidP="00DF1FBF">
      <w:pPr>
        <w:rPr>
          <w:color w:val="000000"/>
          <w:sz w:val="24"/>
          <w:szCs w:val="24"/>
          <w:u w:val="single" w:color="000000"/>
          <w:bdr w:val="none" w:sz="0" w:space="0" w:color="auto" w:frame="1"/>
        </w:rPr>
      </w:pPr>
    </w:p>
    <w:p w:rsidR="00DF1FBF" w:rsidRDefault="00DF1FBF" w:rsidP="00650B21">
      <w:pPr>
        <w:numPr>
          <w:ilvl w:val="0"/>
          <w:numId w:val="14"/>
        </w:numPr>
        <w:autoSpaceDN w:val="0"/>
        <w:rPr>
          <w:rFonts w:eastAsia="Arial Unicode MS" w:cs="Arial Unicode MS"/>
          <w:b/>
          <w:color w:val="000000"/>
          <w:u w:val="single" w:color="000000"/>
          <w:bdr w:val="none" w:sz="0" w:space="0" w:color="auto" w:frame="1"/>
        </w:rPr>
      </w:pPr>
      <w:r>
        <w:rPr>
          <w:rFonts w:eastAsia="Arial Unicode MS" w:cs="Arial Unicode MS"/>
          <w:b/>
          <w:color w:val="000000"/>
          <w:u w:val="single" w:color="000000"/>
          <w:bdr w:val="none" w:sz="0" w:space="0" w:color="auto" w:frame="1"/>
        </w:rPr>
        <w:t xml:space="preserve">Description of current implementation </w:t>
      </w:r>
    </w:p>
    <w:p w:rsidR="00DF1FBF" w:rsidRDefault="00DF1FBF" w:rsidP="00DF1FBF">
      <w:pPr>
        <w:rPr>
          <w:color w:val="000000"/>
          <w:u w:val="single" w:color="000000"/>
          <w:bdr w:val="none" w:sz="0" w:space="0" w:color="auto" w:frame="1"/>
        </w:rPr>
      </w:pPr>
    </w:p>
    <w:p w:rsidR="00DF1FBF" w:rsidRDefault="00DF1FBF" w:rsidP="00DF1FBF">
      <w:pPr>
        <w:rPr>
          <w:rFonts w:eastAsia="Arial Unicode MS" w:cs="Arial Unicode MS"/>
          <w:color w:val="000000"/>
          <w:bdr w:val="none" w:sz="0" w:space="0" w:color="auto" w:frame="1"/>
        </w:rPr>
      </w:pPr>
      <w:r>
        <w:rPr>
          <w:rFonts w:eastAsia="Arial Unicode MS" w:cs="Arial Unicode MS"/>
          <w:color w:val="000000"/>
          <w:bdr w:val="none" w:sz="0" w:space="0" w:color="auto" w:frame="1"/>
        </w:rPr>
        <w:t>The Executive Committee for the Implementation of the Montreal Protocol (ExCom) approved, at its 72nd Meeting (May 2014) Stage I of the HCFC Phase-Out Management Plan (HPMP) for Tunisia for the period 2014-2018 (Decision 72/36) to reduce HCFC consumption by 15 per cent of the baseline of 40.7 ODP tonnes. Under this framework, the first tranche of Stage I of the HPMP for Tunisia and the corresponding 2014–2015 implementation plans, were approved. Lastly, at its 76</w:t>
      </w:r>
      <w:r>
        <w:rPr>
          <w:rFonts w:eastAsia="Arial Unicode MS" w:cs="Arial Unicode MS"/>
          <w:color w:val="000000"/>
          <w:bdr w:val="none" w:sz="0" w:space="0" w:color="auto" w:frame="1"/>
          <w:vertAlign w:val="superscript"/>
        </w:rPr>
        <w:t>th</w:t>
      </w:r>
      <w:r>
        <w:rPr>
          <w:rFonts w:eastAsia="Arial Unicode MS" w:cs="Arial Unicode MS"/>
          <w:color w:val="000000"/>
          <w:bdr w:val="none" w:sz="0" w:space="0" w:color="auto" w:frame="1"/>
        </w:rPr>
        <w:t xml:space="preserve"> Meeting (May 2016), the ExCom approved the second tranche of Stage II for this country, corresponding to the period 2016–2018. </w:t>
      </w:r>
    </w:p>
    <w:p w:rsidR="00DF1FBF" w:rsidRDefault="00DF1FBF" w:rsidP="00DF1FBF">
      <w:pPr>
        <w:rPr>
          <w:rFonts w:eastAsia="Arial Unicode MS" w:cs="Arial Unicode MS"/>
          <w:color w:val="000000"/>
          <w:bdr w:val="none" w:sz="0" w:space="0" w:color="auto" w:frame="1"/>
        </w:rPr>
      </w:pPr>
    </w:p>
    <w:p w:rsidR="00DF1FBF" w:rsidRDefault="00DF1FBF" w:rsidP="00DF1FBF">
      <w:pPr>
        <w:rPr>
          <w:color w:val="000000"/>
          <w:bdr w:val="none" w:sz="0" w:space="0" w:color="auto" w:frame="1"/>
        </w:rPr>
      </w:pPr>
      <w:r>
        <w:rPr>
          <w:rFonts w:eastAsia="Arial Unicode MS" w:cs="Arial Unicode MS"/>
          <w:color w:val="000000"/>
          <w:bdr w:val="none" w:sz="0" w:space="0" w:color="auto" w:frame="1"/>
        </w:rPr>
        <w:t xml:space="preserve">Since the approval of Tunisia HPMP Stage I, activities have been implemented in relation with all the corresponding activities identified in the project document. Thus, concerning all HCFCs, the licensing system with the quota-based HCFC control is currently in operation in Tunisia, and additional potential regulatory and policy measures will be assessed for its implementation. </w:t>
      </w:r>
    </w:p>
    <w:p w:rsidR="00DF1FBF" w:rsidRDefault="00DF1FBF" w:rsidP="00DF1FBF">
      <w:pPr>
        <w:rPr>
          <w:color w:val="000000"/>
          <w:bdr w:val="none" w:sz="0" w:space="0" w:color="auto" w:frame="1"/>
        </w:rPr>
      </w:pPr>
    </w:p>
    <w:p w:rsidR="00DF1FBF" w:rsidRDefault="00DF1FBF" w:rsidP="00DF1FBF">
      <w:pPr>
        <w:rPr>
          <w:color w:val="000000"/>
          <w:bdr w:val="none" w:sz="0" w:space="0" w:color="auto" w:frame="1"/>
        </w:rPr>
      </w:pPr>
      <w:r>
        <w:rPr>
          <w:rFonts w:eastAsia="Arial Unicode MS" w:cs="Arial Unicode MS"/>
          <w:color w:val="000000"/>
          <w:bdr w:val="none" w:sz="0" w:space="0" w:color="auto" w:frame="1"/>
        </w:rPr>
        <w:lastRenderedPageBreak/>
        <w:t xml:space="preserve">On its turn, investment projects linked to the use of HCFC-141b as solvent have made substantial progress so far on the identification of available alternatives, the selection of the most appropriate ones and the replacement of that substance in two Tunisian companies, SOFAP and SNCFT. Whereas SOFAP is expected to undertake the pilot-scale trial of the pre-selected alternative before the end of 2016, the replacement at the SNCFT has already been successfully completed. </w:t>
      </w:r>
    </w:p>
    <w:p w:rsidR="00DF1FBF" w:rsidRDefault="00DF1FBF" w:rsidP="00DF1FBF">
      <w:pPr>
        <w:rPr>
          <w:color w:val="000000"/>
          <w:bdr w:val="none" w:sz="0" w:space="0" w:color="auto" w:frame="1"/>
        </w:rPr>
      </w:pPr>
    </w:p>
    <w:p w:rsidR="00DF1FBF" w:rsidRDefault="00DF1FBF" w:rsidP="00DF1FBF">
      <w:pPr>
        <w:rPr>
          <w:rFonts w:eastAsia="Arial Unicode MS" w:cs="Arial Unicode MS"/>
          <w:color w:val="000000"/>
          <w:bdr w:val="none" w:sz="0" w:space="0" w:color="auto" w:frame="1"/>
        </w:rPr>
      </w:pPr>
      <w:r>
        <w:rPr>
          <w:rFonts w:eastAsia="Arial Unicode MS" w:cs="Arial Unicode MS"/>
          <w:color w:val="000000"/>
          <w:bdr w:val="none" w:sz="0" w:space="0" w:color="auto" w:frame="1"/>
        </w:rPr>
        <w:t xml:space="preserve">Finally, with respect to HCFC-22 consumption, the activities undertaken so far have focused on providing information on available alternatives to four companies of the air conditioning manufacturing sector and training their personnel in the use of some of these alternatives. This is the basis for the conversion of the respective production lines, which is expected to take place in the period 2016-2018. In line with this, and always under this component, the servicing sector has also been assisted to reduce HCFC-22 consumption. Thus, whilst a training and certification programme has been designed and proposed, the equipment and tools needed by training </w:t>
      </w:r>
      <w:proofErr w:type="spellStart"/>
      <w:r>
        <w:rPr>
          <w:rFonts w:eastAsia="Arial Unicode MS" w:cs="Arial Unicode MS"/>
          <w:color w:val="000000"/>
          <w:bdr w:val="none" w:sz="0" w:space="0" w:color="auto" w:frame="1"/>
        </w:rPr>
        <w:t>centers</w:t>
      </w:r>
      <w:proofErr w:type="spellEnd"/>
      <w:r>
        <w:rPr>
          <w:rFonts w:eastAsia="Arial Unicode MS" w:cs="Arial Unicode MS"/>
          <w:color w:val="000000"/>
          <w:bdr w:val="none" w:sz="0" w:space="0" w:color="auto" w:frame="1"/>
        </w:rPr>
        <w:t xml:space="preserve"> have been identified, procured and delivered with the corresponding training on its use. The provision of tools and equipment for workshops will be effective before the end of 2016. </w:t>
      </w:r>
    </w:p>
    <w:p w:rsidR="00DF1FBF" w:rsidRDefault="00DF1FBF" w:rsidP="00DF1FBF">
      <w:pPr>
        <w:rPr>
          <w:rFonts w:eastAsia="Arial Unicode MS" w:cs="Arial Unicode MS"/>
          <w:color w:val="000000"/>
          <w:bdr w:val="none" w:sz="0" w:space="0" w:color="auto" w:frame="1"/>
        </w:rPr>
      </w:pPr>
    </w:p>
    <w:p w:rsidR="00DF1FBF" w:rsidRDefault="00DF1FBF" w:rsidP="00DF1FBF">
      <w:pPr>
        <w:rPr>
          <w:color w:val="000000"/>
          <w:bdr w:val="none" w:sz="0" w:space="0" w:color="auto" w:frame="1"/>
        </w:rPr>
      </w:pPr>
      <w:r>
        <w:rPr>
          <w:rFonts w:eastAsia="Arial Unicode MS" w:cs="Arial Unicode MS"/>
          <w:color w:val="000000"/>
          <w:bdr w:val="none" w:sz="0" w:space="0" w:color="auto" w:frame="1"/>
        </w:rPr>
        <w:t>In addition to activities under the HPMP, a demonstration project for the introduction of trans-critical CO2 refrigeration technology for supermarkets in Tunisia was approved by the ExCom at its 76</w:t>
      </w:r>
      <w:r>
        <w:rPr>
          <w:rFonts w:eastAsia="Arial Unicode MS" w:cs="Arial Unicode MS"/>
          <w:color w:val="000000"/>
          <w:bdr w:val="none" w:sz="0" w:space="0" w:color="auto" w:frame="1"/>
          <w:vertAlign w:val="superscript"/>
        </w:rPr>
        <w:t>th</w:t>
      </w:r>
      <w:r>
        <w:rPr>
          <w:rFonts w:eastAsia="Arial Unicode MS" w:cs="Arial Unicode MS"/>
          <w:color w:val="000000"/>
          <w:bdr w:val="none" w:sz="0" w:space="0" w:color="auto" w:frame="1"/>
        </w:rPr>
        <w:t xml:space="preserve"> Meeting (Decision 76/27). </w:t>
      </w:r>
    </w:p>
    <w:p w:rsidR="00DF1FBF" w:rsidRDefault="00DF1FBF" w:rsidP="00DF1FBF">
      <w:pPr>
        <w:rPr>
          <w:color w:val="000000"/>
          <w:bdr w:val="none" w:sz="0" w:space="0" w:color="auto" w:frame="1"/>
        </w:rPr>
      </w:pPr>
    </w:p>
    <w:p w:rsidR="00DF1FBF" w:rsidRDefault="00DF1FBF" w:rsidP="00DF1FBF">
      <w:pPr>
        <w:rPr>
          <w:color w:val="000000"/>
          <w:u w:val="single" w:color="000000"/>
          <w:bdr w:val="none" w:sz="0" w:space="0" w:color="auto" w:frame="1"/>
        </w:rPr>
      </w:pPr>
    </w:p>
    <w:p w:rsidR="00DF1FBF" w:rsidRDefault="00DF1FBF" w:rsidP="00650B21">
      <w:pPr>
        <w:numPr>
          <w:ilvl w:val="0"/>
          <w:numId w:val="14"/>
        </w:numPr>
        <w:autoSpaceDN w:val="0"/>
        <w:rPr>
          <w:rFonts w:eastAsia="Arial Unicode MS" w:cs="Arial Unicode MS"/>
          <w:b/>
          <w:color w:val="000000"/>
          <w:u w:val="single" w:color="000000"/>
          <w:bdr w:val="none" w:sz="0" w:space="0" w:color="auto" w:frame="1"/>
        </w:rPr>
      </w:pPr>
      <w:r>
        <w:rPr>
          <w:rFonts w:eastAsia="Arial Unicode MS" w:cs="Arial Unicode MS"/>
          <w:b/>
          <w:color w:val="000000"/>
          <w:u w:val="single" w:color="000000"/>
          <w:bdr w:val="none" w:sz="0" w:space="0" w:color="auto" w:frame="1"/>
        </w:rPr>
        <w:t>Overarching strategy 2018 – 2025</w:t>
      </w:r>
    </w:p>
    <w:p w:rsidR="00DF1FBF" w:rsidRDefault="00DF1FBF" w:rsidP="00DF1FBF">
      <w:pPr>
        <w:rPr>
          <w:rFonts w:eastAsia="Arial Unicode MS" w:cs="Arial Unicode MS"/>
          <w:b/>
          <w:color w:val="000000"/>
          <w:u w:val="single" w:color="000000"/>
          <w:bdr w:val="none" w:sz="0" w:space="0" w:color="auto" w:frame="1"/>
        </w:rPr>
      </w:pPr>
    </w:p>
    <w:p w:rsidR="00DF1FBF" w:rsidRDefault="00DF1FBF" w:rsidP="00650B21">
      <w:pPr>
        <w:numPr>
          <w:ilvl w:val="1"/>
          <w:numId w:val="14"/>
        </w:numPr>
        <w:autoSpaceDN w:val="0"/>
        <w:rPr>
          <w:rFonts w:eastAsia="Arial Unicode MS" w:cs="Arial Unicode MS"/>
          <w:b/>
          <w:color w:val="000000"/>
          <w:u w:val="single" w:color="000000"/>
          <w:bdr w:val="none" w:sz="0" w:space="0" w:color="auto" w:frame="1"/>
        </w:rPr>
      </w:pPr>
      <w:r>
        <w:rPr>
          <w:iCs/>
          <w:color w:val="000000"/>
          <w:u w:val="single" w:color="000000"/>
          <w:bdr w:val="none" w:sz="0" w:space="0" w:color="auto" w:frame="1"/>
        </w:rPr>
        <w:t>Current HCFC consumption</w:t>
      </w:r>
    </w:p>
    <w:p w:rsidR="00DF1FBF" w:rsidRDefault="00DF1FBF" w:rsidP="00DF1FBF">
      <w:pPr>
        <w:rPr>
          <w:i/>
          <w:iCs/>
          <w:color w:val="000000"/>
          <w:bdr w:val="none" w:sz="0" w:space="0" w:color="auto" w:frame="1"/>
        </w:rPr>
      </w:pPr>
    </w:p>
    <w:p w:rsidR="00DF1FBF" w:rsidRDefault="00DF1FBF" w:rsidP="00DF1FBF">
      <w:pPr>
        <w:rPr>
          <w:color w:val="000000"/>
          <w:kern w:val="2"/>
          <w:bdr w:val="none" w:sz="0" w:space="0" w:color="auto" w:frame="1"/>
        </w:rPr>
      </w:pPr>
      <w:r>
        <w:rPr>
          <w:rFonts w:eastAsia="Arial Unicode MS" w:cs="Arial Unicode MS"/>
          <w:color w:val="000000"/>
          <w:kern w:val="2"/>
          <w:bdr w:val="none" w:sz="0" w:space="0" w:color="auto" w:frame="1"/>
        </w:rPr>
        <w:t xml:space="preserve">Progress of HCFC consumption in the last five years is shown in the following table. </w:t>
      </w:r>
    </w:p>
    <w:p w:rsidR="00DF1FBF" w:rsidRDefault="00DF1FBF" w:rsidP="00DF1FBF">
      <w:pPr>
        <w:rPr>
          <w:color w:val="000000"/>
          <w:kern w:val="2"/>
          <w:bdr w:val="none" w:sz="0" w:space="0" w:color="auto" w:frame="1"/>
        </w:rPr>
      </w:pPr>
    </w:p>
    <w:p w:rsidR="00DF1FBF" w:rsidRDefault="00DF1FBF" w:rsidP="00DF1FBF">
      <w:pPr>
        <w:spacing w:after="120"/>
        <w:jc w:val="center"/>
        <w:rPr>
          <w:rFonts w:ascii="Arial Narrow" w:eastAsia="Arial Narrow" w:hAnsi="Arial Narrow" w:cs="Arial Narrow"/>
          <w:b/>
          <w:bCs/>
          <w:color w:val="0033CC"/>
          <w:bdr w:val="none" w:sz="0" w:space="0" w:color="auto" w:frame="1"/>
        </w:rPr>
      </w:pPr>
      <w:r>
        <w:rPr>
          <w:rFonts w:eastAsia="Arial Unicode MS" w:cs="Arial Unicode MS"/>
          <w:b/>
          <w:bCs/>
          <w:color w:val="000000"/>
          <w:kern w:val="2"/>
          <w:bdr w:val="none" w:sz="0" w:space="0" w:color="auto" w:frame="1"/>
        </w:rPr>
        <w:t>Table 1. HCFC consumption in the last five years in Tunisia (metric tonnes)</w:t>
      </w:r>
    </w:p>
    <w:tbl>
      <w:tblPr>
        <w:tblW w:w="9636" w:type="dxa"/>
        <w:jc w:val="center"/>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964"/>
        <w:gridCol w:w="1427"/>
        <w:gridCol w:w="1426"/>
        <w:gridCol w:w="1495"/>
        <w:gridCol w:w="1649"/>
        <w:gridCol w:w="1675"/>
      </w:tblGrid>
      <w:tr w:rsidR="00DF1FBF" w:rsidTr="00DF1FBF">
        <w:trPr>
          <w:trHeight w:val="241"/>
          <w:jc w:val="center"/>
        </w:trPr>
        <w:tc>
          <w:tcPr>
            <w:tcW w:w="1963"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rsidR="00DF1FBF" w:rsidRDefault="00DF1FBF">
            <w:pPr>
              <w:autoSpaceDN w:val="0"/>
              <w:rPr>
                <w:rFonts w:eastAsia="Arial Unicode MS"/>
                <w:sz w:val="24"/>
                <w:szCs w:val="24"/>
                <w:bdr w:val="none" w:sz="0" w:space="0" w:color="auto" w:frame="1"/>
              </w:rPr>
            </w:pPr>
          </w:p>
        </w:tc>
        <w:tc>
          <w:tcPr>
            <w:tcW w:w="1427"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hideMark/>
          </w:tcPr>
          <w:p w:rsidR="00DF1FBF" w:rsidRDefault="00DF1FBF">
            <w:pPr>
              <w:autoSpaceDN w:val="0"/>
              <w:jc w:val="center"/>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2011</w:t>
            </w:r>
          </w:p>
        </w:tc>
        <w:tc>
          <w:tcPr>
            <w:tcW w:w="1426"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hideMark/>
          </w:tcPr>
          <w:p w:rsidR="00DF1FBF" w:rsidRDefault="00DF1FBF">
            <w:pPr>
              <w:autoSpaceDN w:val="0"/>
              <w:jc w:val="center"/>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2012</w:t>
            </w:r>
          </w:p>
        </w:tc>
        <w:tc>
          <w:tcPr>
            <w:tcW w:w="1495"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hideMark/>
          </w:tcPr>
          <w:p w:rsidR="00DF1FBF" w:rsidRDefault="00DF1FBF">
            <w:pPr>
              <w:autoSpaceDN w:val="0"/>
              <w:jc w:val="center"/>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2013</w:t>
            </w:r>
          </w:p>
        </w:tc>
        <w:tc>
          <w:tcPr>
            <w:tcW w:w="1649"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hideMark/>
          </w:tcPr>
          <w:p w:rsidR="00DF1FBF" w:rsidRDefault="00DF1FBF">
            <w:pPr>
              <w:autoSpaceDN w:val="0"/>
              <w:jc w:val="center"/>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2014</w:t>
            </w:r>
          </w:p>
        </w:tc>
        <w:tc>
          <w:tcPr>
            <w:tcW w:w="1675"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hideMark/>
          </w:tcPr>
          <w:p w:rsidR="00DF1FBF" w:rsidRDefault="00DF1FBF">
            <w:pPr>
              <w:autoSpaceDN w:val="0"/>
              <w:jc w:val="center"/>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2015</w:t>
            </w:r>
          </w:p>
        </w:tc>
      </w:tr>
      <w:tr w:rsidR="00DF1FBF" w:rsidTr="00DF1FBF">
        <w:trPr>
          <w:trHeight w:val="241"/>
          <w:jc w:val="center"/>
        </w:trPr>
        <w:tc>
          <w:tcPr>
            <w:tcW w:w="1963"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hideMark/>
          </w:tcPr>
          <w:p w:rsidR="00DF1FBF" w:rsidRDefault="00DF1FBF">
            <w:pPr>
              <w:autoSpaceDN w:val="0"/>
              <w:jc w:val="center"/>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HCFC-22</w:t>
            </w:r>
          </w:p>
        </w:tc>
        <w:tc>
          <w:tcPr>
            <w:tcW w:w="1427"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hideMark/>
          </w:tcPr>
          <w:p w:rsidR="00DF1FBF" w:rsidRDefault="00DF1FBF">
            <w:pPr>
              <w:autoSpaceDN w:val="0"/>
              <w:jc w:val="center"/>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599.532</w:t>
            </w:r>
          </w:p>
        </w:tc>
        <w:tc>
          <w:tcPr>
            <w:tcW w:w="1426"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hideMark/>
          </w:tcPr>
          <w:p w:rsidR="00DF1FBF" w:rsidRDefault="00DF1FBF">
            <w:pPr>
              <w:autoSpaceDN w:val="0"/>
              <w:jc w:val="center"/>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577.245</w:t>
            </w:r>
          </w:p>
        </w:tc>
        <w:tc>
          <w:tcPr>
            <w:tcW w:w="1495"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hideMark/>
          </w:tcPr>
          <w:p w:rsidR="00DF1FBF" w:rsidRDefault="00DF1FBF">
            <w:pPr>
              <w:autoSpaceDN w:val="0"/>
              <w:jc w:val="center"/>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566.85</w:t>
            </w:r>
          </w:p>
        </w:tc>
        <w:tc>
          <w:tcPr>
            <w:tcW w:w="1649"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hideMark/>
          </w:tcPr>
          <w:p w:rsidR="00DF1FBF" w:rsidRDefault="00DF1FBF">
            <w:pPr>
              <w:autoSpaceDN w:val="0"/>
              <w:jc w:val="center"/>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610.43</w:t>
            </w:r>
          </w:p>
        </w:tc>
        <w:tc>
          <w:tcPr>
            <w:tcW w:w="1675"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hideMark/>
          </w:tcPr>
          <w:p w:rsidR="00DF1FBF" w:rsidRDefault="00DF1FBF">
            <w:pPr>
              <w:autoSpaceDN w:val="0"/>
              <w:jc w:val="center"/>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629.748</w:t>
            </w:r>
          </w:p>
        </w:tc>
      </w:tr>
      <w:tr w:rsidR="00DF1FBF" w:rsidTr="00DF1FBF">
        <w:trPr>
          <w:trHeight w:val="241"/>
          <w:jc w:val="center"/>
        </w:trPr>
        <w:tc>
          <w:tcPr>
            <w:tcW w:w="1963"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hideMark/>
          </w:tcPr>
          <w:p w:rsidR="00DF1FBF" w:rsidRDefault="00DF1FBF">
            <w:pPr>
              <w:autoSpaceDN w:val="0"/>
              <w:jc w:val="center"/>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HCFC-141b</w:t>
            </w:r>
          </w:p>
        </w:tc>
        <w:tc>
          <w:tcPr>
            <w:tcW w:w="1427"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hideMark/>
          </w:tcPr>
          <w:p w:rsidR="00DF1FBF" w:rsidRDefault="00DF1FBF">
            <w:pPr>
              <w:autoSpaceDN w:val="0"/>
              <w:jc w:val="center"/>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8.46</w:t>
            </w:r>
          </w:p>
        </w:tc>
        <w:tc>
          <w:tcPr>
            <w:tcW w:w="1426"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hideMark/>
          </w:tcPr>
          <w:p w:rsidR="00DF1FBF" w:rsidRDefault="00DF1FBF">
            <w:pPr>
              <w:autoSpaceDN w:val="0"/>
              <w:jc w:val="center"/>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8.46</w:t>
            </w:r>
          </w:p>
        </w:tc>
        <w:tc>
          <w:tcPr>
            <w:tcW w:w="1495"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hideMark/>
          </w:tcPr>
          <w:p w:rsidR="00DF1FBF" w:rsidRDefault="00DF1FBF">
            <w:pPr>
              <w:autoSpaceDN w:val="0"/>
              <w:jc w:val="center"/>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8.46</w:t>
            </w:r>
          </w:p>
        </w:tc>
        <w:tc>
          <w:tcPr>
            <w:tcW w:w="1649"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hideMark/>
          </w:tcPr>
          <w:p w:rsidR="00DF1FBF" w:rsidRDefault="00DF1FBF">
            <w:pPr>
              <w:autoSpaceDN w:val="0"/>
              <w:jc w:val="center"/>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8.46</w:t>
            </w:r>
          </w:p>
        </w:tc>
        <w:tc>
          <w:tcPr>
            <w:tcW w:w="1675"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hideMark/>
          </w:tcPr>
          <w:p w:rsidR="00DF1FBF" w:rsidRDefault="00DF1FBF">
            <w:pPr>
              <w:autoSpaceDN w:val="0"/>
              <w:jc w:val="center"/>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8.46</w:t>
            </w:r>
          </w:p>
        </w:tc>
      </w:tr>
      <w:tr w:rsidR="00DF1FBF" w:rsidTr="00DF1FBF">
        <w:trPr>
          <w:trHeight w:val="241"/>
          <w:jc w:val="center"/>
        </w:trPr>
        <w:tc>
          <w:tcPr>
            <w:tcW w:w="1963"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hideMark/>
          </w:tcPr>
          <w:p w:rsidR="00DF1FBF" w:rsidRDefault="00DF1FBF">
            <w:pPr>
              <w:autoSpaceDN w:val="0"/>
              <w:jc w:val="center"/>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HCFC-123</w:t>
            </w:r>
          </w:p>
        </w:tc>
        <w:tc>
          <w:tcPr>
            <w:tcW w:w="1427"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hideMark/>
          </w:tcPr>
          <w:p w:rsidR="00DF1FBF" w:rsidRDefault="00DF1FBF">
            <w:pPr>
              <w:autoSpaceDN w:val="0"/>
              <w:jc w:val="center"/>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0</w:t>
            </w:r>
          </w:p>
        </w:tc>
        <w:tc>
          <w:tcPr>
            <w:tcW w:w="1426"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hideMark/>
          </w:tcPr>
          <w:p w:rsidR="00DF1FBF" w:rsidRDefault="00DF1FBF">
            <w:pPr>
              <w:autoSpaceDN w:val="0"/>
              <w:jc w:val="center"/>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0.5</w:t>
            </w:r>
          </w:p>
        </w:tc>
        <w:tc>
          <w:tcPr>
            <w:tcW w:w="1495"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hideMark/>
          </w:tcPr>
          <w:p w:rsidR="00DF1FBF" w:rsidRDefault="00DF1FBF">
            <w:pPr>
              <w:autoSpaceDN w:val="0"/>
              <w:jc w:val="center"/>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0</w:t>
            </w:r>
          </w:p>
        </w:tc>
        <w:tc>
          <w:tcPr>
            <w:tcW w:w="1649"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hideMark/>
          </w:tcPr>
          <w:p w:rsidR="00DF1FBF" w:rsidRDefault="00DF1FBF">
            <w:pPr>
              <w:autoSpaceDN w:val="0"/>
              <w:jc w:val="center"/>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0</w:t>
            </w:r>
          </w:p>
        </w:tc>
        <w:tc>
          <w:tcPr>
            <w:tcW w:w="1675"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hideMark/>
          </w:tcPr>
          <w:p w:rsidR="00DF1FBF" w:rsidRDefault="00DF1FBF">
            <w:pPr>
              <w:autoSpaceDN w:val="0"/>
              <w:jc w:val="center"/>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0</w:t>
            </w:r>
          </w:p>
        </w:tc>
      </w:tr>
    </w:tbl>
    <w:p w:rsidR="00DF1FBF" w:rsidRDefault="00DF1FBF" w:rsidP="00DF1FBF">
      <w:pPr>
        <w:spacing w:after="120"/>
        <w:jc w:val="center"/>
        <w:rPr>
          <w:rFonts w:ascii="Arial Narrow" w:eastAsia="Arial Narrow" w:hAnsi="Arial Narrow" w:cs="Arial Narrow"/>
          <w:b/>
          <w:bCs/>
          <w:color w:val="0033CC"/>
          <w:bdr w:val="none" w:sz="0" w:space="0" w:color="auto" w:frame="1"/>
          <w:lang w:val="es-ES_tradnl"/>
        </w:rPr>
      </w:pPr>
    </w:p>
    <w:p w:rsidR="00DF1FBF" w:rsidRDefault="00DF1FBF" w:rsidP="00DF1FBF">
      <w:pPr>
        <w:rPr>
          <w:rFonts w:eastAsia="Arial Unicode MS" w:cs="Arial Unicode MS"/>
          <w:color w:val="000000"/>
          <w:kern w:val="2"/>
          <w:sz w:val="24"/>
          <w:szCs w:val="24"/>
          <w:bdr w:val="none" w:sz="0" w:space="0" w:color="auto" w:frame="1"/>
          <w:lang w:val="en-US"/>
        </w:rPr>
      </w:pPr>
      <w:r>
        <w:rPr>
          <w:rFonts w:eastAsia="Arial Unicode MS" w:cs="Arial Unicode MS"/>
          <w:color w:val="000000"/>
          <w:kern w:val="2"/>
          <w:bdr w:val="none" w:sz="0" w:space="0" w:color="auto" w:frame="1"/>
        </w:rPr>
        <w:t xml:space="preserve">In table 2, information on the import quotas for the last two years is provided. </w:t>
      </w:r>
    </w:p>
    <w:p w:rsidR="00DF1FBF" w:rsidRDefault="00DF1FBF" w:rsidP="00DF1FBF">
      <w:pPr>
        <w:rPr>
          <w:color w:val="000000"/>
          <w:bdr w:val="none" w:sz="0" w:space="0" w:color="auto" w:frame="1"/>
        </w:rPr>
      </w:pPr>
    </w:p>
    <w:p w:rsidR="00DF1FBF" w:rsidRDefault="00DF1FBF" w:rsidP="00DF1FBF">
      <w:pPr>
        <w:spacing w:after="120"/>
        <w:jc w:val="center"/>
        <w:rPr>
          <w:b/>
          <w:bCs/>
          <w:color w:val="000000"/>
          <w:bdr w:val="none" w:sz="0" w:space="0" w:color="auto" w:frame="1"/>
        </w:rPr>
      </w:pPr>
      <w:r>
        <w:rPr>
          <w:rFonts w:eastAsia="Arial Unicode MS" w:cs="Arial Unicode MS"/>
          <w:b/>
          <w:bCs/>
          <w:color w:val="000000"/>
          <w:bdr w:val="none" w:sz="0" w:space="0" w:color="auto" w:frame="1"/>
        </w:rPr>
        <w:t>Table 2. HCFC import quotas – 2015 and 2016</w:t>
      </w:r>
    </w:p>
    <w:tbl>
      <w:tblPr>
        <w:tblW w:w="7572" w:type="dxa"/>
        <w:jc w:val="center"/>
        <w:tblInd w:w="20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399"/>
        <w:gridCol w:w="1228"/>
        <w:gridCol w:w="1886"/>
        <w:gridCol w:w="1260"/>
        <w:gridCol w:w="1799"/>
      </w:tblGrid>
      <w:tr w:rsidR="00DF1FBF" w:rsidTr="00DF1FBF">
        <w:trPr>
          <w:trHeight w:val="241"/>
          <w:jc w:val="center"/>
        </w:trPr>
        <w:tc>
          <w:tcPr>
            <w:tcW w:w="140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jc w:val="center"/>
              <w:rPr>
                <w:rFonts w:ascii="Helvetica" w:eastAsia="Arial Unicode MS" w:hAnsi="Helvetica" w:cs="Arial Unicode MS"/>
                <w:color w:val="000000"/>
                <w:bdr w:val="none" w:sz="0" w:space="0" w:color="auto" w:frame="1"/>
              </w:rPr>
            </w:pPr>
            <w:r>
              <w:rPr>
                <w:rFonts w:eastAsia="Arial Unicode MS" w:cs="Arial Unicode MS"/>
                <w:color w:val="000000"/>
                <w:bdr w:val="none" w:sz="0" w:space="0" w:color="auto" w:frame="1"/>
              </w:rPr>
              <w:t>Substance</w:t>
            </w:r>
          </w:p>
        </w:tc>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jc w:val="center"/>
              <w:rPr>
                <w:rFonts w:ascii="Helvetica" w:eastAsia="Arial Unicode MS" w:hAnsi="Helvetica" w:cs="Arial Unicode MS"/>
                <w:color w:val="000000"/>
                <w:bdr w:val="none" w:sz="0" w:space="0" w:color="auto" w:frame="1"/>
              </w:rPr>
            </w:pPr>
            <w:r>
              <w:rPr>
                <w:rFonts w:eastAsia="Arial Unicode MS" w:cs="Arial Unicode MS"/>
                <w:color w:val="000000"/>
                <w:bdr w:val="none" w:sz="0" w:space="0" w:color="auto" w:frame="1"/>
              </w:rPr>
              <w:t>2015</w:t>
            </w:r>
          </w:p>
        </w:tc>
        <w:tc>
          <w:tcPr>
            <w:tcW w:w="30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jc w:val="center"/>
              <w:rPr>
                <w:rFonts w:ascii="Helvetica" w:eastAsia="Arial Unicode MS" w:hAnsi="Helvetica" w:cs="Arial Unicode MS"/>
                <w:color w:val="000000"/>
                <w:bdr w:val="none" w:sz="0" w:space="0" w:color="auto" w:frame="1"/>
              </w:rPr>
            </w:pPr>
            <w:r>
              <w:rPr>
                <w:rFonts w:eastAsia="Arial Unicode MS" w:cs="Arial Unicode MS"/>
                <w:color w:val="000000"/>
                <w:bdr w:val="none" w:sz="0" w:space="0" w:color="auto" w:frame="1"/>
              </w:rPr>
              <w:t>2016</w:t>
            </w:r>
          </w:p>
        </w:tc>
      </w:tr>
      <w:tr w:rsidR="00DF1FBF" w:rsidTr="00DF1FBF">
        <w:trPr>
          <w:trHeight w:val="241"/>
          <w:jc w:val="center"/>
        </w:trPr>
        <w:tc>
          <w:tcPr>
            <w:tcW w:w="1400" w:type="dxa"/>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rsidR="00DF1FBF" w:rsidRDefault="00DF1FBF">
            <w:pPr>
              <w:rPr>
                <w:rFonts w:ascii="Helvetica" w:eastAsia="Arial Unicode MS" w:hAnsi="Helvetica" w:cs="Arial Unicode MS"/>
                <w:color w:val="000000"/>
                <w:bdr w:val="none" w:sz="0" w:space="0" w:color="auto" w:frame="1"/>
              </w:rPr>
            </w:pPr>
          </w:p>
        </w:tc>
        <w:tc>
          <w:tcPr>
            <w:tcW w:w="12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jc w:val="center"/>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Mt</w:t>
            </w:r>
          </w:p>
        </w:tc>
        <w:tc>
          <w:tcPr>
            <w:tcW w:w="18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jc w:val="center"/>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No of companies</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jc w:val="center"/>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Mt</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jc w:val="center"/>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No of companies</w:t>
            </w:r>
          </w:p>
        </w:tc>
      </w:tr>
      <w:tr w:rsidR="00DF1FBF" w:rsidTr="00DF1FBF">
        <w:trPr>
          <w:trHeight w:val="241"/>
          <w:jc w:val="center"/>
        </w:trPr>
        <w:tc>
          <w:tcPr>
            <w:tcW w:w="14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HCFC-22</w:t>
            </w:r>
          </w:p>
        </w:tc>
        <w:tc>
          <w:tcPr>
            <w:tcW w:w="12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646.29</w:t>
            </w:r>
          </w:p>
        </w:tc>
        <w:tc>
          <w:tcPr>
            <w:tcW w:w="18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19</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569.887</w:t>
            </w:r>
            <w:r>
              <w:rPr>
                <w:rFonts w:eastAsia="Arial Unicode MS" w:cs="Arial Unicode MS"/>
                <w:color w:val="000000"/>
                <w:bdr w:val="none" w:sz="0" w:space="0" w:color="auto" w:frame="1"/>
                <w:vertAlign w:val="superscript"/>
              </w:rPr>
              <w:t>(1)</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20</w:t>
            </w:r>
          </w:p>
        </w:tc>
      </w:tr>
      <w:tr w:rsidR="00DF1FBF" w:rsidTr="00DF1FBF">
        <w:trPr>
          <w:trHeight w:val="241"/>
          <w:jc w:val="center"/>
        </w:trPr>
        <w:tc>
          <w:tcPr>
            <w:tcW w:w="14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HCFC-141b</w:t>
            </w:r>
          </w:p>
        </w:tc>
        <w:tc>
          <w:tcPr>
            <w:tcW w:w="12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8.46</w:t>
            </w:r>
          </w:p>
        </w:tc>
        <w:tc>
          <w:tcPr>
            <w:tcW w:w="18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1</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8.46</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1</w:t>
            </w:r>
          </w:p>
        </w:tc>
      </w:tr>
      <w:tr w:rsidR="00DF1FBF" w:rsidTr="00DF1FBF">
        <w:trPr>
          <w:trHeight w:val="241"/>
          <w:jc w:val="center"/>
        </w:trPr>
        <w:tc>
          <w:tcPr>
            <w:tcW w:w="14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HCFC-141b</w:t>
            </w:r>
          </w:p>
        </w:tc>
        <w:tc>
          <w:tcPr>
            <w:tcW w:w="12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4.073</w:t>
            </w:r>
          </w:p>
        </w:tc>
        <w:tc>
          <w:tcPr>
            <w:tcW w:w="18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1</w:t>
            </w:r>
            <w:r>
              <w:rPr>
                <w:rFonts w:eastAsia="Arial Unicode MS" w:cs="Arial Unicode MS"/>
                <w:color w:val="000000"/>
                <w:bdr w:val="none" w:sz="0" w:space="0" w:color="auto" w:frame="1"/>
                <w:vertAlign w:val="superscript"/>
              </w:rPr>
              <w:t>(2)</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4.073</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bdr w:val="none" w:sz="0" w:space="0" w:color="auto" w:frame="1"/>
              </w:rPr>
              <w:t>1</w:t>
            </w:r>
            <w:r>
              <w:rPr>
                <w:rFonts w:eastAsia="Arial Unicode MS" w:cs="Arial Unicode MS"/>
                <w:color w:val="000000"/>
                <w:bdr w:val="none" w:sz="0" w:space="0" w:color="auto" w:frame="1"/>
                <w:vertAlign w:val="superscript"/>
              </w:rPr>
              <w:t>(2)</w:t>
            </w:r>
          </w:p>
        </w:tc>
      </w:tr>
    </w:tbl>
    <w:p w:rsidR="00DF1FBF" w:rsidRDefault="00DF1FBF" w:rsidP="00DF1FBF">
      <w:pPr>
        <w:ind w:left="93" w:hanging="93"/>
        <w:jc w:val="center"/>
        <w:rPr>
          <w:b/>
          <w:bCs/>
          <w:color w:val="000000"/>
          <w:bdr w:val="none" w:sz="0" w:space="0" w:color="auto" w:frame="1"/>
          <w:lang w:val="es-ES_tradnl"/>
        </w:rPr>
      </w:pPr>
    </w:p>
    <w:p w:rsidR="00DF1FBF" w:rsidRDefault="00DF1FBF" w:rsidP="00650B21">
      <w:pPr>
        <w:numPr>
          <w:ilvl w:val="0"/>
          <w:numId w:val="15"/>
        </w:numPr>
        <w:autoSpaceDN w:val="0"/>
        <w:spacing w:before="120" w:after="200" w:line="276" w:lineRule="auto"/>
        <w:rPr>
          <w:color w:val="000000"/>
          <w:sz w:val="18"/>
          <w:szCs w:val="18"/>
          <w:bdr w:val="none" w:sz="0" w:space="0" w:color="auto" w:frame="1"/>
          <w:lang w:val="en-US"/>
        </w:rPr>
      </w:pPr>
      <w:r>
        <w:rPr>
          <w:rFonts w:eastAsia="Arial Unicode MS" w:cs="Arial Unicode MS"/>
          <w:color w:val="000000"/>
          <w:sz w:val="18"/>
          <w:szCs w:val="18"/>
          <w:bdr w:val="none" w:sz="0" w:space="0" w:color="auto" w:frame="1"/>
        </w:rPr>
        <w:t>An additional reserve of 33.8 metric tons must be here considered (this amount can be distributed if the NOU receives further demands or in case of urgency or need).</w:t>
      </w:r>
    </w:p>
    <w:p w:rsidR="00DF1FBF" w:rsidRDefault="00DF1FBF" w:rsidP="00650B21">
      <w:pPr>
        <w:numPr>
          <w:ilvl w:val="0"/>
          <w:numId w:val="15"/>
        </w:numPr>
        <w:autoSpaceDN w:val="0"/>
        <w:spacing w:before="120" w:after="200" w:line="276" w:lineRule="auto"/>
        <w:rPr>
          <w:color w:val="000000"/>
          <w:sz w:val="18"/>
          <w:szCs w:val="18"/>
          <w:bdr w:val="none" w:sz="0" w:space="0" w:color="auto" w:frame="1"/>
        </w:rPr>
      </w:pPr>
      <w:r>
        <w:rPr>
          <w:rFonts w:eastAsia="Arial Unicode MS" w:cs="Arial Unicode MS"/>
          <w:color w:val="000000"/>
          <w:sz w:val="18"/>
          <w:szCs w:val="18"/>
          <w:bdr w:val="none" w:sz="0" w:space="0" w:color="auto" w:frame="1"/>
        </w:rPr>
        <w:t>Trader which do not use HCFC-141b for own purposes.</w:t>
      </w:r>
    </w:p>
    <w:p w:rsidR="00DF1FBF" w:rsidRDefault="00DF1FBF" w:rsidP="00DF1FBF">
      <w:pPr>
        <w:rPr>
          <w:rFonts w:ascii="Arial Narrow" w:eastAsia="Arial Narrow" w:hAnsi="Arial Narrow" w:cs="Arial Narrow"/>
          <w:color w:val="000000"/>
          <w:bdr w:val="none" w:sz="0" w:space="0" w:color="auto" w:frame="1"/>
        </w:rPr>
      </w:pPr>
    </w:p>
    <w:p w:rsidR="00DF1FBF" w:rsidRDefault="00DF1FBF" w:rsidP="00650B21">
      <w:pPr>
        <w:numPr>
          <w:ilvl w:val="1"/>
          <w:numId w:val="14"/>
        </w:numPr>
        <w:autoSpaceDN w:val="0"/>
        <w:rPr>
          <w:iCs/>
          <w:color w:val="000000"/>
          <w:sz w:val="24"/>
          <w:szCs w:val="24"/>
          <w:u w:val="single" w:color="000000"/>
          <w:bdr w:val="none" w:sz="0" w:space="0" w:color="auto" w:frame="1"/>
        </w:rPr>
      </w:pPr>
      <w:r>
        <w:rPr>
          <w:iCs/>
          <w:color w:val="000000"/>
          <w:u w:val="single" w:color="000000"/>
          <w:bdr w:val="none" w:sz="0" w:space="0" w:color="auto" w:frame="1"/>
        </w:rPr>
        <w:t>Information to be gathered and updated</w:t>
      </w:r>
    </w:p>
    <w:p w:rsidR="00DF1FBF" w:rsidRDefault="00DF1FBF" w:rsidP="00DF1FBF">
      <w:pPr>
        <w:rPr>
          <w:rFonts w:ascii="Arial Narrow" w:eastAsia="Arial Narrow" w:hAnsi="Arial Narrow" w:cs="Arial Narrow"/>
          <w:color w:val="000000"/>
          <w:bdr w:val="none" w:sz="0" w:space="0" w:color="auto" w:frame="1"/>
        </w:rPr>
      </w:pPr>
    </w:p>
    <w:p w:rsidR="00DF1FBF" w:rsidRDefault="00DF1FBF" w:rsidP="00DF1FBF">
      <w:pPr>
        <w:rPr>
          <w:color w:val="000000"/>
          <w:sz w:val="24"/>
          <w:szCs w:val="24"/>
          <w:bdr w:val="none" w:sz="0" w:space="0" w:color="auto" w:frame="1"/>
        </w:rPr>
      </w:pPr>
      <w:r>
        <w:rPr>
          <w:rFonts w:eastAsia="Arial Unicode MS" w:cs="Arial Unicode MS"/>
          <w:color w:val="000000"/>
          <w:bdr w:val="none" w:sz="0" w:space="0" w:color="auto" w:frame="1"/>
        </w:rPr>
        <w:t xml:space="preserve">Besides the gathering and updating of information related to consumption of HCFCs in the corresponding verification reports, additional information will be gathered and subsequently updated on those aspects related to the expected activities of Stage II. </w:t>
      </w:r>
    </w:p>
    <w:p w:rsidR="00DF1FBF" w:rsidRDefault="00DF1FBF" w:rsidP="00DF1FBF">
      <w:pPr>
        <w:rPr>
          <w:rFonts w:eastAsia="Arial Unicode MS" w:cs="Arial Unicode MS"/>
          <w:color w:val="000000"/>
          <w:bdr w:val="none" w:sz="0" w:space="0" w:color="auto" w:frame="1"/>
        </w:rPr>
      </w:pPr>
    </w:p>
    <w:p w:rsidR="00DF1FBF" w:rsidRDefault="00DF1FBF" w:rsidP="00DF1FBF">
      <w:pPr>
        <w:rPr>
          <w:rFonts w:eastAsia="Arial Unicode MS" w:cs="Arial Unicode MS"/>
          <w:color w:val="000000"/>
          <w:bdr w:val="none" w:sz="0" w:space="0" w:color="auto" w:frame="1"/>
        </w:rPr>
      </w:pPr>
      <w:r>
        <w:rPr>
          <w:rFonts w:eastAsia="Arial Unicode MS" w:cs="Arial Unicode MS"/>
          <w:color w:val="000000"/>
          <w:bdr w:val="none" w:sz="0" w:space="0" w:color="auto" w:frame="1"/>
        </w:rPr>
        <w:t xml:space="preserve">For addressing the Stage II to the servicing sector, a comprehensive survey will be required to give response to the servicing needs post 2020, considering also the small and medium enterprises operating discontinuous with assembly field applications. </w:t>
      </w:r>
    </w:p>
    <w:p w:rsidR="00DF1FBF" w:rsidRDefault="00DF1FBF" w:rsidP="00DF1FBF">
      <w:pPr>
        <w:rPr>
          <w:color w:val="000000"/>
          <w:bdr w:val="none" w:sz="0" w:space="0" w:color="auto" w:frame="1"/>
        </w:rPr>
      </w:pPr>
    </w:p>
    <w:p w:rsidR="00DF1FBF" w:rsidRDefault="00DF1FBF" w:rsidP="00DF1FBF">
      <w:pPr>
        <w:rPr>
          <w:color w:val="000000"/>
          <w:kern w:val="2"/>
          <w:bdr w:val="none" w:sz="0" w:space="0" w:color="auto" w:frame="1"/>
        </w:rPr>
      </w:pPr>
      <w:r>
        <w:rPr>
          <w:rFonts w:eastAsia="Arial Unicode MS" w:cs="Arial Unicode MS"/>
          <w:color w:val="000000"/>
          <w:kern w:val="2"/>
          <w:bdr w:val="none" w:sz="0" w:space="0" w:color="auto" w:frame="1"/>
        </w:rPr>
        <w:t xml:space="preserve">Stage II will also address the consumption of HCFC 141b contained in non-reported imported pre-blended polyol used for various foam applications. Consequently, information on the imports of this material will be gathered accordingly. This kind of information has not been gathered yet due to the fact that its use is linked to implementation of activities under Stage II. </w:t>
      </w:r>
    </w:p>
    <w:p w:rsidR="00DF1FBF" w:rsidRDefault="00DF1FBF" w:rsidP="00DF1FBF">
      <w:pPr>
        <w:rPr>
          <w:color w:val="000000"/>
          <w:kern w:val="2"/>
          <w:bdr w:val="none" w:sz="0" w:space="0" w:color="auto" w:frame="1"/>
        </w:rPr>
      </w:pPr>
    </w:p>
    <w:p w:rsidR="00DF1FBF" w:rsidRDefault="00DF1FBF" w:rsidP="00650B21">
      <w:pPr>
        <w:numPr>
          <w:ilvl w:val="1"/>
          <w:numId w:val="14"/>
        </w:numPr>
        <w:autoSpaceDN w:val="0"/>
        <w:rPr>
          <w:iCs/>
          <w:color w:val="000000"/>
          <w:u w:val="single" w:color="000000"/>
          <w:bdr w:val="none" w:sz="0" w:space="0" w:color="auto" w:frame="1"/>
        </w:rPr>
      </w:pPr>
      <w:r>
        <w:rPr>
          <w:iCs/>
          <w:color w:val="000000"/>
          <w:u w:val="single" w:color="000000"/>
          <w:bdr w:val="none" w:sz="0" w:space="0" w:color="auto" w:frame="1"/>
        </w:rPr>
        <w:t>Activities to be undertaken for PRP</w:t>
      </w:r>
    </w:p>
    <w:p w:rsidR="00DF1FBF" w:rsidRDefault="00DF1FBF" w:rsidP="00DF1FBF">
      <w:pPr>
        <w:rPr>
          <w:i/>
          <w:iCs/>
          <w:color w:val="000000"/>
          <w:kern w:val="2"/>
          <w:bdr w:val="none" w:sz="0" w:space="0" w:color="auto" w:frame="1"/>
        </w:rPr>
      </w:pPr>
    </w:p>
    <w:p w:rsidR="00DF1FBF" w:rsidRDefault="00DF1FBF" w:rsidP="00DF1FBF">
      <w:pPr>
        <w:rPr>
          <w:rFonts w:eastAsia="Arial Unicode MS" w:cs="Arial Unicode MS"/>
          <w:color w:val="000000"/>
          <w:bdr w:val="none" w:sz="0" w:space="0" w:color="auto" w:frame="1"/>
        </w:rPr>
      </w:pPr>
      <w:r>
        <w:rPr>
          <w:rFonts w:eastAsia="Arial Unicode MS" w:cs="Arial Unicode MS"/>
          <w:color w:val="000000"/>
          <w:bdr w:val="none" w:sz="0" w:space="0" w:color="auto" w:frame="1"/>
        </w:rPr>
        <w:t>In accordance with the guideline 71/55, the preparatory activities and the corresponding funds requested for UNIDO, are as follows:</w:t>
      </w:r>
    </w:p>
    <w:p w:rsidR="00DF1FBF" w:rsidRDefault="00DF1FBF" w:rsidP="00DF1FBF">
      <w:pPr>
        <w:ind w:firstLine="360"/>
        <w:rPr>
          <w:rFonts w:eastAsia="Calibri"/>
          <w:bCs/>
        </w:rPr>
      </w:pPr>
    </w:p>
    <w:tbl>
      <w:tblPr>
        <w:tblW w:w="7719" w:type="dxa"/>
        <w:jc w:val="center"/>
        <w:tblInd w:w="938" w:type="dxa"/>
        <w:tblLook w:val="04A0" w:firstRow="1" w:lastRow="0" w:firstColumn="1" w:lastColumn="0" w:noHBand="0" w:noVBand="1"/>
      </w:tblPr>
      <w:tblGrid>
        <w:gridCol w:w="6180"/>
        <w:gridCol w:w="1539"/>
      </w:tblGrid>
      <w:tr w:rsidR="00DF1FBF" w:rsidTr="00DF1FBF">
        <w:trPr>
          <w:trHeight w:val="360"/>
          <w:jc w:val="center"/>
        </w:trPr>
        <w:tc>
          <w:tcPr>
            <w:tcW w:w="6180" w:type="dxa"/>
            <w:tcBorders>
              <w:top w:val="single" w:sz="4" w:space="0" w:color="auto"/>
              <w:left w:val="single" w:sz="4" w:space="0" w:color="auto"/>
              <w:bottom w:val="single" w:sz="4" w:space="0" w:color="auto"/>
              <w:right w:val="single" w:sz="4" w:space="0" w:color="auto"/>
            </w:tcBorders>
            <w:vAlign w:val="center"/>
            <w:hideMark/>
          </w:tcPr>
          <w:p w:rsidR="00DF1FBF" w:rsidRDefault="00DF1FBF">
            <w:pPr>
              <w:autoSpaceDE w:val="0"/>
              <w:autoSpaceDN w:val="0"/>
              <w:adjustRightInd w:val="0"/>
              <w:ind w:left="360"/>
              <w:jc w:val="center"/>
              <w:rPr>
                <w:b/>
                <w:color w:val="000000"/>
                <w:lang w:val="en-CA"/>
              </w:rPr>
            </w:pPr>
            <w:r>
              <w:rPr>
                <w:b/>
                <w:color w:val="000000"/>
                <w:lang w:val="en-CA"/>
              </w:rPr>
              <w:t>Activities</w:t>
            </w:r>
          </w:p>
        </w:tc>
        <w:tc>
          <w:tcPr>
            <w:tcW w:w="1539" w:type="dxa"/>
            <w:tcBorders>
              <w:top w:val="single" w:sz="4" w:space="0" w:color="auto"/>
              <w:left w:val="nil"/>
              <w:bottom w:val="single" w:sz="4" w:space="0" w:color="auto"/>
              <w:right w:val="single" w:sz="4" w:space="0" w:color="auto"/>
            </w:tcBorders>
            <w:noWrap/>
            <w:vAlign w:val="center"/>
            <w:hideMark/>
          </w:tcPr>
          <w:p w:rsidR="00DF1FBF" w:rsidRDefault="00DF1FBF">
            <w:pPr>
              <w:autoSpaceDE w:val="0"/>
              <w:autoSpaceDN w:val="0"/>
              <w:adjustRightInd w:val="0"/>
              <w:ind w:left="360"/>
              <w:rPr>
                <w:b/>
                <w:color w:val="000000"/>
                <w:lang w:val="en-CA"/>
              </w:rPr>
            </w:pPr>
            <w:r>
              <w:rPr>
                <w:b/>
                <w:color w:val="000000"/>
                <w:lang w:val="en-CA"/>
              </w:rPr>
              <w:t>Total</w:t>
            </w:r>
          </w:p>
        </w:tc>
      </w:tr>
      <w:tr w:rsidR="00DF1FBF" w:rsidTr="00DF1FBF">
        <w:trPr>
          <w:trHeight w:val="360"/>
          <w:jc w:val="center"/>
        </w:trPr>
        <w:tc>
          <w:tcPr>
            <w:tcW w:w="6180" w:type="dxa"/>
            <w:tcBorders>
              <w:top w:val="nil"/>
              <w:left w:val="single" w:sz="4" w:space="0" w:color="auto"/>
              <w:bottom w:val="single" w:sz="4" w:space="0" w:color="auto"/>
              <w:right w:val="single" w:sz="4" w:space="0" w:color="auto"/>
            </w:tcBorders>
            <w:vAlign w:val="center"/>
            <w:hideMark/>
          </w:tcPr>
          <w:p w:rsidR="00DF1FBF" w:rsidRDefault="00DF1FBF">
            <w:pPr>
              <w:autoSpaceDE w:val="0"/>
              <w:autoSpaceDN w:val="0"/>
              <w:adjustRightInd w:val="0"/>
              <w:ind w:left="360"/>
              <w:rPr>
                <w:b/>
                <w:color w:val="000000"/>
                <w:lang w:val="en-CA"/>
              </w:rPr>
            </w:pPr>
            <w:r>
              <w:rPr>
                <w:b/>
                <w:color w:val="000000"/>
                <w:lang w:val="en-CA"/>
              </w:rPr>
              <w:t>Preparation of Refrigeration Servicing (including assembly)</w:t>
            </w:r>
          </w:p>
        </w:tc>
        <w:tc>
          <w:tcPr>
            <w:tcW w:w="1539" w:type="dxa"/>
            <w:tcBorders>
              <w:top w:val="nil"/>
              <w:left w:val="nil"/>
              <w:bottom w:val="single" w:sz="4" w:space="0" w:color="auto"/>
              <w:right w:val="single" w:sz="4" w:space="0" w:color="auto"/>
            </w:tcBorders>
            <w:noWrap/>
            <w:vAlign w:val="center"/>
            <w:hideMark/>
          </w:tcPr>
          <w:p w:rsidR="00DF1FBF" w:rsidRDefault="00DF1FBF">
            <w:pPr>
              <w:autoSpaceDE w:val="0"/>
              <w:autoSpaceDN w:val="0"/>
              <w:adjustRightInd w:val="0"/>
              <w:jc w:val="center"/>
              <w:rPr>
                <w:b/>
                <w:color w:val="000000"/>
                <w:lang w:val="en-CA"/>
              </w:rPr>
            </w:pPr>
            <w:r>
              <w:rPr>
                <w:b/>
                <w:color w:val="000000"/>
                <w:lang w:val="en-CA"/>
              </w:rPr>
              <w:t>60,000</w:t>
            </w:r>
          </w:p>
        </w:tc>
      </w:tr>
      <w:tr w:rsidR="00DF1FBF" w:rsidTr="00DF1FBF">
        <w:trPr>
          <w:trHeight w:val="360"/>
          <w:jc w:val="center"/>
        </w:trPr>
        <w:tc>
          <w:tcPr>
            <w:tcW w:w="6180" w:type="dxa"/>
            <w:tcBorders>
              <w:top w:val="nil"/>
              <w:left w:val="single" w:sz="4" w:space="0" w:color="auto"/>
              <w:bottom w:val="single" w:sz="4" w:space="0" w:color="auto"/>
              <w:right w:val="single" w:sz="4" w:space="0" w:color="auto"/>
            </w:tcBorders>
            <w:vAlign w:val="center"/>
            <w:hideMark/>
          </w:tcPr>
          <w:p w:rsidR="00DF1FBF" w:rsidRDefault="00DF1FBF">
            <w:pPr>
              <w:autoSpaceDE w:val="0"/>
              <w:autoSpaceDN w:val="0"/>
              <w:adjustRightInd w:val="0"/>
              <w:ind w:left="360"/>
              <w:rPr>
                <w:color w:val="000000"/>
                <w:lang w:val="en-CA"/>
              </w:rPr>
            </w:pPr>
            <w:r>
              <w:rPr>
                <w:color w:val="000000"/>
                <w:lang w:val="en-CA"/>
              </w:rPr>
              <w:t xml:space="preserve">Survey to update consumption  all over the country </w:t>
            </w:r>
          </w:p>
        </w:tc>
        <w:tc>
          <w:tcPr>
            <w:tcW w:w="1539" w:type="dxa"/>
            <w:tcBorders>
              <w:top w:val="nil"/>
              <w:left w:val="nil"/>
              <w:bottom w:val="single" w:sz="4" w:space="0" w:color="auto"/>
              <w:right w:val="single" w:sz="4" w:space="0" w:color="auto"/>
            </w:tcBorders>
            <w:noWrap/>
            <w:vAlign w:val="center"/>
            <w:hideMark/>
          </w:tcPr>
          <w:p w:rsidR="00DF1FBF" w:rsidRDefault="00DF1FBF">
            <w:pPr>
              <w:autoSpaceDE w:val="0"/>
              <w:autoSpaceDN w:val="0"/>
              <w:adjustRightInd w:val="0"/>
              <w:jc w:val="center"/>
              <w:rPr>
                <w:color w:val="000000"/>
                <w:lang w:val="en-CA"/>
              </w:rPr>
            </w:pPr>
            <w:r>
              <w:rPr>
                <w:color w:val="000000"/>
                <w:lang w:val="en-CA"/>
              </w:rPr>
              <w:t>25,000</w:t>
            </w:r>
          </w:p>
        </w:tc>
      </w:tr>
      <w:tr w:rsidR="00DF1FBF" w:rsidTr="00DF1FBF">
        <w:trPr>
          <w:trHeight w:val="360"/>
          <w:jc w:val="center"/>
        </w:trPr>
        <w:tc>
          <w:tcPr>
            <w:tcW w:w="6180" w:type="dxa"/>
            <w:tcBorders>
              <w:top w:val="nil"/>
              <w:left w:val="single" w:sz="4" w:space="0" w:color="auto"/>
              <w:bottom w:val="single" w:sz="4" w:space="0" w:color="auto"/>
              <w:right w:val="single" w:sz="4" w:space="0" w:color="auto"/>
            </w:tcBorders>
            <w:vAlign w:val="center"/>
            <w:hideMark/>
          </w:tcPr>
          <w:p w:rsidR="00DF1FBF" w:rsidRDefault="00DF1FBF">
            <w:pPr>
              <w:autoSpaceDE w:val="0"/>
              <w:autoSpaceDN w:val="0"/>
              <w:adjustRightInd w:val="0"/>
              <w:ind w:left="360"/>
              <w:rPr>
                <w:color w:val="000000"/>
                <w:lang w:val="en-CA"/>
              </w:rPr>
            </w:pPr>
            <w:r>
              <w:rPr>
                <w:color w:val="000000"/>
                <w:lang w:val="en-CA"/>
              </w:rPr>
              <w:t>Consultation meetings</w:t>
            </w:r>
          </w:p>
        </w:tc>
        <w:tc>
          <w:tcPr>
            <w:tcW w:w="1539" w:type="dxa"/>
            <w:tcBorders>
              <w:top w:val="nil"/>
              <w:left w:val="nil"/>
              <w:bottom w:val="single" w:sz="4" w:space="0" w:color="auto"/>
              <w:right w:val="single" w:sz="4" w:space="0" w:color="auto"/>
            </w:tcBorders>
            <w:noWrap/>
            <w:vAlign w:val="center"/>
            <w:hideMark/>
          </w:tcPr>
          <w:p w:rsidR="00DF1FBF" w:rsidRDefault="00DF1FBF">
            <w:pPr>
              <w:autoSpaceDE w:val="0"/>
              <w:autoSpaceDN w:val="0"/>
              <w:adjustRightInd w:val="0"/>
              <w:jc w:val="center"/>
              <w:rPr>
                <w:color w:val="000000"/>
                <w:lang w:val="en-CA"/>
              </w:rPr>
            </w:pPr>
            <w:r>
              <w:rPr>
                <w:color w:val="000000"/>
                <w:lang w:val="en-CA"/>
              </w:rPr>
              <w:t>15,000</w:t>
            </w:r>
          </w:p>
        </w:tc>
      </w:tr>
      <w:tr w:rsidR="00DF1FBF" w:rsidTr="00DF1FBF">
        <w:trPr>
          <w:trHeight w:val="360"/>
          <w:jc w:val="center"/>
        </w:trPr>
        <w:tc>
          <w:tcPr>
            <w:tcW w:w="6180" w:type="dxa"/>
            <w:tcBorders>
              <w:top w:val="nil"/>
              <w:left w:val="single" w:sz="4" w:space="0" w:color="auto"/>
              <w:bottom w:val="single" w:sz="4" w:space="0" w:color="auto"/>
              <w:right w:val="single" w:sz="4" w:space="0" w:color="auto"/>
            </w:tcBorders>
            <w:vAlign w:val="center"/>
            <w:hideMark/>
          </w:tcPr>
          <w:p w:rsidR="00DF1FBF" w:rsidRDefault="00DF1FBF">
            <w:pPr>
              <w:autoSpaceDE w:val="0"/>
              <w:autoSpaceDN w:val="0"/>
              <w:adjustRightInd w:val="0"/>
              <w:ind w:left="360"/>
              <w:rPr>
                <w:color w:val="000000"/>
                <w:lang w:val="en-CA"/>
              </w:rPr>
            </w:pPr>
            <w:r>
              <w:rPr>
                <w:color w:val="000000"/>
                <w:lang w:val="en-CA"/>
              </w:rPr>
              <w:t>Consultancy (international consultant)</w:t>
            </w:r>
          </w:p>
        </w:tc>
        <w:tc>
          <w:tcPr>
            <w:tcW w:w="1539" w:type="dxa"/>
            <w:tcBorders>
              <w:top w:val="nil"/>
              <w:left w:val="nil"/>
              <w:bottom w:val="single" w:sz="4" w:space="0" w:color="auto"/>
              <w:right w:val="single" w:sz="4" w:space="0" w:color="auto"/>
            </w:tcBorders>
            <w:noWrap/>
            <w:vAlign w:val="center"/>
            <w:hideMark/>
          </w:tcPr>
          <w:p w:rsidR="00DF1FBF" w:rsidRDefault="00DF1FBF">
            <w:pPr>
              <w:autoSpaceDE w:val="0"/>
              <w:autoSpaceDN w:val="0"/>
              <w:adjustRightInd w:val="0"/>
              <w:jc w:val="center"/>
              <w:rPr>
                <w:color w:val="000000"/>
                <w:lang w:val="en-CA"/>
              </w:rPr>
            </w:pPr>
            <w:r>
              <w:rPr>
                <w:color w:val="000000"/>
                <w:lang w:val="en-CA"/>
              </w:rPr>
              <w:t>12,000</w:t>
            </w:r>
          </w:p>
        </w:tc>
      </w:tr>
      <w:tr w:rsidR="00DF1FBF" w:rsidTr="00DF1FBF">
        <w:trPr>
          <w:trHeight w:val="360"/>
          <w:jc w:val="center"/>
        </w:trPr>
        <w:tc>
          <w:tcPr>
            <w:tcW w:w="6180" w:type="dxa"/>
            <w:tcBorders>
              <w:top w:val="nil"/>
              <w:left w:val="single" w:sz="4" w:space="0" w:color="auto"/>
              <w:bottom w:val="single" w:sz="4" w:space="0" w:color="auto"/>
              <w:right w:val="single" w:sz="4" w:space="0" w:color="auto"/>
            </w:tcBorders>
            <w:vAlign w:val="center"/>
            <w:hideMark/>
          </w:tcPr>
          <w:p w:rsidR="00DF1FBF" w:rsidRDefault="00DF1FBF">
            <w:pPr>
              <w:autoSpaceDE w:val="0"/>
              <w:autoSpaceDN w:val="0"/>
              <w:adjustRightInd w:val="0"/>
              <w:ind w:left="360"/>
              <w:rPr>
                <w:color w:val="000000"/>
                <w:lang w:val="en-CA"/>
              </w:rPr>
            </w:pPr>
            <w:r>
              <w:rPr>
                <w:color w:val="000000"/>
                <w:lang w:val="en-CA"/>
              </w:rPr>
              <w:t>National consultants and data validation process</w:t>
            </w:r>
          </w:p>
        </w:tc>
        <w:tc>
          <w:tcPr>
            <w:tcW w:w="1539" w:type="dxa"/>
            <w:tcBorders>
              <w:top w:val="nil"/>
              <w:left w:val="nil"/>
              <w:bottom w:val="single" w:sz="4" w:space="0" w:color="auto"/>
              <w:right w:val="single" w:sz="4" w:space="0" w:color="auto"/>
            </w:tcBorders>
            <w:noWrap/>
            <w:vAlign w:val="center"/>
            <w:hideMark/>
          </w:tcPr>
          <w:p w:rsidR="00DF1FBF" w:rsidRDefault="00DF1FBF">
            <w:pPr>
              <w:autoSpaceDE w:val="0"/>
              <w:autoSpaceDN w:val="0"/>
              <w:adjustRightInd w:val="0"/>
              <w:jc w:val="center"/>
              <w:rPr>
                <w:color w:val="000000"/>
                <w:lang w:val="en-CA"/>
              </w:rPr>
            </w:pPr>
            <w:r>
              <w:rPr>
                <w:color w:val="000000"/>
                <w:lang w:val="en-CA"/>
              </w:rPr>
              <w:t>8,000</w:t>
            </w:r>
          </w:p>
        </w:tc>
      </w:tr>
      <w:tr w:rsidR="00DF1FBF" w:rsidTr="00DF1FBF">
        <w:trPr>
          <w:trHeight w:val="404"/>
          <w:jc w:val="center"/>
        </w:trPr>
        <w:tc>
          <w:tcPr>
            <w:tcW w:w="6180" w:type="dxa"/>
            <w:tcBorders>
              <w:top w:val="nil"/>
              <w:left w:val="single" w:sz="4" w:space="0" w:color="auto"/>
              <w:bottom w:val="single" w:sz="4" w:space="0" w:color="auto"/>
              <w:right w:val="single" w:sz="4" w:space="0" w:color="auto"/>
            </w:tcBorders>
            <w:vAlign w:val="center"/>
            <w:hideMark/>
          </w:tcPr>
          <w:p w:rsidR="00DF1FBF" w:rsidRDefault="00DF1FBF">
            <w:pPr>
              <w:autoSpaceDE w:val="0"/>
              <w:autoSpaceDN w:val="0"/>
              <w:adjustRightInd w:val="0"/>
              <w:ind w:left="360"/>
              <w:rPr>
                <w:b/>
                <w:color w:val="000000"/>
                <w:lang w:val="en-CA"/>
              </w:rPr>
            </w:pPr>
            <w:r>
              <w:rPr>
                <w:b/>
                <w:color w:val="000000"/>
                <w:lang w:val="en-CA"/>
              </w:rPr>
              <w:t>Preparation of investment activities in polyol sector and for elimination of the use of HCFCs in rigid PU</w:t>
            </w:r>
          </w:p>
        </w:tc>
        <w:tc>
          <w:tcPr>
            <w:tcW w:w="1539" w:type="dxa"/>
            <w:tcBorders>
              <w:top w:val="nil"/>
              <w:left w:val="nil"/>
              <w:bottom w:val="single" w:sz="4" w:space="0" w:color="auto"/>
              <w:right w:val="single" w:sz="4" w:space="0" w:color="auto"/>
            </w:tcBorders>
            <w:noWrap/>
            <w:vAlign w:val="center"/>
            <w:hideMark/>
          </w:tcPr>
          <w:p w:rsidR="00DF1FBF" w:rsidRDefault="00DF1FBF">
            <w:pPr>
              <w:autoSpaceDE w:val="0"/>
              <w:autoSpaceDN w:val="0"/>
              <w:adjustRightInd w:val="0"/>
              <w:ind w:left="360"/>
              <w:rPr>
                <w:b/>
                <w:color w:val="000000"/>
                <w:lang w:val="en-CA"/>
              </w:rPr>
            </w:pPr>
            <w:r>
              <w:rPr>
                <w:b/>
                <w:color w:val="000000"/>
                <w:lang w:val="en-CA"/>
              </w:rPr>
              <w:t>60,000</w:t>
            </w:r>
          </w:p>
        </w:tc>
      </w:tr>
      <w:tr w:rsidR="00DF1FBF" w:rsidTr="00DF1FBF">
        <w:trPr>
          <w:trHeight w:val="360"/>
          <w:jc w:val="center"/>
        </w:trPr>
        <w:tc>
          <w:tcPr>
            <w:tcW w:w="6180" w:type="dxa"/>
            <w:tcBorders>
              <w:top w:val="nil"/>
              <w:left w:val="single" w:sz="4" w:space="0" w:color="auto"/>
              <w:bottom w:val="single" w:sz="4" w:space="0" w:color="auto"/>
              <w:right w:val="single" w:sz="4" w:space="0" w:color="auto"/>
            </w:tcBorders>
            <w:vAlign w:val="center"/>
            <w:hideMark/>
          </w:tcPr>
          <w:p w:rsidR="00DF1FBF" w:rsidRDefault="00DF1FBF">
            <w:pPr>
              <w:autoSpaceDE w:val="0"/>
              <w:autoSpaceDN w:val="0"/>
              <w:adjustRightInd w:val="0"/>
              <w:ind w:left="360"/>
              <w:rPr>
                <w:color w:val="000000"/>
                <w:lang w:val="en-CA"/>
              </w:rPr>
            </w:pPr>
            <w:r>
              <w:rPr>
                <w:color w:val="000000"/>
                <w:lang w:val="en-CA"/>
              </w:rPr>
              <w:t>Survey on use of pre-blended polyol for foam applications</w:t>
            </w:r>
          </w:p>
        </w:tc>
        <w:tc>
          <w:tcPr>
            <w:tcW w:w="1539" w:type="dxa"/>
            <w:tcBorders>
              <w:top w:val="nil"/>
              <w:left w:val="nil"/>
              <w:bottom w:val="single" w:sz="4" w:space="0" w:color="auto"/>
              <w:right w:val="single" w:sz="4" w:space="0" w:color="auto"/>
            </w:tcBorders>
            <w:noWrap/>
            <w:vAlign w:val="center"/>
            <w:hideMark/>
          </w:tcPr>
          <w:p w:rsidR="00DF1FBF" w:rsidRDefault="00DF1FBF">
            <w:pPr>
              <w:autoSpaceDE w:val="0"/>
              <w:autoSpaceDN w:val="0"/>
              <w:adjustRightInd w:val="0"/>
              <w:jc w:val="center"/>
              <w:rPr>
                <w:color w:val="000000"/>
                <w:lang w:val="en-CA"/>
              </w:rPr>
            </w:pPr>
            <w:r>
              <w:rPr>
                <w:color w:val="000000"/>
                <w:lang w:val="en-CA"/>
              </w:rPr>
              <w:t>20,000</w:t>
            </w:r>
          </w:p>
        </w:tc>
      </w:tr>
      <w:tr w:rsidR="00DF1FBF" w:rsidTr="00DF1FBF">
        <w:trPr>
          <w:trHeight w:val="360"/>
          <w:jc w:val="center"/>
        </w:trPr>
        <w:tc>
          <w:tcPr>
            <w:tcW w:w="6180" w:type="dxa"/>
            <w:tcBorders>
              <w:top w:val="nil"/>
              <w:left w:val="single" w:sz="4" w:space="0" w:color="auto"/>
              <w:bottom w:val="single" w:sz="4" w:space="0" w:color="auto"/>
              <w:right w:val="single" w:sz="4" w:space="0" w:color="auto"/>
            </w:tcBorders>
            <w:vAlign w:val="center"/>
            <w:hideMark/>
          </w:tcPr>
          <w:p w:rsidR="00DF1FBF" w:rsidRDefault="00DF1FBF">
            <w:pPr>
              <w:autoSpaceDE w:val="0"/>
              <w:autoSpaceDN w:val="0"/>
              <w:adjustRightInd w:val="0"/>
              <w:ind w:left="360"/>
              <w:rPr>
                <w:color w:val="000000"/>
                <w:lang w:val="en-CA"/>
              </w:rPr>
            </w:pPr>
            <w:r>
              <w:rPr>
                <w:color w:val="000000"/>
                <w:lang w:val="en-CA"/>
              </w:rPr>
              <w:t xml:space="preserve">Site-visits and sites selection criteria setting-up </w:t>
            </w:r>
          </w:p>
        </w:tc>
        <w:tc>
          <w:tcPr>
            <w:tcW w:w="1539" w:type="dxa"/>
            <w:tcBorders>
              <w:top w:val="nil"/>
              <w:left w:val="nil"/>
              <w:bottom w:val="single" w:sz="4" w:space="0" w:color="auto"/>
              <w:right w:val="single" w:sz="4" w:space="0" w:color="auto"/>
            </w:tcBorders>
            <w:noWrap/>
            <w:vAlign w:val="center"/>
            <w:hideMark/>
          </w:tcPr>
          <w:p w:rsidR="00DF1FBF" w:rsidRDefault="00DF1FBF">
            <w:pPr>
              <w:autoSpaceDE w:val="0"/>
              <w:autoSpaceDN w:val="0"/>
              <w:adjustRightInd w:val="0"/>
              <w:jc w:val="center"/>
              <w:rPr>
                <w:color w:val="000000"/>
                <w:lang w:val="en-CA"/>
              </w:rPr>
            </w:pPr>
            <w:r>
              <w:rPr>
                <w:color w:val="000000"/>
                <w:lang w:val="en-CA"/>
              </w:rPr>
              <w:t>8,000</w:t>
            </w:r>
          </w:p>
        </w:tc>
      </w:tr>
      <w:tr w:rsidR="00DF1FBF" w:rsidTr="00DF1FBF">
        <w:trPr>
          <w:trHeight w:val="360"/>
          <w:jc w:val="center"/>
        </w:trPr>
        <w:tc>
          <w:tcPr>
            <w:tcW w:w="6180" w:type="dxa"/>
            <w:tcBorders>
              <w:top w:val="nil"/>
              <w:left w:val="single" w:sz="4" w:space="0" w:color="auto"/>
              <w:bottom w:val="single" w:sz="4" w:space="0" w:color="auto"/>
              <w:right w:val="single" w:sz="4" w:space="0" w:color="auto"/>
            </w:tcBorders>
            <w:vAlign w:val="center"/>
            <w:hideMark/>
          </w:tcPr>
          <w:p w:rsidR="00DF1FBF" w:rsidRDefault="00DF1FBF">
            <w:pPr>
              <w:autoSpaceDE w:val="0"/>
              <w:autoSpaceDN w:val="0"/>
              <w:adjustRightInd w:val="0"/>
              <w:ind w:left="360"/>
              <w:rPr>
                <w:color w:val="000000"/>
                <w:lang w:val="en-CA"/>
              </w:rPr>
            </w:pPr>
            <w:r>
              <w:rPr>
                <w:color w:val="000000"/>
                <w:lang w:val="en-CA"/>
              </w:rPr>
              <w:t>Stakeholders consultation meetings</w:t>
            </w:r>
          </w:p>
        </w:tc>
        <w:tc>
          <w:tcPr>
            <w:tcW w:w="1539" w:type="dxa"/>
            <w:tcBorders>
              <w:top w:val="nil"/>
              <w:left w:val="nil"/>
              <w:bottom w:val="single" w:sz="4" w:space="0" w:color="auto"/>
              <w:right w:val="single" w:sz="4" w:space="0" w:color="auto"/>
            </w:tcBorders>
            <w:noWrap/>
            <w:vAlign w:val="center"/>
            <w:hideMark/>
          </w:tcPr>
          <w:p w:rsidR="00DF1FBF" w:rsidRDefault="00DF1FBF">
            <w:pPr>
              <w:autoSpaceDE w:val="0"/>
              <w:autoSpaceDN w:val="0"/>
              <w:adjustRightInd w:val="0"/>
              <w:jc w:val="center"/>
              <w:rPr>
                <w:color w:val="000000"/>
                <w:lang w:val="en-CA"/>
              </w:rPr>
            </w:pPr>
            <w:r>
              <w:rPr>
                <w:color w:val="000000"/>
                <w:lang w:val="en-CA"/>
              </w:rPr>
              <w:t>10,000</w:t>
            </w:r>
          </w:p>
        </w:tc>
      </w:tr>
      <w:tr w:rsidR="00DF1FBF" w:rsidTr="00DF1FBF">
        <w:trPr>
          <w:trHeight w:val="360"/>
          <w:jc w:val="center"/>
        </w:trPr>
        <w:tc>
          <w:tcPr>
            <w:tcW w:w="6180" w:type="dxa"/>
            <w:tcBorders>
              <w:top w:val="nil"/>
              <w:left w:val="single" w:sz="4" w:space="0" w:color="auto"/>
              <w:bottom w:val="single" w:sz="4" w:space="0" w:color="auto"/>
              <w:right w:val="single" w:sz="4" w:space="0" w:color="auto"/>
            </w:tcBorders>
            <w:vAlign w:val="center"/>
            <w:hideMark/>
          </w:tcPr>
          <w:p w:rsidR="00DF1FBF" w:rsidRDefault="00DF1FBF">
            <w:pPr>
              <w:autoSpaceDE w:val="0"/>
              <w:autoSpaceDN w:val="0"/>
              <w:adjustRightInd w:val="0"/>
              <w:ind w:left="360"/>
              <w:rPr>
                <w:color w:val="000000"/>
                <w:lang w:val="en-CA"/>
              </w:rPr>
            </w:pPr>
            <w:r>
              <w:rPr>
                <w:color w:val="000000"/>
                <w:lang w:val="en-CA"/>
              </w:rPr>
              <w:t>International consultant for preparing project concepts</w:t>
            </w:r>
          </w:p>
        </w:tc>
        <w:tc>
          <w:tcPr>
            <w:tcW w:w="1539" w:type="dxa"/>
            <w:tcBorders>
              <w:top w:val="nil"/>
              <w:left w:val="nil"/>
              <w:bottom w:val="single" w:sz="4" w:space="0" w:color="auto"/>
              <w:right w:val="single" w:sz="4" w:space="0" w:color="auto"/>
            </w:tcBorders>
            <w:noWrap/>
            <w:vAlign w:val="center"/>
            <w:hideMark/>
          </w:tcPr>
          <w:p w:rsidR="00DF1FBF" w:rsidRDefault="00DF1FBF">
            <w:pPr>
              <w:autoSpaceDE w:val="0"/>
              <w:autoSpaceDN w:val="0"/>
              <w:adjustRightInd w:val="0"/>
              <w:jc w:val="center"/>
              <w:rPr>
                <w:color w:val="000000"/>
                <w:lang w:val="en-CA"/>
              </w:rPr>
            </w:pPr>
            <w:r>
              <w:rPr>
                <w:color w:val="000000"/>
                <w:lang w:val="en-CA"/>
              </w:rPr>
              <w:t>22,000</w:t>
            </w:r>
          </w:p>
        </w:tc>
      </w:tr>
      <w:tr w:rsidR="00DF1FBF" w:rsidTr="00DF1FBF">
        <w:trPr>
          <w:trHeight w:val="494"/>
          <w:jc w:val="center"/>
        </w:trPr>
        <w:tc>
          <w:tcPr>
            <w:tcW w:w="6180" w:type="dxa"/>
            <w:tcBorders>
              <w:top w:val="nil"/>
              <w:left w:val="single" w:sz="4" w:space="0" w:color="auto"/>
              <w:bottom w:val="single" w:sz="4" w:space="0" w:color="auto"/>
              <w:right w:val="single" w:sz="4" w:space="0" w:color="auto"/>
            </w:tcBorders>
            <w:vAlign w:val="center"/>
            <w:hideMark/>
          </w:tcPr>
          <w:p w:rsidR="00DF1FBF" w:rsidRDefault="00DF1FBF">
            <w:pPr>
              <w:autoSpaceDE w:val="0"/>
              <w:autoSpaceDN w:val="0"/>
              <w:adjustRightInd w:val="0"/>
              <w:ind w:left="360"/>
              <w:rPr>
                <w:b/>
                <w:color w:val="000000"/>
                <w:lang w:val="en-CA"/>
              </w:rPr>
            </w:pPr>
            <w:r>
              <w:rPr>
                <w:b/>
                <w:color w:val="000000"/>
                <w:lang w:val="en-CA"/>
              </w:rPr>
              <w:t>Grand total</w:t>
            </w:r>
          </w:p>
        </w:tc>
        <w:tc>
          <w:tcPr>
            <w:tcW w:w="1539" w:type="dxa"/>
            <w:tcBorders>
              <w:top w:val="nil"/>
              <w:left w:val="nil"/>
              <w:bottom w:val="single" w:sz="4" w:space="0" w:color="auto"/>
              <w:right w:val="single" w:sz="4" w:space="0" w:color="auto"/>
            </w:tcBorders>
            <w:noWrap/>
            <w:vAlign w:val="center"/>
            <w:hideMark/>
          </w:tcPr>
          <w:p w:rsidR="00DF1FBF" w:rsidRDefault="00DF1FBF">
            <w:pPr>
              <w:autoSpaceDE w:val="0"/>
              <w:autoSpaceDN w:val="0"/>
              <w:adjustRightInd w:val="0"/>
              <w:jc w:val="center"/>
              <w:rPr>
                <w:b/>
                <w:color w:val="000000"/>
                <w:lang w:val="en-CA"/>
              </w:rPr>
            </w:pPr>
            <w:r>
              <w:rPr>
                <w:b/>
                <w:color w:val="000000"/>
                <w:lang w:val="en-CA"/>
              </w:rPr>
              <w:t>120,000</w:t>
            </w:r>
          </w:p>
        </w:tc>
      </w:tr>
    </w:tbl>
    <w:p w:rsidR="00DF1FBF" w:rsidRDefault="00DF1FBF" w:rsidP="00DF1FBF">
      <w:pPr>
        <w:ind w:left="360"/>
        <w:rPr>
          <w:color w:val="000000"/>
          <w:lang w:val="en-CA"/>
        </w:rPr>
      </w:pPr>
    </w:p>
    <w:p w:rsidR="00DF1FBF" w:rsidRDefault="00DF1FBF" w:rsidP="00DF1FBF">
      <w:pPr>
        <w:rPr>
          <w:rFonts w:eastAsia="Arial Unicode MS" w:cs="Arial Unicode MS"/>
          <w:color w:val="000000"/>
          <w:sz w:val="24"/>
          <w:szCs w:val="24"/>
          <w:bdr w:val="none" w:sz="0" w:space="0" w:color="auto" w:frame="1"/>
          <w:lang w:val="en-US"/>
        </w:rPr>
      </w:pPr>
      <w:r>
        <w:rPr>
          <w:rFonts w:eastAsia="Arial Unicode MS" w:cs="Arial Unicode MS"/>
          <w:color w:val="000000"/>
          <w:bdr w:val="none" w:sz="0" w:space="0" w:color="auto" w:frame="1"/>
        </w:rPr>
        <w:t xml:space="preserve">In both components, the consultation meetings refer to those with parties involved in the investment activities. The team in charge of project management will visit Tunisia to discuss and agree with national counterparts and relevant stakeholders on the basics of project design and implementation. </w:t>
      </w:r>
    </w:p>
    <w:p w:rsidR="00DF1FBF" w:rsidRDefault="00DF1FBF" w:rsidP="00DF1FBF">
      <w:pPr>
        <w:rPr>
          <w:rFonts w:eastAsia="Arial Unicode MS" w:cs="Arial Unicode MS"/>
          <w:color w:val="000000"/>
          <w:bdr w:val="none" w:sz="0" w:space="0" w:color="auto" w:frame="1"/>
        </w:rPr>
      </w:pPr>
    </w:p>
    <w:p w:rsidR="00DF1FBF" w:rsidRDefault="00DF1FBF" w:rsidP="00DF1FBF">
      <w:pPr>
        <w:rPr>
          <w:rFonts w:eastAsia="Arial Unicode MS" w:cs="Arial Unicode MS"/>
          <w:color w:val="000000"/>
          <w:bdr w:val="none" w:sz="0" w:space="0" w:color="auto" w:frame="1"/>
        </w:rPr>
      </w:pPr>
      <w:r>
        <w:rPr>
          <w:rFonts w:eastAsia="Arial Unicode MS" w:cs="Arial Unicode MS"/>
          <w:color w:val="000000"/>
          <w:bdr w:val="none" w:sz="0" w:space="0" w:color="auto" w:frame="1"/>
        </w:rPr>
        <w:t xml:space="preserve">Concerning the survey on the use of pre-blended polyol for foam applications it is necessary to </w:t>
      </w:r>
      <w:proofErr w:type="spellStart"/>
      <w:r>
        <w:rPr>
          <w:rFonts w:eastAsia="Arial Unicode MS" w:cs="Arial Unicode MS"/>
          <w:color w:val="000000"/>
          <w:bdr w:val="none" w:sz="0" w:space="0" w:color="auto" w:frame="1"/>
        </w:rPr>
        <w:t>analyze</w:t>
      </w:r>
      <w:proofErr w:type="spellEnd"/>
      <w:r>
        <w:rPr>
          <w:rFonts w:eastAsia="Arial Unicode MS" w:cs="Arial Unicode MS"/>
          <w:color w:val="000000"/>
          <w:bdr w:val="none" w:sz="0" w:space="0" w:color="auto" w:frame="1"/>
        </w:rPr>
        <w:t xml:space="preserve"> the consumption of HCFC-141b in this sector. This will also include a first assessment on the needs of Customs to identify this type of material.</w:t>
      </w:r>
    </w:p>
    <w:p w:rsidR="00DF1FBF" w:rsidRDefault="00DF1FBF" w:rsidP="00DF1FBF">
      <w:pPr>
        <w:rPr>
          <w:rFonts w:eastAsia="Arial Unicode MS" w:cs="Arial Unicode MS"/>
          <w:color w:val="000000"/>
          <w:bdr w:val="none" w:sz="0" w:space="0" w:color="auto" w:frame="1"/>
        </w:rPr>
      </w:pPr>
    </w:p>
    <w:p w:rsidR="00DF1FBF" w:rsidRDefault="00DF1FBF" w:rsidP="00DF1FBF">
      <w:pPr>
        <w:rPr>
          <w:rFonts w:eastAsia="Arial Unicode MS" w:cs="Arial Unicode MS"/>
          <w:color w:val="000000"/>
          <w:bdr w:val="none" w:sz="0" w:space="0" w:color="auto" w:frame="1"/>
        </w:rPr>
      </w:pPr>
    </w:p>
    <w:p w:rsidR="00DF1FBF" w:rsidRDefault="00DF1FBF" w:rsidP="00650B21">
      <w:pPr>
        <w:numPr>
          <w:ilvl w:val="0"/>
          <w:numId w:val="14"/>
        </w:numPr>
        <w:autoSpaceDN w:val="0"/>
        <w:rPr>
          <w:rFonts w:eastAsia="Arial Unicode MS" w:cs="Arial Unicode MS"/>
          <w:b/>
          <w:color w:val="000000"/>
          <w:u w:val="single" w:color="000000"/>
          <w:bdr w:val="none" w:sz="0" w:space="0" w:color="auto" w:frame="1"/>
        </w:rPr>
      </w:pPr>
      <w:r>
        <w:rPr>
          <w:rFonts w:eastAsia="Arial Unicode MS" w:cs="Arial Unicode MS"/>
          <w:b/>
          <w:color w:val="000000"/>
          <w:u w:val="single" w:color="000000"/>
          <w:bdr w:val="none" w:sz="0" w:space="0" w:color="auto" w:frame="1"/>
        </w:rPr>
        <w:t>Investment component</w:t>
      </w:r>
    </w:p>
    <w:p w:rsidR="00DF1FBF" w:rsidRDefault="00DF1FBF" w:rsidP="00DF1FBF">
      <w:pPr>
        <w:rPr>
          <w:rFonts w:eastAsia="Arial Unicode MS" w:cs="Arial Unicode MS"/>
          <w:color w:val="000000"/>
          <w:bdr w:val="none" w:sz="0" w:space="0" w:color="auto" w:frame="1"/>
        </w:rPr>
      </w:pPr>
    </w:p>
    <w:p w:rsidR="00DF1FBF" w:rsidRDefault="00DF1FBF" w:rsidP="00650B21">
      <w:pPr>
        <w:numPr>
          <w:ilvl w:val="1"/>
          <w:numId w:val="14"/>
        </w:numPr>
        <w:autoSpaceDN w:val="0"/>
        <w:rPr>
          <w:iCs/>
          <w:color w:val="000000"/>
          <w:u w:val="single" w:color="000000"/>
          <w:bdr w:val="none" w:sz="0" w:space="0" w:color="auto" w:frame="1"/>
        </w:rPr>
      </w:pPr>
      <w:r>
        <w:rPr>
          <w:iCs/>
          <w:color w:val="000000"/>
          <w:u w:val="single" w:color="000000"/>
          <w:bdr w:val="none" w:sz="0" w:space="0" w:color="auto" w:frame="1"/>
        </w:rPr>
        <w:t>Information on enterprises</w:t>
      </w:r>
    </w:p>
    <w:p w:rsidR="00DF1FBF" w:rsidRDefault="00DF1FBF" w:rsidP="00DF1FBF">
      <w:pPr>
        <w:rPr>
          <w:i/>
          <w:iCs/>
          <w:color w:val="000000"/>
          <w:kern w:val="2"/>
          <w:bdr w:val="none" w:sz="0" w:space="0" w:color="auto" w:frame="1"/>
        </w:rPr>
      </w:pPr>
    </w:p>
    <w:p w:rsidR="00DF1FBF" w:rsidRDefault="00DF1FBF" w:rsidP="00DF1FBF">
      <w:pPr>
        <w:rPr>
          <w:color w:val="000000"/>
          <w:bdr w:val="none" w:sz="0" w:space="0" w:color="auto" w:frame="1"/>
        </w:rPr>
      </w:pPr>
      <w:r>
        <w:rPr>
          <w:rFonts w:eastAsia="Arial Unicode MS" w:cs="Arial Unicode MS"/>
          <w:color w:val="000000"/>
          <w:kern w:val="2"/>
          <w:bdr w:val="none" w:sz="0" w:space="0" w:color="auto" w:frame="1"/>
        </w:rPr>
        <w:lastRenderedPageBreak/>
        <w:t>According to information obtained during HPMP preparation, i</w:t>
      </w:r>
      <w:r>
        <w:rPr>
          <w:rFonts w:eastAsia="Arial Unicode MS" w:cs="Arial Unicode MS"/>
          <w:color w:val="000000"/>
          <w:bdr w:val="none" w:sz="0" w:space="0" w:color="auto" w:frame="1"/>
        </w:rPr>
        <w:t>mports of HCFC-141b in pre-blended polyol are undertaken by two types of entities:</w:t>
      </w:r>
    </w:p>
    <w:p w:rsidR="00DF1FBF" w:rsidRDefault="00DF1FBF" w:rsidP="00DF1FBF">
      <w:pPr>
        <w:rPr>
          <w:color w:val="000000"/>
          <w:bdr w:val="none" w:sz="0" w:space="0" w:color="auto" w:frame="1"/>
        </w:rPr>
      </w:pPr>
    </w:p>
    <w:p w:rsidR="00DF1FBF" w:rsidRDefault="00DF1FBF" w:rsidP="00650B21">
      <w:pPr>
        <w:numPr>
          <w:ilvl w:val="0"/>
          <w:numId w:val="16"/>
        </w:numPr>
        <w:autoSpaceDN w:val="0"/>
        <w:rPr>
          <w:color w:val="000000"/>
          <w:kern w:val="2"/>
          <w:bdr w:val="none" w:sz="0" w:space="0" w:color="auto" w:frame="1"/>
        </w:rPr>
      </w:pPr>
      <w:r>
        <w:rPr>
          <w:rFonts w:eastAsia="Arial Unicode MS" w:cs="Arial Unicode MS"/>
          <w:color w:val="000000"/>
          <w:kern w:val="2"/>
          <w:bdr w:val="none" w:sz="0" w:space="0" w:color="auto" w:frame="1"/>
        </w:rPr>
        <w:t>Traders which sell the imported pre-blended polyol to end-users in the country;</w:t>
      </w:r>
    </w:p>
    <w:p w:rsidR="00DF1FBF" w:rsidRDefault="00DF1FBF" w:rsidP="00650B21">
      <w:pPr>
        <w:numPr>
          <w:ilvl w:val="0"/>
          <w:numId w:val="16"/>
        </w:numPr>
        <w:autoSpaceDN w:val="0"/>
        <w:rPr>
          <w:color w:val="000000"/>
          <w:kern w:val="2"/>
          <w:bdr w:val="none" w:sz="0" w:space="0" w:color="auto" w:frame="1"/>
          <w:lang w:val="de-DE"/>
        </w:rPr>
      </w:pPr>
      <w:r>
        <w:rPr>
          <w:rFonts w:eastAsia="Arial Unicode MS" w:cs="Arial Unicode MS"/>
          <w:color w:val="000000"/>
          <w:kern w:val="2"/>
          <w:bdr w:val="none" w:sz="0" w:space="0" w:color="auto" w:frame="1"/>
          <w:lang w:val="de-DE"/>
        </w:rPr>
        <w:t>End-users.</w:t>
      </w:r>
    </w:p>
    <w:p w:rsidR="00DF1FBF" w:rsidRDefault="00DF1FBF" w:rsidP="00DF1FBF">
      <w:pPr>
        <w:rPr>
          <w:color w:val="000000"/>
          <w:bdr w:val="none" w:sz="0" w:space="0" w:color="auto" w:frame="1"/>
          <w:lang w:val="es-ES_tradnl"/>
        </w:rPr>
      </w:pPr>
    </w:p>
    <w:p w:rsidR="00DF1FBF" w:rsidRDefault="00DF1FBF" w:rsidP="00DF1FBF">
      <w:pPr>
        <w:rPr>
          <w:color w:val="000000"/>
          <w:bdr w:val="none" w:sz="0" w:space="0" w:color="auto" w:frame="1"/>
          <w:lang w:val="en-US"/>
        </w:rPr>
      </w:pPr>
      <w:r>
        <w:rPr>
          <w:rFonts w:eastAsia="Arial Unicode MS" w:cs="Arial Unicode MS"/>
          <w:color w:val="000000"/>
          <w:bdr w:val="none" w:sz="0" w:space="0" w:color="auto" w:frame="1"/>
        </w:rPr>
        <w:t xml:space="preserve">There are three identified traders which import HCFC-141b pre-blended in polyol: </w:t>
      </w:r>
      <w:r>
        <w:rPr>
          <w:rFonts w:eastAsia="Arial Unicode MS" w:cs="Arial Unicode MS"/>
          <w:i/>
          <w:iCs/>
          <w:color w:val="000000"/>
          <w:bdr w:val="none" w:sz="0" w:space="0" w:color="auto" w:frame="1"/>
        </w:rPr>
        <w:t xml:space="preserve">BASF </w:t>
      </w:r>
      <w:proofErr w:type="spellStart"/>
      <w:r>
        <w:rPr>
          <w:rFonts w:eastAsia="Arial Unicode MS" w:cs="Arial Unicode MS"/>
          <w:i/>
          <w:iCs/>
          <w:color w:val="000000"/>
          <w:bdr w:val="none" w:sz="0" w:space="0" w:color="auto" w:frame="1"/>
        </w:rPr>
        <w:t>Tunisie</w:t>
      </w:r>
      <w:proofErr w:type="spellEnd"/>
      <w:r>
        <w:rPr>
          <w:rFonts w:eastAsia="Arial Unicode MS" w:cs="Arial Unicode MS"/>
          <w:color w:val="000000"/>
          <w:bdr w:val="none" w:sz="0" w:space="0" w:color="auto" w:frame="1"/>
        </w:rPr>
        <w:t xml:space="preserve">, </w:t>
      </w:r>
      <w:proofErr w:type="spellStart"/>
      <w:r>
        <w:rPr>
          <w:rFonts w:eastAsia="Arial Unicode MS" w:cs="Arial Unicode MS"/>
          <w:i/>
          <w:iCs/>
          <w:color w:val="000000"/>
          <w:bdr w:val="none" w:sz="0" w:space="0" w:color="auto" w:frame="1"/>
        </w:rPr>
        <w:t>Promochimie</w:t>
      </w:r>
      <w:proofErr w:type="spellEnd"/>
      <w:r>
        <w:rPr>
          <w:rFonts w:eastAsia="Arial Unicode MS" w:cs="Arial Unicode MS"/>
          <w:color w:val="000000"/>
          <w:bdr w:val="none" w:sz="0" w:space="0" w:color="auto" w:frame="1"/>
        </w:rPr>
        <w:t xml:space="preserve"> and </w:t>
      </w:r>
      <w:proofErr w:type="spellStart"/>
      <w:r>
        <w:rPr>
          <w:rFonts w:eastAsia="Arial Unicode MS" w:cs="Arial Unicode MS"/>
          <w:i/>
          <w:iCs/>
          <w:color w:val="000000"/>
          <w:bdr w:val="none" w:sz="0" w:space="0" w:color="auto" w:frame="1"/>
        </w:rPr>
        <w:t>Adly</w:t>
      </w:r>
      <w:proofErr w:type="spellEnd"/>
      <w:r>
        <w:rPr>
          <w:rFonts w:eastAsia="Arial Unicode MS" w:cs="Arial Unicode MS"/>
          <w:i/>
          <w:iCs/>
          <w:color w:val="000000"/>
          <w:bdr w:val="none" w:sz="0" w:space="0" w:color="auto" w:frame="1"/>
        </w:rPr>
        <w:t xml:space="preserve"> </w:t>
      </w:r>
      <w:proofErr w:type="spellStart"/>
      <w:r>
        <w:rPr>
          <w:rFonts w:eastAsia="Arial Unicode MS" w:cs="Arial Unicode MS"/>
          <w:i/>
          <w:iCs/>
          <w:color w:val="000000"/>
          <w:bdr w:val="none" w:sz="0" w:space="0" w:color="auto" w:frame="1"/>
        </w:rPr>
        <w:t>Chimique</w:t>
      </w:r>
      <w:proofErr w:type="spellEnd"/>
      <w:r>
        <w:rPr>
          <w:rFonts w:eastAsia="Arial Unicode MS" w:cs="Arial Unicode MS"/>
          <w:color w:val="000000"/>
          <w:bdr w:val="none" w:sz="0" w:space="0" w:color="auto" w:frame="1"/>
        </w:rPr>
        <w:t xml:space="preserve">. </w:t>
      </w:r>
      <w:r>
        <w:rPr>
          <w:rFonts w:eastAsia="Arial Unicode MS" w:cs="Arial Unicode MS"/>
          <w:i/>
          <w:iCs/>
          <w:color w:val="000000"/>
          <w:bdr w:val="none" w:sz="0" w:space="0" w:color="auto" w:frame="1"/>
        </w:rPr>
        <w:t xml:space="preserve">BASF </w:t>
      </w:r>
      <w:proofErr w:type="spellStart"/>
      <w:r>
        <w:rPr>
          <w:rFonts w:eastAsia="Arial Unicode MS" w:cs="Arial Unicode MS"/>
          <w:i/>
          <w:iCs/>
          <w:color w:val="000000"/>
          <w:bdr w:val="none" w:sz="0" w:space="0" w:color="auto" w:frame="1"/>
        </w:rPr>
        <w:t>Tunisie</w:t>
      </w:r>
      <w:proofErr w:type="spellEnd"/>
      <w:r>
        <w:rPr>
          <w:rFonts w:eastAsia="Arial Unicode MS" w:cs="Arial Unicode MS"/>
          <w:color w:val="000000"/>
          <w:bdr w:val="none" w:sz="0" w:space="0" w:color="auto" w:frame="1"/>
        </w:rPr>
        <w:t>, which is the main importer in volume, refused to provide data on their imports of HCFC-141b pre-blended in polyol. Data provided by the two other traders (24.7% of the total amount) are included in the table below:</w:t>
      </w:r>
    </w:p>
    <w:p w:rsidR="00DF1FBF" w:rsidRDefault="00DF1FBF" w:rsidP="00DF1FBF">
      <w:pPr>
        <w:rPr>
          <w:color w:val="000000"/>
          <w:bdr w:val="none" w:sz="0" w:space="0" w:color="auto" w:frame="1"/>
        </w:rPr>
      </w:pPr>
    </w:p>
    <w:p w:rsidR="00DF1FBF" w:rsidRDefault="00DF1FBF" w:rsidP="00DF1FBF">
      <w:pPr>
        <w:spacing w:after="120"/>
        <w:jc w:val="center"/>
        <w:rPr>
          <w:rFonts w:eastAsia="Arial Unicode MS" w:cs="Arial Unicode MS"/>
          <w:b/>
          <w:bCs/>
          <w:color w:val="000000"/>
          <w:bdr w:val="none" w:sz="0" w:space="0" w:color="auto" w:frame="1"/>
        </w:rPr>
      </w:pPr>
      <w:r>
        <w:rPr>
          <w:rFonts w:eastAsia="Arial Unicode MS" w:cs="Arial Unicode MS"/>
          <w:b/>
          <w:bCs/>
          <w:color w:val="000000"/>
          <w:bdr w:val="none" w:sz="0" w:space="0" w:color="auto" w:frame="1"/>
        </w:rPr>
        <w:t>Table 3: Break-down of imports of HCFC-141b in pre-blended polyol by importer</w:t>
      </w:r>
    </w:p>
    <w:tbl>
      <w:tblPr>
        <w:tblW w:w="9156" w:type="dxa"/>
        <w:jc w:val="center"/>
        <w:tblInd w:w="20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3397"/>
        <w:gridCol w:w="959"/>
        <w:gridCol w:w="960"/>
        <w:gridCol w:w="960"/>
        <w:gridCol w:w="960"/>
        <w:gridCol w:w="960"/>
        <w:gridCol w:w="960"/>
      </w:tblGrid>
      <w:tr w:rsidR="00DF1FBF" w:rsidTr="00DF1FBF">
        <w:trPr>
          <w:trHeight w:val="222"/>
          <w:tblHeader/>
          <w:jc w:val="center"/>
        </w:trPr>
        <w:tc>
          <w:tcPr>
            <w:tcW w:w="3400" w:type="dxa"/>
            <w:vMerge w:val="restart"/>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cente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Importer</w:t>
            </w:r>
          </w:p>
        </w:tc>
        <w:tc>
          <w:tcPr>
            <w:tcW w:w="5760" w:type="dxa"/>
            <w:gridSpan w:val="6"/>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bottom"/>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Imports (MT)</w:t>
            </w:r>
          </w:p>
        </w:tc>
      </w:tr>
      <w:tr w:rsidR="00DF1FBF" w:rsidTr="00DF1FBF">
        <w:trPr>
          <w:trHeight w:val="222"/>
          <w:tblHeader/>
          <w:jc w:val="center"/>
        </w:trPr>
        <w:tc>
          <w:tcPr>
            <w:tcW w:w="3400" w:type="dxa"/>
            <w:vMerge/>
            <w:tcBorders>
              <w:top w:val="single" w:sz="4" w:space="0" w:color="000000"/>
              <w:left w:val="single" w:sz="4" w:space="0" w:color="000000"/>
              <w:bottom w:val="single" w:sz="4" w:space="0" w:color="000000"/>
              <w:right w:val="single" w:sz="4" w:space="0" w:color="000000"/>
            </w:tcBorders>
            <w:shd w:val="clear" w:color="auto" w:fill="4F81BD"/>
            <w:vAlign w:val="center"/>
            <w:hideMark/>
          </w:tcPr>
          <w:p w:rsidR="00DF1FBF" w:rsidRDefault="00DF1FBF">
            <w:pPr>
              <w:rPr>
                <w:rFonts w:ascii="Helvetica" w:eastAsia="Arial Unicode MS" w:hAnsi="Helvetica" w:cs="Arial Unicode MS"/>
                <w:color w:val="000000"/>
                <w:bdr w:val="none" w:sz="0" w:space="0" w:color="auto" w:frame="1"/>
                <w:lang w:val="es-ES_tradnl"/>
              </w:rPr>
            </w:pPr>
          </w:p>
        </w:tc>
        <w:tc>
          <w:tcPr>
            <w:tcW w:w="960"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bottom"/>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2007</w:t>
            </w:r>
          </w:p>
        </w:tc>
        <w:tc>
          <w:tcPr>
            <w:tcW w:w="960"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bottom"/>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2008</w:t>
            </w:r>
          </w:p>
        </w:tc>
        <w:tc>
          <w:tcPr>
            <w:tcW w:w="960"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bottom"/>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2009</w:t>
            </w:r>
          </w:p>
        </w:tc>
        <w:tc>
          <w:tcPr>
            <w:tcW w:w="960"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bottom"/>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2010</w:t>
            </w:r>
          </w:p>
        </w:tc>
        <w:tc>
          <w:tcPr>
            <w:tcW w:w="960"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bottom"/>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2011</w:t>
            </w:r>
          </w:p>
        </w:tc>
        <w:tc>
          <w:tcPr>
            <w:tcW w:w="960"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bottom"/>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2012</w:t>
            </w:r>
          </w:p>
        </w:tc>
      </w:tr>
      <w:tr w:rsidR="00DF1FBF" w:rsidTr="00DF1FBF">
        <w:trPr>
          <w:trHeight w:val="222"/>
          <w:jc w:val="center"/>
        </w:trPr>
        <w:tc>
          <w:tcPr>
            <w:tcW w:w="34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proofErr w:type="spellStart"/>
            <w:r>
              <w:rPr>
                <w:rFonts w:eastAsia="Arial Unicode MS" w:cs="Arial Unicode MS"/>
                <w:color w:val="000000"/>
                <w:sz w:val="20"/>
                <w:szCs w:val="20"/>
                <w:bdr w:val="none" w:sz="0" w:space="0" w:color="auto" w:frame="1"/>
              </w:rPr>
              <w:t>Promochimie</w:t>
            </w:r>
            <w:proofErr w:type="spellEnd"/>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6.42</w:t>
            </w:r>
          </w:p>
        </w:tc>
        <w:tc>
          <w:tcPr>
            <w:tcW w:w="96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9.67</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4.68</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4.20</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1.65</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5.70</w:t>
            </w:r>
          </w:p>
        </w:tc>
      </w:tr>
      <w:tr w:rsidR="00DF1FBF" w:rsidTr="00DF1FBF">
        <w:trPr>
          <w:trHeight w:val="222"/>
          <w:jc w:val="center"/>
        </w:trPr>
        <w:tc>
          <w:tcPr>
            <w:tcW w:w="34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proofErr w:type="spellStart"/>
            <w:r>
              <w:rPr>
                <w:rFonts w:eastAsia="Arial Unicode MS" w:cs="Arial Unicode MS"/>
                <w:color w:val="000000"/>
                <w:sz w:val="20"/>
                <w:szCs w:val="20"/>
                <w:bdr w:val="none" w:sz="0" w:space="0" w:color="auto" w:frame="1"/>
              </w:rPr>
              <w:t>Adly</w:t>
            </w:r>
            <w:proofErr w:type="spellEnd"/>
            <w:r>
              <w:rPr>
                <w:rFonts w:eastAsia="Arial Unicode MS" w:cs="Arial Unicode MS"/>
                <w:color w:val="000000"/>
                <w:sz w:val="20"/>
                <w:szCs w:val="20"/>
                <w:bdr w:val="none" w:sz="0" w:space="0" w:color="auto" w:frame="1"/>
              </w:rPr>
              <w:t xml:space="preserve"> </w:t>
            </w:r>
            <w:proofErr w:type="spellStart"/>
            <w:r>
              <w:rPr>
                <w:rFonts w:eastAsia="Arial Unicode MS" w:cs="Arial Unicode MS"/>
                <w:color w:val="000000"/>
                <w:sz w:val="20"/>
                <w:szCs w:val="20"/>
                <w:bdr w:val="none" w:sz="0" w:space="0" w:color="auto" w:frame="1"/>
              </w:rPr>
              <w:t>Chimique</w:t>
            </w:r>
            <w:proofErr w:type="spellEnd"/>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4.01</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10.54</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15.73</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14.87</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7.18</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10.50</w:t>
            </w:r>
          </w:p>
        </w:tc>
      </w:tr>
    </w:tbl>
    <w:p w:rsidR="00DF1FBF" w:rsidRDefault="00DF1FBF" w:rsidP="00DF1FBF">
      <w:pPr>
        <w:keepNext/>
        <w:keepLines/>
        <w:spacing w:after="120"/>
        <w:ind w:left="93" w:hanging="93"/>
        <w:jc w:val="center"/>
        <w:rPr>
          <w:b/>
          <w:bCs/>
          <w:color w:val="000000"/>
          <w:sz w:val="20"/>
          <w:szCs w:val="20"/>
          <w:bdr w:val="none" w:sz="0" w:space="0" w:color="auto" w:frame="1"/>
          <w:shd w:val="clear" w:color="auto" w:fill="FFFF00"/>
        </w:rPr>
      </w:pPr>
    </w:p>
    <w:p w:rsidR="00DF1FBF" w:rsidRDefault="00DF1FBF" w:rsidP="00DF1FBF">
      <w:pPr>
        <w:rPr>
          <w:color w:val="000000"/>
          <w:kern w:val="2"/>
          <w:sz w:val="24"/>
          <w:szCs w:val="24"/>
          <w:bdr w:val="none" w:sz="0" w:space="0" w:color="auto" w:frame="1"/>
        </w:rPr>
      </w:pPr>
      <w:r>
        <w:rPr>
          <w:rFonts w:eastAsia="Arial Unicode MS" w:cs="Arial Unicode MS"/>
          <w:color w:val="000000"/>
          <w:bdr w:val="none" w:sz="0" w:space="0" w:color="auto" w:frame="1"/>
        </w:rPr>
        <w:t>Concerning end users, t</w:t>
      </w:r>
      <w:r>
        <w:rPr>
          <w:rFonts w:eastAsia="Arial Unicode MS" w:cs="Arial Unicode MS"/>
          <w:color w:val="000000"/>
          <w:kern w:val="2"/>
          <w:bdr w:val="none" w:sz="0" w:space="0" w:color="auto" w:frame="1"/>
        </w:rPr>
        <w:t xml:space="preserve">he foam sector in Tunisia is, in terms of production volumes, dominated by the flexible </w:t>
      </w:r>
      <w:proofErr w:type="spellStart"/>
      <w:r>
        <w:rPr>
          <w:rFonts w:eastAsia="Arial Unicode MS" w:cs="Arial Unicode MS"/>
          <w:color w:val="000000"/>
          <w:kern w:val="2"/>
          <w:bdr w:val="none" w:sz="0" w:space="0" w:color="auto" w:frame="1"/>
        </w:rPr>
        <w:t>slabstock</w:t>
      </w:r>
      <w:proofErr w:type="spellEnd"/>
      <w:r>
        <w:rPr>
          <w:rFonts w:eastAsia="Arial Unicode MS" w:cs="Arial Unicode MS"/>
          <w:color w:val="000000"/>
          <w:kern w:val="2"/>
          <w:bdr w:val="none" w:sz="0" w:space="0" w:color="auto" w:frame="1"/>
        </w:rPr>
        <w:t xml:space="preserve"> market where companies have been converted in the past from CFC-11 to CO</w:t>
      </w:r>
      <w:r>
        <w:rPr>
          <w:rFonts w:eastAsia="Arial Unicode MS" w:cs="Arial Unicode MS"/>
          <w:color w:val="000000"/>
          <w:kern w:val="2"/>
          <w:bdr w:val="none" w:sz="0" w:space="0" w:color="auto" w:frame="1"/>
          <w:vertAlign w:val="subscript"/>
        </w:rPr>
        <w:t>2</w:t>
      </w:r>
      <w:r>
        <w:rPr>
          <w:rFonts w:eastAsia="Arial Unicode MS" w:cs="Arial Unicode MS"/>
          <w:color w:val="000000"/>
          <w:kern w:val="2"/>
          <w:bdr w:val="none" w:sz="0" w:space="0" w:color="auto" w:frame="1"/>
        </w:rPr>
        <w:t xml:space="preserve">. There have been several companies funded through the World Bank and UNIDO under the NPP program that have been converted to HCFC-141b. The sector consists mainly of small companies with consumption lower than 10 MT/year of HCFC-141b. Major concentration of the industry is in the capital Tunis and in the industrial city of </w:t>
      </w:r>
      <w:proofErr w:type="spellStart"/>
      <w:r>
        <w:rPr>
          <w:rFonts w:eastAsia="Arial Unicode MS" w:cs="Arial Unicode MS"/>
          <w:color w:val="000000"/>
          <w:kern w:val="2"/>
          <w:bdr w:val="none" w:sz="0" w:space="0" w:color="auto" w:frame="1"/>
        </w:rPr>
        <w:t>Sfax</w:t>
      </w:r>
      <w:proofErr w:type="spellEnd"/>
      <w:r>
        <w:rPr>
          <w:rFonts w:eastAsia="Arial Unicode MS" w:cs="Arial Unicode MS"/>
          <w:color w:val="000000"/>
          <w:kern w:val="2"/>
          <w:bdr w:val="none" w:sz="0" w:space="0" w:color="auto" w:frame="1"/>
        </w:rPr>
        <w:t>.</w:t>
      </w:r>
    </w:p>
    <w:p w:rsidR="00DF1FBF" w:rsidRDefault="00DF1FBF" w:rsidP="00DF1FBF">
      <w:pPr>
        <w:rPr>
          <w:color w:val="000000"/>
          <w:kern w:val="2"/>
          <w:bdr w:val="none" w:sz="0" w:space="0" w:color="auto" w:frame="1"/>
        </w:rPr>
      </w:pPr>
    </w:p>
    <w:p w:rsidR="00DF1FBF" w:rsidRDefault="00DF1FBF" w:rsidP="00DF1FBF">
      <w:pPr>
        <w:rPr>
          <w:color w:val="000000"/>
          <w:kern w:val="2"/>
          <w:bdr w:val="none" w:sz="0" w:space="0" w:color="auto" w:frame="1"/>
        </w:rPr>
      </w:pPr>
      <w:r>
        <w:rPr>
          <w:rFonts w:eastAsia="Arial Unicode MS" w:cs="Arial Unicode MS"/>
          <w:color w:val="000000"/>
          <w:kern w:val="2"/>
          <w:bdr w:val="none" w:sz="0" w:space="0" w:color="auto" w:frame="1"/>
        </w:rPr>
        <w:t>The companies in this sector work with imported HCFC-141b pre-blended in polyol, which they obtain either through direct imports or through traders, as above indicated. There is currently no company in this sector working with HCFC-141b pure.</w:t>
      </w:r>
    </w:p>
    <w:p w:rsidR="00DF1FBF" w:rsidRDefault="00DF1FBF" w:rsidP="00DF1FBF">
      <w:pPr>
        <w:rPr>
          <w:color w:val="000000"/>
          <w:kern w:val="2"/>
          <w:bdr w:val="none" w:sz="0" w:space="0" w:color="auto" w:frame="1"/>
        </w:rPr>
      </w:pPr>
    </w:p>
    <w:p w:rsidR="00DF1FBF" w:rsidRDefault="00DF1FBF" w:rsidP="00DF1FBF">
      <w:pPr>
        <w:rPr>
          <w:color w:val="000000"/>
          <w:kern w:val="2"/>
          <w:bdr w:val="none" w:sz="0" w:space="0" w:color="auto" w:frame="1"/>
        </w:rPr>
      </w:pPr>
      <w:r>
        <w:rPr>
          <w:rFonts w:eastAsia="Arial Unicode MS" w:cs="Arial Unicode MS"/>
          <w:color w:val="000000"/>
          <w:kern w:val="2"/>
          <w:bdr w:val="none" w:sz="0" w:space="0" w:color="auto" w:frame="1"/>
        </w:rPr>
        <w:t>In order to clearly define the consumption of HCFC-141b in this sector, companies have been grouped as follows:</w:t>
      </w:r>
    </w:p>
    <w:p w:rsidR="00DF1FBF" w:rsidRDefault="00DF1FBF" w:rsidP="00DF1FBF">
      <w:pPr>
        <w:rPr>
          <w:color w:val="000000"/>
          <w:kern w:val="2"/>
          <w:bdr w:val="none" w:sz="0" w:space="0" w:color="auto" w:frame="1"/>
        </w:rPr>
      </w:pPr>
    </w:p>
    <w:p w:rsidR="00DF1FBF" w:rsidRDefault="00DF1FBF" w:rsidP="00650B21">
      <w:pPr>
        <w:numPr>
          <w:ilvl w:val="0"/>
          <w:numId w:val="17"/>
        </w:numPr>
        <w:autoSpaceDN w:val="0"/>
        <w:rPr>
          <w:color w:val="000000"/>
          <w:kern w:val="2"/>
          <w:bdr w:val="none" w:sz="0" w:space="0" w:color="auto" w:frame="1"/>
        </w:rPr>
      </w:pPr>
      <w:r>
        <w:rPr>
          <w:rFonts w:eastAsia="Arial Unicode MS" w:cs="Arial Unicode MS"/>
          <w:color w:val="000000"/>
          <w:kern w:val="2"/>
          <w:bdr w:val="none" w:sz="0" w:space="0" w:color="auto" w:frame="1"/>
        </w:rPr>
        <w:t>Companies which are of no foreign ownership, have not been previously supported by the Multilateral Fund and have set up their production based on HCFC-141b prior to 21 September 2007; the following table shows the consumption data for these companies for the period 2007-2012:</w:t>
      </w:r>
    </w:p>
    <w:p w:rsidR="00DF1FBF" w:rsidRDefault="00DF1FBF" w:rsidP="00DF1FBF">
      <w:pPr>
        <w:rPr>
          <w:color w:val="000000"/>
          <w:kern w:val="2"/>
          <w:bdr w:val="none" w:sz="0" w:space="0" w:color="auto" w:frame="1"/>
        </w:rPr>
      </w:pPr>
    </w:p>
    <w:p w:rsidR="00DF1FBF" w:rsidRDefault="00DF1FBF" w:rsidP="00DF1FBF">
      <w:pPr>
        <w:spacing w:after="120"/>
        <w:jc w:val="center"/>
        <w:rPr>
          <w:rFonts w:eastAsia="Arial Unicode MS" w:cs="Arial Unicode MS"/>
          <w:b/>
          <w:bCs/>
          <w:color w:val="000000"/>
          <w:bdr w:val="none" w:sz="0" w:space="0" w:color="auto" w:frame="1"/>
        </w:rPr>
      </w:pPr>
      <w:r>
        <w:rPr>
          <w:rFonts w:eastAsia="Arial Unicode MS" w:cs="Arial Unicode MS"/>
          <w:b/>
          <w:bCs/>
          <w:color w:val="000000"/>
          <w:bdr w:val="none" w:sz="0" w:space="0" w:color="auto" w:frame="1"/>
        </w:rPr>
        <w:t>Table 4: Consumption of HCFC-141b pre-blended in polyol by Group 1 companies</w:t>
      </w:r>
    </w:p>
    <w:tbl>
      <w:tblPr>
        <w:tblW w:w="9636" w:type="dxa"/>
        <w:jc w:val="center"/>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2263"/>
        <w:gridCol w:w="2266"/>
        <w:gridCol w:w="852"/>
        <w:gridCol w:w="851"/>
        <w:gridCol w:w="851"/>
        <w:gridCol w:w="851"/>
        <w:gridCol w:w="851"/>
        <w:gridCol w:w="851"/>
      </w:tblGrid>
      <w:tr w:rsidR="00DF1FBF" w:rsidTr="00DF1FBF">
        <w:trPr>
          <w:trHeight w:val="222"/>
          <w:tblHeader/>
          <w:jc w:val="center"/>
        </w:trPr>
        <w:tc>
          <w:tcPr>
            <w:tcW w:w="2264" w:type="dxa"/>
            <w:vMerge w:val="restart"/>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Company</w:t>
            </w:r>
          </w:p>
        </w:tc>
        <w:tc>
          <w:tcPr>
            <w:tcW w:w="2265" w:type="dxa"/>
            <w:vMerge w:val="restart"/>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Sector</w:t>
            </w:r>
          </w:p>
        </w:tc>
        <w:tc>
          <w:tcPr>
            <w:tcW w:w="5107" w:type="dxa"/>
            <w:gridSpan w:val="6"/>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rPr>
            </w:pPr>
            <w:r>
              <w:rPr>
                <w:rFonts w:eastAsia="Arial Unicode MS" w:cs="Arial Unicode MS"/>
                <w:b/>
                <w:bCs/>
                <w:color w:val="000000"/>
                <w:sz w:val="20"/>
                <w:szCs w:val="20"/>
                <w:bdr w:val="none" w:sz="0" w:space="0" w:color="auto" w:frame="1"/>
              </w:rPr>
              <w:t>Consumption (MT of HCFC-141b)</w:t>
            </w:r>
          </w:p>
        </w:tc>
      </w:tr>
      <w:tr w:rsidR="00DF1FBF" w:rsidTr="00DF1FBF">
        <w:trPr>
          <w:trHeight w:val="222"/>
          <w:tblHeader/>
          <w:jc w:val="center"/>
        </w:trPr>
        <w:tc>
          <w:tcPr>
            <w:tcW w:w="4530" w:type="dxa"/>
            <w:vMerge/>
            <w:tcBorders>
              <w:top w:val="single" w:sz="4" w:space="0" w:color="000000"/>
              <w:left w:val="single" w:sz="4" w:space="0" w:color="000000"/>
              <w:bottom w:val="single" w:sz="4" w:space="0" w:color="000000"/>
              <w:right w:val="single" w:sz="4" w:space="0" w:color="000000"/>
            </w:tcBorders>
            <w:shd w:val="clear" w:color="auto" w:fill="4F81BD"/>
            <w:vAlign w:val="center"/>
            <w:hideMark/>
          </w:tcPr>
          <w:p w:rsidR="00DF1FBF" w:rsidRDefault="00DF1FBF">
            <w:pPr>
              <w:rPr>
                <w:rFonts w:ascii="Helvetica" w:eastAsia="Arial Unicode MS" w:hAnsi="Helvetica" w:cs="Arial Unicode MS"/>
                <w:color w:val="000000"/>
                <w:bdr w:val="none" w:sz="0" w:space="0" w:color="auto" w:frame="1"/>
                <w:lang w:val="es-ES_tradnl"/>
              </w:rPr>
            </w:pPr>
          </w:p>
        </w:tc>
        <w:tc>
          <w:tcPr>
            <w:tcW w:w="2265" w:type="dxa"/>
            <w:vMerge/>
            <w:tcBorders>
              <w:top w:val="single" w:sz="4" w:space="0" w:color="000000"/>
              <w:left w:val="single" w:sz="4" w:space="0" w:color="000000"/>
              <w:bottom w:val="single" w:sz="4" w:space="0" w:color="000000"/>
              <w:right w:val="single" w:sz="4" w:space="0" w:color="000000"/>
            </w:tcBorders>
            <w:shd w:val="clear" w:color="auto" w:fill="4F81BD"/>
            <w:vAlign w:val="center"/>
            <w:hideMark/>
          </w:tcPr>
          <w:p w:rsidR="00DF1FBF" w:rsidRDefault="00DF1FBF">
            <w:pPr>
              <w:rPr>
                <w:rFonts w:ascii="Helvetica" w:eastAsia="Arial Unicode MS" w:hAnsi="Helvetica" w:cs="Arial Unicode MS"/>
                <w:color w:val="000000"/>
                <w:bdr w:val="none" w:sz="0" w:space="0" w:color="auto" w:frame="1"/>
                <w:lang w:val="es-ES_tradnl"/>
              </w:rPr>
            </w:pPr>
          </w:p>
        </w:tc>
        <w:tc>
          <w:tcPr>
            <w:tcW w:w="85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2007</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2008</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2009</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2010</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2011</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2012</w:t>
            </w:r>
          </w:p>
        </w:tc>
      </w:tr>
      <w:tr w:rsidR="00DF1FBF" w:rsidTr="00DF1FBF">
        <w:trPr>
          <w:trHeight w:val="222"/>
          <w:jc w:val="center"/>
        </w:trPr>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proofErr w:type="spellStart"/>
            <w:r>
              <w:rPr>
                <w:rFonts w:eastAsia="Arial Unicode MS" w:cs="Arial Unicode MS"/>
                <w:color w:val="000000"/>
                <w:sz w:val="20"/>
                <w:szCs w:val="20"/>
                <w:bdr w:val="none" w:sz="0" w:space="0" w:color="auto" w:frame="1"/>
              </w:rPr>
              <w:t>Misaft</w:t>
            </w:r>
            <w:proofErr w:type="spellEnd"/>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Elastomer foam (filters)</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12.40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13.86</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14.99</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15.97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15.22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18.00</w:t>
            </w:r>
          </w:p>
        </w:tc>
      </w:tr>
      <w:tr w:rsidR="00DF1FBF" w:rsidTr="00DF1FBF">
        <w:trPr>
          <w:trHeight w:val="442"/>
          <w:jc w:val="center"/>
        </w:trPr>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 xml:space="preserve">Mont Blanc </w:t>
            </w:r>
            <w:proofErr w:type="spellStart"/>
            <w:r>
              <w:rPr>
                <w:rFonts w:eastAsia="Arial Unicode MS" w:cs="Arial Unicode MS"/>
                <w:color w:val="000000"/>
                <w:sz w:val="20"/>
                <w:szCs w:val="20"/>
                <w:bdr w:val="none" w:sz="0" w:space="0" w:color="auto" w:frame="1"/>
              </w:rPr>
              <w:t>Electromenager</w:t>
            </w:r>
            <w:proofErr w:type="spellEnd"/>
            <w:r>
              <w:rPr>
                <w:rFonts w:eastAsia="Arial Unicode MS" w:cs="Arial Unicode MS"/>
                <w:color w:val="000000"/>
                <w:sz w:val="20"/>
                <w:szCs w:val="20"/>
                <w:bdr w:val="none" w:sz="0" w:space="0" w:color="auto" w:frame="1"/>
              </w:rPr>
              <w:t xml:space="preserve"> «GAN» </w:t>
            </w:r>
          </w:p>
        </w:tc>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Wood imitation</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6.00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6.45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7.50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8.25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6.90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9.45</w:t>
            </w:r>
          </w:p>
        </w:tc>
      </w:tr>
      <w:tr w:rsidR="00DF1FBF" w:rsidTr="00DF1FBF">
        <w:trPr>
          <w:trHeight w:val="222"/>
          <w:jc w:val="center"/>
        </w:trPr>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proofErr w:type="spellStart"/>
            <w:r>
              <w:rPr>
                <w:rFonts w:eastAsia="Arial Unicode MS" w:cs="Arial Unicode MS"/>
                <w:color w:val="000000"/>
                <w:sz w:val="20"/>
                <w:szCs w:val="20"/>
                <w:bdr w:val="none" w:sz="0" w:space="0" w:color="auto" w:frame="1"/>
              </w:rPr>
              <w:t>Sotufca</w:t>
            </w:r>
            <w:proofErr w:type="spellEnd"/>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Elastomer foam</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1.50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2.25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3.75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4.50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3.75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4.50</w:t>
            </w:r>
          </w:p>
        </w:tc>
      </w:tr>
      <w:tr w:rsidR="00DF1FBF" w:rsidTr="00DF1FBF">
        <w:trPr>
          <w:trHeight w:val="222"/>
          <w:jc w:val="center"/>
        </w:trPr>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GIF</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Elastomer foam (filters)</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4.58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5.40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6.23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5.56</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4.88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4.50</w:t>
            </w:r>
          </w:p>
        </w:tc>
      </w:tr>
      <w:tr w:rsidR="00DF1FBF" w:rsidTr="00DF1FBF">
        <w:trPr>
          <w:trHeight w:val="222"/>
          <w:jc w:val="center"/>
        </w:trPr>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 xml:space="preserve">Le </w:t>
            </w:r>
            <w:proofErr w:type="spellStart"/>
            <w:r>
              <w:rPr>
                <w:rFonts w:eastAsia="Arial Unicode MS" w:cs="Arial Unicode MS"/>
                <w:color w:val="000000"/>
                <w:sz w:val="20"/>
                <w:szCs w:val="20"/>
                <w:bdr w:val="none" w:sz="0" w:space="0" w:color="auto" w:frame="1"/>
              </w:rPr>
              <w:t>Panneau</w:t>
            </w:r>
            <w:proofErr w:type="spellEnd"/>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Sandwich panels</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7.92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7.92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11.85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13.92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5.28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2.64</w:t>
            </w:r>
          </w:p>
        </w:tc>
      </w:tr>
      <w:tr w:rsidR="00DF1FBF" w:rsidTr="00DF1FBF">
        <w:trPr>
          <w:trHeight w:val="222"/>
          <w:jc w:val="center"/>
        </w:trPr>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proofErr w:type="spellStart"/>
            <w:r>
              <w:rPr>
                <w:rFonts w:eastAsia="Arial Unicode MS" w:cs="Arial Unicode MS"/>
                <w:color w:val="000000"/>
                <w:sz w:val="20"/>
                <w:szCs w:val="20"/>
                <w:bdr w:val="none" w:sz="0" w:space="0" w:color="auto" w:frame="1"/>
              </w:rPr>
              <w:lastRenderedPageBreak/>
              <w:t>Polysieges</w:t>
            </w:r>
            <w:proofErr w:type="spellEnd"/>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F1FBF" w:rsidRDefault="00DF1FBF">
            <w:pPr>
              <w:autoSpaceDN w:val="0"/>
              <w:rPr>
                <w:rFonts w:eastAsia="Arial Unicode MS"/>
                <w:sz w:val="24"/>
                <w:szCs w:val="24"/>
                <w:bdr w:val="none" w:sz="0" w:space="0" w:color="auto" w:frame="1"/>
              </w:rPr>
            </w:pP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0.85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2.43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1.48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1.67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1.58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2.36</w:t>
            </w:r>
          </w:p>
        </w:tc>
      </w:tr>
      <w:tr w:rsidR="00DF1FBF" w:rsidTr="00DF1FBF">
        <w:trPr>
          <w:trHeight w:val="222"/>
          <w:jc w:val="center"/>
        </w:trPr>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proofErr w:type="spellStart"/>
            <w:r>
              <w:rPr>
                <w:rFonts w:eastAsia="Arial Unicode MS" w:cs="Arial Unicode MS"/>
                <w:color w:val="000000"/>
                <w:sz w:val="20"/>
                <w:szCs w:val="20"/>
                <w:bdr w:val="none" w:sz="0" w:space="0" w:color="auto" w:frame="1"/>
              </w:rPr>
              <w:t>Afri</w:t>
            </w:r>
            <w:proofErr w:type="spellEnd"/>
            <w:r>
              <w:rPr>
                <w:rFonts w:eastAsia="Arial Unicode MS" w:cs="Arial Unicode MS"/>
                <w:color w:val="000000"/>
                <w:sz w:val="20"/>
                <w:szCs w:val="20"/>
                <w:bdr w:val="none" w:sz="0" w:space="0" w:color="auto" w:frame="1"/>
              </w:rPr>
              <w:t>-Chrome</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 xml:space="preserve">Flexible </w:t>
            </w:r>
            <w:proofErr w:type="spellStart"/>
            <w:r>
              <w:rPr>
                <w:rFonts w:eastAsia="Arial Unicode MS" w:cs="Arial Unicode MS"/>
                <w:color w:val="000000"/>
                <w:sz w:val="20"/>
                <w:szCs w:val="20"/>
                <w:bdr w:val="none" w:sz="0" w:space="0" w:color="auto" w:frame="1"/>
              </w:rPr>
              <w:t>molded</w:t>
            </w:r>
            <w:proofErr w:type="spellEnd"/>
            <w:r>
              <w:rPr>
                <w:rFonts w:eastAsia="Arial Unicode MS" w:cs="Arial Unicode MS"/>
                <w:color w:val="000000"/>
                <w:sz w:val="20"/>
                <w:szCs w:val="20"/>
                <w:bdr w:val="none" w:sz="0" w:space="0" w:color="auto" w:frame="1"/>
              </w:rPr>
              <w:t xml:space="preserve"> foam</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1.58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1.58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1.80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1.65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1.58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1.65</w:t>
            </w:r>
          </w:p>
        </w:tc>
      </w:tr>
      <w:tr w:rsidR="00DF1FBF" w:rsidTr="00DF1FBF">
        <w:trPr>
          <w:trHeight w:val="222"/>
          <w:jc w:val="center"/>
        </w:trPr>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proofErr w:type="spellStart"/>
            <w:r>
              <w:rPr>
                <w:rFonts w:eastAsia="Arial Unicode MS" w:cs="Arial Unicode MS"/>
                <w:color w:val="000000"/>
                <w:sz w:val="20"/>
                <w:szCs w:val="20"/>
                <w:bdr w:val="none" w:sz="0" w:space="0" w:color="auto" w:frame="1"/>
              </w:rPr>
              <w:t>Frigomeuble</w:t>
            </w:r>
            <w:proofErr w:type="spellEnd"/>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Refrigerator insulation</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0.45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0.63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0.69</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0.73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0.76</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0.93</w:t>
            </w:r>
          </w:p>
        </w:tc>
      </w:tr>
      <w:tr w:rsidR="00DF1FBF" w:rsidTr="00DF1FBF">
        <w:trPr>
          <w:trHeight w:val="442"/>
          <w:jc w:val="center"/>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bottom"/>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proofErr w:type="spellStart"/>
            <w:r>
              <w:rPr>
                <w:rFonts w:eastAsia="Arial Unicode MS" w:cs="Arial Unicode MS"/>
                <w:color w:val="000000"/>
                <w:sz w:val="20"/>
                <w:szCs w:val="20"/>
                <w:bdr w:val="none" w:sz="0" w:space="0" w:color="auto" w:frame="1"/>
              </w:rPr>
              <w:t>Société</w:t>
            </w:r>
            <w:proofErr w:type="spellEnd"/>
            <w:r>
              <w:rPr>
                <w:rFonts w:eastAsia="Arial Unicode MS" w:cs="Arial Unicode MS"/>
                <w:color w:val="000000"/>
                <w:sz w:val="20"/>
                <w:szCs w:val="20"/>
                <w:bdr w:val="none" w:sz="0" w:space="0" w:color="auto" w:frame="1"/>
              </w:rPr>
              <w:t xml:space="preserve"> </w:t>
            </w:r>
            <w:proofErr w:type="spellStart"/>
            <w:r>
              <w:rPr>
                <w:rFonts w:eastAsia="Arial Unicode MS" w:cs="Arial Unicode MS"/>
                <w:color w:val="000000"/>
                <w:sz w:val="20"/>
                <w:szCs w:val="20"/>
                <w:bdr w:val="none" w:sz="0" w:space="0" w:color="auto" w:frame="1"/>
              </w:rPr>
              <w:t>Tunisienne</w:t>
            </w:r>
            <w:proofErr w:type="spellEnd"/>
            <w:r>
              <w:rPr>
                <w:rFonts w:eastAsia="Arial Unicode MS" w:cs="Arial Unicode MS"/>
                <w:color w:val="000000"/>
                <w:sz w:val="20"/>
                <w:szCs w:val="20"/>
                <w:bdr w:val="none" w:sz="0" w:space="0" w:color="auto" w:frame="1"/>
              </w:rPr>
              <w:t xml:space="preserve"> </w:t>
            </w:r>
            <w:proofErr w:type="spellStart"/>
            <w:r>
              <w:rPr>
                <w:rFonts w:eastAsia="Arial Unicode MS" w:cs="Arial Unicode MS"/>
                <w:color w:val="000000"/>
                <w:sz w:val="20"/>
                <w:szCs w:val="20"/>
                <w:bdr w:val="none" w:sz="0" w:space="0" w:color="auto" w:frame="1"/>
              </w:rPr>
              <w:t>d’Equipement</w:t>
            </w:r>
            <w:proofErr w:type="spellEnd"/>
            <w:r>
              <w:rPr>
                <w:rFonts w:eastAsia="Arial Unicode MS" w:cs="Arial Unicode MS"/>
                <w:color w:val="000000"/>
                <w:sz w:val="20"/>
                <w:szCs w:val="20"/>
                <w:bdr w:val="none" w:sz="0" w:space="0" w:color="auto" w:frame="1"/>
              </w:rPr>
              <w:t xml:space="preserve"> (STE)</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Sandwich panels</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0.33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0.30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0.33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0.40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0.36</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0.45</w:t>
            </w:r>
          </w:p>
        </w:tc>
      </w:tr>
      <w:tr w:rsidR="00DF1FBF" w:rsidTr="00DF1FBF">
        <w:trPr>
          <w:trHeight w:val="222"/>
          <w:jc w:val="center"/>
        </w:trPr>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proofErr w:type="spellStart"/>
            <w:r>
              <w:rPr>
                <w:rFonts w:eastAsia="Arial Unicode MS" w:cs="Arial Unicode MS"/>
                <w:color w:val="000000"/>
                <w:sz w:val="20"/>
                <w:szCs w:val="20"/>
                <w:bdr w:val="none" w:sz="0" w:space="0" w:color="auto" w:frame="1"/>
              </w:rPr>
              <w:t>Attia</w:t>
            </w:r>
            <w:proofErr w:type="spellEnd"/>
            <w:r>
              <w:rPr>
                <w:rFonts w:eastAsia="Arial Unicode MS" w:cs="Arial Unicode MS"/>
                <w:color w:val="000000"/>
                <w:sz w:val="20"/>
                <w:szCs w:val="20"/>
                <w:bdr w:val="none" w:sz="0" w:space="0" w:color="auto" w:frame="1"/>
              </w:rPr>
              <w:t xml:space="preserve"> Refrigeration</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Refrigerator insulation</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0.06</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0.10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0.10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0.20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0.15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0.07</w:t>
            </w:r>
          </w:p>
        </w:tc>
      </w:tr>
      <w:tr w:rsidR="00DF1FBF" w:rsidTr="00DF1FBF">
        <w:trPr>
          <w:trHeight w:val="222"/>
          <w:jc w:val="center"/>
        </w:trPr>
        <w:tc>
          <w:tcPr>
            <w:tcW w:w="453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Total Consumption</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35.66</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40.91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48.71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52.83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40.45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44.54</w:t>
            </w:r>
          </w:p>
        </w:tc>
      </w:tr>
    </w:tbl>
    <w:p w:rsidR="00DF1FBF" w:rsidRDefault="00DF1FBF" w:rsidP="00DF1FBF">
      <w:pPr>
        <w:keepNext/>
        <w:keepLines/>
        <w:spacing w:after="120"/>
        <w:jc w:val="center"/>
        <w:rPr>
          <w:b/>
          <w:bCs/>
          <w:color w:val="000000"/>
          <w:sz w:val="20"/>
          <w:szCs w:val="20"/>
          <w:bdr w:val="none" w:sz="0" w:space="0" w:color="auto" w:frame="1"/>
        </w:rPr>
      </w:pPr>
    </w:p>
    <w:p w:rsidR="00DF1FBF" w:rsidRDefault="00DF1FBF" w:rsidP="00DF1FBF">
      <w:pPr>
        <w:rPr>
          <w:color w:val="000000"/>
          <w:kern w:val="2"/>
          <w:sz w:val="24"/>
          <w:szCs w:val="24"/>
          <w:bdr w:val="none" w:sz="0" w:space="0" w:color="auto" w:frame="1"/>
          <w:lang w:val="es-ES_tradnl"/>
        </w:rPr>
      </w:pPr>
    </w:p>
    <w:p w:rsidR="00DF1FBF" w:rsidRDefault="00DF1FBF" w:rsidP="00650B21">
      <w:pPr>
        <w:numPr>
          <w:ilvl w:val="0"/>
          <w:numId w:val="18"/>
        </w:numPr>
        <w:autoSpaceDN w:val="0"/>
        <w:rPr>
          <w:color w:val="000000"/>
          <w:kern w:val="2"/>
          <w:bdr w:val="none" w:sz="0" w:space="0" w:color="auto" w:frame="1"/>
          <w:lang w:val="en-US"/>
        </w:rPr>
      </w:pPr>
      <w:r>
        <w:rPr>
          <w:rFonts w:eastAsia="Arial Unicode MS" w:cs="Arial Unicode MS"/>
          <w:color w:val="000000"/>
          <w:kern w:val="2"/>
          <w:bdr w:val="none" w:sz="0" w:space="0" w:color="auto" w:frame="1"/>
        </w:rPr>
        <w:t>Companies which are of no foreign ownership, have been previously supported by the Multilateral Fund and have set up their production based on HCFC-141b prior to 21 September 2007; the following table shows the consumption data for these companies, some of which have only provided their consumption data for 2012:</w:t>
      </w:r>
    </w:p>
    <w:p w:rsidR="00DF1FBF" w:rsidRDefault="00DF1FBF" w:rsidP="00DF1FBF">
      <w:pPr>
        <w:rPr>
          <w:color w:val="000000"/>
          <w:kern w:val="2"/>
          <w:bdr w:val="none" w:sz="0" w:space="0" w:color="auto" w:frame="1"/>
        </w:rPr>
      </w:pPr>
    </w:p>
    <w:p w:rsidR="00DF1FBF" w:rsidRDefault="00DF1FBF" w:rsidP="00DF1FBF">
      <w:pPr>
        <w:spacing w:after="120"/>
        <w:jc w:val="center"/>
        <w:rPr>
          <w:rFonts w:eastAsia="Arial Unicode MS" w:cs="Arial Unicode MS"/>
          <w:b/>
          <w:bCs/>
          <w:color w:val="000000"/>
          <w:bdr w:val="none" w:sz="0" w:space="0" w:color="auto" w:frame="1"/>
        </w:rPr>
      </w:pPr>
      <w:r>
        <w:rPr>
          <w:rFonts w:eastAsia="Arial Unicode MS" w:cs="Arial Unicode MS"/>
          <w:b/>
          <w:bCs/>
          <w:color w:val="000000"/>
          <w:bdr w:val="none" w:sz="0" w:space="0" w:color="auto" w:frame="1"/>
        </w:rPr>
        <w:t>Table 5: Consumption of HCFC-141b pre-blended in polyol by Group 2 companies</w:t>
      </w:r>
    </w:p>
    <w:tbl>
      <w:tblPr>
        <w:tblW w:w="9636" w:type="dxa"/>
        <w:jc w:val="center"/>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2263"/>
        <w:gridCol w:w="2266"/>
        <w:gridCol w:w="852"/>
        <w:gridCol w:w="851"/>
        <w:gridCol w:w="851"/>
        <w:gridCol w:w="851"/>
        <w:gridCol w:w="851"/>
        <w:gridCol w:w="851"/>
      </w:tblGrid>
      <w:tr w:rsidR="00DF1FBF" w:rsidTr="00DF1FBF">
        <w:trPr>
          <w:trHeight w:val="222"/>
          <w:tblHeader/>
          <w:jc w:val="center"/>
        </w:trPr>
        <w:tc>
          <w:tcPr>
            <w:tcW w:w="2264" w:type="dxa"/>
            <w:vMerge w:val="restart"/>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Company</w:t>
            </w:r>
          </w:p>
        </w:tc>
        <w:tc>
          <w:tcPr>
            <w:tcW w:w="2265" w:type="dxa"/>
            <w:vMerge w:val="restart"/>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Sector</w:t>
            </w:r>
          </w:p>
        </w:tc>
        <w:tc>
          <w:tcPr>
            <w:tcW w:w="5107" w:type="dxa"/>
            <w:gridSpan w:val="6"/>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rPr>
            </w:pPr>
            <w:r>
              <w:rPr>
                <w:rFonts w:eastAsia="Arial Unicode MS" w:cs="Arial Unicode MS"/>
                <w:b/>
                <w:bCs/>
                <w:color w:val="000000"/>
                <w:sz w:val="20"/>
                <w:szCs w:val="20"/>
                <w:bdr w:val="none" w:sz="0" w:space="0" w:color="auto" w:frame="1"/>
              </w:rPr>
              <w:t>Consumption (MT of HCFC-141b)</w:t>
            </w:r>
          </w:p>
        </w:tc>
      </w:tr>
      <w:tr w:rsidR="00DF1FBF" w:rsidTr="00DF1FBF">
        <w:trPr>
          <w:trHeight w:val="222"/>
          <w:tblHeader/>
          <w:jc w:val="center"/>
        </w:trPr>
        <w:tc>
          <w:tcPr>
            <w:tcW w:w="4530" w:type="dxa"/>
            <w:vMerge/>
            <w:tcBorders>
              <w:top w:val="single" w:sz="4" w:space="0" w:color="000000"/>
              <w:left w:val="single" w:sz="4" w:space="0" w:color="000000"/>
              <w:bottom w:val="single" w:sz="4" w:space="0" w:color="000000"/>
              <w:right w:val="single" w:sz="4" w:space="0" w:color="000000"/>
            </w:tcBorders>
            <w:shd w:val="clear" w:color="auto" w:fill="4F81BD"/>
            <w:vAlign w:val="center"/>
            <w:hideMark/>
          </w:tcPr>
          <w:p w:rsidR="00DF1FBF" w:rsidRDefault="00DF1FBF">
            <w:pPr>
              <w:rPr>
                <w:rFonts w:ascii="Helvetica" w:eastAsia="Arial Unicode MS" w:hAnsi="Helvetica" w:cs="Arial Unicode MS"/>
                <w:color w:val="000000"/>
                <w:bdr w:val="none" w:sz="0" w:space="0" w:color="auto" w:frame="1"/>
                <w:lang w:val="es-ES_tradnl"/>
              </w:rPr>
            </w:pPr>
          </w:p>
        </w:tc>
        <w:tc>
          <w:tcPr>
            <w:tcW w:w="2265" w:type="dxa"/>
            <w:vMerge/>
            <w:tcBorders>
              <w:top w:val="single" w:sz="4" w:space="0" w:color="000000"/>
              <w:left w:val="single" w:sz="4" w:space="0" w:color="000000"/>
              <w:bottom w:val="single" w:sz="4" w:space="0" w:color="000000"/>
              <w:right w:val="single" w:sz="4" w:space="0" w:color="000000"/>
            </w:tcBorders>
            <w:shd w:val="clear" w:color="auto" w:fill="4F81BD"/>
            <w:vAlign w:val="center"/>
            <w:hideMark/>
          </w:tcPr>
          <w:p w:rsidR="00DF1FBF" w:rsidRDefault="00DF1FBF">
            <w:pPr>
              <w:rPr>
                <w:rFonts w:ascii="Helvetica" w:eastAsia="Arial Unicode MS" w:hAnsi="Helvetica" w:cs="Arial Unicode MS"/>
                <w:color w:val="000000"/>
                <w:bdr w:val="none" w:sz="0" w:space="0" w:color="auto" w:frame="1"/>
                <w:lang w:val="es-ES_tradnl"/>
              </w:rPr>
            </w:pPr>
          </w:p>
        </w:tc>
        <w:tc>
          <w:tcPr>
            <w:tcW w:w="85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2007</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2008</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2009</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2010</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2011</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2012</w:t>
            </w:r>
          </w:p>
        </w:tc>
      </w:tr>
      <w:tr w:rsidR="00DF1FBF" w:rsidTr="00DF1FBF">
        <w:trPr>
          <w:trHeight w:val="222"/>
          <w:jc w:val="center"/>
        </w:trPr>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proofErr w:type="spellStart"/>
            <w:r>
              <w:rPr>
                <w:rFonts w:eastAsia="Arial Unicode MS" w:cs="Arial Unicode MS"/>
                <w:color w:val="000000"/>
                <w:sz w:val="20"/>
                <w:szCs w:val="20"/>
                <w:bdr w:val="none" w:sz="0" w:space="0" w:color="auto" w:frame="1"/>
              </w:rPr>
              <w:t>Bafes</w:t>
            </w:r>
            <w:proofErr w:type="spellEnd"/>
            <w:r>
              <w:rPr>
                <w:rFonts w:eastAsia="Arial Unicode MS" w:cs="Arial Unicode MS"/>
                <w:color w:val="000000"/>
                <w:sz w:val="20"/>
                <w:szCs w:val="20"/>
                <w:bdr w:val="none" w:sz="0" w:space="0" w:color="auto" w:frame="1"/>
              </w:rPr>
              <w:t xml:space="preserve"> - </w:t>
            </w:r>
            <w:proofErr w:type="spellStart"/>
            <w:r>
              <w:rPr>
                <w:rFonts w:eastAsia="Arial Unicode MS" w:cs="Arial Unicode MS"/>
                <w:color w:val="000000"/>
                <w:sz w:val="20"/>
                <w:szCs w:val="20"/>
                <w:bdr w:val="none" w:sz="0" w:space="0" w:color="auto" w:frame="1"/>
              </w:rPr>
              <w:t>Frigobaf</w:t>
            </w:r>
            <w:proofErr w:type="spellEnd"/>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Refrigerator insulation</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4.60</w:t>
            </w:r>
          </w:p>
        </w:tc>
      </w:tr>
      <w:tr w:rsidR="00DF1FBF" w:rsidTr="00DF1FBF">
        <w:trPr>
          <w:trHeight w:val="222"/>
          <w:jc w:val="center"/>
        </w:trPr>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proofErr w:type="spellStart"/>
            <w:r>
              <w:rPr>
                <w:rFonts w:eastAsia="Arial Unicode MS" w:cs="Arial Unicode MS"/>
                <w:color w:val="000000"/>
                <w:sz w:val="20"/>
                <w:szCs w:val="20"/>
                <w:bdr w:val="none" w:sz="0" w:space="0" w:color="auto" w:frame="1"/>
              </w:rPr>
              <w:t>Frigo</w:t>
            </w:r>
            <w:proofErr w:type="spellEnd"/>
            <w:r>
              <w:rPr>
                <w:rFonts w:eastAsia="Arial Unicode MS" w:cs="Arial Unicode MS"/>
                <w:color w:val="000000"/>
                <w:sz w:val="20"/>
                <w:szCs w:val="20"/>
                <w:bdr w:val="none" w:sz="0" w:space="0" w:color="auto" w:frame="1"/>
              </w:rPr>
              <w:t xml:space="preserve"> Technique</w:t>
            </w:r>
          </w:p>
        </w:tc>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Refrigerator insulation</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4.40</w:t>
            </w:r>
          </w:p>
        </w:tc>
      </w:tr>
      <w:tr w:rsidR="00DF1FBF" w:rsidTr="00DF1FBF">
        <w:trPr>
          <w:trHeight w:val="222"/>
          <w:jc w:val="center"/>
        </w:trPr>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REI</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Refrigerator insulation</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3.70</w:t>
            </w:r>
          </w:p>
        </w:tc>
      </w:tr>
      <w:tr w:rsidR="00DF1FBF" w:rsidTr="00DF1FBF">
        <w:trPr>
          <w:trHeight w:val="442"/>
          <w:jc w:val="center"/>
        </w:trPr>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proofErr w:type="spellStart"/>
            <w:r>
              <w:rPr>
                <w:rFonts w:eastAsia="Arial Unicode MS" w:cs="Arial Unicode MS"/>
                <w:color w:val="000000"/>
                <w:sz w:val="20"/>
                <w:szCs w:val="20"/>
                <w:bdr w:val="none" w:sz="0" w:space="0" w:color="auto" w:frame="1"/>
              </w:rPr>
              <w:t>Societe</w:t>
            </w:r>
            <w:proofErr w:type="spellEnd"/>
            <w:r>
              <w:rPr>
                <w:rFonts w:eastAsia="Arial Unicode MS" w:cs="Arial Unicode MS"/>
                <w:color w:val="000000"/>
                <w:sz w:val="20"/>
                <w:szCs w:val="20"/>
                <w:bdr w:val="none" w:sz="0" w:space="0" w:color="auto" w:frame="1"/>
              </w:rPr>
              <w:t xml:space="preserve"> </w:t>
            </w:r>
            <w:proofErr w:type="spellStart"/>
            <w:r>
              <w:rPr>
                <w:rFonts w:eastAsia="Arial Unicode MS" w:cs="Arial Unicode MS"/>
                <w:color w:val="000000"/>
                <w:sz w:val="20"/>
                <w:szCs w:val="20"/>
                <w:bdr w:val="none" w:sz="0" w:space="0" w:color="auto" w:frame="1"/>
              </w:rPr>
              <w:t>Moderne</w:t>
            </w:r>
            <w:proofErr w:type="spellEnd"/>
            <w:r>
              <w:rPr>
                <w:rFonts w:eastAsia="Arial Unicode MS" w:cs="Arial Unicode MS"/>
                <w:color w:val="000000"/>
                <w:sz w:val="20"/>
                <w:szCs w:val="20"/>
                <w:bdr w:val="none" w:sz="0" w:space="0" w:color="auto" w:frame="1"/>
              </w:rPr>
              <w:t xml:space="preserve"> Refrigeration</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Refrigerator insulation</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2.50</w:t>
            </w:r>
          </w:p>
        </w:tc>
      </w:tr>
      <w:tr w:rsidR="00DF1FBF" w:rsidTr="00DF1FBF">
        <w:trPr>
          <w:trHeight w:val="222"/>
          <w:jc w:val="center"/>
        </w:trPr>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proofErr w:type="spellStart"/>
            <w:r>
              <w:rPr>
                <w:rFonts w:eastAsia="Arial Unicode MS" w:cs="Arial Unicode MS"/>
                <w:color w:val="000000"/>
                <w:sz w:val="20"/>
                <w:szCs w:val="20"/>
                <w:bdr w:val="none" w:sz="0" w:space="0" w:color="auto" w:frame="1"/>
              </w:rPr>
              <w:t>Sotiem</w:t>
            </w:r>
            <w:proofErr w:type="spellEnd"/>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Refrigerator insulation</w:t>
            </w:r>
          </w:p>
        </w:tc>
        <w:tc>
          <w:tcPr>
            <w:tcW w:w="85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2.30</w:t>
            </w:r>
          </w:p>
        </w:tc>
      </w:tr>
      <w:tr w:rsidR="00DF1FBF" w:rsidTr="00DF1FBF">
        <w:trPr>
          <w:trHeight w:val="222"/>
          <w:jc w:val="center"/>
        </w:trPr>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proofErr w:type="spellStart"/>
            <w:r>
              <w:rPr>
                <w:rFonts w:eastAsia="Arial Unicode MS" w:cs="Arial Unicode MS"/>
                <w:color w:val="000000"/>
                <w:sz w:val="20"/>
                <w:szCs w:val="20"/>
                <w:bdr w:val="none" w:sz="0" w:space="0" w:color="auto" w:frame="1"/>
              </w:rPr>
              <w:t>Sotim</w:t>
            </w:r>
            <w:proofErr w:type="spellEnd"/>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proofErr w:type="spellStart"/>
            <w:r>
              <w:rPr>
                <w:rFonts w:eastAsia="Arial Unicode MS" w:cs="Arial Unicode MS"/>
                <w:color w:val="000000"/>
                <w:sz w:val="20"/>
                <w:szCs w:val="20"/>
                <w:bdr w:val="none" w:sz="0" w:space="0" w:color="auto" w:frame="1"/>
              </w:rPr>
              <w:t>Slabstock</w:t>
            </w:r>
            <w:proofErr w:type="spellEnd"/>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2.00</w:t>
            </w:r>
          </w:p>
        </w:tc>
      </w:tr>
      <w:tr w:rsidR="00DF1FBF" w:rsidTr="00DF1FBF">
        <w:trPr>
          <w:trHeight w:val="222"/>
          <w:jc w:val="center"/>
        </w:trPr>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proofErr w:type="spellStart"/>
            <w:r>
              <w:rPr>
                <w:rFonts w:eastAsia="Arial Unicode MS" w:cs="Arial Unicode MS"/>
                <w:color w:val="000000"/>
                <w:sz w:val="20"/>
                <w:szCs w:val="20"/>
                <w:bdr w:val="none" w:sz="0" w:space="0" w:color="auto" w:frame="1"/>
              </w:rPr>
              <w:t>Coldeq</w:t>
            </w:r>
            <w:proofErr w:type="spellEnd"/>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Sandwich panels</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2.12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2.49</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0.90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1.45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1.45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1.64</w:t>
            </w:r>
          </w:p>
        </w:tc>
      </w:tr>
      <w:tr w:rsidR="00DF1FBF" w:rsidTr="00DF1FBF">
        <w:trPr>
          <w:trHeight w:val="222"/>
          <w:jc w:val="center"/>
        </w:trPr>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proofErr w:type="spellStart"/>
            <w:r>
              <w:rPr>
                <w:rFonts w:eastAsia="Arial Unicode MS" w:cs="Arial Unicode MS"/>
                <w:color w:val="000000"/>
                <w:sz w:val="20"/>
                <w:szCs w:val="20"/>
                <w:bdr w:val="none" w:sz="0" w:space="0" w:color="auto" w:frame="1"/>
              </w:rPr>
              <w:t>Meublatex</w:t>
            </w:r>
            <w:proofErr w:type="spellEnd"/>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Wood imitation</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1.50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1.50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1.50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1.50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1.50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1.50</w:t>
            </w:r>
          </w:p>
        </w:tc>
      </w:tr>
      <w:tr w:rsidR="00DF1FBF" w:rsidTr="00DF1FBF">
        <w:trPr>
          <w:trHeight w:val="222"/>
          <w:jc w:val="center"/>
        </w:trPr>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proofErr w:type="spellStart"/>
            <w:r>
              <w:rPr>
                <w:rFonts w:eastAsia="Arial Unicode MS" w:cs="Arial Unicode MS"/>
                <w:color w:val="000000"/>
                <w:sz w:val="20"/>
                <w:szCs w:val="20"/>
                <w:bdr w:val="none" w:sz="0" w:space="0" w:color="auto" w:frame="1"/>
              </w:rPr>
              <w:t>Sogima</w:t>
            </w:r>
            <w:proofErr w:type="spellEnd"/>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Refrigerator insulation</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1.50</w:t>
            </w:r>
          </w:p>
        </w:tc>
      </w:tr>
      <w:tr w:rsidR="00DF1FBF" w:rsidTr="00DF1FBF">
        <w:trPr>
          <w:trHeight w:val="222"/>
          <w:jc w:val="center"/>
        </w:trPr>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proofErr w:type="spellStart"/>
            <w:r>
              <w:rPr>
                <w:rFonts w:eastAsia="Arial Unicode MS" w:cs="Arial Unicode MS"/>
                <w:color w:val="000000"/>
                <w:sz w:val="20"/>
                <w:szCs w:val="20"/>
                <w:bdr w:val="none" w:sz="0" w:space="0" w:color="auto" w:frame="1"/>
              </w:rPr>
              <w:t>Tabrid</w:t>
            </w:r>
            <w:proofErr w:type="spellEnd"/>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Refrigerator insulation</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DF1FBF" w:rsidRDefault="00DF1FBF">
            <w:pPr>
              <w:autoSpaceDN w:val="0"/>
              <w:rPr>
                <w:rFonts w:eastAsia="Arial Unicode MS"/>
                <w:sz w:val="24"/>
                <w:szCs w:val="24"/>
                <w:bdr w:val="none" w:sz="0" w:space="0" w:color="auto" w:frame="1"/>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1.00</w:t>
            </w:r>
          </w:p>
        </w:tc>
      </w:tr>
      <w:tr w:rsidR="00DF1FBF" w:rsidTr="00DF1FBF">
        <w:trPr>
          <w:trHeight w:val="222"/>
          <w:jc w:val="center"/>
        </w:trPr>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proofErr w:type="spellStart"/>
            <w:r>
              <w:rPr>
                <w:rFonts w:eastAsia="Arial Unicode MS" w:cs="Arial Unicode MS"/>
                <w:color w:val="000000"/>
                <w:sz w:val="20"/>
                <w:szCs w:val="20"/>
                <w:bdr w:val="none" w:sz="0" w:space="0" w:color="auto" w:frame="1"/>
              </w:rPr>
              <w:t>Chahed</w:t>
            </w:r>
            <w:proofErr w:type="spellEnd"/>
            <w:r>
              <w:rPr>
                <w:rFonts w:eastAsia="Arial Unicode MS" w:cs="Arial Unicode MS"/>
                <w:color w:val="000000"/>
                <w:sz w:val="20"/>
                <w:szCs w:val="20"/>
                <w:bdr w:val="none" w:sz="0" w:space="0" w:color="auto" w:frame="1"/>
              </w:rPr>
              <w:t xml:space="preserve"> </w:t>
            </w:r>
            <w:proofErr w:type="spellStart"/>
            <w:r>
              <w:rPr>
                <w:rFonts w:eastAsia="Arial Unicode MS" w:cs="Arial Unicode MS"/>
                <w:color w:val="000000"/>
                <w:sz w:val="20"/>
                <w:szCs w:val="20"/>
                <w:bdr w:val="none" w:sz="0" w:space="0" w:color="auto" w:frame="1"/>
              </w:rPr>
              <w:t>Réfrigération</w:t>
            </w:r>
            <w:proofErr w:type="spellEnd"/>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Refrigerator insulation</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0.63</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0.44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0.76</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0.79</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0.22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0.19</w:t>
            </w:r>
          </w:p>
        </w:tc>
      </w:tr>
      <w:tr w:rsidR="00DF1FBF" w:rsidTr="00DF1FBF">
        <w:trPr>
          <w:trHeight w:val="222"/>
          <w:jc w:val="center"/>
        </w:trPr>
        <w:tc>
          <w:tcPr>
            <w:tcW w:w="453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Total Consumption</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4.25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4.43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3.16</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3.74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3.18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25.33</w:t>
            </w:r>
          </w:p>
        </w:tc>
      </w:tr>
    </w:tbl>
    <w:p w:rsidR="00DF1FBF" w:rsidRDefault="00DF1FBF" w:rsidP="00DF1FBF">
      <w:pPr>
        <w:keepNext/>
        <w:keepLines/>
        <w:spacing w:after="120"/>
        <w:jc w:val="center"/>
        <w:rPr>
          <w:b/>
          <w:bCs/>
          <w:color w:val="000000"/>
          <w:sz w:val="20"/>
          <w:szCs w:val="20"/>
          <w:bdr w:val="none" w:sz="0" w:space="0" w:color="auto" w:frame="1"/>
        </w:rPr>
      </w:pPr>
    </w:p>
    <w:p w:rsidR="00DF1FBF" w:rsidRDefault="00DF1FBF" w:rsidP="00DF1FBF">
      <w:pPr>
        <w:rPr>
          <w:color w:val="000000"/>
          <w:kern w:val="2"/>
          <w:sz w:val="24"/>
          <w:szCs w:val="24"/>
          <w:bdr w:val="none" w:sz="0" w:space="0" w:color="auto" w:frame="1"/>
          <w:lang w:val="es-ES_tradnl"/>
        </w:rPr>
      </w:pPr>
    </w:p>
    <w:p w:rsidR="00DF1FBF" w:rsidRDefault="00DF1FBF" w:rsidP="00650B21">
      <w:pPr>
        <w:numPr>
          <w:ilvl w:val="0"/>
          <w:numId w:val="19"/>
        </w:numPr>
        <w:autoSpaceDN w:val="0"/>
        <w:rPr>
          <w:color w:val="000000"/>
          <w:kern w:val="2"/>
          <w:bdr w:val="none" w:sz="0" w:space="0" w:color="auto" w:frame="1"/>
          <w:lang w:val="en-US"/>
        </w:rPr>
      </w:pPr>
      <w:r>
        <w:rPr>
          <w:rFonts w:eastAsia="Arial Unicode MS" w:cs="Arial Unicode MS"/>
          <w:color w:val="000000"/>
          <w:kern w:val="2"/>
          <w:bdr w:val="none" w:sz="0" w:space="0" w:color="auto" w:frame="1"/>
        </w:rPr>
        <w:t>Companies which are of foreign ownership and/or have set up their production based on HCFC-141b after 21 September 2007; the following table shows the consumption data for these companies for the period 2007-2012:</w:t>
      </w:r>
    </w:p>
    <w:p w:rsidR="00DF1FBF" w:rsidRDefault="00DF1FBF" w:rsidP="00DF1FBF">
      <w:pPr>
        <w:rPr>
          <w:color w:val="000000"/>
          <w:kern w:val="2"/>
          <w:bdr w:val="none" w:sz="0" w:space="0" w:color="auto" w:frame="1"/>
        </w:rPr>
      </w:pPr>
    </w:p>
    <w:p w:rsidR="00DF1FBF" w:rsidRDefault="00DF1FBF" w:rsidP="00DF1FBF">
      <w:pPr>
        <w:spacing w:after="120"/>
        <w:jc w:val="center"/>
        <w:rPr>
          <w:rFonts w:eastAsia="Arial Unicode MS" w:cs="Arial Unicode MS"/>
          <w:b/>
          <w:bCs/>
          <w:color w:val="000000"/>
          <w:bdr w:val="none" w:sz="0" w:space="0" w:color="auto" w:frame="1"/>
        </w:rPr>
      </w:pPr>
      <w:r>
        <w:rPr>
          <w:rFonts w:eastAsia="Arial Unicode MS" w:cs="Arial Unicode MS"/>
          <w:b/>
          <w:bCs/>
          <w:color w:val="000000"/>
          <w:bdr w:val="none" w:sz="0" w:space="0" w:color="auto" w:frame="1"/>
        </w:rPr>
        <w:t>Table 6: Consumption of HCFC-141b pre-blended in polyol by Group 3 companies</w:t>
      </w:r>
    </w:p>
    <w:tbl>
      <w:tblPr>
        <w:tblW w:w="9636" w:type="dxa"/>
        <w:jc w:val="center"/>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2263"/>
        <w:gridCol w:w="2266"/>
        <w:gridCol w:w="852"/>
        <w:gridCol w:w="851"/>
        <w:gridCol w:w="851"/>
        <w:gridCol w:w="851"/>
        <w:gridCol w:w="851"/>
        <w:gridCol w:w="851"/>
      </w:tblGrid>
      <w:tr w:rsidR="00DF1FBF" w:rsidTr="00DF1FBF">
        <w:trPr>
          <w:trHeight w:val="222"/>
          <w:tblHeader/>
          <w:jc w:val="center"/>
        </w:trPr>
        <w:tc>
          <w:tcPr>
            <w:tcW w:w="2264" w:type="dxa"/>
            <w:vMerge w:val="restart"/>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Company</w:t>
            </w:r>
          </w:p>
        </w:tc>
        <w:tc>
          <w:tcPr>
            <w:tcW w:w="2265" w:type="dxa"/>
            <w:vMerge w:val="restart"/>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Sector</w:t>
            </w:r>
          </w:p>
        </w:tc>
        <w:tc>
          <w:tcPr>
            <w:tcW w:w="5107" w:type="dxa"/>
            <w:gridSpan w:val="6"/>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rPr>
            </w:pPr>
            <w:r>
              <w:rPr>
                <w:rFonts w:eastAsia="Arial Unicode MS" w:cs="Arial Unicode MS"/>
                <w:b/>
                <w:bCs/>
                <w:color w:val="000000"/>
                <w:sz w:val="20"/>
                <w:szCs w:val="20"/>
                <w:bdr w:val="none" w:sz="0" w:space="0" w:color="auto" w:frame="1"/>
              </w:rPr>
              <w:t>Consumption (MT of HCFC-141b)</w:t>
            </w:r>
          </w:p>
        </w:tc>
      </w:tr>
      <w:tr w:rsidR="00DF1FBF" w:rsidTr="00DF1FBF">
        <w:trPr>
          <w:trHeight w:val="222"/>
          <w:tblHeader/>
          <w:jc w:val="center"/>
        </w:trPr>
        <w:tc>
          <w:tcPr>
            <w:tcW w:w="4530" w:type="dxa"/>
            <w:vMerge/>
            <w:tcBorders>
              <w:top w:val="single" w:sz="4" w:space="0" w:color="000000"/>
              <w:left w:val="single" w:sz="4" w:space="0" w:color="000000"/>
              <w:bottom w:val="single" w:sz="4" w:space="0" w:color="000000"/>
              <w:right w:val="single" w:sz="4" w:space="0" w:color="000000"/>
            </w:tcBorders>
            <w:shd w:val="clear" w:color="auto" w:fill="4F81BD"/>
            <w:vAlign w:val="center"/>
            <w:hideMark/>
          </w:tcPr>
          <w:p w:rsidR="00DF1FBF" w:rsidRDefault="00DF1FBF">
            <w:pPr>
              <w:rPr>
                <w:rFonts w:ascii="Helvetica" w:eastAsia="Arial Unicode MS" w:hAnsi="Helvetica" w:cs="Arial Unicode MS"/>
                <w:color w:val="000000"/>
                <w:bdr w:val="none" w:sz="0" w:space="0" w:color="auto" w:frame="1"/>
                <w:lang w:val="es-ES_tradnl"/>
              </w:rPr>
            </w:pPr>
          </w:p>
        </w:tc>
        <w:tc>
          <w:tcPr>
            <w:tcW w:w="2265" w:type="dxa"/>
            <w:vMerge/>
            <w:tcBorders>
              <w:top w:val="single" w:sz="4" w:space="0" w:color="000000"/>
              <w:left w:val="single" w:sz="4" w:space="0" w:color="000000"/>
              <w:bottom w:val="single" w:sz="4" w:space="0" w:color="000000"/>
              <w:right w:val="single" w:sz="4" w:space="0" w:color="000000"/>
            </w:tcBorders>
            <w:shd w:val="clear" w:color="auto" w:fill="4F81BD"/>
            <w:vAlign w:val="center"/>
            <w:hideMark/>
          </w:tcPr>
          <w:p w:rsidR="00DF1FBF" w:rsidRDefault="00DF1FBF">
            <w:pPr>
              <w:rPr>
                <w:rFonts w:ascii="Helvetica" w:eastAsia="Arial Unicode MS" w:hAnsi="Helvetica" w:cs="Arial Unicode MS"/>
                <w:color w:val="000000"/>
                <w:bdr w:val="none" w:sz="0" w:space="0" w:color="auto" w:frame="1"/>
                <w:lang w:val="es-ES_tradnl"/>
              </w:rPr>
            </w:pPr>
          </w:p>
        </w:tc>
        <w:tc>
          <w:tcPr>
            <w:tcW w:w="85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2007</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2008</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2009</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2010</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2011</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2012</w:t>
            </w:r>
          </w:p>
        </w:tc>
      </w:tr>
      <w:tr w:rsidR="00DF1FBF" w:rsidTr="00DF1FBF">
        <w:trPr>
          <w:trHeight w:val="222"/>
          <w:jc w:val="center"/>
        </w:trPr>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proofErr w:type="spellStart"/>
            <w:r>
              <w:rPr>
                <w:rFonts w:eastAsia="Arial Unicode MS" w:cs="Arial Unicode MS"/>
                <w:color w:val="000000"/>
                <w:sz w:val="20"/>
                <w:szCs w:val="20"/>
                <w:bdr w:val="none" w:sz="0" w:space="0" w:color="auto" w:frame="1"/>
              </w:rPr>
              <w:t>Draxlmaier</w:t>
            </w:r>
            <w:proofErr w:type="spellEnd"/>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 xml:space="preserve">Flexible </w:t>
            </w:r>
            <w:proofErr w:type="spellStart"/>
            <w:r>
              <w:rPr>
                <w:rFonts w:eastAsia="Arial Unicode MS" w:cs="Arial Unicode MS"/>
                <w:color w:val="000000"/>
                <w:sz w:val="20"/>
                <w:szCs w:val="20"/>
                <w:bdr w:val="none" w:sz="0" w:space="0" w:color="auto" w:frame="1"/>
              </w:rPr>
              <w:t>molded</w:t>
            </w:r>
            <w:proofErr w:type="spellEnd"/>
            <w:r>
              <w:rPr>
                <w:rFonts w:eastAsia="Arial Unicode MS" w:cs="Arial Unicode MS"/>
                <w:color w:val="000000"/>
                <w:sz w:val="20"/>
                <w:szCs w:val="20"/>
                <w:bdr w:val="none" w:sz="0" w:space="0" w:color="auto" w:frame="1"/>
              </w:rPr>
              <w:t xml:space="preserve"> foam</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2.32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4.26</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3.21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4.51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6.42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2.64</w:t>
            </w:r>
          </w:p>
        </w:tc>
      </w:tr>
      <w:tr w:rsidR="00DF1FBF" w:rsidTr="00DF1FBF">
        <w:trPr>
          <w:trHeight w:val="222"/>
          <w:jc w:val="center"/>
        </w:trPr>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proofErr w:type="spellStart"/>
            <w:r>
              <w:rPr>
                <w:rFonts w:eastAsia="Arial Unicode MS" w:cs="Arial Unicode MS"/>
                <w:color w:val="000000"/>
                <w:sz w:val="20"/>
                <w:szCs w:val="20"/>
                <w:bdr w:val="none" w:sz="0" w:space="0" w:color="auto" w:frame="1"/>
              </w:rPr>
              <w:t>Almia</w:t>
            </w:r>
            <w:proofErr w:type="spellEnd"/>
            <w:r>
              <w:rPr>
                <w:rFonts w:eastAsia="Arial Unicode MS" w:cs="Arial Unicode MS"/>
                <w:color w:val="000000"/>
                <w:sz w:val="20"/>
                <w:szCs w:val="20"/>
                <w:bdr w:val="none" w:sz="0" w:space="0" w:color="auto" w:frame="1"/>
              </w:rPr>
              <w:t xml:space="preserve"> Refrigeration</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Refrigerator insulation</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2.72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3.02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1.67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1.92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2.21</w:t>
            </w:r>
          </w:p>
        </w:tc>
      </w:tr>
      <w:tr w:rsidR="00DF1FBF" w:rsidTr="00DF1FBF">
        <w:trPr>
          <w:trHeight w:val="222"/>
          <w:jc w:val="center"/>
        </w:trPr>
        <w:tc>
          <w:tcPr>
            <w:tcW w:w="453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Total Consumption</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2.32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6.98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6.23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6.18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8.34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4.85</w:t>
            </w:r>
          </w:p>
        </w:tc>
      </w:tr>
    </w:tbl>
    <w:p w:rsidR="00DF1FBF" w:rsidRDefault="00DF1FBF" w:rsidP="00DF1FBF">
      <w:pPr>
        <w:keepNext/>
        <w:keepLines/>
        <w:spacing w:after="120"/>
        <w:jc w:val="center"/>
        <w:rPr>
          <w:b/>
          <w:bCs/>
          <w:color w:val="000000"/>
          <w:sz w:val="20"/>
          <w:szCs w:val="20"/>
          <w:bdr w:val="none" w:sz="0" w:space="0" w:color="auto" w:frame="1"/>
        </w:rPr>
      </w:pPr>
    </w:p>
    <w:p w:rsidR="00DF1FBF" w:rsidRDefault="00DF1FBF" w:rsidP="00DF1FBF">
      <w:pPr>
        <w:rPr>
          <w:color w:val="000000"/>
          <w:kern w:val="2"/>
          <w:sz w:val="24"/>
          <w:szCs w:val="24"/>
          <w:bdr w:val="none" w:sz="0" w:space="0" w:color="auto" w:frame="1"/>
          <w:lang w:val="es-ES_tradnl"/>
        </w:rPr>
      </w:pPr>
    </w:p>
    <w:p w:rsidR="00DF1FBF" w:rsidRDefault="00DF1FBF" w:rsidP="00650B21">
      <w:pPr>
        <w:numPr>
          <w:ilvl w:val="0"/>
          <w:numId w:val="20"/>
        </w:numPr>
        <w:autoSpaceDN w:val="0"/>
        <w:rPr>
          <w:color w:val="000000"/>
          <w:kern w:val="2"/>
          <w:bdr w:val="none" w:sz="0" w:space="0" w:color="auto" w:frame="1"/>
          <w:lang w:val="en-US"/>
        </w:rPr>
      </w:pPr>
      <w:r>
        <w:rPr>
          <w:rFonts w:eastAsia="Arial Unicode MS" w:cs="Arial Unicode MS"/>
          <w:color w:val="000000"/>
          <w:kern w:val="2"/>
          <w:bdr w:val="none" w:sz="0" w:space="0" w:color="auto" w:frame="1"/>
        </w:rPr>
        <w:t>Companies which used HCFC-141b pre-blended in polyol during the period 2007-2012 but they do not do so anymore:</w:t>
      </w:r>
    </w:p>
    <w:p w:rsidR="00DF1FBF" w:rsidRDefault="00DF1FBF" w:rsidP="00DF1FBF">
      <w:pPr>
        <w:rPr>
          <w:color w:val="000000"/>
          <w:kern w:val="2"/>
          <w:bdr w:val="none" w:sz="0" w:space="0" w:color="auto" w:frame="1"/>
        </w:rPr>
      </w:pPr>
    </w:p>
    <w:p w:rsidR="00DF1FBF" w:rsidRDefault="00DF1FBF" w:rsidP="00DF1FBF">
      <w:pPr>
        <w:spacing w:after="120"/>
        <w:jc w:val="center"/>
        <w:rPr>
          <w:rFonts w:eastAsia="Arial Unicode MS" w:cs="Arial Unicode MS"/>
          <w:b/>
          <w:bCs/>
          <w:color w:val="000000"/>
          <w:bdr w:val="none" w:sz="0" w:space="0" w:color="auto" w:frame="1"/>
        </w:rPr>
      </w:pPr>
      <w:r>
        <w:rPr>
          <w:rFonts w:eastAsia="Arial Unicode MS" w:cs="Arial Unicode MS"/>
          <w:b/>
          <w:bCs/>
          <w:color w:val="000000"/>
          <w:bdr w:val="none" w:sz="0" w:space="0" w:color="auto" w:frame="1"/>
        </w:rPr>
        <w:t>Table 7: Consumption of HCFC-141b pre-blended in polyol by Group 4 companies</w:t>
      </w:r>
    </w:p>
    <w:tbl>
      <w:tblPr>
        <w:tblW w:w="9636" w:type="dxa"/>
        <w:jc w:val="center"/>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2263"/>
        <w:gridCol w:w="2266"/>
        <w:gridCol w:w="852"/>
        <w:gridCol w:w="851"/>
        <w:gridCol w:w="851"/>
        <w:gridCol w:w="851"/>
        <w:gridCol w:w="851"/>
        <w:gridCol w:w="851"/>
      </w:tblGrid>
      <w:tr w:rsidR="00DF1FBF" w:rsidTr="00DF1FBF">
        <w:trPr>
          <w:trHeight w:val="222"/>
          <w:tblHeader/>
          <w:jc w:val="center"/>
        </w:trPr>
        <w:tc>
          <w:tcPr>
            <w:tcW w:w="2264" w:type="dxa"/>
            <w:vMerge w:val="restart"/>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Company</w:t>
            </w:r>
          </w:p>
        </w:tc>
        <w:tc>
          <w:tcPr>
            <w:tcW w:w="2265" w:type="dxa"/>
            <w:vMerge w:val="restart"/>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Sector</w:t>
            </w:r>
          </w:p>
        </w:tc>
        <w:tc>
          <w:tcPr>
            <w:tcW w:w="5107" w:type="dxa"/>
            <w:gridSpan w:val="6"/>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rPr>
            </w:pPr>
            <w:r>
              <w:rPr>
                <w:rFonts w:eastAsia="Arial Unicode MS" w:cs="Arial Unicode MS"/>
                <w:b/>
                <w:bCs/>
                <w:color w:val="000000"/>
                <w:sz w:val="20"/>
                <w:szCs w:val="20"/>
                <w:bdr w:val="none" w:sz="0" w:space="0" w:color="auto" w:frame="1"/>
              </w:rPr>
              <w:t>Consumption (MT of HCFC-141b)</w:t>
            </w:r>
          </w:p>
        </w:tc>
      </w:tr>
      <w:tr w:rsidR="00DF1FBF" w:rsidTr="00DF1FBF">
        <w:trPr>
          <w:trHeight w:val="222"/>
          <w:tblHeader/>
          <w:jc w:val="center"/>
        </w:trPr>
        <w:tc>
          <w:tcPr>
            <w:tcW w:w="4530" w:type="dxa"/>
            <w:vMerge/>
            <w:tcBorders>
              <w:top w:val="single" w:sz="4" w:space="0" w:color="000000"/>
              <w:left w:val="single" w:sz="4" w:space="0" w:color="000000"/>
              <w:bottom w:val="single" w:sz="4" w:space="0" w:color="000000"/>
              <w:right w:val="single" w:sz="4" w:space="0" w:color="000000"/>
            </w:tcBorders>
            <w:shd w:val="clear" w:color="auto" w:fill="4F81BD"/>
            <w:vAlign w:val="center"/>
            <w:hideMark/>
          </w:tcPr>
          <w:p w:rsidR="00DF1FBF" w:rsidRDefault="00DF1FBF">
            <w:pPr>
              <w:rPr>
                <w:rFonts w:ascii="Helvetica" w:eastAsia="Arial Unicode MS" w:hAnsi="Helvetica" w:cs="Arial Unicode MS"/>
                <w:color w:val="000000"/>
                <w:bdr w:val="none" w:sz="0" w:space="0" w:color="auto" w:frame="1"/>
                <w:lang w:val="es-ES_tradnl"/>
              </w:rPr>
            </w:pPr>
          </w:p>
        </w:tc>
        <w:tc>
          <w:tcPr>
            <w:tcW w:w="2265" w:type="dxa"/>
            <w:vMerge/>
            <w:tcBorders>
              <w:top w:val="single" w:sz="4" w:space="0" w:color="000000"/>
              <w:left w:val="single" w:sz="4" w:space="0" w:color="000000"/>
              <w:bottom w:val="single" w:sz="4" w:space="0" w:color="000000"/>
              <w:right w:val="single" w:sz="4" w:space="0" w:color="000000"/>
            </w:tcBorders>
            <w:shd w:val="clear" w:color="auto" w:fill="4F81BD"/>
            <w:vAlign w:val="center"/>
            <w:hideMark/>
          </w:tcPr>
          <w:p w:rsidR="00DF1FBF" w:rsidRDefault="00DF1FBF">
            <w:pPr>
              <w:rPr>
                <w:rFonts w:ascii="Helvetica" w:eastAsia="Arial Unicode MS" w:hAnsi="Helvetica" w:cs="Arial Unicode MS"/>
                <w:color w:val="000000"/>
                <w:bdr w:val="none" w:sz="0" w:space="0" w:color="auto" w:frame="1"/>
                <w:lang w:val="es-ES_tradnl"/>
              </w:rPr>
            </w:pPr>
          </w:p>
        </w:tc>
        <w:tc>
          <w:tcPr>
            <w:tcW w:w="85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2007</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2008</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2009</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2010</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2011</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2012</w:t>
            </w:r>
          </w:p>
        </w:tc>
      </w:tr>
      <w:tr w:rsidR="00DF1FBF" w:rsidTr="00DF1FBF">
        <w:trPr>
          <w:trHeight w:val="222"/>
          <w:jc w:val="center"/>
        </w:trPr>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SNCI</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Sandwich panels</w:t>
            </w:r>
          </w:p>
        </w:tc>
        <w:tc>
          <w:tcPr>
            <w:tcW w:w="85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108.38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127.50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112.50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75.00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0.00</w:t>
            </w:r>
          </w:p>
        </w:tc>
      </w:tr>
      <w:tr w:rsidR="00DF1FBF" w:rsidTr="00DF1FBF">
        <w:trPr>
          <w:trHeight w:val="222"/>
          <w:jc w:val="center"/>
        </w:trPr>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Soften</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Water Heaters</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7.01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7.01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7.01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7.01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0.00</w:t>
            </w:r>
          </w:p>
        </w:tc>
      </w:tr>
      <w:tr w:rsidR="00DF1FBF" w:rsidTr="00DF1FBF">
        <w:trPr>
          <w:trHeight w:val="222"/>
          <w:jc w:val="center"/>
        </w:trPr>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proofErr w:type="spellStart"/>
            <w:r>
              <w:rPr>
                <w:rFonts w:eastAsia="Arial Unicode MS" w:cs="Arial Unicode MS"/>
                <w:color w:val="000000"/>
                <w:sz w:val="20"/>
                <w:szCs w:val="20"/>
                <w:bdr w:val="none" w:sz="0" w:space="0" w:color="auto" w:frame="1"/>
              </w:rPr>
              <w:t>Sofrifac</w:t>
            </w:r>
            <w:proofErr w:type="spellEnd"/>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Sandwich panels</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0.75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1.20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1.50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2.25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0.00</w:t>
            </w:r>
          </w:p>
        </w:tc>
      </w:tr>
      <w:tr w:rsidR="00DF1FBF" w:rsidTr="00DF1FBF">
        <w:trPr>
          <w:trHeight w:val="442"/>
          <w:jc w:val="center"/>
        </w:trPr>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Biome Solar Industry (BSI)</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Water Heaters</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0.23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0.63</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1.47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1.80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0.00</w:t>
            </w:r>
          </w:p>
        </w:tc>
      </w:tr>
      <w:tr w:rsidR="00DF1FBF" w:rsidTr="00DF1FBF">
        <w:trPr>
          <w:trHeight w:val="222"/>
          <w:jc w:val="center"/>
        </w:trPr>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proofErr w:type="spellStart"/>
            <w:r>
              <w:rPr>
                <w:rFonts w:eastAsia="Arial Unicode MS" w:cs="Arial Unicode MS"/>
                <w:color w:val="000000"/>
                <w:sz w:val="20"/>
                <w:szCs w:val="20"/>
                <w:bdr w:val="none" w:sz="0" w:space="0" w:color="auto" w:frame="1"/>
              </w:rPr>
              <w:t>Polymex</w:t>
            </w:r>
            <w:proofErr w:type="spellEnd"/>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Wood imitation</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0.90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0.90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0.90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0.90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0.00</w:t>
            </w:r>
          </w:p>
        </w:tc>
      </w:tr>
      <w:tr w:rsidR="00DF1FBF" w:rsidTr="00DF1FBF">
        <w:trPr>
          <w:trHeight w:val="222"/>
          <w:jc w:val="center"/>
        </w:trPr>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proofErr w:type="spellStart"/>
            <w:r>
              <w:rPr>
                <w:rFonts w:eastAsia="Arial Unicode MS" w:cs="Arial Unicode MS"/>
                <w:color w:val="000000"/>
                <w:sz w:val="20"/>
                <w:szCs w:val="20"/>
                <w:bdr w:val="none" w:sz="0" w:space="0" w:color="auto" w:frame="1"/>
              </w:rPr>
              <w:t>Technochem</w:t>
            </w:r>
            <w:proofErr w:type="spellEnd"/>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Sandwich panels</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2.82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3.12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16.25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0.00</w:t>
            </w:r>
          </w:p>
        </w:tc>
      </w:tr>
      <w:tr w:rsidR="00DF1FBF" w:rsidTr="00DF1FBF">
        <w:trPr>
          <w:trHeight w:val="222"/>
          <w:jc w:val="center"/>
        </w:trPr>
        <w:tc>
          <w:tcPr>
            <w:tcW w:w="453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Total Consumption</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11.70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121.23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154.63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124.46</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75.00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0.00</w:t>
            </w:r>
          </w:p>
        </w:tc>
      </w:tr>
    </w:tbl>
    <w:p w:rsidR="00DF1FBF" w:rsidRDefault="00DF1FBF" w:rsidP="00DF1FBF">
      <w:pPr>
        <w:keepNext/>
        <w:keepLines/>
        <w:spacing w:after="120"/>
        <w:jc w:val="center"/>
        <w:rPr>
          <w:b/>
          <w:bCs/>
          <w:color w:val="000000"/>
          <w:sz w:val="20"/>
          <w:szCs w:val="20"/>
          <w:bdr w:val="none" w:sz="0" w:space="0" w:color="auto" w:frame="1"/>
        </w:rPr>
      </w:pPr>
    </w:p>
    <w:p w:rsidR="00DF1FBF" w:rsidRDefault="00DF1FBF" w:rsidP="00DF1FBF">
      <w:pPr>
        <w:rPr>
          <w:color w:val="000000"/>
          <w:kern w:val="2"/>
          <w:sz w:val="24"/>
          <w:szCs w:val="24"/>
          <w:bdr w:val="none" w:sz="0" w:space="0" w:color="auto" w:frame="1"/>
        </w:rPr>
      </w:pPr>
      <w:r>
        <w:rPr>
          <w:rFonts w:eastAsia="Arial Unicode MS" w:cs="Arial Unicode MS"/>
          <w:color w:val="000000"/>
          <w:kern w:val="2"/>
          <w:bdr w:val="none" w:sz="0" w:space="0" w:color="auto" w:frame="1"/>
        </w:rPr>
        <w:t>Taking into account the data in the tables above, the following table shows the annual consumption of HCFC-141b in pre-blended polyol for the period 2007-2012 in Tunisia:</w:t>
      </w:r>
    </w:p>
    <w:p w:rsidR="00DF1FBF" w:rsidRDefault="00DF1FBF" w:rsidP="00DF1FBF">
      <w:pPr>
        <w:rPr>
          <w:color w:val="000000"/>
          <w:kern w:val="2"/>
          <w:bdr w:val="none" w:sz="0" w:space="0" w:color="auto" w:frame="1"/>
        </w:rPr>
      </w:pPr>
    </w:p>
    <w:p w:rsidR="00DF1FBF" w:rsidRDefault="00DF1FBF" w:rsidP="00DF1FBF">
      <w:pPr>
        <w:spacing w:after="120"/>
        <w:jc w:val="center"/>
        <w:rPr>
          <w:rFonts w:eastAsia="Arial Unicode MS" w:cs="Arial Unicode MS"/>
          <w:b/>
          <w:bCs/>
          <w:color w:val="000000"/>
          <w:bdr w:val="none" w:sz="0" w:space="0" w:color="auto" w:frame="1"/>
        </w:rPr>
      </w:pPr>
      <w:r>
        <w:rPr>
          <w:rFonts w:eastAsia="Arial Unicode MS" w:cs="Arial Unicode MS"/>
          <w:b/>
          <w:bCs/>
          <w:color w:val="000000"/>
          <w:bdr w:val="none" w:sz="0" w:space="0" w:color="auto" w:frame="1"/>
        </w:rPr>
        <w:t>Table 8: HCFC consumption in the foam manufacturing sector</w:t>
      </w:r>
    </w:p>
    <w:tbl>
      <w:tblPr>
        <w:tblW w:w="9144" w:type="dxa"/>
        <w:jc w:val="center"/>
        <w:tblInd w:w="6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1447"/>
        <w:gridCol w:w="1282"/>
        <w:gridCol w:w="1282"/>
        <w:gridCol w:w="1283"/>
        <w:gridCol w:w="1283"/>
        <w:gridCol w:w="1283"/>
        <w:gridCol w:w="1284"/>
      </w:tblGrid>
      <w:tr w:rsidR="00DF1FBF" w:rsidTr="00DF1FBF">
        <w:trPr>
          <w:trHeight w:val="222"/>
          <w:tblHeader/>
          <w:jc w:val="center"/>
        </w:trPr>
        <w:tc>
          <w:tcPr>
            <w:tcW w:w="1447" w:type="dxa"/>
            <w:vMerge w:val="restart"/>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Substance</w:t>
            </w:r>
          </w:p>
        </w:tc>
        <w:tc>
          <w:tcPr>
            <w:tcW w:w="7692" w:type="dxa"/>
            <w:gridSpan w:val="6"/>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bottom"/>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Consumption (MT)</w:t>
            </w:r>
          </w:p>
        </w:tc>
      </w:tr>
      <w:tr w:rsidR="00DF1FBF" w:rsidTr="00DF1FBF">
        <w:trPr>
          <w:trHeight w:val="222"/>
          <w:tblHeader/>
          <w:jc w:val="center"/>
        </w:trPr>
        <w:tc>
          <w:tcPr>
            <w:tcW w:w="1447" w:type="dxa"/>
            <w:vMerge/>
            <w:tcBorders>
              <w:top w:val="single" w:sz="4" w:space="0" w:color="000000"/>
              <w:left w:val="single" w:sz="4" w:space="0" w:color="000000"/>
              <w:bottom w:val="single" w:sz="4" w:space="0" w:color="000000"/>
              <w:right w:val="single" w:sz="4" w:space="0" w:color="000000"/>
            </w:tcBorders>
            <w:shd w:val="clear" w:color="auto" w:fill="4F81BD"/>
            <w:vAlign w:val="center"/>
            <w:hideMark/>
          </w:tcPr>
          <w:p w:rsidR="00DF1FBF" w:rsidRDefault="00DF1FBF">
            <w:pPr>
              <w:rPr>
                <w:rFonts w:ascii="Helvetica" w:eastAsia="Arial Unicode MS" w:hAnsi="Helvetica" w:cs="Arial Unicode MS"/>
                <w:color w:val="000000"/>
                <w:bdr w:val="none" w:sz="0" w:space="0" w:color="auto" w:frame="1"/>
                <w:lang w:val="es-ES_tradnl"/>
              </w:rPr>
            </w:pPr>
          </w:p>
        </w:tc>
        <w:tc>
          <w:tcPr>
            <w:tcW w:w="128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bottom"/>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2007</w:t>
            </w:r>
          </w:p>
        </w:tc>
        <w:tc>
          <w:tcPr>
            <w:tcW w:w="128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bottom"/>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2008</w:t>
            </w:r>
          </w:p>
        </w:tc>
        <w:tc>
          <w:tcPr>
            <w:tcW w:w="128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bottom"/>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2009</w:t>
            </w:r>
          </w:p>
        </w:tc>
        <w:tc>
          <w:tcPr>
            <w:tcW w:w="128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bottom"/>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2010</w:t>
            </w:r>
          </w:p>
        </w:tc>
        <w:tc>
          <w:tcPr>
            <w:tcW w:w="128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bottom"/>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2011</w:t>
            </w:r>
          </w:p>
        </w:tc>
        <w:tc>
          <w:tcPr>
            <w:tcW w:w="128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bottom"/>
            <w:hideMark/>
          </w:tcPr>
          <w:p w:rsidR="00DF1FBF" w:rsidRDefault="00DF1FBF">
            <w:pPr>
              <w:keepNext/>
              <w:keepLines/>
              <w:autoSpaceDN w:val="0"/>
              <w:spacing w:before="40"/>
              <w:jc w:val="center"/>
              <w:rPr>
                <w:rFonts w:ascii="Helvetica" w:eastAsia="Arial Unicode MS" w:hAnsi="Helvetica" w:cs="Arial Unicode MS"/>
                <w:color w:val="000000"/>
                <w:bdr w:val="none" w:sz="0" w:space="0" w:color="auto" w:frame="1"/>
                <w:lang w:val="es-ES_tradnl"/>
              </w:rPr>
            </w:pPr>
            <w:r>
              <w:rPr>
                <w:rFonts w:eastAsia="Arial Unicode MS" w:cs="Arial Unicode MS"/>
                <w:b/>
                <w:bCs/>
                <w:color w:val="000000"/>
                <w:sz w:val="20"/>
                <w:szCs w:val="20"/>
                <w:bdr w:val="none" w:sz="0" w:space="0" w:color="auto" w:frame="1"/>
              </w:rPr>
              <w:t>2012</w:t>
            </w:r>
          </w:p>
        </w:tc>
      </w:tr>
      <w:tr w:rsidR="00DF1FBF" w:rsidTr="00DF1FBF">
        <w:trPr>
          <w:trHeight w:val="222"/>
          <w:jc w:val="center"/>
        </w:trPr>
        <w:tc>
          <w:tcPr>
            <w:tcW w:w="14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F1FBF" w:rsidRDefault="00DF1FBF">
            <w:pPr>
              <w:autoSpaceDN w:val="0"/>
              <w:spacing w:before="40"/>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HCFC-141b</w:t>
            </w:r>
          </w:p>
        </w:tc>
        <w:tc>
          <w:tcPr>
            <w:tcW w:w="12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53.92</w:t>
            </w:r>
          </w:p>
        </w:tc>
        <w:tc>
          <w:tcPr>
            <w:tcW w:w="12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173.55</w:t>
            </w:r>
          </w:p>
        </w:tc>
        <w:tc>
          <w:tcPr>
            <w:tcW w:w="12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212.73</w:t>
            </w:r>
          </w:p>
        </w:tc>
        <w:tc>
          <w:tcPr>
            <w:tcW w:w="12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187.20</w:t>
            </w:r>
          </w:p>
        </w:tc>
        <w:tc>
          <w:tcPr>
            <w:tcW w:w="12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126.96</w:t>
            </w:r>
          </w:p>
        </w:tc>
        <w:tc>
          <w:tcPr>
            <w:tcW w:w="12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hideMark/>
          </w:tcPr>
          <w:p w:rsidR="00DF1FBF" w:rsidRDefault="00DF1FBF">
            <w:pPr>
              <w:autoSpaceDN w:val="0"/>
              <w:spacing w:before="40"/>
              <w:jc w:val="right"/>
              <w:rPr>
                <w:rFonts w:ascii="Helvetica" w:eastAsia="Arial Unicode MS" w:hAnsi="Helvetica" w:cs="Arial Unicode MS"/>
                <w:color w:val="000000"/>
                <w:bdr w:val="none" w:sz="0" w:space="0" w:color="auto" w:frame="1"/>
                <w:lang w:val="es-ES_tradnl"/>
              </w:rPr>
            </w:pPr>
            <w:r>
              <w:rPr>
                <w:rFonts w:eastAsia="Arial Unicode MS" w:cs="Arial Unicode MS"/>
                <w:color w:val="000000"/>
                <w:sz w:val="20"/>
                <w:szCs w:val="20"/>
                <w:bdr w:val="none" w:sz="0" w:space="0" w:color="auto" w:frame="1"/>
              </w:rPr>
              <w:t>74.72</w:t>
            </w:r>
          </w:p>
        </w:tc>
      </w:tr>
    </w:tbl>
    <w:p w:rsidR="00DF1FBF" w:rsidRDefault="00DF1FBF" w:rsidP="00DF1FBF">
      <w:pPr>
        <w:keepNext/>
        <w:keepLines/>
        <w:spacing w:after="120"/>
        <w:ind w:left="500" w:hanging="500"/>
        <w:jc w:val="center"/>
        <w:rPr>
          <w:b/>
          <w:bCs/>
          <w:color w:val="000000"/>
          <w:sz w:val="20"/>
          <w:szCs w:val="20"/>
          <w:bdr w:val="none" w:sz="0" w:space="0" w:color="auto" w:frame="1"/>
          <w:shd w:val="clear" w:color="auto" w:fill="FFFF00"/>
        </w:rPr>
      </w:pPr>
    </w:p>
    <w:p w:rsidR="00DF1FBF" w:rsidRDefault="00DF1FBF" w:rsidP="00650B21">
      <w:pPr>
        <w:numPr>
          <w:ilvl w:val="1"/>
          <w:numId w:val="14"/>
        </w:numPr>
        <w:autoSpaceDN w:val="0"/>
        <w:rPr>
          <w:rFonts w:eastAsia="Arial Unicode MS" w:cs="Arial Unicode MS"/>
          <w:color w:val="000000"/>
          <w:kern w:val="2"/>
          <w:sz w:val="24"/>
          <w:szCs w:val="24"/>
          <w:bdr w:val="none" w:sz="0" w:space="0" w:color="auto" w:frame="1"/>
        </w:rPr>
      </w:pPr>
      <w:r>
        <w:rPr>
          <w:iCs/>
          <w:color w:val="000000"/>
          <w:u w:val="single" w:color="000000"/>
          <w:bdr w:val="none" w:sz="0" w:space="0" w:color="auto" w:frame="1"/>
        </w:rPr>
        <w:t>Activities for a project proposal</w:t>
      </w:r>
      <w:r>
        <w:rPr>
          <w:rFonts w:eastAsia="Arial Unicode MS" w:cs="Arial Unicode MS"/>
          <w:color w:val="000000"/>
          <w:kern w:val="2"/>
          <w:bdr w:val="none" w:sz="0" w:space="0" w:color="auto" w:frame="1"/>
        </w:rPr>
        <w:t xml:space="preserve"> </w:t>
      </w:r>
    </w:p>
    <w:p w:rsidR="00DF1FBF" w:rsidRDefault="00DF1FBF" w:rsidP="00DF1FBF">
      <w:pPr>
        <w:rPr>
          <w:rFonts w:eastAsia="Arial Unicode MS" w:cs="Arial Unicode MS"/>
          <w:color w:val="000000"/>
          <w:kern w:val="2"/>
          <w:bdr w:val="none" w:sz="0" w:space="0" w:color="auto" w:frame="1"/>
        </w:rPr>
      </w:pPr>
    </w:p>
    <w:p w:rsidR="00DF1FBF" w:rsidRDefault="00DF1FBF" w:rsidP="00DF1FBF">
      <w:pPr>
        <w:rPr>
          <w:rFonts w:eastAsia="Arial Unicode MS" w:cs="Arial Unicode MS"/>
          <w:color w:val="000000"/>
          <w:kern w:val="2"/>
          <w:bdr w:val="none" w:sz="0" w:space="0" w:color="auto" w:frame="1"/>
        </w:rPr>
      </w:pPr>
      <w:r>
        <w:rPr>
          <w:rFonts w:eastAsia="Arial Unicode MS" w:cs="Arial Unicode MS"/>
          <w:color w:val="000000"/>
          <w:kern w:val="2"/>
          <w:bdr w:val="none" w:sz="0" w:space="0" w:color="auto" w:frame="1"/>
        </w:rPr>
        <w:t xml:space="preserve">The preparatory activities that will be undertaken to develop a project proposal for the conversion of these enterprises are those indicated in section 3.3 above and, as previously explained, they include a survey for updating the information on consumption contained in tables 3 to 8. </w:t>
      </w:r>
    </w:p>
    <w:p w:rsidR="00DF1FBF" w:rsidRDefault="00DF1FBF" w:rsidP="00DF1FBF">
      <w:pPr>
        <w:jc w:val="center"/>
        <w:rPr>
          <w:rFonts w:cs="Courier New"/>
        </w:rPr>
      </w:pPr>
    </w:p>
    <w:p w:rsidR="00DF1FBF" w:rsidRDefault="00DF1FBF" w:rsidP="00DF1FBF">
      <w:pPr>
        <w:jc w:val="center"/>
        <w:rPr>
          <w:rFonts w:cs="Courier New"/>
        </w:rPr>
      </w:pPr>
    </w:p>
    <w:p w:rsidR="00DF1FBF" w:rsidRDefault="00DF1FBF" w:rsidP="00DF1FBF">
      <w:pPr>
        <w:jc w:val="center"/>
        <w:rPr>
          <w:rFonts w:cs="Courier New"/>
        </w:rPr>
      </w:pPr>
    </w:p>
    <w:p w:rsidR="00DF1FBF" w:rsidRDefault="00DF1FBF" w:rsidP="00DF1FBF">
      <w:pPr>
        <w:jc w:val="center"/>
        <w:rPr>
          <w:b/>
        </w:rPr>
      </w:pPr>
      <w:r>
        <w:rPr>
          <w:b/>
        </w:rPr>
        <w:t>Project Concept</w:t>
      </w:r>
    </w:p>
    <w:p w:rsidR="00DF1FBF" w:rsidRDefault="00DF1FBF" w:rsidP="00DF1FBF">
      <w:pPr>
        <w:tabs>
          <w:tab w:val="left" w:pos="1418"/>
        </w:tabs>
      </w:pPr>
    </w:p>
    <w:p w:rsidR="00DF1FBF" w:rsidRDefault="00DF1FBF" w:rsidP="00DF1FBF">
      <w:pPr>
        <w:tabs>
          <w:tab w:val="left" w:pos="1418"/>
        </w:tabs>
      </w:pPr>
      <w:r>
        <w:rPr>
          <w:b/>
        </w:rPr>
        <w:t>Country:</w:t>
      </w:r>
      <w:r>
        <w:rPr>
          <w:b/>
        </w:rPr>
        <w:tab/>
      </w:r>
      <w:r>
        <w:rPr>
          <w:b/>
        </w:rPr>
        <w:tab/>
      </w:r>
      <w:r>
        <w:rPr>
          <w:b/>
        </w:rPr>
        <w:tab/>
      </w:r>
      <w:r>
        <w:rPr>
          <w:b/>
        </w:rPr>
        <w:tab/>
        <w:t>Ecuador</w:t>
      </w:r>
    </w:p>
    <w:p w:rsidR="00DF1FBF" w:rsidRDefault="00DF1FBF" w:rsidP="00DF1FBF"/>
    <w:p w:rsidR="00DF1FBF" w:rsidRDefault="00DF1FBF" w:rsidP="00DF1FBF">
      <w:pPr>
        <w:rPr>
          <w:sz w:val="27"/>
          <w:szCs w:val="27"/>
        </w:rPr>
      </w:pPr>
      <w:r>
        <w:rPr>
          <w:b/>
        </w:rPr>
        <w:t>Title:</w:t>
      </w:r>
      <w:r>
        <w:rPr>
          <w:b/>
        </w:rPr>
        <w:tab/>
      </w:r>
      <w:r>
        <w:rPr>
          <w:b/>
        </w:rPr>
        <w:tab/>
      </w:r>
      <w:r>
        <w:rPr>
          <w:b/>
        </w:rPr>
        <w:tab/>
      </w:r>
      <w:r>
        <w:rPr>
          <w:b/>
        </w:rPr>
        <w:tab/>
      </w:r>
      <w:r>
        <w:rPr>
          <w:sz w:val="27"/>
          <w:szCs w:val="27"/>
        </w:rPr>
        <w:t>Verification report of national consumption targets</w:t>
      </w:r>
    </w:p>
    <w:p w:rsidR="00DF1FBF" w:rsidRDefault="00DF1FBF" w:rsidP="00DF1FBF">
      <w:pPr>
        <w:ind w:left="1418" w:hanging="1418"/>
        <w:rPr>
          <w:sz w:val="24"/>
          <w:szCs w:val="24"/>
        </w:rPr>
      </w:pPr>
    </w:p>
    <w:p w:rsidR="00DF1FBF" w:rsidRDefault="00DF1FBF" w:rsidP="00DF1FBF">
      <w:r>
        <w:rPr>
          <w:b/>
        </w:rPr>
        <w:t>Project Duration:</w:t>
      </w:r>
      <w:r>
        <w:tab/>
      </w:r>
      <w:r>
        <w:tab/>
        <w:t>12 months</w:t>
      </w:r>
    </w:p>
    <w:p w:rsidR="00DF1FBF" w:rsidRDefault="00DF1FBF" w:rsidP="00DF1FBF"/>
    <w:p w:rsidR="00DF1FBF" w:rsidRDefault="00DF1FBF" w:rsidP="00DF1FBF">
      <w:pPr>
        <w:tabs>
          <w:tab w:val="left" w:pos="2835"/>
        </w:tabs>
        <w:ind w:left="3600" w:hanging="3600"/>
        <w:rPr>
          <w:b/>
        </w:rPr>
      </w:pPr>
      <w:r>
        <w:rPr>
          <w:b/>
        </w:rPr>
        <w:t>Project Budget:</w:t>
      </w:r>
      <w:r>
        <w:rPr>
          <w:b/>
        </w:rPr>
        <w:tab/>
      </w:r>
      <w:r>
        <w:t>US$ 30,000</w:t>
      </w:r>
      <w:r>
        <w:rPr>
          <w:b/>
        </w:rPr>
        <w:t xml:space="preserve"> </w:t>
      </w:r>
      <w:r>
        <w:t xml:space="preserve">(excl. 7% Agency Support Costs) </w:t>
      </w:r>
    </w:p>
    <w:p w:rsidR="00DF1FBF" w:rsidRDefault="00DF1FBF" w:rsidP="00DF1FBF"/>
    <w:p w:rsidR="00DF1FBF" w:rsidRDefault="00DF1FBF" w:rsidP="00DF1FBF">
      <w:pPr>
        <w:tabs>
          <w:tab w:val="left" w:pos="3544"/>
        </w:tabs>
      </w:pPr>
      <w:r>
        <w:rPr>
          <w:b/>
        </w:rPr>
        <w:t>Implementing Agency:</w:t>
      </w:r>
      <w:r>
        <w:t xml:space="preserve">       UNIDO</w:t>
      </w:r>
    </w:p>
    <w:p w:rsidR="00DF1FBF" w:rsidRDefault="00DF1FBF" w:rsidP="00DF1FBF"/>
    <w:p w:rsidR="00DF1FBF" w:rsidRDefault="00DF1FBF" w:rsidP="00DF1FBF">
      <w:pPr>
        <w:tabs>
          <w:tab w:val="left" w:pos="2835"/>
        </w:tabs>
        <w:ind w:left="3600" w:hanging="3600"/>
        <w:rPr>
          <w:lang w:val="es-ES"/>
        </w:rPr>
      </w:pPr>
      <w:proofErr w:type="spellStart"/>
      <w:r>
        <w:rPr>
          <w:b/>
          <w:lang w:val="es-ES"/>
        </w:rPr>
        <w:t>Coordinating</w:t>
      </w:r>
      <w:proofErr w:type="spellEnd"/>
      <w:r>
        <w:rPr>
          <w:b/>
          <w:lang w:val="es-ES"/>
        </w:rPr>
        <w:t xml:space="preserve"> Agency:</w:t>
      </w:r>
      <w:r>
        <w:rPr>
          <w:b/>
          <w:lang w:val="es-ES"/>
        </w:rPr>
        <w:tab/>
      </w:r>
      <w:r>
        <w:rPr>
          <w:lang w:val="es-ES"/>
        </w:rPr>
        <w:t>Unidad de Gestión Ambiental - MIPRO  - NOU</w:t>
      </w:r>
    </w:p>
    <w:p w:rsidR="00DF1FBF" w:rsidRDefault="00DF1FBF" w:rsidP="00DF1FBF">
      <w:pPr>
        <w:tabs>
          <w:tab w:val="left" w:pos="2835"/>
        </w:tabs>
        <w:ind w:left="3600" w:hanging="3600"/>
        <w:rPr>
          <w:lang w:val="es-ES"/>
        </w:rPr>
      </w:pPr>
    </w:p>
    <w:p w:rsidR="00DF1FBF" w:rsidRDefault="00DF1FBF" w:rsidP="00DF1FBF">
      <w:pPr>
        <w:spacing w:line="19" w:lineRule="exact"/>
        <w:rPr>
          <w:lang w:val="es-ES"/>
        </w:rPr>
      </w:pPr>
      <w:r>
        <w:rPr>
          <w:rFonts w:ascii="Times New Roman TUR" w:hAnsi="Times New Roman TUR"/>
          <w:noProof/>
          <w:lang w:val="en-US"/>
        </w:rPr>
        <mc:AlternateContent>
          <mc:Choice Requires="wps">
            <w:drawing>
              <wp:anchor distT="0" distB="0" distL="114300" distR="114300" simplePos="0" relativeHeight="251665408" behindDoc="1" locked="1" layoutInCell="0" allowOverlap="1">
                <wp:simplePos x="0" y="0"/>
                <wp:positionH relativeFrom="page">
                  <wp:posOffset>914400</wp:posOffset>
                </wp:positionH>
                <wp:positionV relativeFrom="paragraph">
                  <wp:posOffset>0</wp:posOffset>
                </wp:positionV>
                <wp:extent cx="5731510" cy="12065"/>
                <wp:effectExtent l="0" t="0" r="2540" b="698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1in;margin-top:0;width:451.3pt;height:.9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" o:allowincell="f" fillcolor="black" stroked="f" strokeweight="0">
                <w10:wrap anchorx="page"/>
                <w10:anchorlock/>
              </v:rect>
            </w:pict>
          </mc:Fallback>
        </mc:AlternateContent>
      </w:r>
    </w:p>
    <w:p w:rsidR="00DF1FBF" w:rsidRDefault="00DF1FBF" w:rsidP="00DF1FBF">
      <w:pPr>
        <w:ind w:left="720"/>
        <w:rPr>
          <w:lang w:val="es-ES"/>
        </w:rPr>
      </w:pPr>
    </w:p>
    <w:p w:rsidR="00DF1FBF" w:rsidRDefault="00DF1FBF" w:rsidP="00DF1FBF">
      <w:pPr>
        <w:tabs>
          <w:tab w:val="center" w:pos="4513"/>
        </w:tabs>
        <w:rPr>
          <w:b/>
          <w:bCs/>
        </w:rPr>
      </w:pPr>
      <w:r>
        <w:rPr>
          <w:lang w:val="es-ES"/>
        </w:rPr>
        <w:tab/>
      </w:r>
      <w:r>
        <w:rPr>
          <w:b/>
          <w:bCs/>
        </w:rPr>
        <w:t>Project Summary</w:t>
      </w:r>
    </w:p>
    <w:p w:rsidR="00DF1FBF" w:rsidRDefault="00DF1FBF" w:rsidP="00DF1FBF">
      <w:pPr>
        <w:tabs>
          <w:tab w:val="center" w:pos="4513"/>
        </w:tabs>
        <w:rPr>
          <w:b/>
          <w:bCs/>
        </w:rPr>
      </w:pPr>
    </w:p>
    <w:p w:rsidR="00DF1FBF" w:rsidRDefault="00DF1FBF" w:rsidP="00DF1FBF">
      <w:pPr>
        <w:tabs>
          <w:tab w:val="center" w:pos="4513"/>
        </w:tabs>
        <w:rPr>
          <w:b/>
          <w:bCs/>
        </w:rPr>
      </w:pPr>
    </w:p>
    <w:p w:rsidR="00DF1FBF" w:rsidRDefault="00DF1FBF" w:rsidP="00650B21">
      <w:pPr>
        <w:widowControl w:val="0"/>
        <w:numPr>
          <w:ilvl w:val="0"/>
          <w:numId w:val="21"/>
        </w:numPr>
        <w:autoSpaceDE w:val="0"/>
        <w:autoSpaceDN w:val="0"/>
        <w:adjustRightInd w:val="0"/>
        <w:jc w:val="left"/>
        <w:rPr>
          <w:lang w:val="en-US"/>
        </w:rPr>
      </w:pPr>
      <w:r>
        <w:t>Background</w:t>
      </w:r>
    </w:p>
    <w:p w:rsidR="00DF1FBF" w:rsidRDefault="00DF1FBF" w:rsidP="00DF1FBF"/>
    <w:p w:rsidR="00DF1FBF" w:rsidRDefault="00DF1FBF" w:rsidP="00DF1FBF">
      <w:r>
        <w:t>Funding requirement for the preparation of verification report of national program is being requested in accordance with UNEP/</w:t>
      </w:r>
      <w:proofErr w:type="spellStart"/>
      <w:r>
        <w:t>OzL.Pro</w:t>
      </w:r>
      <w:proofErr w:type="spellEnd"/>
      <w:r>
        <w:t>/ExCom/76/17.</w:t>
      </w:r>
    </w:p>
    <w:p w:rsidR="00DF1FBF" w:rsidRDefault="00DF1FBF" w:rsidP="00DF1FBF"/>
    <w:p w:rsidR="00DF1FBF" w:rsidRDefault="00DF1FBF" w:rsidP="00DF1FBF">
      <w:pPr>
        <w:rPr>
          <w:lang w:bidi="ar-EG"/>
        </w:rPr>
      </w:pPr>
      <w:r>
        <w:rPr>
          <w:lang w:bidi="ar-EG"/>
        </w:rPr>
        <w:t>The HCFC Phase-out Management Plan for Ecuador was approved in November 2011 at the 65</w:t>
      </w:r>
      <w:r>
        <w:rPr>
          <w:vertAlign w:val="superscript"/>
          <w:lang w:bidi="ar-EG"/>
        </w:rPr>
        <w:t>th</w:t>
      </w:r>
      <w:r>
        <w:rPr>
          <w:lang w:bidi="ar-EG"/>
        </w:rPr>
        <w:t xml:space="preserve"> Meeting of Executive Committee of the Multilateral Fund for the implementation of the Montreal Protocol. The project was approved in accordance with the Agreement between the Government and the Executive Committee for the period 2011 to 2020 to meet the 35 per cent reduction in HCFC consumption, and on the understanding that US$ 630,000 was provided to address HCFC consumption in the refrigeration servicing sector to reach up to and include the 35 per cent reduction in 2020 in line with decision 60/44.</w:t>
      </w:r>
    </w:p>
    <w:p w:rsidR="00DF1FBF" w:rsidRDefault="00DF1FBF" w:rsidP="00DF1FBF"/>
    <w:p w:rsidR="00DF1FBF" w:rsidRDefault="00DF1FBF" w:rsidP="00DF1FBF"/>
    <w:p w:rsidR="00DF1FBF" w:rsidRDefault="00DF1FBF" w:rsidP="00DF1FBF">
      <w:pPr>
        <w:rPr>
          <w:i/>
        </w:rPr>
      </w:pPr>
      <w:r>
        <w:t xml:space="preserve">Decision 76/17: </w:t>
      </w:r>
      <w:r>
        <w:rPr>
          <w:i/>
        </w:rPr>
        <w:t>‘</w:t>
      </w:r>
      <w:r>
        <w:rPr>
          <w:rFonts w:eastAsia="Calibri"/>
          <w:i/>
        </w:rPr>
        <w:t xml:space="preserve">The Executive Committee decided to request relevant bilateral and implementing agencies to include in their respective amendments to their work programmes due for submission to the 77th meeting, funding for verification reports for stage I of the HPMPs in the amount of US $30,000, plus </w:t>
      </w:r>
      <w:proofErr w:type="spellStart"/>
      <w:r>
        <w:rPr>
          <w:rFonts w:eastAsia="Calibri"/>
          <w:i/>
        </w:rPr>
        <w:t>agencysupport</w:t>
      </w:r>
      <w:proofErr w:type="spellEnd"/>
      <w:r>
        <w:rPr>
          <w:rFonts w:eastAsia="Calibri"/>
          <w:i/>
        </w:rPr>
        <w:t xml:space="preserve"> costs, for the following 17 Article 5 countries: Benin, Cabo Verde, Chad, </w:t>
      </w:r>
      <w:r>
        <w:rPr>
          <w:rFonts w:eastAsia="Calibri"/>
          <w:b/>
          <w:i/>
        </w:rPr>
        <w:t>Ecuador</w:t>
      </w:r>
      <w:r>
        <w:rPr>
          <w:rFonts w:eastAsia="Calibri"/>
          <w:i/>
        </w:rPr>
        <w:t>, El Salvador, Grenada, Guyana, Jamaica, Kyrgyzstan, Liberia, Mozambique, Nepal, Saint Kitts and Nevis, Saint Vincent and the Grenadines, Sierra Leone, Swaziland, and Zambia.</w:t>
      </w:r>
      <w:r>
        <w:rPr>
          <w:i/>
        </w:rPr>
        <w:t>’</w:t>
      </w:r>
    </w:p>
    <w:p w:rsidR="00DF1FBF" w:rsidRDefault="00DF1FBF" w:rsidP="00DF1FBF">
      <w:pPr>
        <w:rPr>
          <w:i/>
        </w:rPr>
      </w:pPr>
    </w:p>
    <w:p w:rsidR="00DF1FBF" w:rsidRDefault="00DF1FBF" w:rsidP="00DF1FBF"/>
    <w:p w:rsidR="00DF1FBF" w:rsidRDefault="00DF1FBF" w:rsidP="00DF1FBF">
      <w:pPr>
        <w:rPr>
          <w:rFonts w:ascii="Times New Roman TUR" w:hAnsi="Times New Roman TUR"/>
        </w:rPr>
      </w:pPr>
    </w:p>
    <w:p w:rsidR="00AF0163" w:rsidRDefault="00AF0163" w:rsidP="004E7F9C">
      <w:pPr>
        <w:rPr>
          <w:lang w:val="en-CA"/>
        </w:rPr>
      </w:pPr>
    </w:p>
    <w:p w:rsidR="00AF0163" w:rsidRDefault="00AF0163" w:rsidP="004E7F9C">
      <w:pPr>
        <w:rPr>
          <w:lang w:val="en-CA"/>
        </w:rPr>
      </w:pPr>
    </w:p>
    <w:p w:rsidR="00AF0163" w:rsidRDefault="00AF0163" w:rsidP="004E7F9C">
      <w:pPr>
        <w:rPr>
          <w:lang w:val="en-CA"/>
        </w:rPr>
      </w:pPr>
    </w:p>
    <w:p w:rsidR="00AF0163" w:rsidRDefault="00AF0163" w:rsidP="004E7F9C">
      <w:pPr>
        <w:rPr>
          <w:lang w:val="en-CA"/>
        </w:rPr>
      </w:pPr>
    </w:p>
    <w:p w:rsidR="00AF0163" w:rsidRDefault="00AF0163" w:rsidP="004E7F9C">
      <w:pPr>
        <w:rPr>
          <w:lang w:val="en-CA"/>
        </w:rPr>
      </w:pPr>
    </w:p>
    <w:p w:rsidR="00AF0163" w:rsidRDefault="00AF0163"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F0163" w:rsidTr="006100A6">
        <w:tc>
          <w:tcPr>
            <w:tcW w:w="1915" w:type="dxa"/>
          </w:tcPr>
          <w:p w:rsidR="00AF0163" w:rsidRDefault="00AF0163" w:rsidP="006100A6">
            <w:pPr>
              <w:rPr>
                <w:lang w:val="en-CA"/>
              </w:rPr>
            </w:pPr>
          </w:p>
        </w:tc>
        <w:tc>
          <w:tcPr>
            <w:tcW w:w="1915" w:type="dxa"/>
          </w:tcPr>
          <w:p w:rsidR="00AF0163" w:rsidRDefault="00AF0163" w:rsidP="006100A6">
            <w:pPr>
              <w:rPr>
                <w:lang w:val="en-CA"/>
              </w:rPr>
            </w:pPr>
          </w:p>
        </w:tc>
        <w:tc>
          <w:tcPr>
            <w:tcW w:w="1915" w:type="dxa"/>
            <w:tcBorders>
              <w:bottom w:val="single" w:sz="4" w:space="0" w:color="auto"/>
            </w:tcBorders>
          </w:tcPr>
          <w:p w:rsidR="00AF0163" w:rsidRDefault="00AF0163" w:rsidP="006100A6">
            <w:pPr>
              <w:rPr>
                <w:lang w:val="en-CA"/>
              </w:rPr>
            </w:pPr>
          </w:p>
        </w:tc>
        <w:tc>
          <w:tcPr>
            <w:tcW w:w="1915" w:type="dxa"/>
          </w:tcPr>
          <w:p w:rsidR="00AF0163" w:rsidRDefault="00AF0163" w:rsidP="006100A6">
            <w:pPr>
              <w:rPr>
                <w:lang w:val="en-CA"/>
              </w:rPr>
            </w:pPr>
          </w:p>
        </w:tc>
        <w:tc>
          <w:tcPr>
            <w:tcW w:w="1916" w:type="dxa"/>
          </w:tcPr>
          <w:p w:rsidR="00AF0163" w:rsidRDefault="00AF0163" w:rsidP="006100A6">
            <w:pPr>
              <w:rPr>
                <w:lang w:val="en-CA"/>
              </w:rPr>
            </w:pPr>
          </w:p>
        </w:tc>
      </w:tr>
    </w:tbl>
    <w:p w:rsidR="00AF0163" w:rsidRPr="00B04161" w:rsidRDefault="00AF0163" w:rsidP="00AF0163">
      <w:pPr>
        <w:rPr>
          <w:lang w:val="en-CA"/>
        </w:rPr>
      </w:pPr>
    </w:p>
    <w:sectPr w:rsidR="00AF0163" w:rsidRPr="00B04161" w:rsidSect="001A04C3">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21F6" w:rsidRDefault="00FB21F6" w:rsidP="004A504B">
      <w:r>
        <w:separator/>
      </w:r>
    </w:p>
  </w:endnote>
  <w:endnote w:type="continuationSeparator" w:id="0">
    <w:p w:rsidR="00FB21F6" w:rsidRDefault="00FB21F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 New Roman TUR">
    <w:altName w:val="Times New Roman"/>
    <w:charset w:val="00"/>
    <w:family w:val="roman"/>
    <w:pitch w:val="variable"/>
    <w:sig w:usb0="00000000"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1F6" w:rsidRPr="0033525D" w:rsidRDefault="00FB21F6">
    <w:pPr>
      <w:jc w:val="center"/>
    </w:pPr>
    <w:r>
      <w:fldChar w:fldCharType="begin"/>
    </w:r>
    <w:r>
      <w:instrText xml:space="preserve"> PAGE </w:instrText>
    </w:r>
    <w:r>
      <w:fldChar w:fldCharType="separate"/>
    </w:r>
    <w:r w:rsidR="00E72CEA">
      <w:rPr>
        <w:noProof/>
      </w:rPr>
      <w:t>4</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1F6" w:rsidRPr="0033525D" w:rsidRDefault="00FB21F6">
    <w:pPr>
      <w:jc w:val="center"/>
    </w:pPr>
    <w:r>
      <w:fldChar w:fldCharType="begin"/>
    </w:r>
    <w:r>
      <w:instrText xml:space="preserve"> PAGE  \* Arabic </w:instrText>
    </w:r>
    <w:r>
      <w:fldChar w:fldCharType="separate"/>
    </w:r>
    <w:r w:rsidR="00E72CEA">
      <w:rPr>
        <w:noProof/>
      </w:rPr>
      <w:t>5</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1F6" w:rsidRDefault="00FB21F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FB21F6" w:rsidRDefault="00FB21F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1F6" w:rsidRPr="0033525D" w:rsidRDefault="00FB21F6">
    <w:pPr>
      <w:jc w:val="center"/>
    </w:pPr>
    <w:r>
      <w:fldChar w:fldCharType="begin"/>
    </w:r>
    <w:r>
      <w:instrText xml:space="preserve"> PAGE </w:instrText>
    </w:r>
    <w:r>
      <w:fldChar w:fldCharType="separate"/>
    </w:r>
    <w:r w:rsidR="005640F8">
      <w:rPr>
        <w:noProof/>
      </w:rPr>
      <w:t>6</w:t>
    </w:r>
    <w:r>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1F6" w:rsidRPr="0033525D" w:rsidRDefault="00FB21F6">
    <w:pPr>
      <w:jc w:val="center"/>
    </w:pPr>
    <w:r>
      <w:fldChar w:fldCharType="begin"/>
    </w:r>
    <w:r>
      <w:instrText xml:space="preserve"> PAGE </w:instrText>
    </w:r>
    <w:r>
      <w:fldChar w:fldCharType="separate"/>
    </w:r>
    <w:r w:rsidR="00E72CEA">
      <w:rPr>
        <w:noProof/>
      </w:rPr>
      <w:t>7</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1F6" w:rsidRDefault="00FB21F6" w:rsidP="003F3C50">
    <w:pPr>
      <w:jc w:val="center"/>
      <w:rPr>
        <w:sz w:val="18"/>
        <w:szCs w:val="18"/>
      </w:rPr>
    </w:pPr>
    <w:r>
      <w:rPr>
        <w:sz w:val="18"/>
        <w:szCs w:val="18"/>
      </w:rPr>
      <w:t>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791479"/>
      <w:docPartObj>
        <w:docPartGallery w:val="Page Numbers (Bottom of Page)"/>
        <w:docPartUnique/>
      </w:docPartObj>
    </w:sdtPr>
    <w:sdtEndPr>
      <w:rPr>
        <w:noProof/>
      </w:rPr>
    </w:sdtEndPr>
    <w:sdtContent>
      <w:p w:rsidR="00FB21F6" w:rsidRDefault="00FB21F6">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rsidR="00FB21F6" w:rsidRPr="0033525D" w:rsidRDefault="00FB21F6">
    <w:pPr>
      <w:jc w:val="cen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1F6" w:rsidRDefault="00FB21F6" w:rsidP="001A04C3">
    <w:pPr>
      <w:jc w:val="center"/>
    </w:pPr>
  </w:p>
  <w:p w:rsidR="00FB21F6" w:rsidRPr="0033525D" w:rsidRDefault="00FB21F6" w:rsidP="001A04C3">
    <w:pPr>
      <w:jc w:val="center"/>
    </w:pPr>
    <w:r>
      <w:fldChar w:fldCharType="begin"/>
    </w:r>
    <w:r>
      <w:instrText xml:space="preserve"> PAGE </w:instrText>
    </w:r>
    <w:r>
      <w:fldChar w:fldCharType="separate"/>
    </w:r>
    <w:r w:rsidR="00E72CEA">
      <w:rPr>
        <w:noProof/>
      </w:rPr>
      <w:t>1</w:t>
    </w:r>
    <w:r>
      <w:rPr>
        <w:noProof/>
      </w:rPr>
      <w:fldChar w:fldCharType="end"/>
    </w:r>
  </w:p>
  <w:p w:rsidR="00FB21F6" w:rsidRDefault="00FB21F6" w:rsidP="001A04C3">
    <w:pPr>
      <w:jc w:val="center"/>
      <w:rPr>
        <w:sz w:val="18"/>
        <w:szCs w:val="18"/>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1F6" w:rsidRPr="0033525D" w:rsidRDefault="00FB21F6">
    <w:pPr>
      <w:jc w:val="center"/>
    </w:pPr>
    <w:r>
      <w:fldChar w:fldCharType="begin"/>
    </w:r>
    <w:r>
      <w:instrText xml:space="preserve"> PAGE </w:instrText>
    </w:r>
    <w:r>
      <w:fldChar w:fldCharType="separate"/>
    </w:r>
    <w:r w:rsidR="00E72CEA">
      <w:rPr>
        <w:noProof/>
      </w:rPr>
      <w:t>14</w:t>
    </w:r>
    <w:r>
      <w:rPr>
        <w:noProof/>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2982218"/>
      <w:docPartObj>
        <w:docPartGallery w:val="Page Numbers (Bottom of Page)"/>
        <w:docPartUnique/>
      </w:docPartObj>
    </w:sdtPr>
    <w:sdtEndPr>
      <w:rPr>
        <w:noProof/>
      </w:rPr>
    </w:sdtEndPr>
    <w:sdtContent>
      <w:p w:rsidR="00FB21F6" w:rsidRDefault="00FB21F6">
        <w:pPr>
          <w:pStyle w:val="Footer"/>
          <w:jc w:val="center"/>
        </w:pPr>
        <w:r>
          <w:fldChar w:fldCharType="begin"/>
        </w:r>
        <w:r>
          <w:instrText xml:space="preserve"> PAGE   \* MERGEFORMAT </w:instrText>
        </w:r>
        <w:r>
          <w:fldChar w:fldCharType="separate"/>
        </w:r>
        <w:r w:rsidR="00E72CEA">
          <w:rPr>
            <w:noProof/>
          </w:rPr>
          <w:t>13</w:t>
        </w:r>
        <w:r>
          <w:rPr>
            <w:noProof/>
          </w:rPr>
          <w:fldChar w:fldCharType="end"/>
        </w:r>
      </w:p>
    </w:sdtContent>
  </w:sdt>
  <w:p w:rsidR="00FB21F6" w:rsidRPr="0033525D" w:rsidRDefault="00FB21F6">
    <w:pPr>
      <w:jc w:val="cen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1F6" w:rsidRDefault="00FB21F6" w:rsidP="001A04C3">
    <w:pPr>
      <w:jc w:val="center"/>
    </w:pPr>
  </w:p>
  <w:p w:rsidR="00FB21F6" w:rsidRPr="0033525D" w:rsidRDefault="00FB21F6" w:rsidP="001A04C3">
    <w:pPr>
      <w:jc w:val="center"/>
    </w:pPr>
    <w:r>
      <w:fldChar w:fldCharType="begin"/>
    </w:r>
    <w:r>
      <w:instrText xml:space="preserve"> PAGE </w:instrText>
    </w:r>
    <w:r>
      <w:fldChar w:fldCharType="separate"/>
    </w:r>
    <w:r w:rsidR="00E72CEA">
      <w:rPr>
        <w:noProof/>
      </w:rPr>
      <w:t>1</w:t>
    </w:r>
    <w:r>
      <w:rPr>
        <w:noProof/>
      </w:rPr>
      <w:fldChar w:fldCharType="end"/>
    </w:r>
  </w:p>
  <w:p w:rsidR="00FB21F6" w:rsidRDefault="00FB21F6" w:rsidP="001A04C3">
    <w:pP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21F6" w:rsidRDefault="00FB21F6" w:rsidP="004A504B">
      <w:r>
        <w:separator/>
      </w:r>
    </w:p>
  </w:footnote>
  <w:footnote w:type="continuationSeparator" w:id="0">
    <w:p w:rsidR="00FB21F6" w:rsidRDefault="00FB21F6" w:rsidP="004A504B">
      <w:r>
        <w:continuationSeparator/>
      </w:r>
    </w:p>
  </w:footnote>
  <w:footnote w:id="1">
    <w:p w:rsidR="005640F8" w:rsidRPr="000E518E" w:rsidRDefault="005640F8" w:rsidP="005640F8">
      <w:pPr>
        <w:pStyle w:val="FootnoteText"/>
      </w:pPr>
      <w:r>
        <w:rPr>
          <w:rStyle w:val="FootnoteReference"/>
        </w:rPr>
        <w:footnoteRef/>
      </w:r>
      <w:r>
        <w:t xml:space="preserve"> </w:t>
      </w:r>
      <w:r w:rsidRPr="000E518E">
        <w:t>The second year of the IS project for Libya was submitted to the 76</w:t>
      </w:r>
      <w:r w:rsidRPr="000E518E">
        <w:rPr>
          <w:vertAlign w:val="superscript"/>
        </w:rPr>
        <w:t>th</w:t>
      </w:r>
      <w:r w:rsidRPr="000E518E">
        <w:t xml:space="preserve"> meeting but was subsequently withdrawn since there was sufficient funding to cover the period March to November 2016.</w:t>
      </w:r>
    </w:p>
  </w:footnote>
  <w:footnote w:id="2">
    <w:p w:rsidR="005640F8" w:rsidRPr="00860182" w:rsidRDefault="005640F8" w:rsidP="005640F8">
      <w:pPr>
        <w:pStyle w:val="FootnoteText"/>
      </w:pPr>
      <w:r>
        <w:rPr>
          <w:rStyle w:val="FootnoteReference"/>
        </w:rPr>
        <w:footnoteRef/>
      </w:r>
      <w:r>
        <w:t xml:space="preserve"> In decision XXVII/11, the 27</w:t>
      </w:r>
      <w:r w:rsidRPr="00860182">
        <w:rPr>
          <w:vertAlign w:val="superscript"/>
        </w:rPr>
        <w:t>th</w:t>
      </w:r>
      <w:r>
        <w:t xml:space="preserve"> Meeting of the Parties noted the </w:t>
      </w:r>
      <w:r w:rsidRPr="00860182">
        <w:t xml:space="preserve">plan of action </w:t>
      </w:r>
      <w:r>
        <w:t xml:space="preserve">for Libya </w:t>
      </w:r>
      <w:r w:rsidRPr="00860182">
        <w:t xml:space="preserve">to ensure its return to compliance with the Protocol’s </w:t>
      </w:r>
      <w:r>
        <w:t xml:space="preserve">HCFC </w:t>
      </w:r>
      <w:r w:rsidRPr="00860182">
        <w:t>control measures under which, without prejudice to the operation of the financial mechanism of the Protocol, Li</w:t>
      </w:r>
      <w:r>
        <w:t>bya committed itself to returning to compliance with the Montreal Protocol in 2022 and subsequent years. Libya specifically commits itself to: (a) to reducing its consumption of HCFCs from 122.4 ODP tonnes in 2014 to no greater than: (</w:t>
      </w:r>
      <w:proofErr w:type="spellStart"/>
      <w:r>
        <w:t>i</w:t>
      </w:r>
      <w:proofErr w:type="spellEnd"/>
      <w:r>
        <w:t>) 122.3 ODP tonnes in 2015; (ii) 118.4 ODP tonnes in 2016 and 2017; (iii) 106.5 ODP tonnes in 2018 and 2019; (iv) 76.95 ODP tonnes in 2020 and 2021; (v) levels allowed under the Montreal Protocol in 2022 and subsequent years.</w:t>
      </w:r>
    </w:p>
  </w:footnote>
  <w:footnote w:id="3">
    <w:p w:rsidR="005640F8" w:rsidRDefault="005640F8" w:rsidP="005640F8">
      <w:pPr>
        <w:pStyle w:val="FootnoteText"/>
        <w:rPr>
          <w:lang w:val="en-US"/>
        </w:rPr>
      </w:pPr>
      <w:r>
        <w:rPr>
          <w:rStyle w:val="FootnoteReference"/>
        </w:rPr>
        <w:footnoteRef/>
      </w:r>
      <w:r>
        <w:t xml:space="preserve"> The Executive Committee decided to continue to use the existing format for IS renewals as approved at the 61</w:t>
      </w:r>
      <w:r>
        <w:rPr>
          <w:vertAlign w:val="superscript"/>
        </w:rPr>
        <w:t>st</w:t>
      </w:r>
      <w:r>
        <w:t> meeting (decision 61/43(c)) with a modification in section 10, to indicate that performance indicators should be included, as contained in Annex XIX to document UNEP/</w:t>
      </w:r>
      <w:proofErr w:type="spellStart"/>
      <w:r>
        <w:t>OzL.Pro</w:t>
      </w:r>
      <w:proofErr w:type="spellEnd"/>
      <w:r>
        <w:t>/ExCom/74/56 (decision 74/51(e)).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1F6" w:rsidRPr="0033525D" w:rsidRDefault="00DA368F">
    <w:r>
      <w:fldChar w:fldCharType="begin"/>
    </w:r>
    <w:r>
      <w:instrText xml:space="preserve"> DOCPROPERTY "Document number"  \* MERGEFORMAT </w:instrText>
    </w:r>
    <w:r>
      <w:fldChar w:fldCharType="separate"/>
    </w:r>
    <w:r w:rsidR="00E72CEA">
      <w:t>UNEP/</w:t>
    </w:r>
    <w:proofErr w:type="spellStart"/>
    <w:r w:rsidR="00E72CEA">
      <w:t>OzL.Pro</w:t>
    </w:r>
    <w:proofErr w:type="spellEnd"/>
    <w:r w:rsidR="00E72CEA">
      <w:t>/ExCom/77/30</w:t>
    </w:r>
    <w:r>
      <w:fldChar w:fldCharType="end"/>
    </w:r>
  </w:p>
  <w:p w:rsidR="00FB21F6" w:rsidRPr="0033525D" w:rsidRDefault="00FB21F6"/>
  <w:p w:rsidR="00FB21F6" w:rsidRPr="0033525D" w:rsidRDefault="00FB21F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1F6" w:rsidRPr="0033525D" w:rsidRDefault="00DA368F">
    <w:pPr>
      <w:jc w:val="right"/>
    </w:pPr>
    <w:r>
      <w:fldChar w:fldCharType="begin"/>
    </w:r>
    <w:r>
      <w:instrText xml:space="preserve"> DOCPROPERTY "Document number"  \* MERGEFORMAT </w:instrText>
    </w:r>
    <w:r>
      <w:fldChar w:fldCharType="separate"/>
    </w:r>
    <w:r w:rsidR="00E72CEA">
      <w:t>UNEP/</w:t>
    </w:r>
    <w:proofErr w:type="spellStart"/>
    <w:r w:rsidR="00E72CEA">
      <w:t>OzL.Pro</w:t>
    </w:r>
    <w:proofErr w:type="spellEnd"/>
    <w:r w:rsidR="00E72CEA">
      <w:t>/ExCom/77/30</w:t>
    </w:r>
    <w:r>
      <w:fldChar w:fldCharType="end"/>
    </w:r>
  </w:p>
  <w:p w:rsidR="00FB21F6" w:rsidRPr="0033525D" w:rsidRDefault="00FB21F6"/>
  <w:p w:rsidR="00FB21F6" w:rsidRPr="0033525D" w:rsidRDefault="00FB21F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1F6" w:rsidRPr="00C35669" w:rsidRDefault="00DA368F" w:rsidP="006100A6">
    <w:pPr>
      <w:jc w:val="left"/>
    </w:pPr>
    <w:r>
      <w:fldChar w:fldCharType="begin"/>
    </w:r>
    <w:r>
      <w:instrText xml:space="preserve"> DOCPROPERTY "Document number"  \* MERGEFORMAT </w:instrText>
    </w:r>
    <w:r>
      <w:fldChar w:fldCharType="separate"/>
    </w:r>
    <w:r w:rsidR="00E72CEA">
      <w:t>UNEP/</w:t>
    </w:r>
    <w:proofErr w:type="spellStart"/>
    <w:r w:rsidR="00E72CEA">
      <w:t>OzL.Pro</w:t>
    </w:r>
    <w:proofErr w:type="spellEnd"/>
    <w:r w:rsidR="00E72CEA">
      <w:t>/ExCom/77/30</w:t>
    </w:r>
    <w:r>
      <w:fldChar w:fldCharType="end"/>
    </w:r>
  </w:p>
  <w:p w:rsidR="00FB21F6" w:rsidRPr="00824C43" w:rsidRDefault="00FB21F6" w:rsidP="006100A6">
    <w:r w:rsidRPr="00824C43">
      <w:t>Annex I</w:t>
    </w:r>
  </w:p>
  <w:p w:rsidR="00FB21F6" w:rsidRPr="0033525D" w:rsidRDefault="00FB21F6" w:rsidP="006100A6"/>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1F6" w:rsidRPr="001A7010" w:rsidRDefault="00DA368F" w:rsidP="002B77EF">
    <w:pPr>
      <w:jc w:val="left"/>
    </w:pPr>
    <w:r>
      <w:fldChar w:fldCharType="begin"/>
    </w:r>
    <w:r>
      <w:instrText xml:space="preserve"> DOCPROPERTY "Document number"  \* MERGEFORMAT </w:instrText>
    </w:r>
    <w:r>
      <w:fldChar w:fldCharType="separate"/>
    </w:r>
    <w:r w:rsidR="00E72CEA">
      <w:t>UNEP/</w:t>
    </w:r>
    <w:proofErr w:type="spellStart"/>
    <w:r w:rsidR="00E72CEA">
      <w:t>OzL.Pro</w:t>
    </w:r>
    <w:proofErr w:type="spellEnd"/>
    <w:r w:rsidR="00E72CEA">
      <w:t>/ExCom/77/30</w:t>
    </w:r>
    <w:r>
      <w:fldChar w:fldCharType="end"/>
    </w:r>
  </w:p>
  <w:p w:rsidR="00FB21F6" w:rsidRPr="001A7010" w:rsidRDefault="00FB21F6" w:rsidP="002B77EF">
    <w:pPr>
      <w:pStyle w:val="Header"/>
      <w:jc w:val="left"/>
    </w:pPr>
    <w:r w:rsidRPr="001A7010">
      <w:t>Annex I</w:t>
    </w:r>
  </w:p>
  <w:p w:rsidR="00FB21F6" w:rsidRDefault="00FB21F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1F6" w:rsidRPr="0050620F" w:rsidRDefault="00DA368F" w:rsidP="006100A6">
    <w:pPr>
      <w:jc w:val="right"/>
    </w:pPr>
    <w:r>
      <w:fldChar w:fldCharType="begin"/>
    </w:r>
    <w:r>
      <w:instrText xml:space="preserve"> DOCPROPERTY "Document number"  \* MERGEFORMAT </w:instrText>
    </w:r>
    <w:r>
      <w:fldChar w:fldCharType="separate"/>
    </w:r>
    <w:r w:rsidR="00E72CEA">
      <w:t>UNEP/</w:t>
    </w:r>
    <w:proofErr w:type="spellStart"/>
    <w:r w:rsidR="00E72CEA">
      <w:t>OzL.Pro</w:t>
    </w:r>
    <w:proofErr w:type="spellEnd"/>
    <w:r w:rsidR="00E72CEA">
      <w:t>/ExCom/77/30</w:t>
    </w:r>
    <w:r>
      <w:fldChar w:fldCharType="end"/>
    </w:r>
  </w:p>
  <w:p w:rsidR="00FB21F6" w:rsidRPr="001A7010" w:rsidRDefault="00FB21F6" w:rsidP="006100A6">
    <w:pPr>
      <w:pStyle w:val="Header"/>
      <w:jc w:val="right"/>
    </w:pPr>
    <w:r w:rsidRPr="0050620F">
      <w:t>Annex</w:t>
    </w:r>
    <w:r w:rsidRPr="001A7010">
      <w:t xml:space="preserve"> I</w:t>
    </w:r>
  </w:p>
  <w:p w:rsidR="00FB21F6" w:rsidRPr="00B64BD2" w:rsidRDefault="00FB21F6" w:rsidP="006100A6">
    <w:pPr>
      <w:pStyle w:val="Header"/>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1F6" w:rsidRPr="0033525D" w:rsidRDefault="00DA368F" w:rsidP="001A04C3">
    <w:pPr>
      <w:jc w:val="right"/>
    </w:pPr>
    <w:r>
      <w:fldChar w:fldCharType="begin"/>
    </w:r>
    <w:r>
      <w:instrText xml:space="preserve"> DOCPROPERTY "Document number"  \* MERGEFORMAT </w:instrText>
    </w:r>
    <w:r>
      <w:fldChar w:fldCharType="separate"/>
    </w:r>
    <w:r w:rsidR="00E72CEA">
      <w:t>UNEP/</w:t>
    </w:r>
    <w:proofErr w:type="spellStart"/>
    <w:r w:rsidR="00E72CEA">
      <w:t>OzL.Pro</w:t>
    </w:r>
    <w:proofErr w:type="spellEnd"/>
    <w:r w:rsidR="00E72CEA">
      <w:t>/ExCom/77/30</w:t>
    </w:r>
    <w:r>
      <w:fldChar w:fldCharType="end"/>
    </w:r>
  </w:p>
  <w:p w:rsidR="00FB21F6" w:rsidRDefault="00FB21F6" w:rsidP="00811222">
    <w:pPr>
      <w:pStyle w:val="Header"/>
      <w:jc w:val="right"/>
    </w:pPr>
    <w:r>
      <w:t>Annex II</w:t>
    </w:r>
  </w:p>
  <w:p w:rsidR="00FB21F6" w:rsidRDefault="00FB21F6" w:rsidP="00811222">
    <w:pPr>
      <w:pStyle w:val="Header"/>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1F6" w:rsidRPr="0033525D" w:rsidRDefault="00FB21F6" w:rsidP="006100A6"/>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1F6" w:rsidRDefault="00FB21F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1F6" w:rsidRDefault="00FB21F6" w:rsidP="00811222">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nsid w:val="07F90B6A"/>
    <w:multiLevelType w:val="hybridMultilevel"/>
    <w:tmpl w:val="163659A2"/>
    <w:name w:val="WW8Num6"/>
    <w:lvl w:ilvl="0" w:tplc="FFFFFFFF">
      <w:start w:val="1"/>
      <w:numFmt w:val="upperRoman"/>
      <w:lvlText w:val="%1."/>
      <w:lvlJc w:val="right"/>
      <w:pPr>
        <w:ind w:left="237" w:hanging="18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nsid w:val="0B17324B"/>
    <w:multiLevelType w:val="hybridMultilevel"/>
    <w:tmpl w:val="DAA45688"/>
    <w:lvl w:ilvl="0" w:tplc="51663976">
      <w:numFmt w:val="bullet"/>
      <w:lvlText w:val="-"/>
      <w:lvlJc w:val="left"/>
      <w:pPr>
        <w:ind w:left="1080" w:hanging="360"/>
      </w:pPr>
      <w:rPr>
        <w:rFonts w:ascii="Times New Roman" w:eastAsia="Arial Unicode MS"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
    <w:nsid w:val="29820A0E"/>
    <w:multiLevelType w:val="hybridMultilevel"/>
    <w:tmpl w:val="EDB244B6"/>
    <w:styleLink w:val="Estiloimportado12"/>
    <w:lvl w:ilvl="0" w:tplc="4C00EE78">
      <w:start w:val="1"/>
      <w:numFmt w:val="decimal"/>
      <w:lvlText w:val="%1."/>
      <w:lvlJc w:val="left"/>
      <w:pPr>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347E20D2">
      <w:start w:val="1"/>
      <w:numFmt w:val="lowerLetter"/>
      <w:lvlText w:val="%2."/>
      <w:lvlJc w:val="left"/>
      <w:pPr>
        <w:ind w:left="14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5978CA56">
      <w:start w:val="1"/>
      <w:numFmt w:val="lowerRoman"/>
      <w:lvlText w:val="%3."/>
      <w:lvlJc w:val="left"/>
      <w:pPr>
        <w:ind w:left="2160" w:hanging="285"/>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C86C90A0">
      <w:start w:val="1"/>
      <w:numFmt w:val="decimal"/>
      <w:lvlText w:val="%4."/>
      <w:lvlJc w:val="left"/>
      <w:pPr>
        <w:ind w:left="28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D5BAF080">
      <w:start w:val="1"/>
      <w:numFmt w:val="lowerLetter"/>
      <w:lvlText w:val="%5."/>
      <w:lvlJc w:val="left"/>
      <w:pPr>
        <w:ind w:left="36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042ED652">
      <w:start w:val="1"/>
      <w:numFmt w:val="lowerRoman"/>
      <w:lvlText w:val="%6."/>
      <w:lvlJc w:val="left"/>
      <w:pPr>
        <w:ind w:left="4320" w:hanging="285"/>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7E481CE2">
      <w:start w:val="1"/>
      <w:numFmt w:val="decimal"/>
      <w:lvlText w:val="%7."/>
      <w:lvlJc w:val="left"/>
      <w:pPr>
        <w:ind w:left="50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77E4D74E">
      <w:start w:val="1"/>
      <w:numFmt w:val="lowerLetter"/>
      <w:lvlText w:val="%8."/>
      <w:lvlJc w:val="left"/>
      <w:pPr>
        <w:ind w:left="57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61E87AC2">
      <w:start w:val="1"/>
      <w:numFmt w:val="lowerRoman"/>
      <w:lvlText w:val="%9."/>
      <w:lvlJc w:val="left"/>
      <w:pPr>
        <w:ind w:left="6480" w:hanging="285"/>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4">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2FD248BA"/>
    <w:multiLevelType w:val="hybridMultilevel"/>
    <w:tmpl w:val="EDB244B6"/>
    <w:numStyleLink w:val="Estiloimportado12"/>
  </w:abstractNum>
  <w:abstractNum w:abstractNumId="6">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nsid w:val="38C51386"/>
    <w:multiLevelType w:val="hybridMultilevel"/>
    <w:tmpl w:val="EDFEB4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nsid w:val="5D94464D"/>
    <w:multiLevelType w:val="hybridMultilevel"/>
    <w:tmpl w:val="8264BDEE"/>
    <w:styleLink w:val="Estiloimportado2"/>
    <w:lvl w:ilvl="0" w:tplc="E0FE3174">
      <w:start w:val="1"/>
      <w:numFmt w:val="decimal"/>
      <w:lvlText w:val="(%1)"/>
      <w:lvlJc w:val="left"/>
      <w:pPr>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78164208">
      <w:start w:val="1"/>
      <w:numFmt w:val="lowerLetter"/>
      <w:lvlText w:val="%2."/>
      <w:lvlJc w:val="left"/>
      <w:pPr>
        <w:ind w:left="14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9216D06C">
      <w:start w:val="1"/>
      <w:numFmt w:val="lowerRoman"/>
      <w:lvlText w:val="%3."/>
      <w:lvlJc w:val="left"/>
      <w:pPr>
        <w:ind w:left="2160" w:hanging="259"/>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405C78AE">
      <w:start w:val="1"/>
      <w:numFmt w:val="decimal"/>
      <w:lvlText w:val="%4."/>
      <w:lvlJc w:val="left"/>
      <w:pPr>
        <w:ind w:left="28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353EE586">
      <w:start w:val="1"/>
      <w:numFmt w:val="lowerLetter"/>
      <w:lvlText w:val="%5."/>
      <w:lvlJc w:val="left"/>
      <w:pPr>
        <w:ind w:left="36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FD3C99BA">
      <w:start w:val="1"/>
      <w:numFmt w:val="lowerRoman"/>
      <w:lvlText w:val="%6."/>
      <w:lvlJc w:val="left"/>
      <w:pPr>
        <w:ind w:left="4320" w:hanging="259"/>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FC305946">
      <w:start w:val="1"/>
      <w:numFmt w:val="decimal"/>
      <w:lvlText w:val="%7."/>
      <w:lvlJc w:val="left"/>
      <w:pPr>
        <w:ind w:left="50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6B6C98EE">
      <w:start w:val="1"/>
      <w:numFmt w:val="lowerLetter"/>
      <w:lvlText w:val="%8."/>
      <w:lvlJc w:val="left"/>
      <w:pPr>
        <w:ind w:left="57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90521A0A">
      <w:start w:val="1"/>
      <w:numFmt w:val="lowerRoman"/>
      <w:lvlText w:val="%9."/>
      <w:lvlJc w:val="left"/>
      <w:pPr>
        <w:ind w:left="6480" w:hanging="259"/>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1">
    <w:nsid w:val="5F620495"/>
    <w:multiLevelType w:val="hybridMultilevel"/>
    <w:tmpl w:val="01A6A940"/>
    <w:lvl w:ilvl="0" w:tplc="21A4ECAC">
      <w:start w:val="1"/>
      <w:numFmt w:val="lowerLetter"/>
      <w:lvlText w:val="%1."/>
      <w:lvlJc w:val="left"/>
      <w:pPr>
        <w:ind w:left="360" w:hanging="360"/>
      </w:pPr>
    </w:lvl>
    <w:lvl w:ilvl="1" w:tplc="04090003">
      <w:start w:val="1"/>
      <w:numFmt w:val="lowerLetter"/>
      <w:lvlText w:val="%2."/>
      <w:lvlJc w:val="left"/>
      <w:pPr>
        <w:ind w:left="1440" w:hanging="360"/>
      </w:pPr>
    </w:lvl>
    <w:lvl w:ilvl="2" w:tplc="04090005">
      <w:start w:val="1"/>
      <w:numFmt w:val="lowerRoman"/>
      <w:lvlText w:val="%3."/>
      <w:lvlJc w:val="right"/>
      <w:pPr>
        <w:ind w:left="2160" w:hanging="180"/>
      </w:pPr>
    </w:lvl>
    <w:lvl w:ilvl="3" w:tplc="04090001">
      <w:start w:val="1"/>
      <w:numFmt w:val="decimal"/>
      <w:lvlText w:val="%4."/>
      <w:lvlJc w:val="left"/>
      <w:pPr>
        <w:ind w:left="2880" w:hanging="360"/>
      </w:pPr>
    </w:lvl>
    <w:lvl w:ilvl="4" w:tplc="04090003">
      <w:start w:val="1"/>
      <w:numFmt w:val="lowerLetter"/>
      <w:lvlText w:val="%5."/>
      <w:lvlJc w:val="left"/>
      <w:pPr>
        <w:ind w:left="3600" w:hanging="360"/>
      </w:pPr>
    </w:lvl>
    <w:lvl w:ilvl="5" w:tplc="04090005">
      <w:start w:val="1"/>
      <w:numFmt w:val="lowerRoman"/>
      <w:lvlText w:val="%6."/>
      <w:lvlJc w:val="right"/>
      <w:pPr>
        <w:ind w:left="4320" w:hanging="180"/>
      </w:pPr>
    </w:lvl>
    <w:lvl w:ilvl="6" w:tplc="04090001">
      <w:start w:val="1"/>
      <w:numFmt w:val="decimal"/>
      <w:lvlText w:val="%7."/>
      <w:lvlJc w:val="left"/>
      <w:pPr>
        <w:ind w:left="5040" w:hanging="360"/>
      </w:pPr>
    </w:lvl>
    <w:lvl w:ilvl="7" w:tplc="04090003">
      <w:start w:val="1"/>
      <w:numFmt w:val="lowerLetter"/>
      <w:lvlText w:val="%8."/>
      <w:lvlJc w:val="left"/>
      <w:pPr>
        <w:ind w:left="5760" w:hanging="360"/>
      </w:pPr>
    </w:lvl>
    <w:lvl w:ilvl="8" w:tplc="04090005">
      <w:start w:val="1"/>
      <w:numFmt w:val="lowerRoman"/>
      <w:lvlText w:val="%9."/>
      <w:lvlJc w:val="right"/>
      <w:pPr>
        <w:ind w:left="6480" w:hanging="180"/>
      </w:pPr>
    </w:lvl>
  </w:abstractNum>
  <w:abstractNum w:abstractNumId="12">
    <w:nsid w:val="649C0033"/>
    <w:multiLevelType w:val="hybridMultilevel"/>
    <w:tmpl w:val="C97290F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3">
    <w:nsid w:val="6D4B2ED2"/>
    <w:multiLevelType w:val="hybridMultilevel"/>
    <w:tmpl w:val="8264BDEE"/>
    <w:numStyleLink w:val="Estiloimportado2"/>
  </w:abstractNum>
  <w:abstractNum w:abstractNumId="14">
    <w:nsid w:val="741479F2"/>
    <w:multiLevelType w:val="multilevel"/>
    <w:tmpl w:val="436AC736"/>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4"/>
  </w:num>
  <w:num w:numId="6">
    <w:abstractNumId w:val="8"/>
  </w:num>
  <w:num w:numId="7">
    <w:abstractNumId w:val="9"/>
  </w:num>
  <w:num w:numId="8">
    <w:abstractNumId w:val="15"/>
  </w:num>
  <w:num w:numId="9">
    <w:abstractNumId w:val="6"/>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 w:numId="23">
    <w:abstractNumId w:val="10"/>
  </w:num>
  <w:num w:numId="24">
    <w:abstractNumId w:val="7"/>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5341"/>
    <w:rsid w:val="00000FED"/>
    <w:rsid w:val="000035EE"/>
    <w:rsid w:val="0000434E"/>
    <w:rsid w:val="0002116F"/>
    <w:rsid w:val="000211A9"/>
    <w:rsid w:val="00031260"/>
    <w:rsid w:val="0003681A"/>
    <w:rsid w:val="00062550"/>
    <w:rsid w:val="00080ED0"/>
    <w:rsid w:val="00085B8F"/>
    <w:rsid w:val="00090481"/>
    <w:rsid w:val="000E07BC"/>
    <w:rsid w:val="000E518E"/>
    <w:rsid w:val="000F1CD4"/>
    <w:rsid w:val="000F4103"/>
    <w:rsid w:val="000F70A7"/>
    <w:rsid w:val="0010295F"/>
    <w:rsid w:val="0011606E"/>
    <w:rsid w:val="001279BB"/>
    <w:rsid w:val="00135980"/>
    <w:rsid w:val="001634C3"/>
    <w:rsid w:val="00164719"/>
    <w:rsid w:val="00166FC4"/>
    <w:rsid w:val="001677AC"/>
    <w:rsid w:val="001804EA"/>
    <w:rsid w:val="00190A61"/>
    <w:rsid w:val="0019414F"/>
    <w:rsid w:val="001A04C3"/>
    <w:rsid w:val="001A3342"/>
    <w:rsid w:val="001A3E3D"/>
    <w:rsid w:val="001A7049"/>
    <w:rsid w:val="001B1E40"/>
    <w:rsid w:val="001C764E"/>
    <w:rsid w:val="001E1052"/>
    <w:rsid w:val="001E21B1"/>
    <w:rsid w:val="001E2B9F"/>
    <w:rsid w:val="001E2F93"/>
    <w:rsid w:val="001E61E5"/>
    <w:rsid w:val="001F2159"/>
    <w:rsid w:val="002124D3"/>
    <w:rsid w:val="002156B4"/>
    <w:rsid w:val="00220BE9"/>
    <w:rsid w:val="00253222"/>
    <w:rsid w:val="00262847"/>
    <w:rsid w:val="00294328"/>
    <w:rsid w:val="002B72E9"/>
    <w:rsid w:val="002B77EF"/>
    <w:rsid w:val="002C7998"/>
    <w:rsid w:val="002F1E53"/>
    <w:rsid w:val="002F2CAA"/>
    <w:rsid w:val="003306E1"/>
    <w:rsid w:val="003320E4"/>
    <w:rsid w:val="0033525D"/>
    <w:rsid w:val="003414F3"/>
    <w:rsid w:val="0035613E"/>
    <w:rsid w:val="00363EE9"/>
    <w:rsid w:val="0037042C"/>
    <w:rsid w:val="00376128"/>
    <w:rsid w:val="0037742E"/>
    <w:rsid w:val="0038245A"/>
    <w:rsid w:val="0039337A"/>
    <w:rsid w:val="003A3189"/>
    <w:rsid w:val="003B569D"/>
    <w:rsid w:val="003C20EC"/>
    <w:rsid w:val="003C3C0E"/>
    <w:rsid w:val="003D4FAC"/>
    <w:rsid w:val="003E7906"/>
    <w:rsid w:val="003F3C50"/>
    <w:rsid w:val="0040133C"/>
    <w:rsid w:val="0040628C"/>
    <w:rsid w:val="00406A6A"/>
    <w:rsid w:val="00406B22"/>
    <w:rsid w:val="004328A7"/>
    <w:rsid w:val="00434C74"/>
    <w:rsid w:val="00456EB4"/>
    <w:rsid w:val="004718F3"/>
    <w:rsid w:val="00475040"/>
    <w:rsid w:val="00493D40"/>
    <w:rsid w:val="00494CB2"/>
    <w:rsid w:val="004967B6"/>
    <w:rsid w:val="004A504B"/>
    <w:rsid w:val="004A6911"/>
    <w:rsid w:val="004B54E0"/>
    <w:rsid w:val="004B7384"/>
    <w:rsid w:val="004C4269"/>
    <w:rsid w:val="004D6236"/>
    <w:rsid w:val="004E4DBB"/>
    <w:rsid w:val="004E4E41"/>
    <w:rsid w:val="004E7F9C"/>
    <w:rsid w:val="004F3493"/>
    <w:rsid w:val="00512B09"/>
    <w:rsid w:val="00555D75"/>
    <w:rsid w:val="00560DF0"/>
    <w:rsid w:val="005640F8"/>
    <w:rsid w:val="0056759C"/>
    <w:rsid w:val="0059513E"/>
    <w:rsid w:val="00596FDB"/>
    <w:rsid w:val="005B48FF"/>
    <w:rsid w:val="00604C15"/>
    <w:rsid w:val="00606732"/>
    <w:rsid w:val="006100A6"/>
    <w:rsid w:val="006158D5"/>
    <w:rsid w:val="00625D83"/>
    <w:rsid w:val="00640E05"/>
    <w:rsid w:val="00650B21"/>
    <w:rsid w:val="0065574E"/>
    <w:rsid w:val="00656BB4"/>
    <w:rsid w:val="006623E7"/>
    <w:rsid w:val="00662B80"/>
    <w:rsid w:val="00667244"/>
    <w:rsid w:val="00675302"/>
    <w:rsid w:val="006852C7"/>
    <w:rsid w:val="006A1018"/>
    <w:rsid w:val="006C1727"/>
    <w:rsid w:val="006C32FD"/>
    <w:rsid w:val="006C39CE"/>
    <w:rsid w:val="006C5747"/>
    <w:rsid w:val="006D0FCC"/>
    <w:rsid w:val="006E4A75"/>
    <w:rsid w:val="00704420"/>
    <w:rsid w:val="0070616B"/>
    <w:rsid w:val="00706FDA"/>
    <w:rsid w:val="00711F9A"/>
    <w:rsid w:val="00713810"/>
    <w:rsid w:val="007303A5"/>
    <w:rsid w:val="00730B3E"/>
    <w:rsid w:val="0073420B"/>
    <w:rsid w:val="00734C00"/>
    <w:rsid w:val="0074760E"/>
    <w:rsid w:val="00754ABA"/>
    <w:rsid w:val="00775B66"/>
    <w:rsid w:val="007A1546"/>
    <w:rsid w:val="007A228C"/>
    <w:rsid w:val="007A368E"/>
    <w:rsid w:val="007A5868"/>
    <w:rsid w:val="007B04CE"/>
    <w:rsid w:val="007B6871"/>
    <w:rsid w:val="007B7A2F"/>
    <w:rsid w:val="007C1B60"/>
    <w:rsid w:val="007C3D33"/>
    <w:rsid w:val="007C5341"/>
    <w:rsid w:val="007D294A"/>
    <w:rsid w:val="007D47D2"/>
    <w:rsid w:val="007D6EC0"/>
    <w:rsid w:val="007D7E1D"/>
    <w:rsid w:val="007F71ED"/>
    <w:rsid w:val="00811222"/>
    <w:rsid w:val="00822233"/>
    <w:rsid w:val="008308DA"/>
    <w:rsid w:val="00851352"/>
    <w:rsid w:val="00860182"/>
    <w:rsid w:val="00862CB1"/>
    <w:rsid w:val="00863230"/>
    <w:rsid w:val="008717D8"/>
    <w:rsid w:val="0087215C"/>
    <w:rsid w:val="008875FE"/>
    <w:rsid w:val="00887F8E"/>
    <w:rsid w:val="00896234"/>
    <w:rsid w:val="00897E43"/>
    <w:rsid w:val="008A0675"/>
    <w:rsid w:val="008C5738"/>
    <w:rsid w:val="008C7EAD"/>
    <w:rsid w:val="008D6152"/>
    <w:rsid w:val="008F0F81"/>
    <w:rsid w:val="008F200A"/>
    <w:rsid w:val="008F27BF"/>
    <w:rsid w:val="008F347E"/>
    <w:rsid w:val="008F7FDD"/>
    <w:rsid w:val="009201A7"/>
    <w:rsid w:val="00923540"/>
    <w:rsid w:val="00926767"/>
    <w:rsid w:val="009361D5"/>
    <w:rsid w:val="009659F4"/>
    <w:rsid w:val="00970D60"/>
    <w:rsid w:val="009960E5"/>
    <w:rsid w:val="009A7ADC"/>
    <w:rsid w:val="009C19B7"/>
    <w:rsid w:val="009D7C51"/>
    <w:rsid w:val="009F36BF"/>
    <w:rsid w:val="00A07D67"/>
    <w:rsid w:val="00A111B6"/>
    <w:rsid w:val="00A42A99"/>
    <w:rsid w:val="00A5151A"/>
    <w:rsid w:val="00A57E0A"/>
    <w:rsid w:val="00A74A3D"/>
    <w:rsid w:val="00A74AD5"/>
    <w:rsid w:val="00A823F6"/>
    <w:rsid w:val="00A84A88"/>
    <w:rsid w:val="00A91490"/>
    <w:rsid w:val="00AA0A89"/>
    <w:rsid w:val="00AA6429"/>
    <w:rsid w:val="00AA6B7B"/>
    <w:rsid w:val="00AC01AA"/>
    <w:rsid w:val="00AC4F72"/>
    <w:rsid w:val="00AC5000"/>
    <w:rsid w:val="00AD1F13"/>
    <w:rsid w:val="00AF0163"/>
    <w:rsid w:val="00AF741A"/>
    <w:rsid w:val="00B01ADB"/>
    <w:rsid w:val="00B04161"/>
    <w:rsid w:val="00B056F9"/>
    <w:rsid w:val="00B11E3D"/>
    <w:rsid w:val="00B17776"/>
    <w:rsid w:val="00B17E82"/>
    <w:rsid w:val="00B40652"/>
    <w:rsid w:val="00B4575A"/>
    <w:rsid w:val="00B575BA"/>
    <w:rsid w:val="00B72985"/>
    <w:rsid w:val="00B76429"/>
    <w:rsid w:val="00B956D4"/>
    <w:rsid w:val="00B97446"/>
    <w:rsid w:val="00BA7432"/>
    <w:rsid w:val="00BC1AA0"/>
    <w:rsid w:val="00BC2495"/>
    <w:rsid w:val="00BC355D"/>
    <w:rsid w:val="00BC7EB9"/>
    <w:rsid w:val="00BD2643"/>
    <w:rsid w:val="00BD56B1"/>
    <w:rsid w:val="00BD6558"/>
    <w:rsid w:val="00BF3214"/>
    <w:rsid w:val="00C11A5E"/>
    <w:rsid w:val="00C15867"/>
    <w:rsid w:val="00C2296D"/>
    <w:rsid w:val="00C23155"/>
    <w:rsid w:val="00C40C41"/>
    <w:rsid w:val="00C45885"/>
    <w:rsid w:val="00C50F22"/>
    <w:rsid w:val="00C57971"/>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E7C58"/>
    <w:rsid w:val="00CF41EC"/>
    <w:rsid w:val="00CF5D04"/>
    <w:rsid w:val="00D04DE4"/>
    <w:rsid w:val="00D063F1"/>
    <w:rsid w:val="00D14F22"/>
    <w:rsid w:val="00D517E0"/>
    <w:rsid w:val="00D57918"/>
    <w:rsid w:val="00D73DC6"/>
    <w:rsid w:val="00D74C1A"/>
    <w:rsid w:val="00D754C1"/>
    <w:rsid w:val="00D77A35"/>
    <w:rsid w:val="00D81B3E"/>
    <w:rsid w:val="00D82219"/>
    <w:rsid w:val="00D90C70"/>
    <w:rsid w:val="00D90E49"/>
    <w:rsid w:val="00DA05C0"/>
    <w:rsid w:val="00DA0E20"/>
    <w:rsid w:val="00DA368F"/>
    <w:rsid w:val="00DC6A10"/>
    <w:rsid w:val="00DE657E"/>
    <w:rsid w:val="00DF1FBF"/>
    <w:rsid w:val="00DF4704"/>
    <w:rsid w:val="00E024AA"/>
    <w:rsid w:val="00E250F1"/>
    <w:rsid w:val="00E3550D"/>
    <w:rsid w:val="00E614E0"/>
    <w:rsid w:val="00E66A74"/>
    <w:rsid w:val="00E72CEA"/>
    <w:rsid w:val="00E73F7F"/>
    <w:rsid w:val="00EA429F"/>
    <w:rsid w:val="00EA4F9E"/>
    <w:rsid w:val="00EA63CA"/>
    <w:rsid w:val="00EA6D3B"/>
    <w:rsid w:val="00EB00AD"/>
    <w:rsid w:val="00EB136C"/>
    <w:rsid w:val="00EB480E"/>
    <w:rsid w:val="00EB5EC6"/>
    <w:rsid w:val="00EB7FC9"/>
    <w:rsid w:val="00ED27E8"/>
    <w:rsid w:val="00ED7137"/>
    <w:rsid w:val="00EF1452"/>
    <w:rsid w:val="00F07746"/>
    <w:rsid w:val="00F21088"/>
    <w:rsid w:val="00F327E7"/>
    <w:rsid w:val="00F35746"/>
    <w:rsid w:val="00F447C7"/>
    <w:rsid w:val="00F509D0"/>
    <w:rsid w:val="00F554A9"/>
    <w:rsid w:val="00F716FD"/>
    <w:rsid w:val="00F80355"/>
    <w:rsid w:val="00F80F0A"/>
    <w:rsid w:val="00FB0C81"/>
    <w:rsid w:val="00FB21F6"/>
    <w:rsid w:val="00FB444A"/>
    <w:rsid w:val="00FC2200"/>
    <w:rsid w:val="00FC2540"/>
    <w:rsid w:val="00FE0FD0"/>
    <w:rsid w:val="00FE3C5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a) Char,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4"/>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uiPriority w:val="99"/>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7C5341"/>
    <w:rPr>
      <w:sz w:val="20"/>
      <w:szCs w:val="20"/>
    </w:rPr>
  </w:style>
  <w:style w:type="character" w:customStyle="1" w:styleId="FootnoteTextChar">
    <w:name w:val="Footnote Text Char"/>
    <w:basedOn w:val="DefaultParagraphFont"/>
    <w:link w:val="FootnoteText"/>
    <w:uiPriority w:val="99"/>
    <w:semiHidden/>
    <w:rsid w:val="007C5341"/>
    <w:rPr>
      <w:lang w:val="en-GB"/>
    </w:rPr>
  </w:style>
  <w:style w:type="character" w:styleId="FootnoteReference">
    <w:name w:val="footnote reference"/>
    <w:basedOn w:val="DefaultParagraphFont"/>
    <w:uiPriority w:val="99"/>
    <w:semiHidden/>
    <w:unhideWhenUsed/>
    <w:rsid w:val="007C5341"/>
    <w:rPr>
      <w:vertAlign w:val="superscript"/>
    </w:rPr>
  </w:style>
  <w:style w:type="character" w:customStyle="1" w:styleId="FooterChar">
    <w:name w:val="Footer Char"/>
    <w:basedOn w:val="DefaultParagraphFont"/>
    <w:link w:val="Footer"/>
    <w:uiPriority w:val="99"/>
    <w:rsid w:val="001A04C3"/>
    <w:rPr>
      <w:sz w:val="22"/>
      <w:szCs w:val="22"/>
      <w:lang w:val="en-GB"/>
    </w:rPr>
  </w:style>
  <w:style w:type="character" w:customStyle="1" w:styleId="HeaderChar">
    <w:name w:val="Header Char"/>
    <w:basedOn w:val="DefaultParagraphFont"/>
    <w:link w:val="Header"/>
    <w:uiPriority w:val="99"/>
    <w:rsid w:val="00811222"/>
    <w:rPr>
      <w:sz w:val="22"/>
      <w:szCs w:val="22"/>
      <w:lang w:val="en-GB"/>
    </w:rPr>
  </w:style>
  <w:style w:type="table" w:customStyle="1" w:styleId="TableGrid20">
    <w:name w:val="Table Grid2"/>
    <w:basedOn w:val="TableNormal"/>
    <w:next w:val="TableGrid"/>
    <w:rsid w:val="0081122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2,Heading 2 Char3 Char,Heading 2 Char Char2 Char,Heading 2 Char1 Char Char1 Char,SubPara (a) Char Char Char1 Char,Heading 2 Char Char Char Char1 Char,Heading 2 Char1 Char Char Char Char1 Char,SubPara (a) Char Char"/>
    <w:basedOn w:val="DefaultParagraphFont"/>
    <w:link w:val="Heading2"/>
    <w:rsid w:val="00DF1FBF"/>
    <w:rPr>
      <w:sz w:val="22"/>
      <w:szCs w:val="22"/>
      <w:lang w:val="en-GB"/>
    </w:rPr>
  </w:style>
  <w:style w:type="character" w:customStyle="1" w:styleId="Heading3Char4">
    <w:name w:val="Heading 3 Char4"/>
    <w:aliases w:val="Char Char4,Char Char Char2,Heading 3 Char1 Char2,Heading 3 Char Char Char2,Char Char Char Char2,Char Char1 Char2,Heading 3 Char1 Char Char1,Heading 3 Char Char Char Char1,Char Char Char Char Char1,Char Char1 Char Char1,Char Char2 Char"/>
    <w:basedOn w:val="DefaultParagraphFont"/>
    <w:link w:val="Heading3"/>
    <w:rsid w:val="00DF1FBF"/>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DF1FBF"/>
    <w:rPr>
      <w:sz w:val="22"/>
      <w:szCs w:val="22"/>
      <w:lang w:val="en-GB"/>
    </w:rPr>
  </w:style>
  <w:style w:type="character" w:customStyle="1" w:styleId="Heading5Char">
    <w:name w:val="Heading 5 Char"/>
    <w:basedOn w:val="DefaultParagraphFont"/>
    <w:link w:val="Heading5"/>
    <w:rsid w:val="00DF1FBF"/>
    <w:rPr>
      <w:sz w:val="22"/>
      <w:szCs w:val="22"/>
      <w:lang w:val="en-GB"/>
    </w:rPr>
  </w:style>
  <w:style w:type="character" w:customStyle="1" w:styleId="Heading6Char">
    <w:name w:val="Heading 6 Char"/>
    <w:basedOn w:val="DefaultParagraphFont"/>
    <w:link w:val="Heading6"/>
    <w:rsid w:val="00DF1FBF"/>
    <w:rPr>
      <w:rFonts w:ascii="Arial" w:hAnsi="Arial"/>
      <w:i/>
      <w:sz w:val="22"/>
      <w:szCs w:val="22"/>
      <w:lang w:val="en-GB"/>
    </w:rPr>
  </w:style>
  <w:style w:type="character" w:customStyle="1" w:styleId="Heading7Char">
    <w:name w:val="Heading 7 Char"/>
    <w:basedOn w:val="DefaultParagraphFont"/>
    <w:link w:val="Heading7"/>
    <w:uiPriority w:val="99"/>
    <w:rsid w:val="00DF1FBF"/>
    <w:rPr>
      <w:rFonts w:ascii="Arial" w:hAnsi="Arial"/>
      <w:sz w:val="22"/>
      <w:szCs w:val="22"/>
      <w:lang w:val="en-GB"/>
    </w:rPr>
  </w:style>
  <w:style w:type="character" w:customStyle="1" w:styleId="Heading8Char">
    <w:name w:val="Heading 8 Char"/>
    <w:basedOn w:val="DefaultParagraphFont"/>
    <w:link w:val="Heading8"/>
    <w:uiPriority w:val="99"/>
    <w:rsid w:val="00DF1FBF"/>
    <w:rPr>
      <w:b/>
      <w:sz w:val="22"/>
      <w:szCs w:val="22"/>
      <w:lang w:val="en-GB"/>
    </w:rPr>
  </w:style>
  <w:style w:type="character" w:customStyle="1" w:styleId="Heading9Char">
    <w:name w:val="Heading 9 Char"/>
    <w:basedOn w:val="DefaultParagraphFont"/>
    <w:link w:val="Heading9"/>
    <w:uiPriority w:val="99"/>
    <w:rsid w:val="00DF1FBF"/>
    <w:rPr>
      <w:rFonts w:ascii="Arial" w:hAnsi="Arial"/>
      <w:i/>
      <w:sz w:val="18"/>
      <w:szCs w:val="22"/>
      <w:lang w:val="en-GB"/>
    </w:rPr>
  </w:style>
  <w:style w:type="character" w:styleId="Hyperlink">
    <w:name w:val="Hyperlink"/>
    <w:semiHidden/>
    <w:unhideWhenUsed/>
    <w:rsid w:val="00DF1FBF"/>
    <w:rPr>
      <w:color w:val="0000FF"/>
      <w:u w:val="single"/>
    </w:rPr>
  </w:style>
  <w:style w:type="character" w:styleId="FollowedHyperlink">
    <w:name w:val="FollowedHyperlink"/>
    <w:semiHidden/>
    <w:unhideWhenUsed/>
    <w:rsid w:val="00DF1FBF"/>
    <w:rPr>
      <w:color w:val="800080"/>
      <w:u w:val="single"/>
    </w:rPr>
  </w:style>
  <w:style w:type="character" w:styleId="Emphasis">
    <w:name w:val="Emphasis"/>
    <w:qFormat/>
    <w:rsid w:val="00DF1FBF"/>
    <w:rPr>
      <w:rFonts w:ascii="Calibri" w:hAnsi="Calibri" w:cs="Calibri" w:hint="default"/>
      <w:i/>
      <w:iCs w:val="0"/>
      <w:color w:val="auto"/>
      <w:sz w:val="28"/>
      <w:szCs w:val="26"/>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DF1FBF"/>
    <w:rPr>
      <w:rFonts w:asciiTheme="majorHAnsi" w:eastAsiaTheme="majorEastAsia" w:hAnsiTheme="majorHAnsi" w:cstheme="majorBidi"/>
      <w:b/>
      <w:bCs/>
      <w:color w:val="4F81BD" w:themeColor="accent1"/>
      <w:sz w:val="26"/>
      <w:szCs w:val="26"/>
    </w:rPr>
  </w:style>
  <w:style w:type="character" w:customStyle="1" w:styleId="Heading3Char3">
    <w:name w:val="Heading 3 Char3"/>
    <w:aliases w:val="Char Char3,Heading 3 Char1 Char1,Heading 3 Char Char Char1,Char Char Char Char1,Char Char1 Char1,Heading 3 Char1 Char Char,Heading 3 Char Char Char Char,Char Char Char Char Char,Char Char1 Char Char,Heading 3 Char2 Char1,Char Char2 Char1"/>
    <w:semiHidden/>
    <w:locked/>
    <w:rsid w:val="00DF1FBF"/>
    <w:rPr>
      <w:sz w:val="22"/>
      <w:szCs w:val="22"/>
      <w:lang w:val="en-GB"/>
    </w:rPr>
  </w:style>
  <w:style w:type="character" w:customStyle="1" w:styleId="Heading4Char1">
    <w:name w:val="Heading 4 Char1"/>
    <w:aliases w:val="Heading 11 Char1,para 4 Char1,Título 41 Char1,heading 4 Char1"/>
    <w:basedOn w:val="DefaultParagraphFont"/>
    <w:semiHidden/>
    <w:rsid w:val="00DF1FBF"/>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semiHidden/>
    <w:unhideWhenUsed/>
    <w:rsid w:val="00DF1FBF"/>
    <w:pPr>
      <w:spacing w:before="100" w:beforeAutospacing="1" w:after="100" w:afterAutospacing="1"/>
      <w:jc w:val="left"/>
    </w:pPr>
    <w:rPr>
      <w:rFonts w:ascii="Arial" w:hAnsi="Arial" w:cs="Arial"/>
      <w:sz w:val="20"/>
      <w:szCs w:val="20"/>
      <w:lang w:val="en-US"/>
    </w:rPr>
  </w:style>
  <w:style w:type="paragraph" w:styleId="Caption">
    <w:name w:val="caption"/>
    <w:basedOn w:val="Normal"/>
    <w:next w:val="Normal"/>
    <w:uiPriority w:val="99"/>
    <w:semiHidden/>
    <w:unhideWhenUsed/>
    <w:qFormat/>
    <w:rsid w:val="00DF1FBF"/>
    <w:pPr>
      <w:bidi/>
      <w:spacing w:after="200" w:line="276" w:lineRule="auto"/>
      <w:jc w:val="right"/>
    </w:pPr>
    <w:rPr>
      <w:b/>
      <w:bCs/>
      <w:sz w:val="20"/>
      <w:szCs w:val="24"/>
      <w:lang w:val="en-US"/>
    </w:rPr>
  </w:style>
  <w:style w:type="paragraph" w:styleId="BodyText">
    <w:name w:val="Body Text"/>
    <w:basedOn w:val="Normal"/>
    <w:link w:val="BodyTextChar"/>
    <w:uiPriority w:val="99"/>
    <w:semiHidden/>
    <w:unhideWhenUsed/>
    <w:rsid w:val="00DF1FBF"/>
    <w:rPr>
      <w:sz w:val="24"/>
      <w:szCs w:val="20"/>
      <w:lang w:val="en-US"/>
    </w:rPr>
  </w:style>
  <w:style w:type="character" w:customStyle="1" w:styleId="BodyTextChar">
    <w:name w:val="Body Text Char"/>
    <w:basedOn w:val="DefaultParagraphFont"/>
    <w:link w:val="BodyText"/>
    <w:uiPriority w:val="99"/>
    <w:semiHidden/>
    <w:rsid w:val="00DF1FBF"/>
    <w:rPr>
      <w:sz w:val="24"/>
    </w:rPr>
  </w:style>
  <w:style w:type="paragraph" w:styleId="BodyTextIndent">
    <w:name w:val="Body Text Indent"/>
    <w:basedOn w:val="Normal"/>
    <w:link w:val="BodyTextIndentChar"/>
    <w:uiPriority w:val="99"/>
    <w:semiHidden/>
    <w:unhideWhenUsed/>
    <w:rsid w:val="00DF1FBF"/>
    <w:pPr>
      <w:widowControl w:val="0"/>
      <w:autoSpaceDE w:val="0"/>
      <w:autoSpaceDN w:val="0"/>
      <w:adjustRightInd w:val="0"/>
      <w:ind w:firstLine="720"/>
    </w:pPr>
    <w:rPr>
      <w:rFonts w:ascii="Courier New" w:hAnsi="Courier New" w:cs="Courier New"/>
      <w:sz w:val="24"/>
      <w:szCs w:val="24"/>
    </w:rPr>
  </w:style>
  <w:style w:type="character" w:customStyle="1" w:styleId="BodyTextIndentChar">
    <w:name w:val="Body Text Indent Char"/>
    <w:basedOn w:val="DefaultParagraphFont"/>
    <w:link w:val="BodyTextIndent"/>
    <w:uiPriority w:val="99"/>
    <w:semiHidden/>
    <w:rsid w:val="00DF1FBF"/>
    <w:rPr>
      <w:rFonts w:ascii="Courier New" w:hAnsi="Courier New" w:cs="Courier New"/>
      <w:sz w:val="24"/>
      <w:szCs w:val="24"/>
      <w:lang w:val="en-GB"/>
    </w:rPr>
  </w:style>
  <w:style w:type="paragraph" w:styleId="BodyText2">
    <w:name w:val="Body Text 2"/>
    <w:basedOn w:val="Normal"/>
    <w:link w:val="BodyText2Char"/>
    <w:uiPriority w:val="99"/>
    <w:semiHidden/>
    <w:unhideWhenUsed/>
    <w:rsid w:val="00DF1FBF"/>
    <w:pPr>
      <w:spacing w:after="120" w:line="480" w:lineRule="auto"/>
    </w:pPr>
  </w:style>
  <w:style w:type="character" w:customStyle="1" w:styleId="BodyText2Char">
    <w:name w:val="Body Text 2 Char"/>
    <w:basedOn w:val="DefaultParagraphFont"/>
    <w:link w:val="BodyText2"/>
    <w:uiPriority w:val="99"/>
    <w:semiHidden/>
    <w:rsid w:val="00DF1FBF"/>
    <w:rPr>
      <w:sz w:val="22"/>
      <w:szCs w:val="22"/>
      <w:lang w:val="en-GB"/>
    </w:rPr>
  </w:style>
  <w:style w:type="character" w:customStyle="1" w:styleId="BodyText3Char">
    <w:name w:val="Body Text 3 Char"/>
    <w:basedOn w:val="DefaultParagraphFont"/>
    <w:link w:val="BodyText3"/>
    <w:uiPriority w:val="99"/>
    <w:semiHidden/>
    <w:rsid w:val="00DF1FBF"/>
    <w:rPr>
      <w:sz w:val="16"/>
      <w:szCs w:val="16"/>
      <w:lang w:val="en-GB"/>
    </w:rPr>
  </w:style>
  <w:style w:type="paragraph" w:styleId="BodyTextIndent2">
    <w:name w:val="Body Text Indent 2"/>
    <w:basedOn w:val="Normal"/>
    <w:link w:val="BodyTextIndent2Char"/>
    <w:uiPriority w:val="99"/>
    <w:semiHidden/>
    <w:unhideWhenUsed/>
    <w:rsid w:val="00DF1FBF"/>
    <w:pPr>
      <w:spacing w:after="120" w:line="480" w:lineRule="auto"/>
      <w:ind w:left="360"/>
      <w:jc w:val="left"/>
    </w:pPr>
    <w:rPr>
      <w:sz w:val="24"/>
      <w:szCs w:val="20"/>
      <w:lang w:val="en-US"/>
    </w:rPr>
  </w:style>
  <w:style w:type="character" w:customStyle="1" w:styleId="BodyTextIndent2Char">
    <w:name w:val="Body Text Indent 2 Char"/>
    <w:basedOn w:val="DefaultParagraphFont"/>
    <w:link w:val="BodyTextIndent2"/>
    <w:uiPriority w:val="99"/>
    <w:semiHidden/>
    <w:rsid w:val="00DF1FBF"/>
    <w:rPr>
      <w:sz w:val="24"/>
    </w:rPr>
  </w:style>
  <w:style w:type="character" w:customStyle="1" w:styleId="BodyTextIndent3Char">
    <w:name w:val="Body Text Indent 3 Char"/>
    <w:basedOn w:val="DefaultParagraphFont"/>
    <w:link w:val="BodyTextIndent3"/>
    <w:uiPriority w:val="99"/>
    <w:semiHidden/>
    <w:rsid w:val="00DF1FBF"/>
    <w:rPr>
      <w:sz w:val="16"/>
      <w:szCs w:val="16"/>
      <w:lang w:val="en-GB"/>
    </w:rPr>
  </w:style>
  <w:style w:type="character" w:customStyle="1" w:styleId="PlainTextChar">
    <w:name w:val="Plain Text Char"/>
    <w:basedOn w:val="DefaultParagraphFont"/>
    <w:link w:val="PlainText"/>
    <w:uiPriority w:val="99"/>
    <w:semiHidden/>
    <w:rsid w:val="00DF1FBF"/>
    <w:rPr>
      <w:rFonts w:ascii="Courier New" w:hAnsi="Courier New" w:cs="Courier New"/>
      <w:szCs w:val="22"/>
      <w:lang w:val="en-GB"/>
    </w:rPr>
  </w:style>
  <w:style w:type="paragraph" w:styleId="Revision">
    <w:name w:val="Revision"/>
    <w:uiPriority w:val="99"/>
    <w:semiHidden/>
    <w:rsid w:val="00DF1FBF"/>
    <w:rPr>
      <w:rFonts w:ascii="Times New Roman TUR" w:hAnsi="Times New Roman TUR"/>
      <w:sz w:val="24"/>
      <w:szCs w:val="24"/>
    </w:rPr>
  </w:style>
  <w:style w:type="character" w:customStyle="1" w:styleId="ListParagraphChar">
    <w:name w:val="List Paragraph Char"/>
    <w:link w:val="ListParagraph"/>
    <w:uiPriority w:val="34"/>
    <w:locked/>
    <w:rsid w:val="00DF1FBF"/>
    <w:rPr>
      <w:sz w:val="19"/>
      <w:szCs w:val="24"/>
    </w:rPr>
  </w:style>
  <w:style w:type="paragraph" w:styleId="ListParagraph">
    <w:name w:val="List Paragraph"/>
    <w:basedOn w:val="Normal"/>
    <w:link w:val="ListParagraphChar"/>
    <w:uiPriority w:val="34"/>
    <w:qFormat/>
    <w:rsid w:val="00DF1FBF"/>
    <w:pPr>
      <w:ind w:left="720"/>
      <w:contextualSpacing/>
      <w:jc w:val="left"/>
    </w:pPr>
    <w:rPr>
      <w:sz w:val="19"/>
      <w:szCs w:val="24"/>
      <w:lang w:val="en-US"/>
    </w:rPr>
  </w:style>
  <w:style w:type="paragraph" w:customStyle="1" w:styleId="msolistparagraph0">
    <w:name w:val="msolistparagraph"/>
    <w:basedOn w:val="Normal"/>
    <w:uiPriority w:val="99"/>
    <w:rsid w:val="00DF1FBF"/>
    <w:pPr>
      <w:ind w:left="720"/>
      <w:jc w:val="left"/>
    </w:pPr>
    <w:rPr>
      <w:rFonts w:ascii="Calibri" w:hAnsi="Calibri"/>
      <w:lang w:val="en-US"/>
    </w:rPr>
  </w:style>
  <w:style w:type="paragraph" w:customStyle="1" w:styleId="CM12">
    <w:name w:val="CM12"/>
    <w:basedOn w:val="Normal"/>
    <w:next w:val="Normal"/>
    <w:uiPriority w:val="99"/>
    <w:rsid w:val="00DF1FBF"/>
    <w:pPr>
      <w:widowControl w:val="0"/>
      <w:autoSpaceDE w:val="0"/>
      <w:autoSpaceDN w:val="0"/>
      <w:adjustRightInd w:val="0"/>
      <w:jc w:val="left"/>
    </w:pPr>
    <w:rPr>
      <w:sz w:val="24"/>
      <w:szCs w:val="24"/>
      <w:lang w:val="en-US"/>
    </w:rPr>
  </w:style>
  <w:style w:type="paragraph" w:customStyle="1" w:styleId="Default">
    <w:name w:val="Default"/>
    <w:uiPriority w:val="99"/>
    <w:rsid w:val="00DF1FBF"/>
    <w:pPr>
      <w:autoSpaceDE w:val="0"/>
      <w:autoSpaceDN w:val="0"/>
      <w:adjustRightInd w:val="0"/>
    </w:pPr>
    <w:rPr>
      <w:rFonts w:ascii="Arial" w:hAnsi="Arial" w:cs="Arial"/>
      <w:color w:val="000000"/>
      <w:sz w:val="24"/>
      <w:szCs w:val="24"/>
    </w:rPr>
  </w:style>
  <w:style w:type="paragraph" w:customStyle="1" w:styleId="a">
    <w:name w:val="سرد الفقرات"/>
    <w:basedOn w:val="Normal"/>
    <w:uiPriority w:val="99"/>
    <w:qFormat/>
    <w:rsid w:val="00DF1FBF"/>
    <w:pPr>
      <w:spacing w:after="200" w:line="276" w:lineRule="auto"/>
      <w:ind w:left="720"/>
      <w:contextualSpacing/>
      <w:jc w:val="left"/>
    </w:pPr>
    <w:rPr>
      <w:rFonts w:ascii="Calibri" w:eastAsia="Calibri" w:hAnsi="Calibri" w:cs="Arial"/>
      <w:lang w:val="en-US"/>
    </w:rPr>
  </w:style>
  <w:style w:type="paragraph" w:customStyle="1" w:styleId="a0">
    <w:name w:val="Абзац списка"/>
    <w:basedOn w:val="Normal"/>
    <w:uiPriority w:val="99"/>
    <w:qFormat/>
    <w:rsid w:val="00DF1FBF"/>
    <w:pPr>
      <w:spacing w:after="200" w:line="276" w:lineRule="auto"/>
      <w:ind w:left="720"/>
      <w:contextualSpacing/>
      <w:jc w:val="left"/>
    </w:pPr>
    <w:rPr>
      <w:rFonts w:ascii="Calibri" w:eastAsia="Calibri" w:hAnsi="Calibri"/>
      <w:lang w:val="en-US"/>
    </w:rPr>
  </w:style>
  <w:style w:type="paragraph" w:customStyle="1" w:styleId="BankNormal">
    <w:name w:val="BankNormal"/>
    <w:basedOn w:val="Normal"/>
    <w:uiPriority w:val="99"/>
    <w:rsid w:val="00DF1FBF"/>
    <w:pPr>
      <w:spacing w:after="240"/>
      <w:jc w:val="left"/>
    </w:pPr>
    <w:rPr>
      <w:sz w:val="24"/>
      <w:szCs w:val="20"/>
      <w:lang w:val="en-US"/>
    </w:rPr>
  </w:style>
  <w:style w:type="paragraph" w:customStyle="1" w:styleId="Style">
    <w:name w:val="Style"/>
    <w:uiPriority w:val="99"/>
    <w:rsid w:val="00DF1FBF"/>
    <w:pPr>
      <w:widowControl w:val="0"/>
      <w:autoSpaceDE w:val="0"/>
      <w:autoSpaceDN w:val="0"/>
      <w:adjustRightInd w:val="0"/>
    </w:pPr>
    <w:rPr>
      <w:sz w:val="24"/>
      <w:szCs w:val="24"/>
    </w:rPr>
  </w:style>
  <w:style w:type="paragraph" w:customStyle="1" w:styleId="1">
    <w:name w:val="リスト段落1"/>
    <w:basedOn w:val="Normal"/>
    <w:uiPriority w:val="99"/>
    <w:qFormat/>
    <w:rsid w:val="00DF1FBF"/>
    <w:pPr>
      <w:widowControl w:val="0"/>
      <w:ind w:leftChars="400" w:left="840"/>
    </w:pPr>
    <w:rPr>
      <w:rFonts w:ascii="Century" w:eastAsia="MS Mincho" w:hAnsi="Century"/>
      <w:kern w:val="2"/>
      <w:sz w:val="21"/>
      <w:lang w:val="en-US" w:eastAsia="ja-JP"/>
    </w:rPr>
  </w:style>
  <w:style w:type="character" w:customStyle="1" w:styleId="0Heading0Char">
    <w:name w:val="0 Heading 0 Char"/>
    <w:link w:val="0Heading0"/>
    <w:locked/>
    <w:rsid w:val="00DF1FBF"/>
    <w:rPr>
      <w:sz w:val="22"/>
      <w:szCs w:val="22"/>
      <w:lang w:val="en-GB"/>
    </w:rPr>
  </w:style>
  <w:style w:type="character" w:customStyle="1" w:styleId="textbold1">
    <w:name w:val="textbold1"/>
    <w:basedOn w:val="DefaultParagraphFont"/>
    <w:rsid w:val="00DF1FBF"/>
  </w:style>
  <w:style w:type="character" w:customStyle="1" w:styleId="mw-headline">
    <w:name w:val="mw-headline"/>
    <w:rsid w:val="00DF1FBF"/>
    <w:rPr>
      <w:rFonts w:ascii="Times New Roman" w:hAnsi="Times New Roman" w:cs="Times New Roman" w:hint="default"/>
    </w:rPr>
  </w:style>
  <w:style w:type="character" w:customStyle="1" w:styleId="FootnoteTextChar1">
    <w:name w:val="Footnote Text Char1"/>
    <w:semiHidden/>
    <w:locked/>
    <w:rsid w:val="00DF1FBF"/>
    <w:rPr>
      <w:lang w:val="es-ES" w:eastAsia="es-ES" w:bidi="ar-SA"/>
    </w:rPr>
  </w:style>
  <w:style w:type="character" w:customStyle="1" w:styleId="apple-converted-space">
    <w:name w:val="apple-converted-space"/>
    <w:rsid w:val="00DF1FBF"/>
  </w:style>
  <w:style w:type="character" w:customStyle="1" w:styleId="a1">
    <w:name w:val="_"/>
    <w:uiPriority w:val="99"/>
    <w:rsid w:val="00DF1FBF"/>
    <w:rPr>
      <w:rFonts w:ascii="Times New Roman" w:hAnsi="Times New Roman" w:cs="Times New Roman" w:hint="default"/>
    </w:rPr>
  </w:style>
  <w:style w:type="table" w:customStyle="1" w:styleId="TableGrid10">
    <w:name w:val="Table Grid1"/>
    <w:basedOn w:val="TableNormal"/>
    <w:uiPriority w:val="59"/>
    <w:rsid w:val="00DF1FBF"/>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importado12">
    <w:name w:val="Estilo importado 12"/>
    <w:rsid w:val="00DF1FBF"/>
    <w:pPr>
      <w:numPr>
        <w:numId w:val="22"/>
      </w:numPr>
    </w:pPr>
  </w:style>
  <w:style w:type="numbering" w:customStyle="1" w:styleId="Estiloimportado2">
    <w:name w:val="Estilo importado 2"/>
    <w:rsid w:val="00DF1FBF"/>
    <w:pPr>
      <w:numPr>
        <w:numId w:val="23"/>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a) Char,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4"/>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uiPriority w:val="99"/>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7C5341"/>
    <w:rPr>
      <w:sz w:val="20"/>
      <w:szCs w:val="20"/>
    </w:rPr>
  </w:style>
  <w:style w:type="character" w:customStyle="1" w:styleId="FootnoteTextChar">
    <w:name w:val="Footnote Text Char"/>
    <w:basedOn w:val="DefaultParagraphFont"/>
    <w:link w:val="FootnoteText"/>
    <w:uiPriority w:val="99"/>
    <w:semiHidden/>
    <w:rsid w:val="007C5341"/>
    <w:rPr>
      <w:lang w:val="en-GB"/>
    </w:rPr>
  </w:style>
  <w:style w:type="character" w:styleId="FootnoteReference">
    <w:name w:val="footnote reference"/>
    <w:basedOn w:val="DefaultParagraphFont"/>
    <w:uiPriority w:val="99"/>
    <w:semiHidden/>
    <w:unhideWhenUsed/>
    <w:rsid w:val="007C5341"/>
    <w:rPr>
      <w:vertAlign w:val="superscript"/>
    </w:rPr>
  </w:style>
  <w:style w:type="character" w:customStyle="1" w:styleId="FooterChar">
    <w:name w:val="Footer Char"/>
    <w:basedOn w:val="DefaultParagraphFont"/>
    <w:link w:val="Footer"/>
    <w:uiPriority w:val="99"/>
    <w:rsid w:val="001A04C3"/>
    <w:rPr>
      <w:sz w:val="22"/>
      <w:szCs w:val="22"/>
      <w:lang w:val="en-GB"/>
    </w:rPr>
  </w:style>
  <w:style w:type="character" w:customStyle="1" w:styleId="HeaderChar">
    <w:name w:val="Header Char"/>
    <w:basedOn w:val="DefaultParagraphFont"/>
    <w:link w:val="Header"/>
    <w:uiPriority w:val="99"/>
    <w:rsid w:val="00811222"/>
    <w:rPr>
      <w:sz w:val="22"/>
      <w:szCs w:val="22"/>
      <w:lang w:val="en-GB"/>
    </w:rPr>
  </w:style>
  <w:style w:type="table" w:customStyle="1" w:styleId="TableGrid20">
    <w:name w:val="Table Grid2"/>
    <w:basedOn w:val="TableNormal"/>
    <w:next w:val="TableGrid"/>
    <w:rsid w:val="0081122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2,Heading 2 Char3 Char,Heading 2 Char Char2 Char,Heading 2 Char1 Char Char1 Char,SubPara (a) Char Char Char1 Char,Heading 2 Char Char Char Char1 Char,Heading 2 Char1 Char Char Char Char1 Char,SubPara (a) Char Char"/>
    <w:basedOn w:val="DefaultParagraphFont"/>
    <w:link w:val="Heading2"/>
    <w:rsid w:val="00DF1FBF"/>
    <w:rPr>
      <w:sz w:val="22"/>
      <w:szCs w:val="22"/>
      <w:lang w:val="en-GB"/>
    </w:rPr>
  </w:style>
  <w:style w:type="character" w:customStyle="1" w:styleId="Heading3Char4">
    <w:name w:val="Heading 3 Char4"/>
    <w:aliases w:val="Char Char4,Char Char Char2,Heading 3 Char1 Char2,Heading 3 Char Char Char2,Char Char Char Char2,Char Char1 Char2,Heading 3 Char1 Char Char1,Heading 3 Char Char Char Char1,Char Char Char Char Char1,Char Char1 Char Char1,Char Char2 Char"/>
    <w:basedOn w:val="DefaultParagraphFont"/>
    <w:link w:val="Heading3"/>
    <w:rsid w:val="00DF1FBF"/>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DF1FBF"/>
    <w:rPr>
      <w:sz w:val="22"/>
      <w:szCs w:val="22"/>
      <w:lang w:val="en-GB"/>
    </w:rPr>
  </w:style>
  <w:style w:type="character" w:customStyle="1" w:styleId="Heading5Char">
    <w:name w:val="Heading 5 Char"/>
    <w:basedOn w:val="DefaultParagraphFont"/>
    <w:link w:val="Heading5"/>
    <w:rsid w:val="00DF1FBF"/>
    <w:rPr>
      <w:sz w:val="22"/>
      <w:szCs w:val="22"/>
      <w:lang w:val="en-GB"/>
    </w:rPr>
  </w:style>
  <w:style w:type="character" w:customStyle="1" w:styleId="Heading6Char">
    <w:name w:val="Heading 6 Char"/>
    <w:basedOn w:val="DefaultParagraphFont"/>
    <w:link w:val="Heading6"/>
    <w:rsid w:val="00DF1FBF"/>
    <w:rPr>
      <w:rFonts w:ascii="Arial" w:hAnsi="Arial"/>
      <w:i/>
      <w:sz w:val="22"/>
      <w:szCs w:val="22"/>
      <w:lang w:val="en-GB"/>
    </w:rPr>
  </w:style>
  <w:style w:type="character" w:customStyle="1" w:styleId="Heading7Char">
    <w:name w:val="Heading 7 Char"/>
    <w:basedOn w:val="DefaultParagraphFont"/>
    <w:link w:val="Heading7"/>
    <w:uiPriority w:val="99"/>
    <w:rsid w:val="00DF1FBF"/>
    <w:rPr>
      <w:rFonts w:ascii="Arial" w:hAnsi="Arial"/>
      <w:sz w:val="22"/>
      <w:szCs w:val="22"/>
      <w:lang w:val="en-GB"/>
    </w:rPr>
  </w:style>
  <w:style w:type="character" w:customStyle="1" w:styleId="Heading8Char">
    <w:name w:val="Heading 8 Char"/>
    <w:basedOn w:val="DefaultParagraphFont"/>
    <w:link w:val="Heading8"/>
    <w:uiPriority w:val="99"/>
    <w:rsid w:val="00DF1FBF"/>
    <w:rPr>
      <w:b/>
      <w:sz w:val="22"/>
      <w:szCs w:val="22"/>
      <w:lang w:val="en-GB"/>
    </w:rPr>
  </w:style>
  <w:style w:type="character" w:customStyle="1" w:styleId="Heading9Char">
    <w:name w:val="Heading 9 Char"/>
    <w:basedOn w:val="DefaultParagraphFont"/>
    <w:link w:val="Heading9"/>
    <w:uiPriority w:val="99"/>
    <w:rsid w:val="00DF1FBF"/>
    <w:rPr>
      <w:rFonts w:ascii="Arial" w:hAnsi="Arial"/>
      <w:i/>
      <w:sz w:val="18"/>
      <w:szCs w:val="22"/>
      <w:lang w:val="en-GB"/>
    </w:rPr>
  </w:style>
  <w:style w:type="character" w:styleId="Hyperlink">
    <w:name w:val="Hyperlink"/>
    <w:semiHidden/>
    <w:unhideWhenUsed/>
    <w:rsid w:val="00DF1FBF"/>
    <w:rPr>
      <w:color w:val="0000FF"/>
      <w:u w:val="single"/>
    </w:rPr>
  </w:style>
  <w:style w:type="character" w:styleId="FollowedHyperlink">
    <w:name w:val="FollowedHyperlink"/>
    <w:semiHidden/>
    <w:unhideWhenUsed/>
    <w:rsid w:val="00DF1FBF"/>
    <w:rPr>
      <w:color w:val="800080"/>
      <w:u w:val="single"/>
    </w:rPr>
  </w:style>
  <w:style w:type="character" w:styleId="Emphasis">
    <w:name w:val="Emphasis"/>
    <w:qFormat/>
    <w:rsid w:val="00DF1FBF"/>
    <w:rPr>
      <w:rFonts w:ascii="Calibri" w:hAnsi="Calibri" w:cs="Calibri" w:hint="default"/>
      <w:i/>
      <w:iCs w:val="0"/>
      <w:color w:val="auto"/>
      <w:sz w:val="28"/>
      <w:szCs w:val="26"/>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DF1FBF"/>
    <w:rPr>
      <w:rFonts w:asciiTheme="majorHAnsi" w:eastAsiaTheme="majorEastAsia" w:hAnsiTheme="majorHAnsi" w:cstheme="majorBidi"/>
      <w:b/>
      <w:bCs/>
      <w:color w:val="4F81BD" w:themeColor="accent1"/>
      <w:sz w:val="26"/>
      <w:szCs w:val="26"/>
    </w:rPr>
  </w:style>
  <w:style w:type="character" w:customStyle="1" w:styleId="Heading3Char3">
    <w:name w:val="Heading 3 Char3"/>
    <w:aliases w:val="Char Char3,Heading 3 Char1 Char1,Heading 3 Char Char Char1,Char Char Char Char1,Char Char1 Char1,Heading 3 Char1 Char Char,Heading 3 Char Char Char Char,Char Char Char Char Char,Char Char1 Char Char,Heading 3 Char2 Char1,Char Char2 Char1"/>
    <w:semiHidden/>
    <w:locked/>
    <w:rsid w:val="00DF1FBF"/>
    <w:rPr>
      <w:sz w:val="22"/>
      <w:szCs w:val="22"/>
      <w:lang w:val="en-GB"/>
    </w:rPr>
  </w:style>
  <w:style w:type="character" w:customStyle="1" w:styleId="Heading4Char1">
    <w:name w:val="Heading 4 Char1"/>
    <w:aliases w:val="Heading 11 Char1,para 4 Char1,Título 41 Char1,heading 4 Char1"/>
    <w:basedOn w:val="DefaultParagraphFont"/>
    <w:semiHidden/>
    <w:rsid w:val="00DF1FBF"/>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semiHidden/>
    <w:unhideWhenUsed/>
    <w:rsid w:val="00DF1FBF"/>
    <w:pPr>
      <w:spacing w:before="100" w:beforeAutospacing="1" w:after="100" w:afterAutospacing="1"/>
      <w:jc w:val="left"/>
    </w:pPr>
    <w:rPr>
      <w:rFonts w:ascii="Arial" w:hAnsi="Arial" w:cs="Arial"/>
      <w:sz w:val="20"/>
      <w:szCs w:val="20"/>
      <w:lang w:val="en-US"/>
    </w:rPr>
  </w:style>
  <w:style w:type="paragraph" w:styleId="Caption">
    <w:name w:val="caption"/>
    <w:basedOn w:val="Normal"/>
    <w:next w:val="Normal"/>
    <w:uiPriority w:val="99"/>
    <w:semiHidden/>
    <w:unhideWhenUsed/>
    <w:qFormat/>
    <w:rsid w:val="00DF1FBF"/>
    <w:pPr>
      <w:bidi/>
      <w:spacing w:after="200" w:line="276" w:lineRule="auto"/>
      <w:jc w:val="right"/>
    </w:pPr>
    <w:rPr>
      <w:b/>
      <w:bCs/>
      <w:sz w:val="20"/>
      <w:szCs w:val="24"/>
      <w:lang w:val="en-US"/>
    </w:rPr>
  </w:style>
  <w:style w:type="paragraph" w:styleId="BodyText">
    <w:name w:val="Body Text"/>
    <w:basedOn w:val="Normal"/>
    <w:link w:val="BodyTextChar"/>
    <w:uiPriority w:val="99"/>
    <w:semiHidden/>
    <w:unhideWhenUsed/>
    <w:rsid w:val="00DF1FBF"/>
    <w:rPr>
      <w:sz w:val="24"/>
      <w:szCs w:val="20"/>
      <w:lang w:val="en-US"/>
    </w:rPr>
  </w:style>
  <w:style w:type="character" w:customStyle="1" w:styleId="BodyTextChar">
    <w:name w:val="Body Text Char"/>
    <w:basedOn w:val="DefaultParagraphFont"/>
    <w:link w:val="BodyText"/>
    <w:uiPriority w:val="99"/>
    <w:semiHidden/>
    <w:rsid w:val="00DF1FBF"/>
    <w:rPr>
      <w:sz w:val="24"/>
    </w:rPr>
  </w:style>
  <w:style w:type="paragraph" w:styleId="BodyTextIndent">
    <w:name w:val="Body Text Indent"/>
    <w:basedOn w:val="Normal"/>
    <w:link w:val="BodyTextIndentChar"/>
    <w:uiPriority w:val="99"/>
    <w:semiHidden/>
    <w:unhideWhenUsed/>
    <w:rsid w:val="00DF1FBF"/>
    <w:pPr>
      <w:widowControl w:val="0"/>
      <w:autoSpaceDE w:val="0"/>
      <w:autoSpaceDN w:val="0"/>
      <w:adjustRightInd w:val="0"/>
      <w:ind w:firstLine="720"/>
    </w:pPr>
    <w:rPr>
      <w:rFonts w:ascii="Courier New" w:hAnsi="Courier New" w:cs="Courier New"/>
      <w:sz w:val="24"/>
      <w:szCs w:val="24"/>
    </w:rPr>
  </w:style>
  <w:style w:type="character" w:customStyle="1" w:styleId="BodyTextIndentChar">
    <w:name w:val="Body Text Indent Char"/>
    <w:basedOn w:val="DefaultParagraphFont"/>
    <w:link w:val="BodyTextIndent"/>
    <w:uiPriority w:val="99"/>
    <w:semiHidden/>
    <w:rsid w:val="00DF1FBF"/>
    <w:rPr>
      <w:rFonts w:ascii="Courier New" w:hAnsi="Courier New" w:cs="Courier New"/>
      <w:sz w:val="24"/>
      <w:szCs w:val="24"/>
      <w:lang w:val="en-GB"/>
    </w:rPr>
  </w:style>
  <w:style w:type="paragraph" w:styleId="BodyText2">
    <w:name w:val="Body Text 2"/>
    <w:basedOn w:val="Normal"/>
    <w:link w:val="BodyText2Char"/>
    <w:uiPriority w:val="99"/>
    <w:semiHidden/>
    <w:unhideWhenUsed/>
    <w:rsid w:val="00DF1FBF"/>
    <w:pPr>
      <w:spacing w:after="120" w:line="480" w:lineRule="auto"/>
    </w:pPr>
  </w:style>
  <w:style w:type="character" w:customStyle="1" w:styleId="BodyText2Char">
    <w:name w:val="Body Text 2 Char"/>
    <w:basedOn w:val="DefaultParagraphFont"/>
    <w:link w:val="BodyText2"/>
    <w:uiPriority w:val="99"/>
    <w:semiHidden/>
    <w:rsid w:val="00DF1FBF"/>
    <w:rPr>
      <w:sz w:val="22"/>
      <w:szCs w:val="22"/>
      <w:lang w:val="en-GB"/>
    </w:rPr>
  </w:style>
  <w:style w:type="character" w:customStyle="1" w:styleId="BodyText3Char">
    <w:name w:val="Body Text 3 Char"/>
    <w:basedOn w:val="DefaultParagraphFont"/>
    <w:link w:val="BodyText3"/>
    <w:uiPriority w:val="99"/>
    <w:semiHidden/>
    <w:rsid w:val="00DF1FBF"/>
    <w:rPr>
      <w:sz w:val="16"/>
      <w:szCs w:val="16"/>
      <w:lang w:val="en-GB"/>
    </w:rPr>
  </w:style>
  <w:style w:type="paragraph" w:styleId="BodyTextIndent2">
    <w:name w:val="Body Text Indent 2"/>
    <w:basedOn w:val="Normal"/>
    <w:link w:val="BodyTextIndent2Char"/>
    <w:uiPriority w:val="99"/>
    <w:semiHidden/>
    <w:unhideWhenUsed/>
    <w:rsid w:val="00DF1FBF"/>
    <w:pPr>
      <w:spacing w:after="120" w:line="480" w:lineRule="auto"/>
      <w:ind w:left="360"/>
      <w:jc w:val="left"/>
    </w:pPr>
    <w:rPr>
      <w:sz w:val="24"/>
      <w:szCs w:val="20"/>
      <w:lang w:val="en-US"/>
    </w:rPr>
  </w:style>
  <w:style w:type="character" w:customStyle="1" w:styleId="BodyTextIndent2Char">
    <w:name w:val="Body Text Indent 2 Char"/>
    <w:basedOn w:val="DefaultParagraphFont"/>
    <w:link w:val="BodyTextIndent2"/>
    <w:uiPriority w:val="99"/>
    <w:semiHidden/>
    <w:rsid w:val="00DF1FBF"/>
    <w:rPr>
      <w:sz w:val="24"/>
    </w:rPr>
  </w:style>
  <w:style w:type="character" w:customStyle="1" w:styleId="BodyTextIndent3Char">
    <w:name w:val="Body Text Indent 3 Char"/>
    <w:basedOn w:val="DefaultParagraphFont"/>
    <w:link w:val="BodyTextIndent3"/>
    <w:uiPriority w:val="99"/>
    <w:semiHidden/>
    <w:rsid w:val="00DF1FBF"/>
    <w:rPr>
      <w:sz w:val="16"/>
      <w:szCs w:val="16"/>
      <w:lang w:val="en-GB"/>
    </w:rPr>
  </w:style>
  <w:style w:type="character" w:customStyle="1" w:styleId="PlainTextChar">
    <w:name w:val="Plain Text Char"/>
    <w:basedOn w:val="DefaultParagraphFont"/>
    <w:link w:val="PlainText"/>
    <w:uiPriority w:val="99"/>
    <w:semiHidden/>
    <w:rsid w:val="00DF1FBF"/>
    <w:rPr>
      <w:rFonts w:ascii="Courier New" w:hAnsi="Courier New" w:cs="Courier New"/>
      <w:szCs w:val="22"/>
      <w:lang w:val="en-GB"/>
    </w:rPr>
  </w:style>
  <w:style w:type="paragraph" w:styleId="Revision">
    <w:name w:val="Revision"/>
    <w:uiPriority w:val="99"/>
    <w:semiHidden/>
    <w:rsid w:val="00DF1FBF"/>
    <w:rPr>
      <w:rFonts w:ascii="Times New Roman TUR" w:hAnsi="Times New Roman TUR"/>
      <w:sz w:val="24"/>
      <w:szCs w:val="24"/>
    </w:rPr>
  </w:style>
  <w:style w:type="character" w:customStyle="1" w:styleId="ListParagraphChar">
    <w:name w:val="List Paragraph Char"/>
    <w:link w:val="ListParagraph"/>
    <w:uiPriority w:val="34"/>
    <w:locked/>
    <w:rsid w:val="00DF1FBF"/>
    <w:rPr>
      <w:sz w:val="19"/>
      <w:szCs w:val="24"/>
    </w:rPr>
  </w:style>
  <w:style w:type="paragraph" w:styleId="ListParagraph">
    <w:name w:val="List Paragraph"/>
    <w:basedOn w:val="Normal"/>
    <w:link w:val="ListParagraphChar"/>
    <w:uiPriority w:val="34"/>
    <w:qFormat/>
    <w:rsid w:val="00DF1FBF"/>
    <w:pPr>
      <w:ind w:left="720"/>
      <w:contextualSpacing/>
      <w:jc w:val="left"/>
    </w:pPr>
    <w:rPr>
      <w:sz w:val="19"/>
      <w:szCs w:val="24"/>
      <w:lang w:val="en-US"/>
    </w:rPr>
  </w:style>
  <w:style w:type="paragraph" w:customStyle="1" w:styleId="msolistparagraph0">
    <w:name w:val="msolistparagraph"/>
    <w:basedOn w:val="Normal"/>
    <w:uiPriority w:val="99"/>
    <w:rsid w:val="00DF1FBF"/>
    <w:pPr>
      <w:ind w:left="720"/>
      <w:jc w:val="left"/>
    </w:pPr>
    <w:rPr>
      <w:rFonts w:ascii="Calibri" w:hAnsi="Calibri"/>
      <w:lang w:val="en-US"/>
    </w:rPr>
  </w:style>
  <w:style w:type="paragraph" w:customStyle="1" w:styleId="CM12">
    <w:name w:val="CM12"/>
    <w:basedOn w:val="Normal"/>
    <w:next w:val="Normal"/>
    <w:uiPriority w:val="99"/>
    <w:rsid w:val="00DF1FBF"/>
    <w:pPr>
      <w:widowControl w:val="0"/>
      <w:autoSpaceDE w:val="0"/>
      <w:autoSpaceDN w:val="0"/>
      <w:adjustRightInd w:val="0"/>
      <w:jc w:val="left"/>
    </w:pPr>
    <w:rPr>
      <w:sz w:val="24"/>
      <w:szCs w:val="24"/>
      <w:lang w:val="en-US"/>
    </w:rPr>
  </w:style>
  <w:style w:type="paragraph" w:customStyle="1" w:styleId="Default">
    <w:name w:val="Default"/>
    <w:uiPriority w:val="99"/>
    <w:rsid w:val="00DF1FBF"/>
    <w:pPr>
      <w:autoSpaceDE w:val="0"/>
      <w:autoSpaceDN w:val="0"/>
      <w:adjustRightInd w:val="0"/>
    </w:pPr>
    <w:rPr>
      <w:rFonts w:ascii="Arial" w:hAnsi="Arial" w:cs="Arial"/>
      <w:color w:val="000000"/>
      <w:sz w:val="24"/>
      <w:szCs w:val="24"/>
    </w:rPr>
  </w:style>
  <w:style w:type="paragraph" w:customStyle="1" w:styleId="a">
    <w:name w:val="سرد الفقرات"/>
    <w:basedOn w:val="Normal"/>
    <w:uiPriority w:val="99"/>
    <w:qFormat/>
    <w:rsid w:val="00DF1FBF"/>
    <w:pPr>
      <w:spacing w:after="200" w:line="276" w:lineRule="auto"/>
      <w:ind w:left="720"/>
      <w:contextualSpacing/>
      <w:jc w:val="left"/>
    </w:pPr>
    <w:rPr>
      <w:rFonts w:ascii="Calibri" w:eastAsia="Calibri" w:hAnsi="Calibri" w:cs="Arial"/>
      <w:lang w:val="en-US"/>
    </w:rPr>
  </w:style>
  <w:style w:type="paragraph" w:customStyle="1" w:styleId="a0">
    <w:name w:val="Абзац списка"/>
    <w:basedOn w:val="Normal"/>
    <w:uiPriority w:val="99"/>
    <w:qFormat/>
    <w:rsid w:val="00DF1FBF"/>
    <w:pPr>
      <w:spacing w:after="200" w:line="276" w:lineRule="auto"/>
      <w:ind w:left="720"/>
      <w:contextualSpacing/>
      <w:jc w:val="left"/>
    </w:pPr>
    <w:rPr>
      <w:rFonts w:ascii="Calibri" w:eastAsia="Calibri" w:hAnsi="Calibri"/>
      <w:lang w:val="en-US"/>
    </w:rPr>
  </w:style>
  <w:style w:type="paragraph" w:customStyle="1" w:styleId="BankNormal">
    <w:name w:val="BankNormal"/>
    <w:basedOn w:val="Normal"/>
    <w:uiPriority w:val="99"/>
    <w:rsid w:val="00DF1FBF"/>
    <w:pPr>
      <w:spacing w:after="240"/>
      <w:jc w:val="left"/>
    </w:pPr>
    <w:rPr>
      <w:sz w:val="24"/>
      <w:szCs w:val="20"/>
      <w:lang w:val="en-US"/>
    </w:rPr>
  </w:style>
  <w:style w:type="paragraph" w:customStyle="1" w:styleId="Style">
    <w:name w:val="Style"/>
    <w:uiPriority w:val="99"/>
    <w:rsid w:val="00DF1FBF"/>
    <w:pPr>
      <w:widowControl w:val="0"/>
      <w:autoSpaceDE w:val="0"/>
      <w:autoSpaceDN w:val="0"/>
      <w:adjustRightInd w:val="0"/>
    </w:pPr>
    <w:rPr>
      <w:sz w:val="24"/>
      <w:szCs w:val="24"/>
    </w:rPr>
  </w:style>
  <w:style w:type="paragraph" w:customStyle="1" w:styleId="1">
    <w:name w:val="リスト段落1"/>
    <w:basedOn w:val="Normal"/>
    <w:uiPriority w:val="99"/>
    <w:qFormat/>
    <w:rsid w:val="00DF1FBF"/>
    <w:pPr>
      <w:widowControl w:val="0"/>
      <w:ind w:leftChars="400" w:left="840"/>
    </w:pPr>
    <w:rPr>
      <w:rFonts w:ascii="Century" w:eastAsia="MS Mincho" w:hAnsi="Century"/>
      <w:kern w:val="2"/>
      <w:sz w:val="21"/>
      <w:lang w:val="en-US" w:eastAsia="ja-JP"/>
    </w:rPr>
  </w:style>
  <w:style w:type="character" w:customStyle="1" w:styleId="0Heading0Char">
    <w:name w:val="0 Heading 0 Char"/>
    <w:link w:val="0Heading0"/>
    <w:locked/>
    <w:rsid w:val="00DF1FBF"/>
    <w:rPr>
      <w:sz w:val="22"/>
      <w:szCs w:val="22"/>
      <w:lang w:val="en-GB"/>
    </w:rPr>
  </w:style>
  <w:style w:type="character" w:customStyle="1" w:styleId="textbold1">
    <w:name w:val="textbold1"/>
    <w:basedOn w:val="DefaultParagraphFont"/>
    <w:rsid w:val="00DF1FBF"/>
  </w:style>
  <w:style w:type="character" w:customStyle="1" w:styleId="mw-headline">
    <w:name w:val="mw-headline"/>
    <w:rsid w:val="00DF1FBF"/>
    <w:rPr>
      <w:rFonts w:ascii="Times New Roman" w:hAnsi="Times New Roman" w:cs="Times New Roman" w:hint="default"/>
    </w:rPr>
  </w:style>
  <w:style w:type="character" w:customStyle="1" w:styleId="FootnoteTextChar1">
    <w:name w:val="Footnote Text Char1"/>
    <w:semiHidden/>
    <w:locked/>
    <w:rsid w:val="00DF1FBF"/>
    <w:rPr>
      <w:lang w:val="es-ES" w:eastAsia="es-ES" w:bidi="ar-SA"/>
    </w:rPr>
  </w:style>
  <w:style w:type="character" w:customStyle="1" w:styleId="apple-converted-space">
    <w:name w:val="apple-converted-space"/>
    <w:rsid w:val="00DF1FBF"/>
  </w:style>
  <w:style w:type="character" w:customStyle="1" w:styleId="a1">
    <w:name w:val="_"/>
    <w:uiPriority w:val="99"/>
    <w:rsid w:val="00DF1FBF"/>
    <w:rPr>
      <w:rFonts w:ascii="Times New Roman" w:hAnsi="Times New Roman" w:cs="Times New Roman" w:hint="default"/>
    </w:rPr>
  </w:style>
  <w:style w:type="table" w:customStyle="1" w:styleId="TableGrid10">
    <w:name w:val="Table Grid1"/>
    <w:basedOn w:val="TableNormal"/>
    <w:uiPriority w:val="59"/>
    <w:rsid w:val="00DF1FBF"/>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59"/>
    <w:rsid w:val="00DF1FB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importado12">
    <w:name w:val="Estilo importado 12"/>
    <w:rsid w:val="00DF1FBF"/>
    <w:pPr>
      <w:numPr>
        <w:numId w:val="22"/>
      </w:numPr>
    </w:pPr>
  </w:style>
  <w:style w:type="numbering" w:customStyle="1" w:styleId="Estiloimportado2">
    <w:name w:val="Estilo importado 2"/>
    <w:rsid w:val="00DF1FBF"/>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5500961">
      <w:bodyDiv w:val="1"/>
      <w:marLeft w:val="0"/>
      <w:marRight w:val="0"/>
      <w:marTop w:val="0"/>
      <w:marBottom w:val="0"/>
      <w:divBdr>
        <w:top w:val="none" w:sz="0" w:space="0" w:color="auto"/>
        <w:left w:val="none" w:sz="0" w:space="0" w:color="auto"/>
        <w:bottom w:val="none" w:sz="0" w:space="0" w:color="auto"/>
        <w:right w:val="none" w:sz="0" w:space="0" w:color="auto"/>
      </w:divBdr>
    </w:div>
    <w:div w:id="187095258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3.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customXml" Target="../customXml/item4.xml"/><Relationship Id="rId10" Type="http://schemas.openxmlformats.org/officeDocument/2006/relationships/image" Target="media/image2.png"/><Relationship Id="rId19" Type="http://schemas.openxmlformats.org/officeDocument/2006/relationships/footer" Target="footer5.xml"/><Relationship Id="rId31"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oter" Target="footer7.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customXml" Target="../customXml/item3.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J:\77th\Templates\Eec7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UNEP/OzL.Pro/ExCom/77/30</Document_x0020_Number>
    <DocumentType xmlns="64e33b30-101d-41de-b951-961aab25ea29">Pre-session</DocumentType>
  </documentManagement>
</p:properties>
</file>

<file path=customXml/itemProps1.xml><?xml version="1.0" encoding="utf-8"?>
<ds:datastoreItem xmlns:ds="http://schemas.openxmlformats.org/officeDocument/2006/customXml" ds:itemID="{D6834FD9-53CF-4586-9666-84CF49753E3F}"/>
</file>

<file path=customXml/itemProps2.xml><?xml version="1.0" encoding="utf-8"?>
<ds:datastoreItem xmlns:ds="http://schemas.openxmlformats.org/officeDocument/2006/customXml" ds:itemID="{1685F480-9969-4C2C-8501-F8588D43309C}"/>
</file>

<file path=customXml/itemProps3.xml><?xml version="1.0" encoding="utf-8"?>
<ds:datastoreItem xmlns:ds="http://schemas.openxmlformats.org/officeDocument/2006/customXml" ds:itemID="{423E3636-FF4D-4CEF-B9B1-4684B98AB5FC}"/>
</file>

<file path=customXml/itemProps4.xml><?xml version="1.0" encoding="utf-8"?>
<ds:datastoreItem xmlns:ds="http://schemas.openxmlformats.org/officeDocument/2006/customXml" ds:itemID="{A2BE0054-1728-41DC-A97A-23EFA6125CBB}"/>
</file>

<file path=docProps/app.xml><?xml version="1.0" encoding="utf-8"?>
<Properties xmlns="http://schemas.openxmlformats.org/officeDocument/2006/extended-properties" xmlns:vt="http://schemas.openxmlformats.org/officeDocument/2006/docPropsVTypes">
  <Template>Eec77G.dotm</Template>
  <TotalTime>15</TotalTime>
  <Pages>24</Pages>
  <Words>6052</Words>
  <Characters>34557</Characters>
  <Application>Microsoft Office Word</Application>
  <DocSecurity>0</DocSecurity>
  <Lines>287</Lines>
  <Paragraphs>81</Paragraphs>
  <ScaleCrop>false</ScaleCrop>
  <HeadingPairs>
    <vt:vector size="2" baseType="variant">
      <vt:variant>
        <vt:lpstr>Title</vt:lpstr>
      </vt:variant>
      <vt:variant>
        <vt:i4>1</vt:i4>
      </vt:variant>
    </vt:vector>
  </HeadingPairs>
  <TitlesOfParts>
    <vt:vector size="1" baseType="lpstr">
      <vt:lpstr>UNIDO's Work Programme Amendments for 2016</vt:lpstr>
    </vt:vector>
  </TitlesOfParts>
  <Company/>
  <LinksUpToDate>false</LinksUpToDate>
  <CharactersWithSpaces>40528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UNIDO's Work Programme Amendments for 2016</dc:title>
  <dc:subject>UNEP/OzL.Pro/ExCom/77/30</dc:subject>
  <dc:creator/>
  <cp:lastModifiedBy>Julia Anne Dearing</cp:lastModifiedBy>
  <cp:revision>9</cp:revision>
  <cp:lastPrinted>2016-10-29T00:00:00Z</cp:lastPrinted>
  <dcterms:created xsi:type="dcterms:W3CDTF">2016-10-28T22:54:00Z</dcterms:created>
  <dcterms:modified xsi:type="dcterms:W3CDTF">2016-10-29T00:02:00Z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UNEP/OzL.Pro/ExCom/77/30</vt:lpwstr>
  </property>
  <property fmtid="{D5CDD505-2E9C-101B-9397-08002B2CF9AE}" pid="3" name="Revision date">
    <vt:lpwstr>25/10/2016</vt:lpwstr>
  </property>
  <property fmtid="{D5CDD505-2E9C-101B-9397-08002B2CF9AE}" pid="4" name="ContentTypeId">
    <vt:lpwstr>0x010100F409F5B17BF82F4083D32896D3516BC1</vt:lpwstr>
  </property>
</Properties>
</file>