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4D10875" w14:textId="77777777" w:rsidTr="009C59F7">
        <w:trPr>
          <w:trHeight w:val="720"/>
        </w:trPr>
        <w:tc>
          <w:tcPr>
            <w:tcW w:w="5490" w:type="dxa"/>
            <w:gridSpan w:val="2"/>
            <w:tcBorders>
              <w:bottom w:val="single" w:sz="18" w:space="0" w:color="auto"/>
            </w:tcBorders>
          </w:tcPr>
          <w:p w14:paraId="3480290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590" w:type="dxa"/>
            <w:tcBorders>
              <w:bottom w:val="single" w:sz="18" w:space="0" w:color="auto"/>
            </w:tcBorders>
          </w:tcPr>
          <w:p w14:paraId="33B2FE42"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ABC412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3E7295"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74DFBE6A" wp14:editId="1F69068B">
                      <wp:simplePos x="0" y="0"/>
                      <wp:positionH relativeFrom="column">
                        <wp:posOffset>-32385</wp:posOffset>
                      </wp:positionH>
                      <wp:positionV relativeFrom="paragraph">
                        <wp:posOffset>33655</wp:posOffset>
                      </wp:positionV>
                      <wp:extent cx="822325" cy="1574224"/>
                      <wp:effectExtent l="0" t="0" r="0" b="6985"/>
                      <wp:wrapNone/>
                      <wp:docPr id="1" name="Group 1"/>
                      <wp:cNvGraphicFramePr/>
                      <a:graphic xmlns:a="http://schemas.openxmlformats.org/drawingml/2006/main">
                        <a:graphicData uri="http://schemas.microsoft.com/office/word/2010/wordprocessingGroup">
                          <wpg:wgp>
                            <wpg:cNvGrpSpPr/>
                            <wpg:grpSpPr>
                              <a:xfrm>
                                <a:off x="0" y="0"/>
                                <a:ext cx="822325" cy="1574224"/>
                                <a:chOff x="0" y="0"/>
                                <a:chExt cx="822325" cy="1574224"/>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4925" y="777876"/>
                                  <a:ext cx="787400" cy="7963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CBF99D8" id="Group 1" o:spid="_x0000_s1026" style="position:absolute;margin-left:-2.55pt;margin-top:2.65pt;width:64.75pt;height:123.95pt;z-index:251658240;mso-width-relative:margin;mso-height-relative:margin" coordsize="8223,15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49;top:7778;width:7874;height:7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4451AC3" w14:textId="77777777" w:rsidR="00541BDF" w:rsidRDefault="00541BDF" w:rsidP="003850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1793616" w14:textId="0A207FE3" w:rsidR="003850C3" w:rsidRDefault="003850C3" w:rsidP="003850C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4B24AA6" w14:textId="77777777" w:rsidR="003850C3" w:rsidRDefault="003850C3" w:rsidP="003850C3">
            <w:pPr>
              <w:rPr>
                <w:rFonts w:ascii="Univers" w:hAnsi="Univers"/>
                <w:b/>
                <w:sz w:val="32"/>
                <w:lang w:val="fr-CA"/>
              </w:rPr>
            </w:pPr>
            <w:r>
              <w:rPr>
                <w:rFonts w:ascii="Univers" w:hAnsi="Univers"/>
                <w:b/>
                <w:sz w:val="32"/>
                <w:lang w:val="fr-CA"/>
              </w:rPr>
              <w:t>Nations Unies pour</w:t>
            </w:r>
          </w:p>
          <w:p w14:paraId="337C3932" w14:textId="4BC5F76F" w:rsidR="00C15867" w:rsidRPr="009B0D30" w:rsidRDefault="003850C3" w:rsidP="003850C3">
            <w:proofErr w:type="gramStart"/>
            <w:r>
              <w:rPr>
                <w:rFonts w:ascii="Univers" w:hAnsi="Univers"/>
                <w:b/>
                <w:sz w:val="32"/>
                <w:lang w:val="fr-CA"/>
              </w:rPr>
              <w:t>l’environnement</w:t>
            </w:r>
            <w:proofErr w:type="gramEnd"/>
            <w:r w:rsidRPr="009B0D30">
              <w:t xml:space="preserve"> </w:t>
            </w:r>
          </w:p>
        </w:tc>
        <w:tc>
          <w:tcPr>
            <w:tcW w:w="4590" w:type="dxa"/>
            <w:tcBorders>
              <w:top w:val="nil"/>
              <w:left w:val="nil"/>
              <w:bottom w:val="single" w:sz="36" w:space="0" w:color="auto"/>
              <w:right w:val="nil"/>
            </w:tcBorders>
          </w:tcPr>
          <w:p w14:paraId="3FAAFD62" w14:textId="77777777" w:rsidR="00C15867" w:rsidRPr="009B0D30" w:rsidRDefault="00C15867" w:rsidP="00541BDF">
            <w:pPr>
              <w:ind w:firstLine="780"/>
            </w:pPr>
            <w:proofErr w:type="spellStart"/>
            <w:r>
              <w:t>Distr</w:t>
            </w:r>
            <w:proofErr w:type="spellEnd"/>
            <w:r>
              <w:t>.</w:t>
            </w:r>
          </w:p>
          <w:p w14:paraId="1DC75C01" w14:textId="77777777" w:rsidR="00923540" w:rsidRPr="009B0D30" w:rsidRDefault="00923540" w:rsidP="00541BDF">
            <w:pPr>
              <w:ind w:firstLine="780"/>
            </w:pPr>
            <w:r>
              <w:t>GÉNÉRALE</w:t>
            </w:r>
          </w:p>
          <w:p w14:paraId="0421416C" w14:textId="77777777" w:rsidR="00C15867" w:rsidRPr="009B0D30" w:rsidRDefault="00C15867" w:rsidP="00541BDF">
            <w:pPr>
              <w:ind w:firstLine="780"/>
            </w:pPr>
          </w:p>
          <w:p w14:paraId="0AD78269" w14:textId="77777777" w:rsidR="00C15867" w:rsidRPr="009B0D30" w:rsidRDefault="00C15867" w:rsidP="00541BDF">
            <w:pPr>
              <w:ind w:firstLine="780"/>
            </w:pPr>
          </w:p>
          <w:p w14:paraId="08B2B623" w14:textId="0677DEF1" w:rsidR="00C15867" w:rsidRPr="009B0D30" w:rsidRDefault="00142398" w:rsidP="00541BDF">
            <w:pPr>
              <w:ind w:firstLine="780"/>
            </w:pPr>
            <w:r>
              <w:fldChar w:fldCharType="begin"/>
            </w:r>
            <w:r>
              <w:instrText xml:space="preserve"> DOCPROPERTY "Document number"  \* MERGEFORMAT </w:instrText>
            </w:r>
            <w:r>
              <w:fldChar w:fldCharType="separate"/>
            </w:r>
            <w:r w:rsidR="001C01D4">
              <w:t>UNEP/</w:t>
            </w:r>
            <w:proofErr w:type="spellStart"/>
            <w:r w:rsidR="001C01D4">
              <w:t>OzL.Pro</w:t>
            </w:r>
            <w:proofErr w:type="spellEnd"/>
            <w:r w:rsidR="001C01D4">
              <w:t>/</w:t>
            </w:r>
            <w:proofErr w:type="spellStart"/>
            <w:r w:rsidR="001C01D4">
              <w:t>ExCom</w:t>
            </w:r>
            <w:proofErr w:type="spellEnd"/>
            <w:r w:rsidR="001C01D4">
              <w:t>/94/64</w:t>
            </w:r>
            <w:r>
              <w:fldChar w:fldCharType="end"/>
            </w:r>
          </w:p>
          <w:p w14:paraId="4B0214D6" w14:textId="42B4E557" w:rsidR="00C15867" w:rsidRPr="009B0D30" w:rsidRDefault="00BC2495" w:rsidP="00541BDF">
            <w:pPr>
              <w:ind w:firstLine="780"/>
            </w:pPr>
            <w:r w:rsidRPr="009B0D30">
              <w:fldChar w:fldCharType="begin"/>
            </w:r>
            <w:r w:rsidR="00851352" w:rsidRPr="009B0D30">
              <w:instrText xml:space="preserve"> DOCPROPERTY "Revision date" \@ "d MMMM YYYY"  \* MERGEFORMAT </w:instrText>
            </w:r>
            <w:r w:rsidRPr="009B0D30">
              <w:fldChar w:fldCharType="separate"/>
            </w:r>
            <w:r w:rsidR="006B0D13">
              <w:t>24 avril 2024</w:t>
            </w:r>
            <w:r w:rsidRPr="009B0D30">
              <w:fldChar w:fldCharType="end"/>
            </w:r>
          </w:p>
          <w:p w14:paraId="29E63175" w14:textId="77777777" w:rsidR="00C15867" w:rsidRPr="009B0D30" w:rsidRDefault="00C15867" w:rsidP="00541BDF">
            <w:pPr>
              <w:ind w:firstLine="780"/>
              <w:rPr>
                <w:caps/>
              </w:rPr>
            </w:pPr>
          </w:p>
          <w:p w14:paraId="29C2AB09" w14:textId="77777777" w:rsidR="003850C3" w:rsidRDefault="003850C3" w:rsidP="00541BDF">
            <w:pPr>
              <w:ind w:firstLine="780"/>
            </w:pPr>
            <w:r>
              <w:rPr>
                <w:caps/>
              </w:rPr>
              <w:t>FRANÇAIS</w:t>
            </w:r>
            <w:r>
              <w:t xml:space="preserve"> </w:t>
            </w:r>
          </w:p>
          <w:p w14:paraId="7F041590" w14:textId="5C00E79F" w:rsidR="00C15867" w:rsidRPr="009B0D30" w:rsidRDefault="00C15867" w:rsidP="00541BDF">
            <w:pPr>
              <w:ind w:firstLine="780"/>
            </w:pPr>
            <w:r>
              <w:t>ORIGINAL : ANGLAIS</w:t>
            </w:r>
          </w:p>
        </w:tc>
      </w:tr>
    </w:tbl>
    <w:p w14:paraId="031B66BC" w14:textId="2C283DCE" w:rsidR="00CA59FB" w:rsidRDefault="00C15867" w:rsidP="00CA59FB">
      <w:pPr>
        <w:jc w:val="left"/>
      </w:pPr>
      <w:r>
        <w:t>COMITÉ EXÉCUTIF</w:t>
      </w:r>
      <w:r>
        <w:br/>
        <w:t xml:space="preserve">  DU FONDS MULTILATÉRAL AUX FINS</w:t>
      </w:r>
      <w:r>
        <w:br/>
        <w:t xml:space="preserve">  D’APPLICATION DU PROTOCOLE DE MONTRÉAL</w:t>
      </w:r>
      <w:r>
        <w:br/>
        <w:t>Quatre-vingt-quatorzième réunion</w:t>
      </w:r>
    </w:p>
    <w:p w14:paraId="4D40E24F" w14:textId="19CAE973" w:rsidR="00CA59FB" w:rsidRDefault="00CA59FB" w:rsidP="00CA59FB">
      <w:pPr>
        <w:jc w:val="left"/>
      </w:pPr>
      <w:r>
        <w:t>Montréal, 27 – 31 mai 2024</w:t>
      </w:r>
    </w:p>
    <w:p w14:paraId="4D36CA64" w14:textId="7FEDEA1D" w:rsidR="0079781A" w:rsidRDefault="0079781A" w:rsidP="0079781A">
      <w:pPr>
        <w:jc w:val="left"/>
      </w:pPr>
      <w:r>
        <w:t>Point 15 de l’ordre du jour provisoire</w:t>
      </w:r>
      <w:r w:rsidRPr="00512BEF">
        <w:rPr>
          <w:rStyle w:val="FootnoteReference"/>
        </w:rPr>
        <w:footnoteReference w:id="2"/>
      </w:r>
    </w:p>
    <w:p w14:paraId="49FF3911" w14:textId="77777777" w:rsidR="00C15867" w:rsidRPr="009B0D30" w:rsidRDefault="00C15867" w:rsidP="00CA59FB">
      <w:pPr>
        <w:jc w:val="left"/>
      </w:pPr>
    </w:p>
    <w:p w14:paraId="5F3D19BD" w14:textId="77777777" w:rsidR="009145E4" w:rsidRDefault="009145E4" w:rsidP="009145E4">
      <w:pPr>
        <w:pStyle w:val="Heading1"/>
        <w:numPr>
          <w:ilvl w:val="0"/>
          <w:numId w:val="0"/>
        </w:numPr>
      </w:pPr>
    </w:p>
    <w:p w14:paraId="0CFE8D49" w14:textId="22313EBD" w:rsidR="00080529" w:rsidRDefault="001C01D4" w:rsidP="00080529">
      <w:pPr>
        <w:jc w:val="center"/>
        <w:rPr>
          <w:b/>
          <w:bCs/>
        </w:rPr>
      </w:pPr>
      <w:r>
        <w:rPr>
          <w:b/>
        </w:rPr>
        <w:t>PROJET DE RAPPORT DU COMITE EXECUTIF DU FONDS MULTILATERAL AUX FINS D’APPLICATION DU PROTOCOLE DE MONTREAL A LA TRENTE</w:t>
      </w:r>
      <w:r>
        <w:rPr>
          <w:b/>
        </w:rPr>
        <w:noBreakHyphen/>
        <w:t>SIXIEME REUNION DES PARTIES</w:t>
      </w:r>
    </w:p>
    <w:p w14:paraId="1C7ED1E9" w14:textId="77777777" w:rsidR="00080529" w:rsidRPr="001C01D4" w:rsidRDefault="00080529" w:rsidP="00080529">
      <w:pPr>
        <w:pStyle w:val="Title1"/>
        <w:rPr>
          <w:sz w:val="20"/>
          <w:szCs w:val="20"/>
        </w:rPr>
      </w:pPr>
    </w:p>
    <w:p w14:paraId="48478773" w14:textId="77777777" w:rsidR="00080529" w:rsidRPr="00F8694C" w:rsidRDefault="00080529" w:rsidP="00080529">
      <w:pPr>
        <w:pStyle w:val="Heading1"/>
        <w:numPr>
          <w:ilvl w:val="0"/>
          <w:numId w:val="0"/>
        </w:numPr>
        <w:tabs>
          <w:tab w:val="left" w:pos="720"/>
        </w:tabs>
        <w:jc w:val="left"/>
        <w:rPr>
          <w:sz w:val="24"/>
          <w:szCs w:val="24"/>
        </w:rPr>
      </w:pPr>
      <w:r>
        <w:rPr>
          <w:b/>
          <w:sz w:val="24"/>
        </w:rPr>
        <w:t>Introduction</w:t>
      </w:r>
    </w:p>
    <w:p w14:paraId="7B241C44" w14:textId="77777777" w:rsidR="00080529" w:rsidRPr="000F5247" w:rsidRDefault="00080529" w:rsidP="006255CB">
      <w:pPr>
        <w:pStyle w:val="Heading1"/>
        <w:numPr>
          <w:ilvl w:val="0"/>
          <w:numId w:val="10"/>
        </w:numPr>
      </w:pPr>
      <w:r>
        <w:t>Le présent rapport comprend les deux parties et les deux annexes suivantes :</w:t>
      </w:r>
    </w:p>
    <w:p w14:paraId="335D6693" w14:textId="0F0180A6" w:rsidR="00080529" w:rsidRPr="000F5247" w:rsidRDefault="00080529" w:rsidP="00080529">
      <w:pPr>
        <w:ind w:left="720"/>
      </w:pPr>
      <w:r>
        <w:t>I :</w:t>
      </w:r>
      <w:r>
        <w:tab/>
      </w:r>
      <w:r>
        <w:tab/>
        <w:t>Examen de la période visée depuis la trente-cinquième Réunion des Parties</w:t>
      </w:r>
    </w:p>
    <w:p w14:paraId="2134D146" w14:textId="77777777" w:rsidR="00080529" w:rsidRPr="000F5247" w:rsidRDefault="00080529" w:rsidP="00080529">
      <w:pPr>
        <w:ind w:left="720"/>
      </w:pPr>
      <w:r>
        <w:t>II :</w:t>
      </w:r>
      <w:r>
        <w:tab/>
      </w:r>
      <w:r>
        <w:tab/>
        <w:t>Réalisations du Fonds multilatéral depuis sa création</w:t>
      </w:r>
    </w:p>
    <w:p w14:paraId="0928997D" w14:textId="77777777" w:rsidR="001D7F6F" w:rsidRDefault="001D7F6F" w:rsidP="000F5247">
      <w:pPr>
        <w:ind w:left="2160" w:hanging="1440"/>
        <w:rPr>
          <w:highlight w:val="yellow"/>
        </w:rPr>
      </w:pPr>
    </w:p>
    <w:p w14:paraId="024D22EE" w14:textId="6EE002DC" w:rsidR="00080529" w:rsidRPr="00D1532C" w:rsidRDefault="00080529" w:rsidP="000F5247">
      <w:pPr>
        <w:ind w:left="2160" w:hanging="1440"/>
        <w:rPr>
          <w:highlight w:val="yellow"/>
        </w:rPr>
      </w:pPr>
      <w:r>
        <w:rPr>
          <w:highlight w:val="yellow"/>
        </w:rPr>
        <w:t>[Annexe :</w:t>
      </w:r>
      <w:r>
        <w:rPr>
          <w:highlight w:val="yellow"/>
        </w:rPr>
        <w:tab/>
        <w:t>Bulletin annuel du Fonds multilatéral présentant quelques projets réussis et résultats des orientations de 2023]</w:t>
      </w:r>
    </w:p>
    <w:p w14:paraId="47FB06B5" w14:textId="77777777" w:rsidR="00080529" w:rsidRPr="00282EB1" w:rsidRDefault="00080529" w:rsidP="00080529">
      <w:pPr>
        <w:ind w:left="720"/>
        <w:rPr>
          <w:highlight w:val="yellow"/>
        </w:rPr>
      </w:pPr>
    </w:p>
    <w:p w14:paraId="38DCE720" w14:textId="2E0E311C" w:rsidR="00080529" w:rsidRPr="00F8694C" w:rsidRDefault="00080529" w:rsidP="006255CB">
      <w:pPr>
        <w:pStyle w:val="ListParagraph"/>
        <w:numPr>
          <w:ilvl w:val="0"/>
          <w:numId w:val="11"/>
        </w:numPr>
        <w:ind w:left="720"/>
        <w:rPr>
          <w:rFonts w:ascii="Times New Roman Bold" w:hAnsi="Times New Roman Bold"/>
          <w:b/>
          <w:sz w:val="24"/>
          <w:szCs w:val="24"/>
        </w:rPr>
      </w:pPr>
      <w:r>
        <w:rPr>
          <w:rFonts w:ascii="Times New Roman Bold" w:hAnsi="Times New Roman Bold"/>
          <w:b/>
          <w:sz w:val="24"/>
        </w:rPr>
        <w:t xml:space="preserve">Examen de la période visée depuis la trente-cinquième Réunion des Parties </w:t>
      </w:r>
    </w:p>
    <w:p w14:paraId="0D9B83F4" w14:textId="77777777" w:rsidR="00080529" w:rsidRDefault="00080529" w:rsidP="00080529">
      <w:pPr>
        <w:jc w:val="left"/>
        <w:rPr>
          <w:b/>
          <w:caps/>
        </w:rPr>
      </w:pPr>
    </w:p>
    <w:p w14:paraId="32652C80" w14:textId="48BEAF0A" w:rsidR="003811A6" w:rsidRDefault="00282EB1" w:rsidP="006D7DDD">
      <w:pPr>
        <w:pStyle w:val="Heading1"/>
      </w:pPr>
      <w:r>
        <w:t xml:space="preserve">Le Comité exécutif a tenu sa 93e </w:t>
      </w:r>
      <w:r w:rsidRPr="001C01D4">
        <w:rPr>
          <w:highlight w:val="yellow"/>
        </w:rPr>
        <w:t>[et sa 94e] réunion</w:t>
      </w:r>
      <w:r>
        <w:t xml:space="preserve"> au cours de la période visée par ce rapport. La 93e réunion s’est déroulée à Montréal au Canada, du 15 au 19 décembre 2023. Les travaux de la 93e réunion ont été dirigés par les membres du Comité exécutif pour l’année 2023, conformément à la décision XXXIV/20 de la trente</w:t>
      </w:r>
      <w:r>
        <w:noBreakHyphen/>
        <w:t>quatrième Réunion des Parties. Le Comité était formé des représentants des Parties visées au paragraphe 1 de l’article 5 du Protocole (Parties visées à l’article 5) suivantes : Brésil (vice</w:t>
      </w:r>
      <w:r>
        <w:noBreakHyphen/>
        <w:t xml:space="preserve">président), Burkina Faso, Chine, Cuba, Ghana, Kenya et Koweït ; et des représentants des Parties non visées au paragraphe 1 de l’article 5 du Protocole (Parties non visées à l’article 5) suivantes : </w:t>
      </w:r>
      <w:r w:rsidR="00EA2ECB" w:rsidRPr="00EA2ECB">
        <w:t>Australie (président), Belgique, Estonie, États-Unis d’Amérique, Finlande, Italie et Japon</w:t>
      </w:r>
      <w:r>
        <w:t>.</w:t>
      </w:r>
    </w:p>
    <w:p w14:paraId="6A2E6C7B" w14:textId="6A4F08DB" w:rsidR="00F0671D" w:rsidRPr="003811A6" w:rsidRDefault="00F0671D" w:rsidP="006D7DDD">
      <w:pPr>
        <w:pStyle w:val="Heading1"/>
        <w:numPr>
          <w:ilvl w:val="0"/>
          <w:numId w:val="10"/>
        </w:numPr>
        <w:tabs>
          <w:tab w:val="clear" w:pos="0"/>
          <w:tab w:val="num" w:pos="720"/>
        </w:tabs>
      </w:pPr>
      <w:r>
        <w:rPr>
          <w:highlight w:val="yellow"/>
        </w:rPr>
        <w:t>[La 94e réunion s’est déroulée à Montréal, du 27 au 31 mai 2024. Les travaux de la 94e réunion ont été dirigés par les membres du Comité exécutif pour l’année 2024, conformément à la décision XXXV/23 de la trente-cinquième Réunion des Parties. Le Comité était formé des représentants des Parties non visées à l’article 5 suivantes </w:t>
      </w:r>
      <w:r w:rsidRPr="00EA2ECB">
        <w:rPr>
          <w:highlight w:val="yellow"/>
        </w:rPr>
        <w:t xml:space="preserve">: </w:t>
      </w:r>
      <w:r w:rsidR="00EA2ECB" w:rsidRPr="00EA2ECB">
        <w:rPr>
          <w:highlight w:val="yellow"/>
        </w:rPr>
        <w:t>Belgique, Canada, Estonie, États-Unis d’Amérique, Italie (vice-président), Japon et Suède</w:t>
      </w:r>
      <w:r w:rsidRPr="00EA2ECB">
        <w:rPr>
          <w:highlight w:val="yellow"/>
        </w:rPr>
        <w:t xml:space="preserve"> ; </w:t>
      </w:r>
      <w:r>
        <w:rPr>
          <w:highlight w:val="yellow"/>
        </w:rPr>
        <w:t xml:space="preserve">et des représentants des Parties visées à l’article 5 suivantes : Argentine </w:t>
      </w:r>
      <w:r>
        <w:rPr>
          <w:highlight w:val="yellow"/>
        </w:rPr>
        <w:lastRenderedPageBreak/>
        <w:t>(président), Cuba, Ghana, Inde, Jordanie, Koweït et Tunisie.]</w:t>
      </w:r>
      <w:r>
        <w:t xml:space="preserve"> Les rapports de ces réunions</w:t>
      </w:r>
      <w:r>
        <w:rPr>
          <w:rStyle w:val="FootnoteReference"/>
        </w:rPr>
        <w:footnoteReference w:id="3"/>
      </w:r>
      <w:r>
        <w:t xml:space="preserve"> sont disponibles sur le site Web du Fonds multilatéral (www.multilateralfund.org).</w:t>
      </w:r>
    </w:p>
    <w:p w14:paraId="14302F3B" w14:textId="1790B72A" w:rsidR="005215C1" w:rsidRPr="00F8694C" w:rsidRDefault="00282EB1" w:rsidP="005215C1">
      <w:pPr>
        <w:keepNext/>
        <w:spacing w:after="240"/>
        <w:jc w:val="left"/>
        <w:outlineLvl w:val="1"/>
        <w:rPr>
          <w:b/>
          <w:sz w:val="24"/>
          <w:szCs w:val="24"/>
        </w:rPr>
      </w:pPr>
      <w:r>
        <w:rPr>
          <w:b/>
          <w:sz w:val="24"/>
        </w:rPr>
        <w:t>A.</w:t>
      </w:r>
      <w:r>
        <w:rPr>
          <w:b/>
          <w:sz w:val="24"/>
        </w:rPr>
        <w:tab/>
        <w:t>Questions d’orientation en lien avec l’Amendement de Kigali</w:t>
      </w:r>
    </w:p>
    <w:p w14:paraId="245582DD" w14:textId="579BEF17" w:rsidR="00282EB1" w:rsidRPr="003811A6" w:rsidRDefault="003811A6" w:rsidP="00345B26">
      <w:pPr>
        <w:keepNext/>
        <w:spacing w:after="240"/>
        <w:ind w:left="720" w:hanging="720"/>
        <w:outlineLvl w:val="1"/>
        <w:rPr>
          <w:b/>
        </w:rPr>
      </w:pPr>
      <w:r>
        <w:rPr>
          <w:b/>
        </w:rPr>
        <w:t>1.</w:t>
      </w:r>
      <w:r>
        <w:rPr>
          <w:b/>
        </w:rPr>
        <w:tab/>
        <w:t xml:space="preserve">Élaboration des lignes directrices sur le financement de la réduction progressive des HFC dans les pays visés à l’article 5, comprenant l’examen de l’opérationnalisation du paragraphe 24 de la décision XXVIII/2 </w:t>
      </w:r>
    </w:p>
    <w:p w14:paraId="7F8A22AF" w14:textId="38BE0FDF" w:rsidR="00282EB1" w:rsidRDefault="00282EB1" w:rsidP="006255CB">
      <w:pPr>
        <w:pStyle w:val="Heading1"/>
        <w:numPr>
          <w:ilvl w:val="0"/>
          <w:numId w:val="10"/>
        </w:numPr>
      </w:pPr>
      <w:r>
        <w:t xml:space="preserve">Au cours de la période visée par ce rapport, le Comité exécutif a poursuivi ses échanges sur les lignes directrices </w:t>
      </w:r>
      <w:r w:rsidR="00B7676F">
        <w:t>relatives aux</w:t>
      </w:r>
      <w:r>
        <w:t xml:space="preserve"> coûts de la réduction progressive des HFC dans les pays visés à l’article 5, qu’il avait amorcés lors d’une réunion extraordinaire de quatre jours, la 78e réunion, en 2017, afin d’aborder les questions découlant de la décision XXVIII/2 de la vingt</w:t>
      </w:r>
      <w:r>
        <w:noBreakHyphen/>
        <w:t>huitième Réunion des Parties.</w:t>
      </w:r>
    </w:p>
    <w:p w14:paraId="048B1C56" w14:textId="12417A97" w:rsidR="00C34968" w:rsidRDefault="00C34968" w:rsidP="006255CB">
      <w:pPr>
        <w:pStyle w:val="Heading1"/>
        <w:numPr>
          <w:ilvl w:val="0"/>
          <w:numId w:val="10"/>
        </w:numPr>
      </w:pPr>
      <w:r>
        <w:t>À la 93e réunion, le Comité exécutif a débuté ses délibérations en séance plénière</w:t>
      </w:r>
      <w:r w:rsidR="0009159E">
        <w:rPr>
          <w:rStyle w:val="FootnoteReference"/>
        </w:rPr>
        <w:footnoteReference w:id="4"/>
      </w:r>
      <w:r>
        <w:t>, puis est passé à un groupe de contact, dans lequel ont été présentées deux propositions distinctes concernant les éléments en souffrance des lignes directrices relatives aux coûts des activités liées aux HFC, l’une émanant de pays non visés à l’article 5 et l’autre émanant de pays visés à l’article 5. Le Comité exécutif a convenu de poursuivre, à la 94e réunion, l’examen du projet de lignes directrices sur le financement de la réduction progressive des HFC, notamment l’examen de l’opérationnalisation du paragraphe 24 de la décision XXVIII/2, en utilisant une série de documents de travail joints en annexe au rapport de la réunion en question</w:t>
      </w:r>
      <w:r w:rsidR="0009159E" w:rsidRPr="0009159E">
        <w:rPr>
          <w:vertAlign w:val="superscript"/>
        </w:rPr>
        <w:footnoteReference w:id="5"/>
      </w:r>
      <w:r>
        <w:t>, incluant les propositions susmentionnées.</w:t>
      </w:r>
    </w:p>
    <w:p w14:paraId="6DF3DB5D" w14:textId="37D9757D" w:rsidR="00056685" w:rsidRPr="00465750" w:rsidRDefault="00056685" w:rsidP="006255CB">
      <w:pPr>
        <w:pStyle w:val="Heading1"/>
        <w:numPr>
          <w:ilvl w:val="0"/>
          <w:numId w:val="10"/>
        </w:numPr>
        <w:rPr>
          <w:highlight w:val="yellow"/>
        </w:rPr>
      </w:pPr>
      <w:r>
        <w:rPr>
          <w:highlight w:val="yellow"/>
        </w:rPr>
        <w:t>[À la 94</w:t>
      </w:r>
      <w:r>
        <w:rPr>
          <w:highlight w:val="yellow"/>
          <w:vertAlign w:val="superscript"/>
        </w:rPr>
        <w:t>e</w:t>
      </w:r>
      <w:r>
        <w:rPr>
          <w:highlight w:val="yellow"/>
        </w:rPr>
        <w:t> réunion…]</w:t>
      </w:r>
    </w:p>
    <w:p w14:paraId="1944AD73" w14:textId="77777777" w:rsidR="000962A6" w:rsidRPr="000962A6" w:rsidRDefault="00282EB1" w:rsidP="00A25102">
      <w:pPr>
        <w:keepNext/>
        <w:spacing w:after="240"/>
        <w:ind w:left="720" w:hanging="720"/>
        <w:outlineLvl w:val="1"/>
        <w:rPr>
          <w:b/>
        </w:rPr>
      </w:pPr>
      <w:r>
        <w:rPr>
          <w:b/>
        </w:rPr>
        <w:t>2.</w:t>
      </w:r>
      <w:r>
        <w:rPr>
          <w:b/>
        </w:rPr>
        <w:tab/>
        <w:t xml:space="preserve">Cadre opérationnel visant à approfondir les aspects institutionnels et les projets et activités qui pourraient être entrepris par le Fonds multilatéral pour maintenir et/ou améliorer l’efficacité énergétique des technologies et équipements de remplacement dans les secteurs de la fabrication et de l’entretien lors de la réduction progressive des HFC </w:t>
      </w:r>
    </w:p>
    <w:p w14:paraId="2AB74E82" w14:textId="732737F6" w:rsidR="007E0207" w:rsidRDefault="00282EB1" w:rsidP="006255CB">
      <w:pPr>
        <w:pStyle w:val="Heading1"/>
        <w:numPr>
          <w:ilvl w:val="0"/>
          <w:numId w:val="10"/>
        </w:numPr>
      </w:pPr>
      <w:r>
        <w:t xml:space="preserve">Au cours de la période visée par ce rapport, le Comité exécutif a poursuivi ses délibérations sur un cadre opérationnel visant à approfondir les aspects institutionnels et les projets et activités qui pourraient être entrepris par le Fonds multilatéral pour maintenir et/ou améliorer l’efficacité énergétique des technologies et équipements de remplacement dans les secteurs de la fabrication et de l’entretien lors de la réduction progressive des HFC. </w:t>
      </w:r>
    </w:p>
    <w:p w14:paraId="46F6DC3A" w14:textId="78DAA87E" w:rsidR="00282EB1" w:rsidRPr="00193CCD" w:rsidRDefault="007E0207" w:rsidP="006255CB">
      <w:pPr>
        <w:pStyle w:val="Heading1"/>
        <w:numPr>
          <w:ilvl w:val="0"/>
          <w:numId w:val="10"/>
        </w:numPr>
      </w:pPr>
      <w:r>
        <w:t>Le Comité avait commencé à échangé sur les enjeux de l’efficacité énergétique à la 82e réunion en réponse aux débats des Parties à la quarantième réunion du Groupe de travail à composition non limitée et à la trentième Réunion des Parties en lien avec le volume 5 du rapport de mai 2018 du Groupe de l’évaluation technologique et économique portant sur les enjeux de l’efficacité énergétique lors de la réduction progressive des HFC</w:t>
      </w:r>
      <w:r w:rsidR="00282EB1" w:rsidRPr="00056685">
        <w:rPr>
          <w:vertAlign w:val="superscript"/>
        </w:rPr>
        <w:footnoteReference w:id="6"/>
      </w:r>
      <w:r>
        <w:t xml:space="preserve">. </w:t>
      </w:r>
    </w:p>
    <w:p w14:paraId="2C565E9D" w14:textId="64F23CBC" w:rsidR="000801D2" w:rsidRPr="000801D2" w:rsidRDefault="00282EB1" w:rsidP="006255CB">
      <w:pPr>
        <w:pStyle w:val="Heading1"/>
        <w:numPr>
          <w:ilvl w:val="0"/>
          <w:numId w:val="10"/>
        </w:numPr>
      </w:pPr>
      <w:r>
        <w:t>À sa 93e réunion, le Comité a examiné un rapport du Secrétariat</w:t>
      </w:r>
      <w:r w:rsidR="007E0207">
        <w:rPr>
          <w:rStyle w:val="FootnoteReference"/>
        </w:rPr>
        <w:footnoteReference w:id="7"/>
      </w:r>
      <w:r>
        <w:t xml:space="preserve"> sur cette question. À l’issue des délibérations qui se sont tenues dans un groupe de contact, le Comité exécutif a décidé de poursuivre ses débats et de continuer ses efforts visant à adopter un cadre opérationnel à la 94e réunion. Entre-temps, il a invité les pays qui le souhaitaient à soumettre des projets visant à maintenir et/ou améliorer l’efficacité énergétique lors de la réduction progressive des HFC dans le cadre des plans de mise en œuvre de l’Amendement de Kigali pour les HFC (KIP). Il a chargé le Secrétariat de préparer, pour la 94e réunion, un </w:t>
      </w:r>
      <w:r>
        <w:lastRenderedPageBreak/>
        <w:t xml:space="preserve">document complétant le rapport préparé pour la 93e réunion et incluant une méthodologie de quantification des gains d’efficacité énergétique ; le rôle spécifique des Bureaux nationaux de l’ozone (BNO) et des organismes réglementant l’efficacité énergétique ; les éventuelles modalités de financement des activités d’investissement et de celles ne portant pas sur des investissements ; l’affinement et l’étoffement des informations disponibles sur les cinq types d’équipements afin d’intégrer toute éventuelle mise à jour et estimation pertinentes des </w:t>
      </w:r>
      <w:proofErr w:type="spellStart"/>
      <w:r>
        <w:t>kilowatt-heures</w:t>
      </w:r>
      <w:proofErr w:type="spellEnd"/>
      <w:r>
        <w:t xml:space="preserve"> économisés et des bénéfices climatiques en équivalent dioxyde de carbone (équivalent CO</w:t>
      </w:r>
      <w:r>
        <w:rPr>
          <w:vertAlign w:val="subscript"/>
        </w:rPr>
        <w:t>2</w:t>
      </w:r>
      <w:r>
        <w:t>) pour chacune des reconversions de chaîne de production, dans la mesure du possible ; les éventuelles modalités de suivi et de déclaration de l’avancement et des résultats des projets visant à maintenir et/ou améliorer l’efficacité énergétique ; et de plus amples informations sur un fonds renouvelable, tenant compte des modèles existants mis en œuvre par d’autres fonds et institutions financières, et incluant les possibles implications pour le Fonds multilatéral et ses agences d’exécution (décision 93/93).</w:t>
      </w:r>
    </w:p>
    <w:p w14:paraId="16B68F1C" w14:textId="10C5EA55" w:rsidR="00282EB1" w:rsidRPr="00465750" w:rsidRDefault="00C34968" w:rsidP="006255CB">
      <w:pPr>
        <w:pStyle w:val="Heading1"/>
        <w:numPr>
          <w:ilvl w:val="0"/>
          <w:numId w:val="10"/>
        </w:numPr>
        <w:rPr>
          <w:highlight w:val="yellow"/>
        </w:rPr>
      </w:pPr>
      <w:r>
        <w:rPr>
          <w:highlight w:val="yellow"/>
        </w:rPr>
        <w:t>[À la 94e réunion…]</w:t>
      </w:r>
    </w:p>
    <w:p w14:paraId="6D72EC0D" w14:textId="42BD8EE0" w:rsidR="00282EB1" w:rsidRPr="00056685" w:rsidRDefault="00465750" w:rsidP="001C01D4">
      <w:pPr>
        <w:keepNext/>
        <w:spacing w:after="240"/>
        <w:outlineLvl w:val="1"/>
        <w:rPr>
          <w:b/>
        </w:rPr>
      </w:pPr>
      <w:r>
        <w:rPr>
          <w:b/>
        </w:rPr>
        <w:t>3.</w:t>
      </w:r>
      <w:r>
        <w:rPr>
          <w:b/>
        </w:rPr>
        <w:tab/>
        <w:t>Modèle d’accord pour la phase I des plans de mise en œuvre de l’Amendement de Kigali pour les HFC</w:t>
      </w:r>
    </w:p>
    <w:p w14:paraId="028A8A2E" w14:textId="48932CF1" w:rsidR="00056685" w:rsidRPr="0089471D" w:rsidRDefault="00282EB1" w:rsidP="006255CB">
      <w:pPr>
        <w:pStyle w:val="Heading1"/>
        <w:numPr>
          <w:ilvl w:val="0"/>
          <w:numId w:val="10"/>
        </w:numPr>
      </w:pPr>
      <w:r>
        <w:t>À la 93e réunion, le Comité exécutif a poursuivi son examen d’un projet de modèle d’accord pour la phase I des KIP</w:t>
      </w:r>
      <w:r w:rsidRPr="0089471D">
        <w:rPr>
          <w:vertAlign w:val="superscript"/>
        </w:rPr>
        <w:footnoteReference w:id="8"/>
      </w:r>
      <w:r>
        <w:t>, notamment dans un groupe de contact. Le groupe a indiqué que les Appendices 1-A et 2-A étaient encore à l’étude, car ils concern</w:t>
      </w:r>
      <w:r w:rsidR="005A3BF5">
        <w:t>ai</w:t>
      </w:r>
      <w:r>
        <w:t xml:space="preserve">ent la mise en place du point de départ, </w:t>
      </w:r>
      <w:r w:rsidR="005A3BF5">
        <w:t>qui faisait</w:t>
      </w:r>
      <w:r>
        <w:t xml:space="preserve"> encore l’objet de discussions. Le groupe </w:t>
      </w:r>
      <w:r w:rsidR="005A3BF5">
        <w:t>est</w:t>
      </w:r>
      <w:r>
        <w:t xml:space="preserve"> parvenu à un accord sur l’Appendice 7-A, relatif à la pénalité applicable en cas de non</w:t>
      </w:r>
      <w:r w:rsidR="005A3BF5">
        <w:t>-</w:t>
      </w:r>
      <w:r>
        <w:t>respect des objectifs de consommation, mais pas sur l’Appendice 5-A, relatif aux institutions de surveillance et aux rôles. Le Comité exécutif a convenu de poursuivre, à la 94e réunion, l’examen du projet de modèle d’accord pour la phase I des plans de mise en œuvre de l’Amendement de Kigali pour les HFC en utilisant un document de travail joint en annexe au rapport de la réunion en question</w:t>
      </w:r>
      <w:r w:rsidR="0089471D" w:rsidRPr="0089471D">
        <w:rPr>
          <w:vertAlign w:val="superscript"/>
        </w:rPr>
        <w:footnoteReference w:id="9"/>
      </w:r>
      <w:r>
        <w:t>.</w:t>
      </w:r>
    </w:p>
    <w:p w14:paraId="118DA96F" w14:textId="398D2923" w:rsidR="0089471D" w:rsidRPr="00465750" w:rsidRDefault="0089471D" w:rsidP="006255CB">
      <w:pPr>
        <w:pStyle w:val="Heading1"/>
        <w:numPr>
          <w:ilvl w:val="0"/>
          <w:numId w:val="10"/>
        </w:numPr>
        <w:rPr>
          <w:highlight w:val="yellow"/>
        </w:rPr>
      </w:pPr>
      <w:r>
        <w:rPr>
          <w:highlight w:val="yellow"/>
        </w:rPr>
        <w:t>[À la 94e réunion…]</w:t>
      </w:r>
    </w:p>
    <w:p w14:paraId="026372E3" w14:textId="66E3D6D5" w:rsidR="00282EB1" w:rsidRPr="0089471D" w:rsidRDefault="00465750" w:rsidP="000962A6">
      <w:pPr>
        <w:keepNext/>
        <w:spacing w:after="240"/>
        <w:jc w:val="left"/>
        <w:outlineLvl w:val="1"/>
        <w:rPr>
          <w:b/>
        </w:rPr>
      </w:pPr>
      <w:r>
        <w:rPr>
          <w:b/>
        </w:rPr>
        <w:t>4.</w:t>
      </w:r>
      <w:r>
        <w:rPr>
          <w:b/>
        </w:rPr>
        <w:tab/>
        <w:t>Consommation de HFC dans le sous-secteur de l’installation et de l’assemblage sur place</w:t>
      </w:r>
    </w:p>
    <w:p w14:paraId="645FAC4D" w14:textId="39EEA1EA" w:rsidR="0089471D" w:rsidRDefault="00282EB1" w:rsidP="006255CB">
      <w:pPr>
        <w:pStyle w:val="Heading1"/>
        <w:numPr>
          <w:ilvl w:val="0"/>
          <w:numId w:val="10"/>
        </w:numPr>
      </w:pPr>
      <w:r>
        <w:t>À la 93e réunion, le Comité exécutif a examiné un document présentant des informations sur les types d’activités que les pays visés à l’article 5 pourraient entreprendre, sur la nature de l’assistance requise et sur les questions de chaîne d’approvisionnement à régler afin de réduire la consommation dans le sous-secteur de l’installation et de l’assemblage sur place dans leurs KIP</w:t>
      </w:r>
      <w:r w:rsidR="0089471D" w:rsidRPr="000962A6">
        <w:rPr>
          <w:vertAlign w:val="superscript"/>
        </w:rPr>
        <w:footnoteReference w:id="10"/>
      </w:r>
      <w:r>
        <w:t>. Le Comité exécutif a décidé de tenir compte des informations fournies dans ce document pour statuer sur les prochaines étapes à cet égard et a invité les pays visés à l’article 5, par l’entremise des agences bilatérales et d’exécution ou de leurs KIP, à continuer de fournir volontairement au Secrétariat des informations sur leur sous-secteur de l’installation et de l’assemblage sur place. Il a prié le Secrétariat de produire, à la 95e réunion, une mise à jour du document susmentionné tenant compte de toute éventuelle information complémentaire fournie par les pays visés à l’article 5 sur le sous-secteur de l’installation et de l’assemblage sur place. Il a également encouragé les agences bilatérales et d’exécution et les pays visés à l’article 5, lors de l’élaboration de projets destinés au sous-secteur de l’installation et de l’assemblage sur place au titre de la phase I de leurs KIP, de veiller à ce que ces projets adoptent une approche stratégique pour coordonner la réduction progressive des HFC dans les applications ciblées par le projet, en tenant compte des suggestions et des activités proposées dans le document soumis à la 93e réunion (décision 93/94).</w:t>
      </w:r>
    </w:p>
    <w:p w14:paraId="2E03C8B7" w14:textId="4CBED03B" w:rsidR="000962A6" w:rsidRPr="00AD6E6B" w:rsidRDefault="00465750" w:rsidP="001C01D4">
      <w:pPr>
        <w:keepNext/>
        <w:spacing w:after="240"/>
        <w:ind w:left="720" w:hanging="720"/>
        <w:outlineLvl w:val="1"/>
        <w:rPr>
          <w:b/>
        </w:rPr>
      </w:pPr>
      <w:r>
        <w:rPr>
          <w:b/>
        </w:rPr>
        <w:lastRenderedPageBreak/>
        <w:t>5.</w:t>
      </w:r>
      <w:r>
        <w:rPr>
          <w:b/>
        </w:rPr>
        <w:tab/>
        <w:t xml:space="preserve">Prise en compte des HFC contenus dans les polyols </w:t>
      </w:r>
      <w:proofErr w:type="spellStart"/>
      <w:r>
        <w:rPr>
          <w:b/>
        </w:rPr>
        <w:t>prémélangés</w:t>
      </w:r>
      <w:proofErr w:type="spellEnd"/>
      <w:r>
        <w:rPr>
          <w:b/>
        </w:rPr>
        <w:t xml:space="preserve"> importés dans le secteur des mousses de polyuréthane dans la phase I des plans de mise en œuvre de l’Amendement de Kigali pour les HFC</w:t>
      </w:r>
    </w:p>
    <w:p w14:paraId="2CA522F7" w14:textId="316C7C28" w:rsidR="000962A6" w:rsidRDefault="005519C2" w:rsidP="006255CB">
      <w:pPr>
        <w:pStyle w:val="Heading1"/>
        <w:numPr>
          <w:ilvl w:val="0"/>
          <w:numId w:val="10"/>
        </w:numPr>
        <w:tabs>
          <w:tab w:val="num" w:pos="720"/>
        </w:tabs>
      </w:pPr>
      <w:r>
        <w:t xml:space="preserve">À la 93e réunion, lors de ses délibérations </w:t>
      </w:r>
      <w:r w:rsidR="00537616">
        <w:t>sur l</w:t>
      </w:r>
      <w:r>
        <w:t>es questions identifiées durant l’examen des projets</w:t>
      </w:r>
      <w:r w:rsidRPr="005519C2">
        <w:rPr>
          <w:vertAlign w:val="superscript"/>
        </w:rPr>
        <w:footnoteReference w:id="11"/>
      </w:r>
      <w:r>
        <w:t xml:space="preserve">, le Comité exécutif a demandé au Secrétariat de préparer, aux fins d’examen à la 95e réunion, une note brève sur la question des HFC contenus dans les polyols </w:t>
      </w:r>
      <w:proofErr w:type="spellStart"/>
      <w:r>
        <w:t>prémélangés</w:t>
      </w:r>
      <w:proofErr w:type="spellEnd"/>
      <w:r>
        <w:t xml:space="preserve"> importés dans le secteur des mousses de polyuréthane (PU) des pays visés à l’article 5, en se basant sur les pratiques antérieures concernant les HCFC contenus dans les polyols </w:t>
      </w:r>
      <w:proofErr w:type="spellStart"/>
      <w:r>
        <w:t>prémélangés</w:t>
      </w:r>
      <w:proofErr w:type="spellEnd"/>
      <w:r>
        <w:t xml:space="preserve"> importés (décision 93/34). Le Comité exécutif a également chargé le Secrétariat de préparer un document distinct sur la question des solutions de remplacement dans la fabrication des mousses PU, en vue de son examiner à la 94e réunion.</w:t>
      </w:r>
    </w:p>
    <w:p w14:paraId="45CB1FAC" w14:textId="77777777" w:rsidR="009431C5" w:rsidRDefault="009431C5" w:rsidP="009431C5">
      <w:pPr>
        <w:pStyle w:val="Heading1"/>
        <w:numPr>
          <w:ilvl w:val="0"/>
          <w:numId w:val="10"/>
        </w:numPr>
        <w:tabs>
          <w:tab w:val="num" w:pos="720"/>
        </w:tabs>
        <w:rPr>
          <w:highlight w:val="yellow"/>
        </w:rPr>
      </w:pPr>
      <w:r>
        <w:rPr>
          <w:highlight w:val="yellow"/>
        </w:rPr>
        <w:t>[À la 94e réunion…]</w:t>
      </w:r>
    </w:p>
    <w:p w14:paraId="35B90F09" w14:textId="015E012F" w:rsidR="006F4132" w:rsidRPr="00465750" w:rsidRDefault="00465750" w:rsidP="001C01D4">
      <w:pPr>
        <w:keepNext/>
        <w:spacing w:after="240"/>
        <w:outlineLvl w:val="1"/>
        <w:rPr>
          <w:b/>
        </w:rPr>
      </w:pPr>
      <w:r>
        <w:rPr>
          <w:b/>
        </w:rPr>
        <w:t>6.</w:t>
      </w:r>
      <w:r>
        <w:rPr>
          <w:b/>
        </w:rPr>
        <w:tab/>
        <w:t>Modalités de répartition des tranches de financement pour les plans de mise en œuvre de l’Amendement de Kigali pour les HFC</w:t>
      </w:r>
    </w:p>
    <w:p w14:paraId="298A45FD" w14:textId="4208F696" w:rsidR="006F4132" w:rsidRDefault="00465750" w:rsidP="006255CB">
      <w:pPr>
        <w:pStyle w:val="Heading1"/>
        <w:numPr>
          <w:ilvl w:val="0"/>
          <w:numId w:val="10"/>
        </w:numPr>
        <w:tabs>
          <w:tab w:val="clear" w:pos="0"/>
          <w:tab w:val="num" w:pos="720"/>
          <w:tab w:val="num" w:pos="1080"/>
        </w:tabs>
      </w:pPr>
      <w:r>
        <w:t>À la 93e réunion, le Comité exécutif a délibéré sur les modalités de répartition des tranches de financement pour les KIP lorsque le sujet a été soulevé au titre du point de l’ordre du jour dédié aux questions diverses. Le Comité a prié le Secrétariat de préparer, aux fins d’examen à la 94e réunion, une analyse des répercussions de la décision 62/17</w:t>
      </w:r>
      <w:r w:rsidR="00D23BEC">
        <w:rPr>
          <w:rStyle w:val="FootnoteReference"/>
        </w:rPr>
        <w:footnoteReference w:id="12"/>
      </w:r>
      <w:r>
        <w:t xml:space="preserve"> concernant la mise en œuvre des plans de gestion de l’élimination des HCFC (PGEH), en vue de permettre au Comité exécutif de délibérer sur la nécessité et la manière de revoir son approche du calendrier et de la valeur de la tranche finale d’un accord </w:t>
      </w:r>
      <w:proofErr w:type="spellStart"/>
      <w:r>
        <w:t>pluri</w:t>
      </w:r>
      <w:r>
        <w:noBreakHyphen/>
        <w:t>annuel</w:t>
      </w:r>
      <w:proofErr w:type="spellEnd"/>
      <w:r>
        <w:t> (APA). Il a décidé que, dans l’attente d’une décision du Comité exécutif sur la question, le Secrétariat, en consultation avec les agences bilatérales et d’exécution, finalisera</w:t>
      </w:r>
      <w:r w:rsidR="00A1280D">
        <w:t>it</w:t>
      </w:r>
      <w:r>
        <w:t xml:space="preserve"> la répartition des tranches de la phase I des KIP au cas par cas (décision 93/105).</w:t>
      </w:r>
    </w:p>
    <w:p w14:paraId="7BFFB81B" w14:textId="77777777" w:rsidR="005A3118" w:rsidRDefault="005A3118" w:rsidP="005A3118">
      <w:pPr>
        <w:pStyle w:val="Heading1"/>
        <w:numPr>
          <w:ilvl w:val="0"/>
          <w:numId w:val="10"/>
        </w:numPr>
        <w:tabs>
          <w:tab w:val="num" w:pos="720"/>
        </w:tabs>
        <w:rPr>
          <w:highlight w:val="yellow"/>
        </w:rPr>
      </w:pPr>
      <w:r>
        <w:rPr>
          <w:highlight w:val="yellow"/>
        </w:rPr>
        <w:t>[À la 94e réunion…]</w:t>
      </w:r>
    </w:p>
    <w:p w14:paraId="0F04C29B" w14:textId="0034D6AC" w:rsidR="005519C2" w:rsidRPr="005519C2" w:rsidRDefault="005519C2" w:rsidP="005519C2">
      <w:pPr>
        <w:keepNext/>
        <w:spacing w:after="240"/>
        <w:jc w:val="left"/>
        <w:outlineLvl w:val="1"/>
        <w:rPr>
          <w:b/>
        </w:rPr>
      </w:pPr>
      <w:r>
        <w:rPr>
          <w:b/>
        </w:rPr>
        <w:t>7.</w:t>
      </w:r>
      <w:r>
        <w:rPr>
          <w:b/>
        </w:rPr>
        <w:tab/>
        <w:t>Approche globale de la mise en œuvre de l’Amendement de Kigali</w:t>
      </w:r>
    </w:p>
    <w:p w14:paraId="07DE284C" w14:textId="1E0781CD" w:rsidR="006F4132" w:rsidRPr="006947C2" w:rsidRDefault="005519C2" w:rsidP="006255CB">
      <w:pPr>
        <w:pStyle w:val="Heading1"/>
        <w:numPr>
          <w:ilvl w:val="0"/>
          <w:numId w:val="10"/>
        </w:numPr>
        <w:tabs>
          <w:tab w:val="num" w:pos="720"/>
        </w:tabs>
      </w:pPr>
      <w:r>
        <w:t xml:space="preserve">À la 93e réunion, le Comité exécutif a discuté de la possibilité d’adopter une approche globale pour la mise en œuvre de l’Amendement de Kigali lorsque le sujet a été soulevé au titre du point de l’ordre du jour dédié aux questions diverses. Le Comité a chargé le Secrétariat d’organiser une session </w:t>
      </w:r>
      <w:bookmarkStart w:id="1" w:name="_Hlk155935296"/>
      <w:r>
        <w:t>dédiée</w:t>
      </w:r>
      <w:bookmarkEnd w:id="1"/>
      <w:r>
        <w:t xml:space="preserve"> d’une demi-journée avant la 94e réunion du Comité exécutif pour </w:t>
      </w:r>
      <w:r w:rsidR="00A1280D">
        <w:t>échanger de manière</w:t>
      </w:r>
      <w:r w:rsidR="00A1280D" w:rsidRPr="00A1280D">
        <w:t xml:space="preserve"> </w:t>
      </w:r>
      <w:r>
        <w:t xml:space="preserve">informelle sur les approches stratégiques de la mise en œuvre de l’Amendement de Kigali, </w:t>
      </w:r>
      <w:r w:rsidR="00A1280D">
        <w:t xml:space="preserve">en </w:t>
      </w:r>
      <w:r>
        <w:t xml:space="preserve">couvrant notamment les questions liées aux politiques et aux réglementations, aux stratégies à adopter vis-à-vis du refroidissement et de la réduction progressive, à l’efficacité énergétique, aux approches sectorielles et à la gestion du cycle de vie des frigorigènes. Il a invité les membres du Comité de 2024 à envoyer par écrit leurs points de vue sur ces questions au Secrétariat d’ici au 1er mars 2024 et a demandé au Secrétariat de </w:t>
      </w:r>
      <w:r w:rsidR="000A017F" w:rsidRPr="000A017F">
        <w:t xml:space="preserve">préparer une compilation des contributions classée par thème qui sera étudiée lors de la session dédiée </w:t>
      </w:r>
      <w:r>
        <w:t>(décision 93/103).</w:t>
      </w:r>
    </w:p>
    <w:p w14:paraId="4B47416C" w14:textId="03280606" w:rsidR="005519C2" w:rsidRDefault="005519C2" w:rsidP="001C01D4">
      <w:pPr>
        <w:pStyle w:val="Heading1"/>
        <w:keepNext/>
        <w:keepLines/>
        <w:widowControl w:val="0"/>
        <w:numPr>
          <w:ilvl w:val="0"/>
          <w:numId w:val="10"/>
        </w:numPr>
        <w:tabs>
          <w:tab w:val="num" w:pos="720"/>
        </w:tabs>
        <w:rPr>
          <w:highlight w:val="yellow"/>
        </w:rPr>
      </w:pPr>
      <w:r>
        <w:rPr>
          <w:highlight w:val="yellow"/>
        </w:rPr>
        <w:lastRenderedPageBreak/>
        <w:t>[À la 94e réunion…]</w:t>
      </w:r>
    </w:p>
    <w:p w14:paraId="0EAD2FF4" w14:textId="2D8C72E8" w:rsidR="00574B12" w:rsidRPr="00E4171A" w:rsidRDefault="001243CC" w:rsidP="001C01D4">
      <w:pPr>
        <w:keepNext/>
        <w:keepLines/>
        <w:widowControl w:val="0"/>
        <w:spacing w:after="240"/>
        <w:jc w:val="left"/>
        <w:outlineLvl w:val="1"/>
        <w:rPr>
          <w:b/>
        </w:rPr>
      </w:pPr>
      <w:r>
        <w:rPr>
          <w:b/>
        </w:rPr>
        <w:t>8.</w:t>
      </w:r>
      <w:r>
        <w:rPr>
          <w:b/>
        </w:rPr>
        <w:tab/>
        <w:t>Fenêtre de financement pour aider les pays visés à l’article 5 affectés par la pandémie de la maladie à coronavirus</w:t>
      </w:r>
    </w:p>
    <w:p w14:paraId="251551A6" w14:textId="77777777" w:rsidR="00574B12" w:rsidRPr="00E4171A" w:rsidRDefault="00574B12" w:rsidP="00574B12">
      <w:pPr>
        <w:pStyle w:val="Heading1"/>
        <w:numPr>
          <w:ilvl w:val="0"/>
          <w:numId w:val="10"/>
        </w:numPr>
        <w:tabs>
          <w:tab w:val="num" w:pos="720"/>
        </w:tabs>
      </w:pPr>
      <w:r>
        <w:t>À la 93e réunion, le Comité exécutif a discuté de la possibilité d’une fenêtre de financement pour aider les pays visés à l’article 5 affectés par la pandémie de la maladie à coronavirus (COVID-19) lorsque le sujet a été soulevé au titre du point de l’ordre du jour dédié aux questions diverses. Le Comité a convenu d’inclure à l’ordre du jour de sa 94e réunion d’autres échanges sur une fenêtre de financement pour aider les pays visés à l’article 5 affectés par la pandémie de COVID-19.</w:t>
      </w:r>
    </w:p>
    <w:p w14:paraId="718A75B1" w14:textId="77777777" w:rsidR="00574B12" w:rsidRDefault="00574B12" w:rsidP="00574B12">
      <w:pPr>
        <w:pStyle w:val="Heading1"/>
        <w:numPr>
          <w:ilvl w:val="0"/>
          <w:numId w:val="10"/>
        </w:numPr>
        <w:tabs>
          <w:tab w:val="num" w:pos="720"/>
        </w:tabs>
        <w:rPr>
          <w:highlight w:val="yellow"/>
        </w:rPr>
      </w:pPr>
      <w:r>
        <w:rPr>
          <w:highlight w:val="yellow"/>
        </w:rPr>
        <w:t>[À la 94e réunion…]</w:t>
      </w:r>
    </w:p>
    <w:p w14:paraId="4046D476" w14:textId="4403AAA6" w:rsidR="00282EB1" w:rsidRPr="00F8694C" w:rsidRDefault="005519C2" w:rsidP="00295A1C">
      <w:pPr>
        <w:pStyle w:val="Heading2"/>
        <w:keepNext/>
        <w:widowControl/>
        <w:numPr>
          <w:ilvl w:val="0"/>
          <w:numId w:val="0"/>
        </w:numPr>
        <w:jc w:val="left"/>
        <w:rPr>
          <w:b/>
          <w:bCs/>
          <w:sz w:val="24"/>
          <w:szCs w:val="24"/>
        </w:rPr>
      </w:pPr>
      <w:r>
        <w:rPr>
          <w:b/>
          <w:sz w:val="24"/>
        </w:rPr>
        <w:t>B.</w:t>
      </w:r>
      <w:r>
        <w:rPr>
          <w:b/>
          <w:sz w:val="24"/>
        </w:rPr>
        <w:tab/>
      </w:r>
      <w:r w:rsidR="00596B4E">
        <w:rPr>
          <w:b/>
          <w:sz w:val="24"/>
        </w:rPr>
        <w:t>A</w:t>
      </w:r>
      <w:r>
        <w:rPr>
          <w:b/>
          <w:sz w:val="24"/>
        </w:rPr>
        <w:t>utres questions de politique</w:t>
      </w:r>
    </w:p>
    <w:p w14:paraId="1EEF1842" w14:textId="0020E9DA" w:rsidR="00465750" w:rsidRDefault="00465750" w:rsidP="00295A1C">
      <w:pPr>
        <w:keepNext/>
        <w:spacing w:after="240"/>
        <w:jc w:val="left"/>
        <w:outlineLvl w:val="1"/>
        <w:rPr>
          <w:b/>
          <w:highlight w:val="magenta"/>
        </w:rPr>
      </w:pPr>
      <w:r>
        <w:rPr>
          <w:b/>
        </w:rPr>
        <w:t>1.</w:t>
      </w:r>
      <w:r>
        <w:rPr>
          <w:b/>
        </w:rPr>
        <w:tab/>
        <w:t>Examen du régime des coûts d’administration du Fonds multilatéral</w:t>
      </w:r>
    </w:p>
    <w:p w14:paraId="198A7EFD" w14:textId="079D8A95" w:rsidR="00465750" w:rsidRPr="00AC0411" w:rsidRDefault="00465750" w:rsidP="00295A1C">
      <w:pPr>
        <w:pStyle w:val="Heading1"/>
        <w:keepNext/>
        <w:numPr>
          <w:ilvl w:val="0"/>
          <w:numId w:val="10"/>
        </w:numPr>
        <w:tabs>
          <w:tab w:val="num" w:pos="720"/>
        </w:tabs>
      </w:pPr>
      <w:r>
        <w:t>À la 93e réunion, le Comité exécutif a étudié un document portant sur l’examen du régime des coûts d’administration du Fonds multilatéral</w:t>
      </w:r>
      <w:r w:rsidR="00AC0411" w:rsidRPr="006A4A06">
        <w:rPr>
          <w:vertAlign w:val="superscript"/>
        </w:rPr>
        <w:footnoteReference w:id="13"/>
      </w:r>
      <w:r>
        <w:t xml:space="preserve">. Il a décidé d’approuver l’augmentation du financement des coûts de base du PNUD, de l’ONUDI et de la Banque mondiale, de 200 000 $ US chacun pour chaque année de la période triennale 2024–2026, afin de renforcer leur capacité à fournir un appui technique et stratégique aux pays visés à l’article 5, étant entendu que la hausse ne s’appliquera qu’à la période triennale 2024–2026. Il a également décidé de maintenir, pour la période triennale 2024–2026, le régime des coûts d’administration du Fonds multilatéral </w:t>
      </w:r>
      <w:r w:rsidR="00596B4E">
        <w:t>de</w:t>
      </w:r>
      <w:r>
        <w:t xml:space="preserve"> la période triennale 2021–2023, hormis pour les frais d’agence correspondant à la phase I des KIP des pays à faible volume de consommation (PFV), qui s’appliqueront à compter de la 93e réunion </w:t>
      </w:r>
      <w:r w:rsidR="0004329E" w:rsidRPr="0004329E">
        <w:t>et s’élèveront à</w:t>
      </w:r>
      <w:r>
        <w:t xml:space="preserve"> 13 pour cent pour les projets d’une valeur maximale de 500 000 $ US, et 13 pour cent sur les premiers 500 000 $ US puis 11 pour cent sur le solde pour les projets d’une valeur supérieure à 500 000 $ US. Il a également approuvé une hausse du budget du Programme d’aide à la conformité (PAC) pour les années 2024, 2025 et 2026 de 200 000 $ US, 150 000 $ US et 150 000 $ US respectivement, </w:t>
      </w:r>
      <w:r w:rsidR="000540E1">
        <w:t>afin de</w:t>
      </w:r>
      <w:r>
        <w:t xml:space="preserve"> fournir un appui technique et stratégique aux pays PFV </w:t>
      </w:r>
      <w:r w:rsidR="000540E1">
        <w:t>pour</w:t>
      </w:r>
      <w:r>
        <w:t xml:space="preserve"> soutenir la mise en œuvre des KIP, étant entendu que l’affectation du financement pour chaque année sera utilisée dans les 24 mois, que les soldes seront restitués au Fonds multilatéral, et que le PNUE rendra compte des activités d’appui technique et stratégique fournies aux pays PFV et de leurs répercussions dans le descriptif de leurs rapports périodiques annuels sur le PAC. Le Comité examinera de nouveau le régime des coûts d’administration et son budget de financement des coûts de base à la dernière réunion de 2026, </w:t>
      </w:r>
      <w:r w:rsidR="000540E1" w:rsidRPr="000540E1">
        <w:t xml:space="preserve">autrement dit </w:t>
      </w:r>
      <w:r>
        <w:t>la dernière réunion de la période triennale 2024–2026 (décision 93/95).</w:t>
      </w:r>
    </w:p>
    <w:p w14:paraId="4BD71D44" w14:textId="5748D094" w:rsidR="00282EB1" w:rsidRPr="00AC0411" w:rsidRDefault="00AC0411" w:rsidP="0047283A">
      <w:pPr>
        <w:keepNext/>
        <w:spacing w:after="240"/>
        <w:ind w:left="720" w:hanging="720"/>
        <w:outlineLvl w:val="1"/>
        <w:rPr>
          <w:b/>
        </w:rPr>
      </w:pPr>
      <w:r>
        <w:rPr>
          <w:b/>
        </w:rPr>
        <w:t>2.</w:t>
      </w:r>
      <w:r>
        <w:rPr>
          <w:b/>
        </w:rPr>
        <w:tab/>
        <w:t>Aperçu des programmes actuels de suivi, d’établissement de rapports, de vérification et d’octroi de permis et de quotas exécutoires élaborés avec le soutien du Fonds multilatéral</w:t>
      </w:r>
    </w:p>
    <w:p w14:paraId="5BDF1F65" w14:textId="469E6E5B" w:rsidR="00563895" w:rsidRPr="006A4A06" w:rsidRDefault="00282EB1" w:rsidP="006255CB">
      <w:pPr>
        <w:pStyle w:val="Heading1"/>
        <w:numPr>
          <w:ilvl w:val="0"/>
          <w:numId w:val="10"/>
        </w:numPr>
        <w:tabs>
          <w:tab w:val="num" w:pos="720"/>
        </w:tabs>
      </w:pPr>
      <w:r>
        <w:t>Le Comité exécutif a poursuivi ses débats sur l’aperçu des programmes actuels de suivi, d’établissement de rapports, de vérification et d’octroi de permis et de quotas exécutoires élaborés avec le soutien du Fonds multilatéral, entrepris à la 83e réunion</w:t>
      </w:r>
      <w:r w:rsidRPr="006A4A06">
        <w:rPr>
          <w:vertAlign w:val="superscript"/>
        </w:rPr>
        <w:footnoteReference w:id="14"/>
      </w:r>
      <w:r>
        <w:t>. À la 93e réunion, le Comité exécutif a examiné le document préparé par le Secrétariat</w:t>
      </w:r>
      <w:r w:rsidR="006A4A06">
        <w:rPr>
          <w:rStyle w:val="FootnoteReference"/>
        </w:rPr>
        <w:footnoteReference w:id="15"/>
      </w:r>
      <w:r>
        <w:t xml:space="preserve"> ainsi qu’un projet de décision soumis par un membre. Suite à un échange de points de vue, le Comité a décidé de prendre note des documents traitant de ce sujet </w:t>
      </w:r>
      <w:r w:rsidR="0047283A">
        <w:t>et destinés à</w:t>
      </w:r>
      <w:r>
        <w:t xml:space="preserve"> la 93e, la 91e et la 89e réunion</w:t>
      </w:r>
      <w:r w:rsidR="006A4A06">
        <w:rPr>
          <w:rStyle w:val="FootnoteReference"/>
        </w:rPr>
        <w:footnoteReference w:id="16"/>
      </w:r>
      <w:r>
        <w:t xml:space="preserve"> et a pris note, avec satisfaction, du travail accompli par le Secrétariat pour les préparer (décision 93/96).</w:t>
      </w:r>
    </w:p>
    <w:p w14:paraId="7CF8F9B1" w14:textId="56EC531B" w:rsidR="006F4132" w:rsidRPr="0025140F" w:rsidRDefault="00FA20DE" w:rsidP="0025140F">
      <w:pPr>
        <w:keepNext/>
        <w:spacing w:after="240"/>
        <w:jc w:val="left"/>
        <w:outlineLvl w:val="1"/>
        <w:rPr>
          <w:b/>
        </w:rPr>
      </w:pPr>
      <w:r>
        <w:rPr>
          <w:b/>
        </w:rPr>
        <w:lastRenderedPageBreak/>
        <w:t>3.</w:t>
      </w:r>
      <w:r>
        <w:rPr>
          <w:b/>
        </w:rPr>
        <w:tab/>
        <w:t>Gestion du cycle de vie des frigorigènes conformément à la décision XXXV/11</w:t>
      </w:r>
    </w:p>
    <w:p w14:paraId="333BFC7C" w14:textId="5EF26482" w:rsidR="006F4132" w:rsidRPr="0025140F" w:rsidRDefault="006A4A06" w:rsidP="006255CB">
      <w:pPr>
        <w:pStyle w:val="Heading1"/>
        <w:numPr>
          <w:ilvl w:val="0"/>
          <w:numId w:val="10"/>
        </w:numPr>
        <w:tabs>
          <w:tab w:val="num" w:pos="720"/>
        </w:tabs>
      </w:pPr>
      <w:r>
        <w:t>À la 93e réunion, le Comité exécutif a discuté de la gestion du cycle de vie des frigorigènes conformément à la décision XXXV/11, lorsque le sujet a été soulevé au titre du point de l’ordre du jour dédié aux questions diverses. Il a chargé le Secrétariat de préparer, pour la 97e réunion, un rapport fournissant un aperçu du rapport du Groupe d’évaluation technique et économique (TEAP), les résultats de l’atelier qui s’est tenu conformément à la décision XXXV/11 de la trente-cinquième Réunion des Parties, ainsi qu’un aperçu de l’état de la mise en œuvre et des résultats préliminaires des projets soumis au titre de la décision 91/66</w:t>
      </w:r>
      <w:r w:rsidR="0025140F" w:rsidRPr="0025140F">
        <w:rPr>
          <w:vertAlign w:val="superscript"/>
        </w:rPr>
        <w:footnoteReference w:id="17"/>
      </w:r>
      <w:r>
        <w:t xml:space="preserve"> du Comité exécutif en vue de permettre au Comité d’examiner l’établissement d’une fenêtre de financement conformément à la décision XXXV/11 (décision 93/104).</w:t>
      </w:r>
    </w:p>
    <w:p w14:paraId="1F51F9D7" w14:textId="433D0FF2" w:rsidR="006F4132" w:rsidRPr="001606A6" w:rsidRDefault="00FA20DE" w:rsidP="001606A6">
      <w:pPr>
        <w:keepNext/>
        <w:spacing w:after="240"/>
        <w:jc w:val="left"/>
        <w:outlineLvl w:val="1"/>
        <w:rPr>
          <w:b/>
        </w:rPr>
      </w:pPr>
      <w:r>
        <w:rPr>
          <w:b/>
        </w:rPr>
        <w:t>4.</w:t>
      </w:r>
      <w:r>
        <w:rPr>
          <w:b/>
        </w:rPr>
        <w:tab/>
        <w:t>Cadre de diligence raisonnable pour la réception de financements non gouvernementaux</w:t>
      </w:r>
    </w:p>
    <w:p w14:paraId="3DB51732" w14:textId="3E2487B2" w:rsidR="006F4132" w:rsidRPr="001606A6" w:rsidRDefault="001606A6" w:rsidP="006255CB">
      <w:pPr>
        <w:pStyle w:val="Heading1"/>
        <w:numPr>
          <w:ilvl w:val="0"/>
          <w:numId w:val="10"/>
        </w:numPr>
        <w:tabs>
          <w:tab w:val="num" w:pos="720"/>
        </w:tabs>
      </w:pPr>
      <w:r>
        <w:t>À la 93e réunion, le Comité exécutif a délibéré sur la question d’un cadre de diligence raisonnable pour la réception de financements non gouvernementaux lorsque le sujet a été soulevé au titre du point de l’ordre du jour dédié aux questions diverses. Un membre du Comité exécutif a présenté un projet de décision chargeant le Secrétariat de préparer un document contenant des observations préliminaires sur un cadre de diligence raisonnable pour les organisations non gouvernementales susceptibles de proposer des fonds au Fonds multilatéral. Compte tenu des avis divergents sur la pertinence du calendrier de telles délibérations, le membre a retiré sa proposition, déclarant que sa délégation envisagera de la présenter de nouveau à une future réunion.</w:t>
      </w:r>
    </w:p>
    <w:p w14:paraId="4E9F5F74" w14:textId="1899884A" w:rsidR="00282EB1" w:rsidRPr="00CB04EA" w:rsidRDefault="00FA20DE" w:rsidP="00CB04EA">
      <w:pPr>
        <w:pStyle w:val="Heading3"/>
        <w:numPr>
          <w:ilvl w:val="0"/>
          <w:numId w:val="0"/>
        </w:numPr>
        <w:jc w:val="left"/>
        <w:rPr>
          <w:b/>
          <w:bCs/>
          <w:highlight w:val="yellow"/>
        </w:rPr>
      </w:pPr>
      <w:r>
        <w:rPr>
          <w:b/>
        </w:rPr>
        <w:t>5.</w:t>
      </w:r>
      <w:r>
        <w:rPr>
          <w:b/>
        </w:rPr>
        <w:tab/>
        <w:t>Cadre des résultats et tableau de bord pour les opérations du Fonds multilatéral</w:t>
      </w:r>
    </w:p>
    <w:p w14:paraId="531DC0A1" w14:textId="29846F6A" w:rsidR="00282EB1" w:rsidRDefault="00282EB1" w:rsidP="006255CB">
      <w:pPr>
        <w:pStyle w:val="Heading1"/>
        <w:numPr>
          <w:ilvl w:val="0"/>
          <w:numId w:val="10"/>
        </w:numPr>
      </w:pPr>
      <w:r>
        <w:t>À la 93e réunion, le Comité exécutif a approuvé un cadre des résultats et un tableau de bord</w:t>
      </w:r>
      <w:r w:rsidRPr="00622BF8">
        <w:rPr>
          <w:vertAlign w:val="superscript"/>
        </w:rPr>
        <w:footnoteReference w:id="18"/>
      </w:r>
      <w:r>
        <w:t xml:space="preserve"> pour le Fonds multilatéral, ainsi que le format de tableau de bord joint en annexe au rapport de la réunion en question</w:t>
      </w:r>
      <w:r w:rsidR="00622BF8">
        <w:rPr>
          <w:rStyle w:val="FootnoteReference"/>
        </w:rPr>
        <w:footnoteReference w:id="19"/>
      </w:r>
      <w:r>
        <w:t>. Il a demandé au Secrétariat de commencer la mise en œuvre du premier cadre des résultats en 2024, de fournir un rapport périodique à mi-parcours sur cette mise en œuvre à la seconde réunion de 2025, et de communiquer les progrès réalisés dans cette mise en œuvre au moyen d’un tableau de bord lors de la seconde réunion de 2027, avec des idées concernant la mise à jour des indicateurs (décision 93/97).</w:t>
      </w:r>
    </w:p>
    <w:p w14:paraId="18B04E1F" w14:textId="17A397A5" w:rsidR="00A04E60" w:rsidRPr="00CB04EA" w:rsidRDefault="000A7D5E" w:rsidP="00A4066C">
      <w:pPr>
        <w:pStyle w:val="Heading3"/>
        <w:numPr>
          <w:ilvl w:val="0"/>
          <w:numId w:val="0"/>
        </w:numPr>
        <w:jc w:val="left"/>
        <w:rPr>
          <w:b/>
          <w:bCs/>
          <w:highlight w:val="yellow"/>
        </w:rPr>
      </w:pPr>
      <w:r>
        <w:rPr>
          <w:b/>
        </w:rPr>
        <w:t>6.</w:t>
      </w:r>
      <w:r>
        <w:rPr>
          <w:b/>
        </w:rPr>
        <w:tab/>
        <w:t>Rationalisation des rapports sur les progrès accomplis dans l’ensemble</w:t>
      </w:r>
    </w:p>
    <w:p w14:paraId="0354DE06" w14:textId="08EC5BA0" w:rsidR="001E5A69" w:rsidRDefault="00A04E60" w:rsidP="00A4066C">
      <w:pPr>
        <w:pStyle w:val="Heading1"/>
      </w:pPr>
      <w:r>
        <w:t>À la 93e réunion, le Comité exécutif a prié le Secrétariat de préparer, aux fins d’examen à la 95e réunion, un document sur la cartographie des exigences en matière de remise de rapports et la rationalisation des rapports sur les progrès accomplis dans l’ensemble, en tenant compte de l’élaboration en cours du système de gestion des connaissances (décision 93/1).</w:t>
      </w:r>
    </w:p>
    <w:p w14:paraId="3773B203" w14:textId="05168FCD" w:rsidR="00282EB1" w:rsidRPr="001606A6" w:rsidRDefault="00A04E60" w:rsidP="001606A6">
      <w:pPr>
        <w:pStyle w:val="Heading3"/>
        <w:numPr>
          <w:ilvl w:val="0"/>
          <w:numId w:val="0"/>
        </w:numPr>
        <w:jc w:val="left"/>
        <w:rPr>
          <w:b/>
        </w:rPr>
      </w:pPr>
      <w:r w:rsidRPr="003B202D">
        <w:rPr>
          <w:b/>
        </w:rPr>
        <w:t>7</w:t>
      </w:r>
      <w:r>
        <w:rPr>
          <w:b/>
        </w:rPr>
        <w:t>.</w:t>
      </w:r>
      <w:r>
        <w:rPr>
          <w:b/>
        </w:rPr>
        <w:tab/>
        <w:t xml:space="preserve">Sous-groupe </w:t>
      </w:r>
      <w:r w:rsidR="009B27D2" w:rsidRPr="009B27D2">
        <w:rPr>
          <w:b/>
        </w:rPr>
        <w:t>dédié au</w:t>
      </w:r>
      <w:r>
        <w:rPr>
          <w:b/>
        </w:rPr>
        <w:t xml:space="preserve"> secteur de la production</w:t>
      </w:r>
    </w:p>
    <w:p w14:paraId="4787E1E3" w14:textId="0EB14DB0" w:rsidR="00AC0411" w:rsidRPr="00D10D06" w:rsidRDefault="00282EB1" w:rsidP="00012F24">
      <w:pPr>
        <w:pStyle w:val="Heading1"/>
        <w:numPr>
          <w:ilvl w:val="0"/>
          <w:numId w:val="10"/>
        </w:numPr>
        <w:tabs>
          <w:tab w:val="num" w:pos="720"/>
        </w:tabs>
      </w:pPr>
      <w:r>
        <w:t xml:space="preserve">Le sous-groupe </w:t>
      </w:r>
      <w:r w:rsidR="009B27D2" w:rsidRPr="009B27D2">
        <w:t xml:space="preserve">dédié au </w:t>
      </w:r>
      <w:r>
        <w:t xml:space="preserve">secteur de la production s’est réuni à deux reprises en marge de la 93e réunion </w:t>
      </w:r>
      <w:r>
        <w:rPr>
          <w:highlight w:val="yellow"/>
        </w:rPr>
        <w:t>[et ? fois en marge de la 94e réunion]</w:t>
      </w:r>
      <w:r>
        <w:t>, produi</w:t>
      </w:r>
      <w:r w:rsidR="00EA2030">
        <w:t>san</w:t>
      </w:r>
      <w:r>
        <w:t xml:space="preserve">t un rapport </w:t>
      </w:r>
      <w:r w:rsidR="00EA2030" w:rsidRPr="00EA2030">
        <w:t xml:space="preserve">devant être examiné </w:t>
      </w:r>
      <w:r>
        <w:t>à chaque réunion</w:t>
      </w:r>
      <w:r w:rsidRPr="000270B4">
        <w:rPr>
          <w:vertAlign w:val="superscript"/>
        </w:rPr>
        <w:footnoteReference w:id="20"/>
      </w:r>
      <w:r>
        <w:t xml:space="preserve">. À la 93e réunion, le Comité exécutif a adopté une série de décisions basées sur les recommandations du sous-groupe. Le Comité a pris note </w:t>
      </w:r>
      <w:proofErr w:type="gramStart"/>
      <w:r>
        <w:t>des addenda</w:t>
      </w:r>
      <w:proofErr w:type="gramEnd"/>
      <w:r>
        <w:t xml:space="preserve"> aux rapports de vérification de 2019, 2020 et 2021 sur le secteur de la production de HCFC en Chine, soumis par la Banque mondiale (décision 93/98). Il a également pris note du rapport de vérification de 2022 sur le secteur de la production de HCFC en Chine comprenant une mise à jour </w:t>
      </w:r>
      <w:r w:rsidR="00EA2030">
        <w:t>relative</w:t>
      </w:r>
      <w:r>
        <w:t xml:space="preserve"> à une entreprise, ainsi que les mesures proposées </w:t>
      </w:r>
      <w:r>
        <w:lastRenderedPageBreak/>
        <w:t>par le Gouvernement de la Chine pour poursuivre le renforcement de la gestion de la production de</w:t>
      </w:r>
      <w:r w:rsidR="00EA2030">
        <w:t>s</w:t>
      </w:r>
      <w:r>
        <w:t xml:space="preserve"> HCFC destiné</w:t>
      </w:r>
      <w:r w:rsidR="00EA2030">
        <w:t>s</w:t>
      </w:r>
      <w:r>
        <w:t xml:space="preserve"> à </w:t>
      </w:r>
      <w:r w:rsidR="00EA2030">
        <w:t>servir</w:t>
      </w:r>
      <w:r>
        <w:t xml:space="preserve"> </w:t>
      </w:r>
      <w:r w:rsidR="00EA2030">
        <w:t xml:space="preserve">de </w:t>
      </w:r>
      <w:r>
        <w:t>matière première. Le Comité a pris note du fait que le Gouvernement de la Chine rectifiera ses données relatives à l’article 7 pour les HCFC afin de refléter les changements identifiés dans le rapport de vérification de la production annuelle de 2022. Le Comité a demandé à la Banque mondiale de continuer à inclure, dans ses rapports de vérification de production annuelle, des renseignements sur les HCFC capturés à partir de résidus à haut point d’ébullition sous forme de mélange de HCFC ou de constituant unique puis vendus ou utilisés pour une utilisation réglementée ou en tant que matière première. Il a chargé le Gouvernement de la Chine de remettre à la 94e réunion un rapport sur la déclaration des HCFC capturés à partir de résidus à haut point d’ébullition au titre de l’article 7 du Protocole de Montréal. La Banque mondiale a été priée de vérifier également, dans sa vérification de 2023 prévue en 2024, les chaînes de production produisant des HCFC destinés à servir de matière première</w:t>
      </w:r>
      <w:r w:rsidR="000270B4">
        <w:rPr>
          <w:rStyle w:val="FootnoteReference"/>
        </w:rPr>
        <w:footnoteReference w:id="21"/>
      </w:r>
      <w:r>
        <w:t>. Le Comité a fourni à la Banque mondiale, à titre exceptionnel, un paiement unique de 50 000 $ US pour soutenir la vérification du tonnage des HCFC issus des chaînes appartenant aux entreprises non incluses dans le plan de gestion de l’élimination de la production de HCFC (PGEPH) (décision 93/99).</w:t>
      </w:r>
    </w:p>
    <w:p w14:paraId="079CD995" w14:textId="3BD6E82B" w:rsidR="00AC0411" w:rsidRPr="00E747E0" w:rsidRDefault="00D10D06" w:rsidP="00012F24">
      <w:pPr>
        <w:pStyle w:val="Heading1"/>
        <w:numPr>
          <w:ilvl w:val="0"/>
          <w:numId w:val="10"/>
        </w:numPr>
        <w:tabs>
          <w:tab w:val="num" w:pos="720"/>
        </w:tabs>
      </w:pPr>
      <w:r>
        <w:t xml:space="preserve">Concernant les questions en lien avec le HFC-23, le Comité exécutif a invité le Gouvernement de la Chine, par l’intermédiaire de la Banque mondiale, à remettre, à la 95e réunion, </w:t>
      </w:r>
      <w:r w:rsidR="0039537A" w:rsidRPr="0039537A">
        <w:t>une mise à jour sur les lignes directrices techniques en cours d’élaboration par le Gouvernement de la Chine et portant sur la déclaration de la génération et des émissions de HFC-23, ainsi qu’une description</w:t>
      </w:r>
      <w:r>
        <w:t xml:space="preserve"> de la méthodologie utilisée pour déclarer cette génération et ces émissions en vertu de l’article 7 du Protocole de Montréal ; une mise à jour contenant les informations les plus récentes sur la génération, la destruction et les émissions de HFC-23 en Chine, et toute autre mise à jour pertinente concernant la réglementation ou la mise en œuvre ; et une analyse clarifiant l’écart entre les déclarations au titre de l’article 7 et les rapports de vérification de 2021 et 2022. Le Secrétariat a été prié de se rapprocher de la Banque mondiale et de fournir à la 95e réunion une analyse plus poussée de l’estimation du bilan massique des émissions comparativement aux déclarations en vertu de l’article 7 (décision 93/100).</w:t>
      </w:r>
    </w:p>
    <w:p w14:paraId="7311DB2C" w14:textId="78D98032" w:rsidR="00AC0411" w:rsidRPr="00E747E0" w:rsidRDefault="00AC0411" w:rsidP="00012F24">
      <w:pPr>
        <w:pStyle w:val="Heading1"/>
        <w:numPr>
          <w:ilvl w:val="0"/>
          <w:numId w:val="10"/>
        </w:numPr>
        <w:tabs>
          <w:tab w:val="clear" w:pos="0"/>
          <w:tab w:val="num" w:pos="720"/>
        </w:tabs>
      </w:pPr>
      <w:r>
        <w:t>Le Comité exécutif a pris note, avec appréciation, des rapports annuels de l’enquête sur les applications des HCFC comme matière première en Chine pour 2019 à 2022, remis par le Gouvernement de la Chine par l’intermédiaire de la Banque mondiale</w:t>
      </w:r>
      <w:r w:rsidR="000270B4">
        <w:rPr>
          <w:rStyle w:val="FootnoteReference"/>
        </w:rPr>
        <w:footnoteReference w:id="22"/>
      </w:r>
      <w:r>
        <w:t> ; et a invité le Gouvernement de la Chine, par l’intermédiaire de la Banque mondiale, a continuer à remettre</w:t>
      </w:r>
      <w:r w:rsidR="00ED1039">
        <w:t>, à la dernière réunion de l’année correspondante,</w:t>
      </w:r>
      <w:r>
        <w:t xml:space="preserve"> des rapports d’enquête annuels sur les applications des HCFC comme matière première dans le cadre du PGEPH du pays (décision 93/101).</w:t>
      </w:r>
    </w:p>
    <w:p w14:paraId="24AA8DFA" w14:textId="0F70578A" w:rsidR="00AC0411" w:rsidRPr="00545E7E" w:rsidRDefault="009F5239" w:rsidP="001C01D4">
      <w:pPr>
        <w:pStyle w:val="Heading1"/>
        <w:numPr>
          <w:ilvl w:val="0"/>
          <w:numId w:val="10"/>
        </w:numPr>
        <w:tabs>
          <w:tab w:val="clear" w:pos="0"/>
          <w:tab w:val="num" w:pos="720"/>
        </w:tabs>
      </w:pPr>
      <w:r w:rsidRPr="009F5239">
        <w:t>Concernant le projet de lignes directrices actualisées et le modèle standard servant à vérifier l’élimination de la production de SAO</w:t>
      </w:r>
      <w:r w:rsidR="002809B3">
        <w:t>, le Comté exécutif a décidé d’une définition d’une « installation</w:t>
      </w:r>
      <w:r w:rsidR="001C01D4">
        <w:t xml:space="preserve"> </w:t>
      </w:r>
      <w:r w:rsidR="001C01D4">
        <w:lastRenderedPageBreak/>
        <w:t>v</w:t>
      </w:r>
      <w:r w:rsidR="002809B3">
        <w:t>erticalement intégrée »</w:t>
      </w:r>
      <w:r w:rsidR="002809B3" w:rsidRPr="00545E7E">
        <w:rPr>
          <w:vertAlign w:val="superscript"/>
        </w:rPr>
        <w:footnoteReference w:id="23"/>
      </w:r>
      <w:r w:rsidR="002809B3">
        <w:t xml:space="preserve"> et a approuvé les lignes directrices actualisées et le modèle standard </w:t>
      </w:r>
      <w:r w:rsidRPr="009F5239">
        <w:t xml:space="preserve">servant à vérifier </w:t>
      </w:r>
      <w:r w:rsidR="002809B3">
        <w:t>l’élimination de la production de SAO</w:t>
      </w:r>
      <w:r w:rsidR="00E747E0" w:rsidRPr="00545E7E">
        <w:rPr>
          <w:vertAlign w:val="superscript"/>
        </w:rPr>
        <w:footnoteReference w:id="24"/>
      </w:r>
      <w:r w:rsidR="002809B3">
        <w:t xml:space="preserve">. Il a pris note du possible retard de l’examen, par le Secrétariat, des rapports de vérification remis </w:t>
      </w:r>
      <w:r w:rsidRPr="009F5239">
        <w:t xml:space="preserve">conformément aux </w:t>
      </w:r>
      <w:r w:rsidR="002809B3">
        <w:t xml:space="preserve">lignes directrices actualisées en raison de la nécessité de comparer les données de production vérifiées avec les données déclarées au titre de l’article 7 du Protocole de Montréal. Il a également pris note du fait que, conformément à l’Accord conclu entre le Gouvernement de la Chine et le Comité exécutif pour la phase II du PGEPH, la Banque mondiale pourrait avoir besoin d’un financement supplémentaire pour la vérification des chaînes de production en plus de celles dont le tonnage </w:t>
      </w:r>
      <w:r w:rsidR="009F16C6">
        <w:t>a</w:t>
      </w:r>
      <w:r w:rsidR="002809B3">
        <w:t xml:space="preserve"> été inclus dans l’Accord. Le Comité exécutif examinera la nécessité d’un tel financement supplémentaire au cas par cas (décision 93/102).</w:t>
      </w:r>
    </w:p>
    <w:p w14:paraId="2865F2F7" w14:textId="0664A79D" w:rsidR="00AC0411" w:rsidRPr="00EC12AD" w:rsidRDefault="00545E7E" w:rsidP="001C01D4">
      <w:pPr>
        <w:pStyle w:val="Heading1"/>
        <w:numPr>
          <w:ilvl w:val="0"/>
          <w:numId w:val="10"/>
        </w:numPr>
        <w:tabs>
          <w:tab w:val="clear" w:pos="0"/>
          <w:tab w:val="num" w:pos="720"/>
        </w:tabs>
        <w:rPr>
          <w:highlight w:val="yellow"/>
        </w:rPr>
      </w:pPr>
      <w:r>
        <w:rPr>
          <w:highlight w:val="yellow"/>
        </w:rPr>
        <w:t xml:space="preserve">[À la 94e réunion…] </w:t>
      </w:r>
    </w:p>
    <w:p w14:paraId="21A2F5F0" w14:textId="158A2858" w:rsidR="00282EB1" w:rsidRPr="00020638" w:rsidRDefault="00F8694C" w:rsidP="001C01D4">
      <w:pPr>
        <w:pStyle w:val="Heading2"/>
        <w:widowControl/>
        <w:numPr>
          <w:ilvl w:val="0"/>
          <w:numId w:val="0"/>
        </w:numPr>
        <w:rPr>
          <w:b/>
          <w:bCs/>
          <w:sz w:val="24"/>
          <w:szCs w:val="24"/>
        </w:rPr>
      </w:pPr>
      <w:r>
        <w:rPr>
          <w:b/>
          <w:sz w:val="24"/>
        </w:rPr>
        <w:t>C.</w:t>
      </w:r>
      <w:r>
        <w:rPr>
          <w:b/>
          <w:sz w:val="24"/>
        </w:rPr>
        <w:tab/>
        <w:t>Projets, mise en œuvre et suivi</w:t>
      </w:r>
    </w:p>
    <w:p w14:paraId="03C1C9B7" w14:textId="77777777" w:rsidR="00282EB1" w:rsidRPr="00BC750B" w:rsidRDefault="00282EB1" w:rsidP="001C01D4">
      <w:pPr>
        <w:spacing w:after="240"/>
        <w:outlineLvl w:val="1"/>
        <w:rPr>
          <w:b/>
        </w:rPr>
      </w:pPr>
      <w:r>
        <w:rPr>
          <w:b/>
        </w:rPr>
        <w:t>1.</w:t>
      </w:r>
      <w:r>
        <w:rPr>
          <w:b/>
        </w:rPr>
        <w:tab/>
        <w:t>Approbations accordées au cours de la période visée par ce rapport</w:t>
      </w:r>
    </w:p>
    <w:p w14:paraId="3C641692" w14:textId="59613C07" w:rsidR="00282EB1" w:rsidRPr="00A64715" w:rsidRDefault="00282EB1" w:rsidP="001C01D4">
      <w:pPr>
        <w:pStyle w:val="Heading1"/>
        <w:numPr>
          <w:ilvl w:val="0"/>
          <w:numId w:val="10"/>
        </w:numPr>
        <w:tabs>
          <w:tab w:val="clear" w:pos="0"/>
          <w:tab w:val="num" w:pos="720"/>
        </w:tabs>
      </w:pPr>
      <w:r>
        <w:t xml:space="preserve">Au cours de la période visée par ce rapport, le Comité exécutif a approuvé un total de </w:t>
      </w:r>
      <w:r>
        <w:rPr>
          <w:highlight w:val="yellow"/>
        </w:rPr>
        <w:t>???</w:t>
      </w:r>
      <w:r>
        <w:t xml:space="preserve"> projets et activités supplémentaires, </w:t>
      </w:r>
      <w:r w:rsidR="0016100B" w:rsidRPr="0016100B">
        <w:t xml:space="preserve">avec </w:t>
      </w:r>
      <w:r>
        <w:t xml:space="preserve">une élimination prévue de </w:t>
      </w:r>
      <w:r>
        <w:rPr>
          <w:highlight w:val="yellow"/>
        </w:rPr>
        <w:t>???</w:t>
      </w:r>
      <w:r>
        <w:t xml:space="preserve"> tonnes PAO de production et de consommation de HCFC, et </w:t>
      </w:r>
      <w:r>
        <w:rPr>
          <w:highlight w:val="yellow"/>
        </w:rPr>
        <w:t>??? </w:t>
      </w:r>
      <w:r>
        <w:t xml:space="preserve">tonnes métriques (tonnes d’équivalent CO2) de consommation de HFC, </w:t>
      </w:r>
      <w:r w:rsidR="0016100B">
        <w:t>pour</w:t>
      </w:r>
      <w:r>
        <w:t xml:space="preserve"> un montant de </w:t>
      </w:r>
      <w:r>
        <w:rPr>
          <w:highlight w:val="yellow"/>
        </w:rPr>
        <w:t>???</w:t>
      </w:r>
      <w:r>
        <w:t xml:space="preserve"> $ US, dont </w:t>
      </w:r>
      <w:r>
        <w:rPr>
          <w:highlight w:val="yellow"/>
        </w:rPr>
        <w:t>???</w:t>
      </w:r>
      <w:r>
        <w:t xml:space="preserve"> $ US </w:t>
      </w:r>
      <w:r w:rsidR="0016100B">
        <w:t>de</w:t>
      </w:r>
      <w:r>
        <w:t xml:space="preserve"> coûts d’appui d’agence, comme indiqué dans le tableau 1 ci-dessous.</w:t>
      </w:r>
    </w:p>
    <w:p w14:paraId="66C2B581" w14:textId="77B111C5" w:rsidR="00282EB1" w:rsidRPr="00A64715" w:rsidRDefault="00282EB1" w:rsidP="00555EBA">
      <w:r>
        <w:t>Tableau 1</w:t>
      </w:r>
    </w:p>
    <w:p w14:paraId="56BA073B" w14:textId="77777777" w:rsidR="00282EB1" w:rsidRDefault="00282EB1" w:rsidP="00555EBA">
      <w:pPr>
        <w:rPr>
          <w:b/>
          <w:bCs/>
        </w:rPr>
      </w:pPr>
      <w:r>
        <w:rPr>
          <w:b/>
        </w:rPr>
        <w:t>Sommes approuvées par agence au cours de la période visée par ce rapport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544"/>
        <w:gridCol w:w="2828"/>
        <w:gridCol w:w="1886"/>
      </w:tblGrid>
      <w:tr w:rsidR="00282EB1" w:rsidRPr="00936624" w14:paraId="214D1F45" w14:textId="77777777" w:rsidTr="0016100B">
        <w:trPr>
          <w:trHeight w:val="179"/>
          <w:jc w:val="center"/>
        </w:trPr>
        <w:tc>
          <w:tcPr>
            <w:tcW w:w="1237" w:type="pct"/>
            <w:shd w:val="clear" w:color="auto" w:fill="auto"/>
            <w:noWrap/>
            <w:hideMark/>
          </w:tcPr>
          <w:p w14:paraId="39B43574" w14:textId="77777777" w:rsidR="00282EB1" w:rsidRPr="00936624" w:rsidRDefault="00282EB1" w:rsidP="00275C7B">
            <w:pPr>
              <w:jc w:val="center"/>
              <w:rPr>
                <w:b/>
                <w:bCs/>
                <w:color w:val="000000"/>
                <w:sz w:val="20"/>
                <w:szCs w:val="20"/>
              </w:rPr>
            </w:pPr>
            <w:r>
              <w:rPr>
                <w:b/>
                <w:color w:val="000000"/>
                <w:sz w:val="20"/>
              </w:rPr>
              <w:t>Agence</w:t>
            </w:r>
          </w:p>
        </w:tc>
        <w:tc>
          <w:tcPr>
            <w:tcW w:w="1238" w:type="pct"/>
            <w:shd w:val="clear" w:color="auto" w:fill="auto"/>
            <w:noWrap/>
            <w:hideMark/>
          </w:tcPr>
          <w:p w14:paraId="517386DF" w14:textId="77777777" w:rsidR="00282EB1" w:rsidRPr="00936624" w:rsidRDefault="00282EB1" w:rsidP="00275C7B">
            <w:pPr>
              <w:jc w:val="center"/>
              <w:rPr>
                <w:b/>
                <w:bCs/>
                <w:color w:val="000000"/>
                <w:sz w:val="20"/>
                <w:szCs w:val="20"/>
              </w:rPr>
            </w:pPr>
            <w:r>
              <w:rPr>
                <w:b/>
                <w:color w:val="000000"/>
                <w:sz w:val="20"/>
              </w:rPr>
              <w:t>Sommes approuvées ($ US)</w:t>
            </w:r>
          </w:p>
        </w:tc>
        <w:tc>
          <w:tcPr>
            <w:tcW w:w="1399" w:type="pct"/>
            <w:shd w:val="clear" w:color="auto" w:fill="auto"/>
            <w:noWrap/>
            <w:hideMark/>
          </w:tcPr>
          <w:p w14:paraId="5809E9C9" w14:textId="77777777" w:rsidR="00282EB1" w:rsidRPr="00936624" w:rsidRDefault="00282EB1" w:rsidP="00275C7B">
            <w:pPr>
              <w:jc w:val="center"/>
              <w:rPr>
                <w:b/>
                <w:bCs/>
                <w:color w:val="000000"/>
                <w:sz w:val="20"/>
                <w:szCs w:val="20"/>
              </w:rPr>
            </w:pPr>
            <w:r>
              <w:rPr>
                <w:b/>
                <w:color w:val="000000"/>
                <w:sz w:val="20"/>
              </w:rPr>
              <w:t>Coûts d’appui d’agence ($ US)</w:t>
            </w:r>
          </w:p>
        </w:tc>
        <w:tc>
          <w:tcPr>
            <w:tcW w:w="1126" w:type="pct"/>
            <w:shd w:val="clear" w:color="auto" w:fill="auto"/>
            <w:hideMark/>
          </w:tcPr>
          <w:p w14:paraId="0F5A9685" w14:textId="77777777" w:rsidR="00282EB1" w:rsidRPr="00936624" w:rsidRDefault="00282EB1" w:rsidP="00275C7B">
            <w:pPr>
              <w:jc w:val="center"/>
              <w:rPr>
                <w:b/>
                <w:bCs/>
                <w:color w:val="000000"/>
                <w:sz w:val="20"/>
                <w:szCs w:val="20"/>
              </w:rPr>
            </w:pPr>
            <w:r>
              <w:rPr>
                <w:b/>
                <w:color w:val="000000"/>
                <w:sz w:val="20"/>
              </w:rPr>
              <w:t>Total ($ US)</w:t>
            </w:r>
          </w:p>
        </w:tc>
      </w:tr>
      <w:tr w:rsidR="00936624" w:rsidRPr="00936624" w14:paraId="0149A399" w14:textId="77777777" w:rsidTr="0016100B">
        <w:trPr>
          <w:trHeight w:val="251"/>
          <w:jc w:val="center"/>
        </w:trPr>
        <w:tc>
          <w:tcPr>
            <w:tcW w:w="1237" w:type="pct"/>
            <w:shd w:val="clear" w:color="auto" w:fill="auto"/>
            <w:noWrap/>
            <w:hideMark/>
          </w:tcPr>
          <w:p w14:paraId="26B56153" w14:textId="77777777" w:rsidR="00936624" w:rsidRPr="00936624" w:rsidRDefault="00936624" w:rsidP="00936624">
            <w:pPr>
              <w:jc w:val="left"/>
              <w:rPr>
                <w:color w:val="000000"/>
                <w:sz w:val="20"/>
                <w:szCs w:val="20"/>
              </w:rPr>
            </w:pPr>
            <w:r>
              <w:rPr>
                <w:color w:val="000000"/>
                <w:sz w:val="20"/>
              </w:rPr>
              <w:t>Agences bilatérales</w:t>
            </w:r>
          </w:p>
        </w:tc>
        <w:tc>
          <w:tcPr>
            <w:tcW w:w="1238" w:type="pct"/>
            <w:shd w:val="clear" w:color="auto" w:fill="auto"/>
            <w:noWrap/>
            <w:hideMark/>
          </w:tcPr>
          <w:p w14:paraId="17637D07" w14:textId="1C0BD609" w:rsidR="00936624" w:rsidRPr="00555EBA" w:rsidRDefault="00936624" w:rsidP="0016100B">
            <w:pPr>
              <w:jc w:val="center"/>
              <w:rPr>
                <w:i/>
                <w:iCs/>
                <w:color w:val="000000"/>
                <w:sz w:val="20"/>
                <w:szCs w:val="20"/>
              </w:rPr>
            </w:pPr>
            <w:r>
              <w:rPr>
                <w:i/>
                <w:sz w:val="20"/>
              </w:rPr>
              <w:t>À compléter</w:t>
            </w:r>
          </w:p>
        </w:tc>
        <w:tc>
          <w:tcPr>
            <w:tcW w:w="1399" w:type="pct"/>
            <w:shd w:val="clear" w:color="auto" w:fill="auto"/>
            <w:noWrap/>
            <w:hideMark/>
          </w:tcPr>
          <w:p w14:paraId="5EC04125" w14:textId="536EF95E" w:rsidR="00936624" w:rsidRPr="00936624" w:rsidRDefault="00936624" w:rsidP="0016100B">
            <w:pPr>
              <w:jc w:val="center"/>
              <w:rPr>
                <w:color w:val="000000"/>
                <w:sz w:val="20"/>
                <w:szCs w:val="20"/>
              </w:rPr>
            </w:pPr>
            <w:r>
              <w:rPr>
                <w:i/>
                <w:sz w:val="20"/>
              </w:rPr>
              <w:t>À compléter</w:t>
            </w:r>
          </w:p>
        </w:tc>
        <w:tc>
          <w:tcPr>
            <w:tcW w:w="1126" w:type="pct"/>
            <w:shd w:val="clear" w:color="auto" w:fill="auto"/>
            <w:noWrap/>
            <w:hideMark/>
          </w:tcPr>
          <w:p w14:paraId="10900CD9" w14:textId="63617ACA" w:rsidR="00936624" w:rsidRPr="00936624" w:rsidRDefault="00936624" w:rsidP="0016100B">
            <w:pPr>
              <w:jc w:val="center"/>
              <w:rPr>
                <w:color w:val="000000"/>
                <w:sz w:val="20"/>
                <w:szCs w:val="20"/>
              </w:rPr>
            </w:pPr>
            <w:r>
              <w:rPr>
                <w:i/>
                <w:sz w:val="20"/>
              </w:rPr>
              <w:t>À compléter</w:t>
            </w:r>
          </w:p>
        </w:tc>
      </w:tr>
      <w:tr w:rsidR="00936624" w:rsidRPr="00936624" w14:paraId="415B0CE9" w14:textId="77777777" w:rsidTr="0016100B">
        <w:trPr>
          <w:trHeight w:val="170"/>
          <w:jc w:val="center"/>
        </w:trPr>
        <w:tc>
          <w:tcPr>
            <w:tcW w:w="1237" w:type="pct"/>
            <w:shd w:val="clear" w:color="auto" w:fill="auto"/>
            <w:noWrap/>
            <w:hideMark/>
          </w:tcPr>
          <w:p w14:paraId="0115D1FE" w14:textId="77777777" w:rsidR="00936624" w:rsidRPr="00936624" w:rsidRDefault="00936624" w:rsidP="0016100B">
            <w:pPr>
              <w:jc w:val="center"/>
              <w:rPr>
                <w:color w:val="000000"/>
                <w:sz w:val="20"/>
                <w:szCs w:val="20"/>
              </w:rPr>
            </w:pPr>
            <w:r>
              <w:rPr>
                <w:color w:val="000000"/>
                <w:sz w:val="20"/>
              </w:rPr>
              <w:t>PNUD</w:t>
            </w:r>
          </w:p>
        </w:tc>
        <w:tc>
          <w:tcPr>
            <w:tcW w:w="1238" w:type="pct"/>
            <w:shd w:val="clear" w:color="auto" w:fill="auto"/>
            <w:noWrap/>
            <w:hideMark/>
          </w:tcPr>
          <w:p w14:paraId="3D25B399" w14:textId="2DB089F3" w:rsidR="00936624" w:rsidRPr="00555EBA" w:rsidRDefault="00936624" w:rsidP="0016100B">
            <w:pPr>
              <w:jc w:val="center"/>
              <w:rPr>
                <w:i/>
                <w:iCs/>
                <w:color w:val="000000"/>
                <w:sz w:val="20"/>
                <w:szCs w:val="20"/>
              </w:rPr>
            </w:pPr>
            <w:r>
              <w:rPr>
                <w:i/>
                <w:sz w:val="20"/>
              </w:rPr>
              <w:t>À compléter</w:t>
            </w:r>
          </w:p>
        </w:tc>
        <w:tc>
          <w:tcPr>
            <w:tcW w:w="1399" w:type="pct"/>
            <w:shd w:val="clear" w:color="auto" w:fill="auto"/>
            <w:noWrap/>
            <w:hideMark/>
          </w:tcPr>
          <w:p w14:paraId="6A67CE01" w14:textId="68A8FEB3" w:rsidR="00936624" w:rsidRPr="00936624" w:rsidRDefault="00936624" w:rsidP="0016100B">
            <w:pPr>
              <w:jc w:val="center"/>
              <w:rPr>
                <w:color w:val="000000"/>
                <w:sz w:val="20"/>
                <w:szCs w:val="20"/>
              </w:rPr>
            </w:pPr>
            <w:r>
              <w:rPr>
                <w:i/>
                <w:sz w:val="20"/>
              </w:rPr>
              <w:t>À compléter</w:t>
            </w:r>
          </w:p>
        </w:tc>
        <w:tc>
          <w:tcPr>
            <w:tcW w:w="1126" w:type="pct"/>
            <w:shd w:val="clear" w:color="auto" w:fill="auto"/>
            <w:noWrap/>
            <w:hideMark/>
          </w:tcPr>
          <w:p w14:paraId="2B56F0A7" w14:textId="3640078C" w:rsidR="00936624" w:rsidRPr="00936624" w:rsidRDefault="00936624" w:rsidP="0016100B">
            <w:pPr>
              <w:jc w:val="center"/>
              <w:rPr>
                <w:color w:val="000000"/>
                <w:sz w:val="20"/>
                <w:szCs w:val="20"/>
              </w:rPr>
            </w:pPr>
            <w:r>
              <w:rPr>
                <w:i/>
                <w:sz w:val="20"/>
              </w:rPr>
              <w:t>À compléter</w:t>
            </w:r>
          </w:p>
        </w:tc>
      </w:tr>
      <w:tr w:rsidR="00936624" w:rsidRPr="00936624" w14:paraId="65F929D8" w14:textId="77777777" w:rsidTr="0016100B">
        <w:trPr>
          <w:trHeight w:val="179"/>
          <w:jc w:val="center"/>
        </w:trPr>
        <w:tc>
          <w:tcPr>
            <w:tcW w:w="1237" w:type="pct"/>
            <w:shd w:val="clear" w:color="auto" w:fill="auto"/>
            <w:noWrap/>
            <w:hideMark/>
          </w:tcPr>
          <w:p w14:paraId="5D0B231B" w14:textId="77777777" w:rsidR="00936624" w:rsidRPr="00936624" w:rsidRDefault="00936624" w:rsidP="0016100B">
            <w:pPr>
              <w:jc w:val="center"/>
              <w:rPr>
                <w:color w:val="000000"/>
                <w:sz w:val="20"/>
                <w:szCs w:val="20"/>
              </w:rPr>
            </w:pPr>
            <w:r>
              <w:rPr>
                <w:color w:val="000000"/>
                <w:sz w:val="20"/>
              </w:rPr>
              <w:t>PNUE</w:t>
            </w:r>
          </w:p>
        </w:tc>
        <w:tc>
          <w:tcPr>
            <w:tcW w:w="1238" w:type="pct"/>
            <w:shd w:val="clear" w:color="auto" w:fill="auto"/>
            <w:noWrap/>
            <w:hideMark/>
          </w:tcPr>
          <w:p w14:paraId="0F4EA232" w14:textId="516E5CA0" w:rsidR="00936624" w:rsidRPr="00555EBA" w:rsidRDefault="00936624" w:rsidP="0016100B">
            <w:pPr>
              <w:jc w:val="center"/>
              <w:rPr>
                <w:i/>
                <w:iCs/>
                <w:color w:val="000000"/>
                <w:sz w:val="20"/>
                <w:szCs w:val="20"/>
              </w:rPr>
            </w:pPr>
            <w:r>
              <w:rPr>
                <w:i/>
                <w:sz w:val="20"/>
              </w:rPr>
              <w:t>À compléter</w:t>
            </w:r>
          </w:p>
        </w:tc>
        <w:tc>
          <w:tcPr>
            <w:tcW w:w="1399" w:type="pct"/>
            <w:shd w:val="clear" w:color="auto" w:fill="auto"/>
            <w:noWrap/>
            <w:hideMark/>
          </w:tcPr>
          <w:p w14:paraId="56B11468" w14:textId="11E44D01" w:rsidR="00936624" w:rsidRPr="00936624" w:rsidRDefault="00936624" w:rsidP="0016100B">
            <w:pPr>
              <w:jc w:val="center"/>
              <w:rPr>
                <w:color w:val="000000"/>
                <w:sz w:val="20"/>
                <w:szCs w:val="20"/>
              </w:rPr>
            </w:pPr>
            <w:r>
              <w:rPr>
                <w:i/>
                <w:sz w:val="20"/>
              </w:rPr>
              <w:t>À compléter</w:t>
            </w:r>
          </w:p>
        </w:tc>
        <w:tc>
          <w:tcPr>
            <w:tcW w:w="1126" w:type="pct"/>
            <w:shd w:val="clear" w:color="auto" w:fill="auto"/>
            <w:noWrap/>
            <w:hideMark/>
          </w:tcPr>
          <w:p w14:paraId="6268B51E" w14:textId="7E6AE1E5" w:rsidR="00936624" w:rsidRPr="00936624" w:rsidRDefault="00936624" w:rsidP="0016100B">
            <w:pPr>
              <w:jc w:val="center"/>
              <w:rPr>
                <w:color w:val="000000"/>
                <w:sz w:val="20"/>
                <w:szCs w:val="20"/>
              </w:rPr>
            </w:pPr>
            <w:r>
              <w:rPr>
                <w:i/>
                <w:sz w:val="20"/>
              </w:rPr>
              <w:t>À compléter</w:t>
            </w:r>
          </w:p>
        </w:tc>
      </w:tr>
      <w:tr w:rsidR="00936624" w:rsidRPr="00936624" w14:paraId="7D37C5DC" w14:textId="77777777" w:rsidTr="0016100B">
        <w:trPr>
          <w:trHeight w:val="188"/>
          <w:jc w:val="center"/>
        </w:trPr>
        <w:tc>
          <w:tcPr>
            <w:tcW w:w="1237" w:type="pct"/>
            <w:shd w:val="clear" w:color="auto" w:fill="auto"/>
            <w:noWrap/>
            <w:hideMark/>
          </w:tcPr>
          <w:p w14:paraId="22C73D87" w14:textId="77777777" w:rsidR="00936624" w:rsidRPr="00936624" w:rsidRDefault="00936624" w:rsidP="0016100B">
            <w:pPr>
              <w:jc w:val="center"/>
              <w:rPr>
                <w:color w:val="000000"/>
                <w:sz w:val="20"/>
                <w:szCs w:val="20"/>
              </w:rPr>
            </w:pPr>
            <w:r>
              <w:rPr>
                <w:color w:val="000000"/>
                <w:sz w:val="20"/>
              </w:rPr>
              <w:t>ONUDI</w:t>
            </w:r>
          </w:p>
        </w:tc>
        <w:tc>
          <w:tcPr>
            <w:tcW w:w="1238" w:type="pct"/>
            <w:shd w:val="clear" w:color="auto" w:fill="auto"/>
            <w:noWrap/>
            <w:hideMark/>
          </w:tcPr>
          <w:p w14:paraId="509039C3" w14:textId="656919C8" w:rsidR="00936624" w:rsidRPr="00555EBA" w:rsidRDefault="00936624" w:rsidP="0016100B">
            <w:pPr>
              <w:jc w:val="center"/>
              <w:rPr>
                <w:i/>
                <w:iCs/>
                <w:color w:val="000000"/>
                <w:sz w:val="20"/>
                <w:szCs w:val="20"/>
              </w:rPr>
            </w:pPr>
            <w:r>
              <w:rPr>
                <w:i/>
                <w:sz w:val="20"/>
              </w:rPr>
              <w:t>À compléter</w:t>
            </w:r>
          </w:p>
        </w:tc>
        <w:tc>
          <w:tcPr>
            <w:tcW w:w="1399" w:type="pct"/>
            <w:shd w:val="clear" w:color="auto" w:fill="auto"/>
            <w:noWrap/>
            <w:hideMark/>
          </w:tcPr>
          <w:p w14:paraId="4804BFE3" w14:textId="1B870469" w:rsidR="00936624" w:rsidRPr="00936624" w:rsidRDefault="00936624" w:rsidP="0016100B">
            <w:pPr>
              <w:jc w:val="center"/>
              <w:rPr>
                <w:color w:val="000000"/>
                <w:sz w:val="20"/>
                <w:szCs w:val="20"/>
              </w:rPr>
            </w:pPr>
            <w:r>
              <w:rPr>
                <w:i/>
                <w:sz w:val="20"/>
              </w:rPr>
              <w:t>À compléter</w:t>
            </w:r>
          </w:p>
        </w:tc>
        <w:tc>
          <w:tcPr>
            <w:tcW w:w="1126" w:type="pct"/>
            <w:shd w:val="clear" w:color="auto" w:fill="auto"/>
            <w:noWrap/>
            <w:hideMark/>
          </w:tcPr>
          <w:p w14:paraId="79423D54" w14:textId="25C0EE0A" w:rsidR="00936624" w:rsidRPr="00936624" w:rsidRDefault="00936624" w:rsidP="0016100B">
            <w:pPr>
              <w:jc w:val="center"/>
              <w:rPr>
                <w:color w:val="000000"/>
                <w:sz w:val="20"/>
                <w:szCs w:val="20"/>
              </w:rPr>
            </w:pPr>
            <w:r>
              <w:rPr>
                <w:i/>
                <w:sz w:val="20"/>
              </w:rPr>
              <w:t>À compléter</w:t>
            </w:r>
          </w:p>
        </w:tc>
      </w:tr>
      <w:tr w:rsidR="00936624" w:rsidRPr="00936624" w14:paraId="7C822852" w14:textId="77777777" w:rsidTr="0016100B">
        <w:trPr>
          <w:trHeight w:val="98"/>
          <w:jc w:val="center"/>
        </w:trPr>
        <w:tc>
          <w:tcPr>
            <w:tcW w:w="1237" w:type="pct"/>
            <w:shd w:val="clear" w:color="auto" w:fill="auto"/>
            <w:noWrap/>
            <w:hideMark/>
          </w:tcPr>
          <w:p w14:paraId="5FAE7CFC" w14:textId="77777777" w:rsidR="00936624" w:rsidRPr="00936624" w:rsidRDefault="00936624" w:rsidP="0016100B">
            <w:pPr>
              <w:jc w:val="center"/>
              <w:rPr>
                <w:color w:val="000000"/>
                <w:sz w:val="20"/>
                <w:szCs w:val="20"/>
              </w:rPr>
            </w:pPr>
            <w:r>
              <w:rPr>
                <w:color w:val="000000"/>
                <w:sz w:val="20"/>
              </w:rPr>
              <w:t>Banque mondiale</w:t>
            </w:r>
          </w:p>
        </w:tc>
        <w:tc>
          <w:tcPr>
            <w:tcW w:w="1238" w:type="pct"/>
            <w:shd w:val="clear" w:color="auto" w:fill="auto"/>
            <w:noWrap/>
            <w:hideMark/>
          </w:tcPr>
          <w:p w14:paraId="43FDB753" w14:textId="3A5E8253" w:rsidR="00936624" w:rsidRPr="00555EBA" w:rsidRDefault="00936624" w:rsidP="0016100B">
            <w:pPr>
              <w:jc w:val="center"/>
              <w:rPr>
                <w:i/>
                <w:iCs/>
                <w:color w:val="000000"/>
                <w:sz w:val="20"/>
                <w:szCs w:val="20"/>
              </w:rPr>
            </w:pPr>
            <w:r>
              <w:rPr>
                <w:i/>
                <w:sz w:val="20"/>
              </w:rPr>
              <w:t>À compléter</w:t>
            </w:r>
          </w:p>
        </w:tc>
        <w:tc>
          <w:tcPr>
            <w:tcW w:w="1399" w:type="pct"/>
            <w:shd w:val="clear" w:color="auto" w:fill="auto"/>
            <w:noWrap/>
            <w:hideMark/>
          </w:tcPr>
          <w:p w14:paraId="776EB494" w14:textId="0CB9DF54" w:rsidR="00936624" w:rsidRPr="00936624" w:rsidRDefault="00936624" w:rsidP="0016100B">
            <w:pPr>
              <w:jc w:val="center"/>
              <w:rPr>
                <w:color w:val="000000"/>
                <w:sz w:val="20"/>
                <w:szCs w:val="20"/>
              </w:rPr>
            </w:pPr>
            <w:r>
              <w:rPr>
                <w:i/>
                <w:sz w:val="20"/>
              </w:rPr>
              <w:t>À compléter</w:t>
            </w:r>
          </w:p>
        </w:tc>
        <w:tc>
          <w:tcPr>
            <w:tcW w:w="1126" w:type="pct"/>
            <w:shd w:val="clear" w:color="auto" w:fill="auto"/>
            <w:noWrap/>
            <w:hideMark/>
          </w:tcPr>
          <w:p w14:paraId="6D129244" w14:textId="07156493" w:rsidR="00936624" w:rsidRPr="00936624" w:rsidRDefault="00936624" w:rsidP="0016100B">
            <w:pPr>
              <w:jc w:val="center"/>
              <w:rPr>
                <w:color w:val="000000"/>
                <w:sz w:val="20"/>
                <w:szCs w:val="20"/>
              </w:rPr>
            </w:pPr>
            <w:r>
              <w:rPr>
                <w:i/>
                <w:sz w:val="20"/>
              </w:rPr>
              <w:t>À compléter</w:t>
            </w:r>
          </w:p>
        </w:tc>
      </w:tr>
      <w:tr w:rsidR="00936624" w:rsidRPr="00936624" w14:paraId="1DBB3490" w14:textId="77777777" w:rsidTr="0016100B">
        <w:trPr>
          <w:trHeight w:val="107"/>
          <w:jc w:val="center"/>
        </w:trPr>
        <w:tc>
          <w:tcPr>
            <w:tcW w:w="1237" w:type="pct"/>
            <w:shd w:val="clear" w:color="auto" w:fill="auto"/>
            <w:noWrap/>
            <w:hideMark/>
          </w:tcPr>
          <w:p w14:paraId="2851C81A" w14:textId="77777777" w:rsidR="00936624" w:rsidRPr="00936624" w:rsidRDefault="00936624" w:rsidP="0016100B">
            <w:pPr>
              <w:jc w:val="center"/>
              <w:rPr>
                <w:b/>
                <w:bCs/>
                <w:color w:val="000000"/>
                <w:sz w:val="20"/>
                <w:szCs w:val="20"/>
              </w:rPr>
            </w:pPr>
            <w:r>
              <w:rPr>
                <w:b/>
                <w:color w:val="000000"/>
                <w:sz w:val="20"/>
              </w:rPr>
              <w:t>Total global</w:t>
            </w:r>
          </w:p>
        </w:tc>
        <w:tc>
          <w:tcPr>
            <w:tcW w:w="1238" w:type="pct"/>
            <w:shd w:val="clear" w:color="auto" w:fill="auto"/>
            <w:noWrap/>
            <w:hideMark/>
          </w:tcPr>
          <w:p w14:paraId="64766017" w14:textId="7F86E938" w:rsidR="00936624" w:rsidRPr="00555EBA" w:rsidRDefault="00936624" w:rsidP="0016100B">
            <w:pPr>
              <w:jc w:val="center"/>
              <w:rPr>
                <w:b/>
                <w:bCs/>
                <w:i/>
                <w:iCs/>
                <w:color w:val="000000"/>
                <w:sz w:val="20"/>
                <w:szCs w:val="20"/>
              </w:rPr>
            </w:pPr>
            <w:r>
              <w:rPr>
                <w:i/>
                <w:sz w:val="20"/>
              </w:rPr>
              <w:t>À compléter</w:t>
            </w:r>
          </w:p>
        </w:tc>
        <w:tc>
          <w:tcPr>
            <w:tcW w:w="1399" w:type="pct"/>
            <w:shd w:val="clear" w:color="auto" w:fill="auto"/>
            <w:noWrap/>
            <w:hideMark/>
          </w:tcPr>
          <w:p w14:paraId="2C51399C" w14:textId="49F9B661" w:rsidR="00936624" w:rsidRPr="00936624" w:rsidRDefault="00936624" w:rsidP="0016100B">
            <w:pPr>
              <w:jc w:val="center"/>
              <w:rPr>
                <w:b/>
                <w:bCs/>
                <w:color w:val="000000"/>
                <w:sz w:val="20"/>
                <w:szCs w:val="20"/>
              </w:rPr>
            </w:pPr>
            <w:r>
              <w:rPr>
                <w:i/>
                <w:sz w:val="20"/>
              </w:rPr>
              <w:t>À compléter</w:t>
            </w:r>
          </w:p>
        </w:tc>
        <w:tc>
          <w:tcPr>
            <w:tcW w:w="1126" w:type="pct"/>
            <w:shd w:val="clear" w:color="auto" w:fill="auto"/>
            <w:noWrap/>
            <w:hideMark/>
          </w:tcPr>
          <w:p w14:paraId="431BD4B0" w14:textId="3DDE5840" w:rsidR="00936624" w:rsidRPr="00936624" w:rsidRDefault="00936624" w:rsidP="0016100B">
            <w:pPr>
              <w:jc w:val="center"/>
              <w:rPr>
                <w:b/>
                <w:bCs/>
                <w:color w:val="000000"/>
                <w:sz w:val="20"/>
                <w:szCs w:val="20"/>
              </w:rPr>
            </w:pPr>
            <w:r>
              <w:rPr>
                <w:i/>
                <w:sz w:val="20"/>
              </w:rPr>
              <w:t>À compléter</w:t>
            </w:r>
          </w:p>
        </w:tc>
      </w:tr>
    </w:tbl>
    <w:p w14:paraId="31DC3CE0" w14:textId="77777777" w:rsidR="00282EB1" w:rsidRPr="00193CCD" w:rsidRDefault="00282EB1" w:rsidP="00282EB1">
      <w:pPr>
        <w:rPr>
          <w:sz w:val="20"/>
          <w:szCs w:val="20"/>
        </w:rPr>
      </w:pPr>
    </w:p>
    <w:p w14:paraId="70B56381" w14:textId="415135BD" w:rsidR="00B8034F" w:rsidRDefault="00B8034F" w:rsidP="0068556F">
      <w:pPr>
        <w:pStyle w:val="Heading1"/>
        <w:rPr>
          <w:b/>
          <w:bCs/>
          <w:iCs/>
        </w:rPr>
      </w:pPr>
      <w:r>
        <w:lastRenderedPageBreak/>
        <w:t>À la 93e [</w:t>
      </w:r>
      <w:r>
        <w:rPr>
          <w:highlight w:val="yellow"/>
        </w:rPr>
        <w:t>et la 94e réunion</w:t>
      </w:r>
      <w:r>
        <w:t>], après examen des documents relatifs aux projets recommandés pour une approbation globale</w:t>
      </w:r>
      <w:r>
        <w:rPr>
          <w:rStyle w:val="FootnoteReference"/>
        </w:rPr>
        <w:footnoteReference w:id="25"/>
      </w:r>
      <w:r>
        <w:t xml:space="preserve"> et des documents relatifs aux projets recommandés pour un examen individuel</w:t>
      </w:r>
      <w:r>
        <w:rPr>
          <w:rStyle w:val="FootnoteReference"/>
        </w:rPr>
        <w:footnoteReference w:id="26"/>
      </w:r>
      <w:r>
        <w:t>, le Comité exécutif a approuvé les projets et activités récapitulés ci-dessous.</w:t>
      </w:r>
    </w:p>
    <w:p w14:paraId="69181891" w14:textId="2A3FE809" w:rsidR="00282EB1" w:rsidRPr="00A64715" w:rsidRDefault="00A64715" w:rsidP="00A64715">
      <w:pPr>
        <w:pStyle w:val="Heading3"/>
        <w:numPr>
          <w:ilvl w:val="0"/>
          <w:numId w:val="0"/>
        </w:numPr>
        <w:rPr>
          <w:b/>
          <w:bCs/>
          <w:iCs/>
        </w:rPr>
      </w:pPr>
      <w:r>
        <w:rPr>
          <w:b/>
        </w:rPr>
        <w:t>(a)</w:t>
      </w:r>
      <w:r>
        <w:rPr>
          <w:b/>
        </w:rPr>
        <w:tab/>
        <w:t>Projets d’investissement</w:t>
      </w:r>
    </w:p>
    <w:p w14:paraId="5C735F8C" w14:textId="77777777" w:rsidR="00282EB1" w:rsidRPr="00A64715" w:rsidRDefault="00282EB1" w:rsidP="00A64715">
      <w:pPr>
        <w:rPr>
          <w:iCs/>
          <w:u w:val="single"/>
        </w:rPr>
      </w:pPr>
      <w:r>
        <w:rPr>
          <w:u w:val="single"/>
        </w:rPr>
        <w:t>PGEH et PGEPH</w:t>
      </w:r>
    </w:p>
    <w:p w14:paraId="512554C7" w14:textId="77777777" w:rsidR="00282EB1" w:rsidRPr="00193CCD" w:rsidRDefault="00282EB1" w:rsidP="00282EB1">
      <w:pPr>
        <w:rPr>
          <w:i/>
          <w:sz w:val="20"/>
          <w:szCs w:val="20"/>
        </w:rPr>
      </w:pPr>
    </w:p>
    <w:p w14:paraId="203224BF" w14:textId="4D125931" w:rsidR="00282EB1" w:rsidRDefault="00282EB1" w:rsidP="00012F24">
      <w:pPr>
        <w:pStyle w:val="Heading1"/>
        <w:numPr>
          <w:ilvl w:val="0"/>
          <w:numId w:val="10"/>
        </w:numPr>
        <w:tabs>
          <w:tab w:val="clear" w:pos="0"/>
          <w:tab w:val="num" w:pos="720"/>
        </w:tabs>
      </w:pPr>
      <w:r>
        <w:t>À la 93e réunion, le Comité exécutif a approuvé les tranches de la phase II et de la phase III des PGEH de 19 pays (décisions 93/36 et 93/49 à 93/53), la première tranche de la phase II des PGEH de trois pays (décisions 93/42, 93/44 et 93/46) et la première tranche de la phase III des PGEH de trois pays (décisions 93/43, 93/45 et 93/47).</w:t>
      </w:r>
    </w:p>
    <w:p w14:paraId="1250728F" w14:textId="7CA0868C" w:rsidR="006171D3" w:rsidRDefault="00A42051" w:rsidP="009868E2">
      <w:pPr>
        <w:pStyle w:val="Heading1"/>
      </w:pPr>
      <w:r>
        <w:t xml:space="preserve">Le Comité exécutif a approuvé les propositions de projets individuels portant sur des activités supplémentaires en lien avec l’adoption de substances de remplacement des HCFC à potentiel de réchauffement de la planète (PRP) faible ou nul et visant à maintenir l’efficacité énergétique dans le secteur de l’entretien des équipements de réfrigération de </w:t>
      </w:r>
      <w:r w:rsidR="00863BC7">
        <w:t>dix</w:t>
      </w:r>
      <w:r>
        <w:t> pays (décision 91/36).</w:t>
      </w:r>
    </w:p>
    <w:p w14:paraId="44549230" w14:textId="6B8056EF" w:rsidR="00282EB1" w:rsidRPr="00B87C1A" w:rsidRDefault="00B87C1A" w:rsidP="009A03C5">
      <w:pPr>
        <w:pStyle w:val="Heading1"/>
        <w:numPr>
          <w:ilvl w:val="0"/>
          <w:numId w:val="10"/>
        </w:numPr>
        <w:tabs>
          <w:tab w:val="clear" w:pos="0"/>
          <w:tab w:val="num" w:pos="720"/>
        </w:tabs>
      </w:pPr>
      <w:r>
        <w:rPr>
          <w:sz w:val="20"/>
          <w:highlight w:val="yellow"/>
        </w:rPr>
        <w:t>[À</w:t>
      </w:r>
      <w:r>
        <w:rPr>
          <w:highlight w:val="yellow"/>
        </w:rPr>
        <w:t xml:space="preserve"> la 94e réunion]</w:t>
      </w:r>
      <w:r>
        <w:t xml:space="preserve"> </w:t>
      </w:r>
    </w:p>
    <w:p w14:paraId="7B791D71" w14:textId="77777777" w:rsidR="00282EB1" w:rsidRPr="00B87C1A" w:rsidRDefault="00282EB1" w:rsidP="00B87C1A">
      <w:pPr>
        <w:jc w:val="left"/>
        <w:rPr>
          <w:iCs/>
          <w:u w:val="single"/>
        </w:rPr>
      </w:pPr>
      <w:r>
        <w:rPr>
          <w:u w:val="single"/>
        </w:rPr>
        <w:t>Projets liés aux HFC</w:t>
      </w:r>
    </w:p>
    <w:p w14:paraId="706B685E" w14:textId="77777777" w:rsidR="00282EB1" w:rsidRPr="00193CCD" w:rsidRDefault="00282EB1" w:rsidP="00282EB1">
      <w:pPr>
        <w:jc w:val="left"/>
        <w:rPr>
          <w:sz w:val="20"/>
          <w:szCs w:val="20"/>
          <w:highlight w:val="magenta"/>
        </w:rPr>
      </w:pPr>
    </w:p>
    <w:p w14:paraId="06A53359" w14:textId="3DC7DEC0" w:rsidR="0081016C" w:rsidRPr="0081016C" w:rsidRDefault="00282EB1" w:rsidP="009A03C5">
      <w:pPr>
        <w:pStyle w:val="Heading1"/>
        <w:numPr>
          <w:ilvl w:val="0"/>
          <w:numId w:val="10"/>
        </w:numPr>
        <w:tabs>
          <w:tab w:val="clear" w:pos="0"/>
          <w:tab w:val="num" w:pos="720"/>
        </w:tabs>
      </w:pPr>
      <w:r>
        <w:t>À la 93e réunion, le Comité exécutif a approuvé, en principe, la phase I des KIP de 23 pays, approuvant également la première tranche de financement de chacun d’eux (décisions 93/54 à 93/76).</w:t>
      </w:r>
    </w:p>
    <w:p w14:paraId="1D8451F6" w14:textId="77777777" w:rsidR="00493735" w:rsidRDefault="0081016C" w:rsidP="009A03C5">
      <w:pPr>
        <w:pStyle w:val="Heading1"/>
        <w:numPr>
          <w:ilvl w:val="0"/>
          <w:numId w:val="10"/>
        </w:numPr>
        <w:tabs>
          <w:tab w:val="clear" w:pos="0"/>
          <w:tab w:val="num" w:pos="720"/>
        </w:tabs>
      </w:pPr>
      <w:r>
        <w:t>Lors de cette réunion, le Comité a également approuvé, pour un pays, deux projets d’investissement en lien avec les HFC devant être inclus dans le futur KIP de ce pays (décisions 93/77 et 93/78). L’examen d’un troisième projet pour ce même pays a été reporté à une future réunion de façon à pouvoir présenter une proposition révisée.</w:t>
      </w:r>
    </w:p>
    <w:p w14:paraId="3EC09AB2" w14:textId="6ECDFD59" w:rsidR="00AC356C" w:rsidRPr="00AC356C" w:rsidRDefault="00493735" w:rsidP="00E77A8A">
      <w:pPr>
        <w:pStyle w:val="Heading1"/>
        <w:numPr>
          <w:ilvl w:val="0"/>
          <w:numId w:val="10"/>
        </w:numPr>
        <w:tabs>
          <w:tab w:val="clear" w:pos="0"/>
          <w:tab w:val="num" w:pos="720"/>
        </w:tabs>
      </w:pPr>
      <w:r>
        <w:t>À la 93e réunion, en ce qui concerne les projets pilotes liés au maintien ou à l’amélioration de l’efficacité énergétique des technologies et équipements de remplacement dans le cadre de la réduction progressive des HFC, le Comité a approuvé deux projets d’investissement pour un pays (décisions 93/89 et 93/90) et neuf projets non liés à des investissements pour neuf pays (décisions 93/79 à 93/87). Un troisième projet pilote d’investissement pour un autre pays n’a pas été approuvé (décision 93/88).</w:t>
      </w:r>
    </w:p>
    <w:p w14:paraId="40236B78" w14:textId="3479E245" w:rsidR="00D34038" w:rsidRPr="00B87C1A" w:rsidRDefault="00D34038" w:rsidP="009A03C5">
      <w:pPr>
        <w:pStyle w:val="Heading1"/>
        <w:numPr>
          <w:ilvl w:val="0"/>
          <w:numId w:val="10"/>
        </w:numPr>
        <w:tabs>
          <w:tab w:val="clear" w:pos="0"/>
          <w:tab w:val="num" w:pos="720"/>
        </w:tabs>
      </w:pPr>
      <w:r>
        <w:rPr>
          <w:sz w:val="20"/>
          <w:highlight w:val="yellow"/>
        </w:rPr>
        <w:t>[À</w:t>
      </w:r>
      <w:r>
        <w:rPr>
          <w:highlight w:val="yellow"/>
        </w:rPr>
        <w:t xml:space="preserve"> la 94e réunion]</w:t>
      </w:r>
      <w:r>
        <w:t xml:space="preserve"> </w:t>
      </w:r>
    </w:p>
    <w:p w14:paraId="2F95C497" w14:textId="793153A0" w:rsidR="00282EB1" w:rsidRPr="009529EE" w:rsidRDefault="00D97D57" w:rsidP="00D97D57">
      <w:pPr>
        <w:pStyle w:val="Heading3"/>
        <w:numPr>
          <w:ilvl w:val="0"/>
          <w:numId w:val="0"/>
        </w:numPr>
        <w:jc w:val="left"/>
        <w:rPr>
          <w:b/>
          <w:bCs/>
        </w:rPr>
      </w:pPr>
      <w:r>
        <w:rPr>
          <w:b/>
        </w:rPr>
        <w:t>(b)</w:t>
      </w:r>
      <w:r>
        <w:rPr>
          <w:b/>
        </w:rPr>
        <w:tab/>
        <w:t>Activités non liées à des investissements</w:t>
      </w:r>
    </w:p>
    <w:p w14:paraId="2C3437E3" w14:textId="613C7CEE" w:rsidR="008C5B50" w:rsidRPr="008C5B50" w:rsidRDefault="00FE2187" w:rsidP="009A03C5">
      <w:pPr>
        <w:pStyle w:val="Heading1"/>
        <w:numPr>
          <w:ilvl w:val="0"/>
          <w:numId w:val="10"/>
        </w:numPr>
        <w:tabs>
          <w:tab w:val="clear" w:pos="0"/>
          <w:tab w:val="num" w:pos="720"/>
        </w:tabs>
      </w:pPr>
      <w:r>
        <w:t xml:space="preserve">À la 93e réunion, le Comité exécutif a approuvé toutes les demandes de financement sauf une. Les demandes concernaient le financement de la préparation des phases II et III des PGEH, la préparation des KIP et/ou des activités en lien avec les investissements, des projets de prorogation des institutions, des activités supplémentaires visant à maintenir l’efficacité énergétique dans le secteur de l’entretien, la préparation d’un projet pilote sur l’efficacité énergétique, la préparation d’un inventaire national des banques de </w:t>
      </w:r>
      <w:r w:rsidR="002746C4">
        <w:t xml:space="preserve">déchets de </w:t>
      </w:r>
      <w:r>
        <w:t>substances réglementées et l’élaboration d’un plan ; ces demandes ont été présentées dans les documents relatifs à la coopération bilatérale</w:t>
      </w:r>
      <w:r w:rsidR="008C5B50" w:rsidRPr="00120937">
        <w:rPr>
          <w:vertAlign w:val="superscript"/>
        </w:rPr>
        <w:footnoteReference w:id="27"/>
      </w:r>
      <w:r>
        <w:t xml:space="preserve"> et les amendements du programme de travail de </w:t>
      </w:r>
      <w:r>
        <w:lastRenderedPageBreak/>
        <w:t>2023 du PNUD</w:t>
      </w:r>
      <w:r w:rsidR="008C5B50" w:rsidRPr="00120937">
        <w:rPr>
          <w:vertAlign w:val="superscript"/>
        </w:rPr>
        <w:footnoteReference w:id="28"/>
      </w:r>
      <w:r>
        <w:t>, du PNUE</w:t>
      </w:r>
      <w:r w:rsidR="008C5B50" w:rsidRPr="00120937">
        <w:rPr>
          <w:vertAlign w:val="superscript"/>
        </w:rPr>
        <w:footnoteReference w:id="29"/>
      </w:r>
      <w:r>
        <w:t>, de l’ONUDI</w:t>
      </w:r>
      <w:r w:rsidR="008C5B50" w:rsidRPr="00120937">
        <w:rPr>
          <w:vertAlign w:val="superscript"/>
        </w:rPr>
        <w:footnoteReference w:id="30"/>
      </w:r>
      <w:r>
        <w:t xml:space="preserve"> et de la Banque mondiale</w:t>
      </w:r>
      <w:r w:rsidR="008C5B50" w:rsidRPr="00120937">
        <w:rPr>
          <w:vertAlign w:val="superscript"/>
        </w:rPr>
        <w:footnoteReference w:id="31"/>
      </w:r>
      <w:r>
        <w:t xml:space="preserve"> (décisions 93/36 et 93/38 à 93/41). La demande qui n’a pas été approuvée portait sur la préparation d’un projet pilote global visant à faire la démonstration de l’utilisation d’outils de surveillance et de gestion numériques pour améliorer l’efficacité énergétique ; elle a été reportée à la 94e réunion pour permettre la soumission d’une proposition révisée (décision 93/37).</w:t>
      </w:r>
    </w:p>
    <w:p w14:paraId="15E75D3E" w14:textId="38075778" w:rsidR="00282EB1" w:rsidRPr="00ED1DE3" w:rsidRDefault="00120937" w:rsidP="006255CB">
      <w:pPr>
        <w:pStyle w:val="Heading1"/>
        <w:numPr>
          <w:ilvl w:val="0"/>
          <w:numId w:val="10"/>
        </w:numPr>
        <w:tabs>
          <w:tab w:val="clear" w:pos="0"/>
          <w:tab w:val="num" w:pos="720"/>
          <w:tab w:val="num" w:pos="1080"/>
        </w:tabs>
        <w:rPr>
          <w:highlight w:val="yellow"/>
        </w:rPr>
      </w:pPr>
      <w:r>
        <w:rPr>
          <w:highlight w:val="yellow"/>
        </w:rPr>
        <w:t>[À la 94e réunion]</w:t>
      </w:r>
    </w:p>
    <w:p w14:paraId="67F0E259" w14:textId="2931D59A" w:rsidR="00282EB1" w:rsidRPr="00ED1DE3" w:rsidRDefault="00282EB1" w:rsidP="009529EE">
      <w:pPr>
        <w:pStyle w:val="Heading3"/>
        <w:keepNext/>
        <w:widowControl/>
        <w:numPr>
          <w:ilvl w:val="0"/>
          <w:numId w:val="0"/>
        </w:numPr>
        <w:jc w:val="left"/>
        <w:rPr>
          <w:b/>
          <w:color w:val="000000"/>
        </w:rPr>
      </w:pPr>
      <w:r>
        <w:rPr>
          <w:b/>
        </w:rPr>
        <w:t>(c)</w:t>
      </w:r>
      <w:r>
        <w:rPr>
          <w:b/>
        </w:rPr>
        <w:tab/>
        <w:t xml:space="preserve">Budget du Programme d’aide à la conformité du PNUE pour l’année 2024 </w:t>
      </w:r>
    </w:p>
    <w:p w14:paraId="1F284D78" w14:textId="362F81D1" w:rsidR="00282EB1" w:rsidRPr="00D1532C" w:rsidRDefault="00282EB1" w:rsidP="009A03C5">
      <w:pPr>
        <w:pStyle w:val="Heading1"/>
        <w:numPr>
          <w:ilvl w:val="0"/>
          <w:numId w:val="10"/>
        </w:numPr>
        <w:tabs>
          <w:tab w:val="clear" w:pos="0"/>
          <w:tab w:val="num" w:pos="720"/>
        </w:tabs>
      </w:pPr>
      <w:r>
        <w:t>À la 93e réunion, le Comité exécutif</w:t>
      </w:r>
      <w:bookmarkStart w:id="2" w:name="_Hlk120870422"/>
      <w:r>
        <w:t xml:space="preserve"> </w:t>
      </w:r>
      <w:bookmarkEnd w:id="2"/>
      <w:r>
        <w:t>a pris note du rapport périodique de 2023, de la proposition de stratégie triennale pour 2024–2026, ainsi que du plan de travail et du budget de 2024 pour le PAC du PNUE</w:t>
      </w:r>
      <w:r w:rsidRPr="00D1532C">
        <w:rPr>
          <w:vertAlign w:val="superscript"/>
        </w:rPr>
        <w:footnoteReference w:id="32"/>
      </w:r>
      <w:r>
        <w:t>. Le Comité exécutif a approuvé les activités du PAC et le budget de 2024 joints en annexe au rapport de la réunion en question</w:t>
      </w:r>
      <w:r w:rsidRPr="00D1532C">
        <w:rPr>
          <w:vertAlign w:val="superscript"/>
        </w:rPr>
        <w:footnoteReference w:id="33"/>
      </w:r>
      <w:r>
        <w:t>, pour la somme de 10 631 200 $ US, plus des coûts d’appui d’agence de 8 pour cent s’élevant à 850 496 $ US, incluant une augmentation conformément à la décision 93/95 (voir le paragraphe </w:t>
      </w:r>
      <w:r>
        <w:rPr>
          <w:highlight w:val="yellow"/>
        </w:rPr>
        <w:t>22</w:t>
      </w:r>
      <w:r>
        <w:t>). Il a également chargé le PNUE de présenter un rapport final détaillant les enseignements tirés de la mise en œuvre de la première phase du projet mondial d’assistance technique pour le jumelage des responsables des bureaux nationaux de l’ozone et des décideurs nationaux en matière d’efficacité énergétique</w:t>
      </w:r>
      <w:r w:rsidR="00EF3F9D">
        <w:t>,</w:t>
      </w:r>
      <w:r>
        <w:t xml:space="preserve"> afin de soutenir les objectifs de l’amendement de Kigali lorsqu’il présentera la seconde phase du projet </w:t>
      </w:r>
      <w:r w:rsidR="000C1252">
        <w:t>à</w:t>
      </w:r>
      <w:r>
        <w:t xml:space="preserve"> la deuxième réunion de 2024 (décision 93/91).</w:t>
      </w:r>
    </w:p>
    <w:p w14:paraId="6830C5F7" w14:textId="02E3B844" w:rsidR="00282EB1" w:rsidRPr="00311587" w:rsidRDefault="00282EB1" w:rsidP="009529EE">
      <w:pPr>
        <w:pStyle w:val="Heading3"/>
        <w:numPr>
          <w:ilvl w:val="0"/>
          <w:numId w:val="0"/>
        </w:numPr>
        <w:jc w:val="left"/>
        <w:rPr>
          <w:b/>
        </w:rPr>
      </w:pPr>
      <w:r>
        <w:rPr>
          <w:b/>
        </w:rPr>
        <w:t>(d)</w:t>
      </w:r>
      <w:r>
        <w:rPr>
          <w:b/>
        </w:rPr>
        <w:tab/>
        <w:t>Coûts de base du PNUD, de l’ONUDI et de la Banque mondiale</w:t>
      </w:r>
    </w:p>
    <w:p w14:paraId="28E39772" w14:textId="532EECE5" w:rsidR="00D97D57" w:rsidRPr="00311587" w:rsidRDefault="00282EB1" w:rsidP="009A03C5">
      <w:pPr>
        <w:pStyle w:val="Heading1"/>
        <w:numPr>
          <w:ilvl w:val="0"/>
          <w:numId w:val="10"/>
        </w:numPr>
        <w:tabs>
          <w:tab w:val="clear" w:pos="0"/>
          <w:tab w:val="num" w:pos="720"/>
        </w:tabs>
      </w:pPr>
      <w:r>
        <w:t>À la 93e réunion, le Comité exécutif a approuvé les budgets de base pour 2024 du PNUD, de l’ONUDI et de la Banque mondiale</w:t>
      </w:r>
      <w:r w:rsidRPr="00311587">
        <w:rPr>
          <w:vertAlign w:val="superscript"/>
        </w:rPr>
        <w:footnoteReference w:id="34"/>
      </w:r>
      <w:r>
        <w:t>, incluant une augmentation conformément à la décision 93/95 (voir le paragraphe 22) (décision 93/92).</w:t>
      </w:r>
    </w:p>
    <w:p w14:paraId="2F4AD762" w14:textId="1A23F079" w:rsidR="00282EB1" w:rsidRPr="009529EE" w:rsidRDefault="00282EB1" w:rsidP="009529EE">
      <w:pPr>
        <w:keepNext/>
        <w:spacing w:after="240"/>
        <w:jc w:val="left"/>
        <w:outlineLvl w:val="1"/>
        <w:rPr>
          <w:b/>
        </w:rPr>
      </w:pPr>
      <w:r>
        <w:rPr>
          <w:b/>
        </w:rPr>
        <w:t>2.</w:t>
      </w:r>
      <w:r>
        <w:rPr>
          <w:b/>
        </w:rPr>
        <w:tab/>
        <w:t>Mise en œuvre et établissement de rapports</w:t>
      </w:r>
    </w:p>
    <w:p w14:paraId="653594DB" w14:textId="60E289C2" w:rsidR="00282EB1" w:rsidRPr="009529EE" w:rsidRDefault="00282EB1" w:rsidP="009529EE">
      <w:pPr>
        <w:pStyle w:val="Heading3"/>
        <w:numPr>
          <w:ilvl w:val="0"/>
          <w:numId w:val="0"/>
        </w:numPr>
        <w:jc w:val="left"/>
        <w:rPr>
          <w:b/>
          <w:bCs/>
        </w:rPr>
      </w:pPr>
      <w:r>
        <w:rPr>
          <w:b/>
        </w:rPr>
        <w:t>(a)</w:t>
      </w:r>
      <w:r>
        <w:rPr>
          <w:b/>
        </w:rPr>
        <w:tab/>
        <w:t>Données relatives au</w:t>
      </w:r>
      <w:r w:rsidR="000C1252">
        <w:rPr>
          <w:b/>
        </w:rPr>
        <w:t>x</w:t>
      </w:r>
      <w:r>
        <w:rPr>
          <w:b/>
        </w:rPr>
        <w:t xml:space="preserve"> programme</w:t>
      </w:r>
      <w:r w:rsidR="000C1252">
        <w:rPr>
          <w:b/>
        </w:rPr>
        <w:t>s</w:t>
      </w:r>
      <w:r>
        <w:rPr>
          <w:b/>
        </w:rPr>
        <w:t xml:space="preserve"> de pays et perspectives de conformité</w:t>
      </w:r>
    </w:p>
    <w:p w14:paraId="539C6F9F" w14:textId="2F3CAD08" w:rsidR="00282EB1" w:rsidRDefault="00282EB1" w:rsidP="009A03C5">
      <w:pPr>
        <w:pStyle w:val="Heading1"/>
        <w:numPr>
          <w:ilvl w:val="0"/>
          <w:numId w:val="10"/>
        </w:numPr>
        <w:tabs>
          <w:tab w:val="clear" w:pos="0"/>
          <w:tab w:val="num" w:pos="720"/>
        </w:tabs>
      </w:pPr>
      <w:r>
        <w:t>À la 93e réunion</w:t>
      </w:r>
      <w:r w:rsidRPr="009529EE">
        <w:rPr>
          <w:vertAlign w:val="superscript"/>
          <w:lang w:val="en-GB"/>
        </w:rPr>
        <w:footnoteReference w:id="35"/>
      </w:r>
      <w:r>
        <w:t xml:space="preserve"> </w:t>
      </w:r>
      <w:r>
        <w:rPr>
          <w:highlight w:val="yellow"/>
        </w:rPr>
        <w:t>[et la 94e réunion</w:t>
      </w:r>
      <w:r w:rsidR="00FB3FDC">
        <w:rPr>
          <w:rStyle w:val="FootnoteReference"/>
          <w:highlight w:val="yellow"/>
          <w:lang w:val="en-GB"/>
        </w:rPr>
        <w:footnoteReference w:id="36"/>
      </w:r>
      <w:r>
        <w:rPr>
          <w:highlight w:val="yellow"/>
        </w:rPr>
        <w:t>]</w:t>
      </w:r>
      <w:r>
        <w:t>, le Comité exécutif a examiné des documents sur les données relatives au</w:t>
      </w:r>
      <w:r w:rsidR="000C1252">
        <w:t>x</w:t>
      </w:r>
      <w:r>
        <w:t xml:space="preserve"> programme</w:t>
      </w:r>
      <w:r w:rsidR="000C1252">
        <w:t>s</w:t>
      </w:r>
      <w:r>
        <w:t xml:space="preserve"> de pays et les perspectives de conformité. À la 93e réunion, il a prié les agences d’exécution concernées de continuer à fournir leur assistance aux gouvernements respectifs, en vue de clarifier les écarts entre les données d</w:t>
      </w:r>
      <w:r w:rsidR="000C1252">
        <w:t>es</w:t>
      </w:r>
      <w:r>
        <w:t xml:space="preserve"> programme</w:t>
      </w:r>
      <w:r w:rsidR="000C1252">
        <w:t>s</w:t>
      </w:r>
      <w:r>
        <w:t xml:space="preserve"> de pays et celles communiquées en vertu de l’article 7 pour 2022. Le Secrétariat a été prié d’envoyer une lettre à six pays concernant leur rapport de données du programme de pays en souffrance et de proposer des options de possibles modifications de la section D du format de déclaration, en particulier concernant le HFC</w:t>
      </w:r>
      <w:r>
        <w:noBreakHyphen/>
        <w:t>23 généré, détruit ou conservé en stock, en vue de leur examen à la 96e réunion, en tenant compte de toute éventuelle décision prise par la Réunion des Parties (décision 93/7).</w:t>
      </w:r>
    </w:p>
    <w:p w14:paraId="695E7D16" w14:textId="1E32AAE9" w:rsidR="009529EE" w:rsidRPr="009529EE" w:rsidRDefault="009529EE" w:rsidP="001C01D4">
      <w:pPr>
        <w:pStyle w:val="Heading1"/>
        <w:keepNext/>
        <w:keepLines/>
        <w:widowControl w:val="0"/>
        <w:numPr>
          <w:ilvl w:val="0"/>
          <w:numId w:val="10"/>
        </w:numPr>
        <w:tabs>
          <w:tab w:val="clear" w:pos="0"/>
          <w:tab w:val="num" w:pos="720"/>
        </w:tabs>
        <w:rPr>
          <w:highlight w:val="yellow"/>
        </w:rPr>
      </w:pPr>
      <w:r>
        <w:rPr>
          <w:highlight w:val="yellow"/>
        </w:rPr>
        <w:lastRenderedPageBreak/>
        <w:t xml:space="preserve">[À la 94e réunion…] </w:t>
      </w:r>
    </w:p>
    <w:p w14:paraId="5FD38FA1" w14:textId="5AE34662" w:rsidR="00282EB1" w:rsidRPr="00A34AAD" w:rsidRDefault="00282EB1" w:rsidP="001C01D4">
      <w:pPr>
        <w:pStyle w:val="Heading3"/>
        <w:keepNext/>
        <w:keepLines/>
        <w:numPr>
          <w:ilvl w:val="0"/>
          <w:numId w:val="0"/>
        </w:numPr>
        <w:jc w:val="left"/>
        <w:rPr>
          <w:b/>
          <w:color w:val="000000"/>
        </w:rPr>
      </w:pPr>
      <w:r>
        <w:rPr>
          <w:b/>
          <w:color w:val="000000"/>
        </w:rPr>
        <w:t>(b)</w:t>
      </w:r>
      <w:r>
        <w:rPr>
          <w:b/>
          <w:color w:val="000000"/>
        </w:rPr>
        <w:tab/>
        <w:t>Retards dans la soumission des tranches</w:t>
      </w:r>
    </w:p>
    <w:p w14:paraId="523A0933" w14:textId="0CECA0C0" w:rsidR="00282EB1" w:rsidRPr="00A34AAD" w:rsidRDefault="00282EB1" w:rsidP="0020772E">
      <w:pPr>
        <w:pStyle w:val="Heading1"/>
        <w:numPr>
          <w:ilvl w:val="0"/>
          <w:numId w:val="10"/>
        </w:numPr>
        <w:tabs>
          <w:tab w:val="clear" w:pos="0"/>
          <w:tab w:val="num" w:pos="720"/>
        </w:tabs>
      </w:pPr>
      <w:r>
        <w:t>À la 93e réunion</w:t>
      </w:r>
      <w:r w:rsidRPr="00A34AAD">
        <w:rPr>
          <w:vertAlign w:val="superscript"/>
        </w:rPr>
        <w:footnoteReference w:id="37"/>
      </w:r>
      <w:r>
        <w:t xml:space="preserve"> </w:t>
      </w:r>
      <w:r>
        <w:rPr>
          <w:highlight w:val="yellow"/>
        </w:rPr>
        <w:t>[et la 94e réunion</w:t>
      </w:r>
      <w:r w:rsidR="00473AC4">
        <w:rPr>
          <w:rStyle w:val="FootnoteReference"/>
          <w:highlight w:val="yellow"/>
          <w:lang w:val="en-GB"/>
        </w:rPr>
        <w:footnoteReference w:id="38"/>
      </w:r>
      <w:r>
        <w:rPr>
          <w:highlight w:val="yellow"/>
        </w:rPr>
        <w:t>]</w:t>
      </w:r>
      <w:r>
        <w:t>, le Comité exécutif a examiné des rapports sur les retards dans la soumission des tranches et a chargé le Secrétariat d’envoyer des lettres aux gouvernements concernés au sujet des décisions prises en lien avec les retards dans la soumission des tranches, jointes en annexe aux rapports des réunions en question</w:t>
      </w:r>
      <w:r w:rsidRPr="00A34AAD">
        <w:rPr>
          <w:vertAlign w:val="superscript"/>
        </w:rPr>
        <w:footnoteReference w:id="39"/>
      </w:r>
      <w:r>
        <w:t>. Il a toutefois noté que les agences d’exécution concernées avaient indiqué que la soumission tardive des tranches de PGEH n’aurait aucune incidence sur la conformité des pays au Protocole de Montréal et que rien n’indiquait que les pays concernés ne respectaient pas les mesures de réglementation du Protocole de Montréal (décisions 93/27 [</w:t>
      </w:r>
      <w:r>
        <w:rPr>
          <w:highlight w:val="yellow"/>
        </w:rPr>
        <w:t>et 94/???</w:t>
      </w:r>
      <w:r>
        <w:t>]).</w:t>
      </w:r>
    </w:p>
    <w:p w14:paraId="177FD115" w14:textId="77777777" w:rsidR="00282EB1" w:rsidRPr="00A34AAD" w:rsidRDefault="00282EB1" w:rsidP="0020772E">
      <w:pPr>
        <w:pStyle w:val="Heading3"/>
        <w:keepNext/>
        <w:widowControl/>
        <w:numPr>
          <w:ilvl w:val="0"/>
          <w:numId w:val="0"/>
        </w:numPr>
        <w:jc w:val="left"/>
        <w:rPr>
          <w:b/>
          <w:color w:val="000000"/>
        </w:rPr>
      </w:pPr>
      <w:r>
        <w:rPr>
          <w:b/>
          <w:color w:val="000000"/>
        </w:rPr>
        <w:t>(c)</w:t>
      </w:r>
      <w:r>
        <w:rPr>
          <w:b/>
          <w:color w:val="000000"/>
        </w:rPr>
        <w:tab/>
        <w:t>Rapports périodiques</w:t>
      </w:r>
    </w:p>
    <w:p w14:paraId="1D84C728" w14:textId="57304E80" w:rsidR="00282EB1" w:rsidRPr="005002EB" w:rsidRDefault="00282EB1" w:rsidP="00387D00">
      <w:pPr>
        <w:pStyle w:val="Heading1"/>
        <w:numPr>
          <w:ilvl w:val="0"/>
          <w:numId w:val="10"/>
        </w:numPr>
        <w:tabs>
          <w:tab w:val="clear" w:pos="0"/>
          <w:tab w:val="num" w:pos="720"/>
        </w:tabs>
      </w:pPr>
      <w:r>
        <w:t>À la 93e réunion, le Comité exécutif a pris note du rapport périodique global du Fonds multilatéral au 31 décembre 2022</w:t>
      </w:r>
      <w:r w:rsidRPr="00A34AAD">
        <w:rPr>
          <w:vertAlign w:val="superscript"/>
          <w:lang w:val="en-GB"/>
        </w:rPr>
        <w:footnoteReference w:id="40"/>
      </w:r>
      <w:r>
        <w:t>. Il a aussi pris note des rapports périodiques des agences bilatérales</w:t>
      </w:r>
      <w:r w:rsidRPr="00A34AAD">
        <w:rPr>
          <w:vertAlign w:val="superscript"/>
          <w:lang w:val="en-GB"/>
        </w:rPr>
        <w:footnoteReference w:id="41"/>
      </w:r>
      <w:r>
        <w:t xml:space="preserve"> (pour les Gouvernements </w:t>
      </w:r>
      <w:r w:rsidR="00494B62">
        <w:t xml:space="preserve">de l’Allemagne, </w:t>
      </w:r>
      <w:r>
        <w:t xml:space="preserve">de l’Australie, du Canada, </w:t>
      </w:r>
      <w:r w:rsidR="00494B62">
        <w:t xml:space="preserve">de l’Espagne, </w:t>
      </w:r>
      <w:r>
        <w:t>de la France, de l’</w:t>
      </w:r>
      <w:r w:rsidR="00494B62">
        <w:t>Italie et</w:t>
      </w:r>
      <w:r>
        <w:t xml:space="preserve"> du Japon), du PNUD</w:t>
      </w:r>
      <w:r w:rsidRPr="00A34AAD">
        <w:rPr>
          <w:vertAlign w:val="superscript"/>
          <w:lang w:val="en-GB"/>
        </w:rPr>
        <w:footnoteReference w:id="42"/>
      </w:r>
      <w:r>
        <w:t>, du PNUE</w:t>
      </w:r>
      <w:r w:rsidRPr="00A34AAD">
        <w:rPr>
          <w:vertAlign w:val="superscript"/>
          <w:lang w:val="en-GB"/>
        </w:rPr>
        <w:footnoteReference w:id="43"/>
      </w:r>
      <w:r>
        <w:t>, de l’ONUDI</w:t>
      </w:r>
      <w:r w:rsidRPr="00A34AAD">
        <w:rPr>
          <w:vertAlign w:val="superscript"/>
          <w:lang w:val="en-GB"/>
        </w:rPr>
        <w:footnoteReference w:id="44"/>
      </w:r>
      <w:r>
        <w:t xml:space="preserve"> et de la Banque mondiale</w:t>
      </w:r>
      <w:r w:rsidRPr="00A34AAD">
        <w:rPr>
          <w:vertAlign w:val="superscript"/>
          <w:lang w:val="en-GB"/>
        </w:rPr>
        <w:footnoteReference w:id="45"/>
      </w:r>
      <w:r>
        <w:t xml:space="preserve"> au 31 décembre 2022. Pour tous les rapports périodiques, il a approuvé les recommandations relatives aux projets en cours pour lesquels ont été soulevées des questions spécifiques, indiquées dans les annexes </w:t>
      </w:r>
      <w:r w:rsidR="008E7288">
        <w:t>correspondantes</w:t>
      </w:r>
      <w:r>
        <w:t xml:space="preserve"> au rapport de la réunion</w:t>
      </w:r>
      <w:r w:rsidRPr="00A34AAD">
        <w:rPr>
          <w:vertAlign w:val="superscript"/>
          <w:lang w:val="en-GB"/>
        </w:rPr>
        <w:footnoteReference w:id="46"/>
      </w:r>
      <w:r>
        <w:t>, et a pris d’autres mesures, telles que le report des dates d’achèvement de certains projets, l’annulation d’autres projets et le transfert de projets d’une agence d’exécution à une autre (décisions 91/11 à 93/16).</w:t>
      </w:r>
    </w:p>
    <w:p w14:paraId="09D909AC" w14:textId="67BE08E7" w:rsidR="00282EB1" w:rsidRPr="00594288" w:rsidRDefault="00282EB1" w:rsidP="00A34AAD">
      <w:pPr>
        <w:pStyle w:val="Heading3"/>
        <w:numPr>
          <w:ilvl w:val="0"/>
          <w:numId w:val="0"/>
        </w:numPr>
        <w:jc w:val="left"/>
        <w:rPr>
          <w:b/>
        </w:rPr>
      </w:pPr>
      <w:r>
        <w:rPr>
          <w:b/>
        </w:rPr>
        <w:t>(d)</w:t>
      </w:r>
      <w:r>
        <w:rPr>
          <w:b/>
        </w:rPr>
        <w:tab/>
        <w:t>Rapports de situation et rapports sur les projets comportant des exigences particulières de remise de rapports</w:t>
      </w:r>
    </w:p>
    <w:p w14:paraId="6654D18A" w14:textId="55927C30" w:rsidR="00282EB1" w:rsidRPr="00594288" w:rsidRDefault="00282EB1" w:rsidP="00387D00">
      <w:pPr>
        <w:pStyle w:val="Heading1"/>
        <w:numPr>
          <w:ilvl w:val="0"/>
          <w:numId w:val="10"/>
        </w:numPr>
        <w:tabs>
          <w:tab w:val="clear" w:pos="0"/>
          <w:tab w:val="num" w:pos="720"/>
        </w:tabs>
      </w:pPr>
      <w:r>
        <w:t>À la 93e réunion</w:t>
      </w:r>
      <w:r w:rsidRPr="00594288">
        <w:rPr>
          <w:vertAlign w:val="superscript"/>
        </w:rPr>
        <w:footnoteReference w:id="47"/>
      </w:r>
      <w:r>
        <w:t xml:space="preserve"> </w:t>
      </w:r>
      <w:r>
        <w:rPr>
          <w:highlight w:val="yellow"/>
        </w:rPr>
        <w:t>[et la 94e réunion</w:t>
      </w:r>
      <w:r w:rsidR="008A0AA2">
        <w:rPr>
          <w:rStyle w:val="FootnoteReference"/>
          <w:highlight w:val="yellow"/>
          <w:lang w:val="en-GB"/>
        </w:rPr>
        <w:footnoteReference w:id="48"/>
      </w:r>
      <w:r>
        <w:rPr>
          <w:highlight w:val="yellow"/>
        </w:rPr>
        <w:t>]</w:t>
      </w:r>
      <w:r>
        <w:t>, le Comité exécutif a examiné des documents comprenant des rapports de situation et des rapports sur les projets comportant des exigences particulières de remise de rapports.</w:t>
      </w:r>
    </w:p>
    <w:p w14:paraId="5EF794F7" w14:textId="2B8D913B" w:rsidR="00282EB1" w:rsidRPr="00B06BB9" w:rsidRDefault="00282EB1" w:rsidP="00D7124E">
      <w:pPr>
        <w:pStyle w:val="Heading1"/>
        <w:numPr>
          <w:ilvl w:val="0"/>
          <w:numId w:val="10"/>
        </w:numPr>
        <w:tabs>
          <w:tab w:val="clear" w:pos="0"/>
          <w:tab w:val="num" w:pos="720"/>
        </w:tabs>
      </w:pPr>
      <w:r>
        <w:t xml:space="preserve">À la 93e réunion, pour les projets sans question d’orientation, de coût ou autre en souffrance en lien avec les PGEH de cinq pays, les activités complémentaires pour maintenir l’efficacité énergétique d’un pays, un projet lié aux HFC d’un pays, une dérogation pour utilisations critiques de bromure de méthyle d’un pays et un projet de remplacement global de refroidisseurs dans un pays, et </w:t>
      </w:r>
      <w:r>
        <w:rPr>
          <w:highlight w:val="yellow"/>
        </w:rPr>
        <w:t>[à la 94e réunion, pour les projets…],</w:t>
      </w:r>
      <w:r>
        <w:t xml:space="preserve"> le Comité a pris note des rapports et des informations fournis et a convenu d’un certain nombre de mesures, notamment le report de la date d’achèvement d’un projet, et a sollicité d’autres mesures de la part de </w:t>
      </w:r>
      <w:r w:rsidR="00D56674">
        <w:t xml:space="preserve">certains </w:t>
      </w:r>
      <w:r>
        <w:t xml:space="preserve">pays et agences d’exécution (décisions 93/17 à 93/21 </w:t>
      </w:r>
      <w:r>
        <w:rPr>
          <w:highlight w:val="yellow"/>
        </w:rPr>
        <w:t>[et 94/…]</w:t>
      </w:r>
      <w:r>
        <w:t xml:space="preserve">). </w:t>
      </w:r>
    </w:p>
    <w:p w14:paraId="3C17CCEC" w14:textId="2E43E3DF" w:rsidR="00845A64" w:rsidRDefault="00282EB1" w:rsidP="00387D00">
      <w:pPr>
        <w:pStyle w:val="Heading1"/>
        <w:numPr>
          <w:ilvl w:val="0"/>
          <w:numId w:val="10"/>
        </w:numPr>
        <w:tabs>
          <w:tab w:val="clear" w:pos="0"/>
          <w:tab w:val="num" w:pos="720"/>
        </w:tabs>
      </w:pPr>
      <w:r>
        <w:t>À la 93e réunion, les PGEH du Brésil, de la Libye et de la Mauritanie ainsi qu’un projet en Argentine visant à réglementer les émissions de HFC</w:t>
      </w:r>
      <w:r>
        <w:noBreakHyphen/>
        <w:t xml:space="preserve">23 générées durant la production de HCFC-22 ont </w:t>
      </w:r>
      <w:r>
        <w:lastRenderedPageBreak/>
        <w:t>fait l’objet d’un examen individuel. Prenant note des rapports, le Comité exécutif a chargé le PNUD de continuer à aider le Gouvernement du Brésil à garantir l’approvisionnement en technologies de remplacement à faible PRP et de fournir, dans le cadre de la demande de la tranche suivante de la phase II, un rapport sur l’état de l’utilisation temporaire de solutions de remplacement à haut PRP, ainsi qu’une mise à jour des fournisseurs sur les progrès réalisés pour garantir la disponibilité des technologies choisies sur le marché national (décision 93/22). Le Comité a décidé d’annuler le projet de reconversion de la fabrication de mousse de l’entreprise Al </w:t>
      </w:r>
      <w:proofErr w:type="spellStart"/>
      <w:r>
        <w:t>Najam</w:t>
      </w:r>
      <w:proofErr w:type="spellEnd"/>
      <w:r>
        <w:t>, prévu au titre de la phase I du PGEH de la Libye, et a demandé à l’ONUDI de restituer le solde des fonds (décision 93/23). Le PNUE a été prié de continuer à aider le Gouvernement de la Mauritanie à renforcer son système de licences et de quotas et ses systèmes d’enregistrement des importations et exportations, et de rendre un rapport sur le sujet à la 95e réunion (décision 93/24).</w:t>
      </w:r>
    </w:p>
    <w:p w14:paraId="16C68D09" w14:textId="37D553F2" w:rsidR="00B06BB9" w:rsidRPr="00B06BB9" w:rsidRDefault="00B06BB9" w:rsidP="00387D00">
      <w:pPr>
        <w:pStyle w:val="Heading1"/>
        <w:numPr>
          <w:ilvl w:val="0"/>
          <w:numId w:val="10"/>
        </w:numPr>
        <w:tabs>
          <w:tab w:val="clear" w:pos="0"/>
          <w:tab w:val="num" w:pos="720"/>
        </w:tabs>
        <w:rPr>
          <w:highlight w:val="yellow"/>
        </w:rPr>
      </w:pPr>
      <w:r>
        <w:rPr>
          <w:highlight w:val="yellow"/>
        </w:rPr>
        <w:t>[À la 94</w:t>
      </w:r>
      <w:r>
        <w:rPr>
          <w:highlight w:val="yellow"/>
          <w:vertAlign w:val="superscript"/>
        </w:rPr>
        <w:t>e</w:t>
      </w:r>
      <w:r>
        <w:rPr>
          <w:highlight w:val="yellow"/>
        </w:rPr>
        <w:t> réunion…]</w:t>
      </w:r>
    </w:p>
    <w:p w14:paraId="7E014683" w14:textId="282B1F2D" w:rsidR="00282EB1" w:rsidRPr="00921E23" w:rsidRDefault="00282EB1" w:rsidP="00C54A88">
      <w:pPr>
        <w:pStyle w:val="Heading3"/>
        <w:keepNext/>
        <w:widowControl/>
        <w:numPr>
          <w:ilvl w:val="0"/>
          <w:numId w:val="0"/>
        </w:numPr>
        <w:jc w:val="left"/>
        <w:rPr>
          <w:b/>
        </w:rPr>
      </w:pPr>
      <w:r>
        <w:rPr>
          <w:b/>
        </w:rPr>
        <w:t>(e)</w:t>
      </w:r>
      <w:r>
        <w:rPr>
          <w:b/>
        </w:rPr>
        <w:tab/>
        <w:t>Rapports globaux d’achèvement de projets</w:t>
      </w:r>
    </w:p>
    <w:p w14:paraId="11FB0B00" w14:textId="6C8E84A5" w:rsidR="00282EB1" w:rsidRDefault="00282EB1" w:rsidP="005360D7">
      <w:pPr>
        <w:pStyle w:val="Heading1"/>
        <w:numPr>
          <w:ilvl w:val="0"/>
          <w:numId w:val="10"/>
        </w:numPr>
        <w:tabs>
          <w:tab w:val="clear" w:pos="0"/>
          <w:tab w:val="num" w:pos="720"/>
        </w:tabs>
        <w:rPr>
          <w:bCs/>
        </w:rPr>
      </w:pPr>
      <w:r>
        <w:t>À la 93e réunion, le Comité exécutif a examiné le rapport global d’achèvement des projets (RAP) de 2023 (partie II)</w:t>
      </w:r>
      <w:r w:rsidRPr="00921E23">
        <w:rPr>
          <w:rStyle w:val="FootnoteReference"/>
          <w:bCs/>
          <w:lang w:val="en-GB"/>
        </w:rPr>
        <w:footnoteReference w:id="49"/>
      </w:r>
      <w:r>
        <w:t xml:space="preserve"> et a relevé qu’il ne sera plus nécessaire de remettre un RAP pour l’assistance technique associée aux rapports de vérification à compter de 2024.</w:t>
      </w:r>
      <w:r>
        <w:rPr>
          <w:highlight w:val="yellow"/>
        </w:rPr>
        <w:t xml:space="preserve"> [À la 94e réunion...]</w:t>
      </w:r>
      <w:r>
        <w:t xml:space="preserve"> </w:t>
      </w:r>
      <w:r>
        <w:rPr>
          <w:highlight w:val="yellow"/>
        </w:rPr>
        <w:t>[À chaque réunion,]</w:t>
      </w:r>
      <w:r>
        <w:t xml:space="preserve"> il a demandé aux agences bilatérales et d’exécution de soumettre, à la réunion suivante, les RAP en souffrance relatifs aux APA et aux projets individuels, ou d’exposer les raisons pour lesquelles ces rapports n’ont pu être soumis. Les agences d’exécution principales et coopérantes ont été invitées à continuer à coordonner étroitement leurs travaux pour mettre la dernière main aux parties des RAP qui les concernent, l’objectif étant de faciliter la remise des rapports par l’agence d’exécution principale en temps utile, et les agences bilatérales et d’exécution ont été priées de veiller à inclure les informations pertinentes et utiles, notamment celles relatives à la question des sexes, et à communiquer les enseignements tirés et les raisons des retards de mise en œuvre des projets en vue de les utiliser pour améliorer à l’avenir la conception et la mise en œuvre des projets. Toutes les parties impliquées dans la préparation et la mise en œuvre des APA et des projets individuels ont également été invitées à tenir compte des enseignements tirés des RAP, le cas échéant (décisions 93/25 [</w:t>
      </w:r>
      <w:r>
        <w:rPr>
          <w:highlight w:val="yellow"/>
        </w:rPr>
        <w:t>et 94/???</w:t>
      </w:r>
      <w:r>
        <w:t>]).</w:t>
      </w:r>
    </w:p>
    <w:p w14:paraId="66E1B8C5" w14:textId="77777777" w:rsidR="00282EB1" w:rsidRPr="00CE0454" w:rsidRDefault="00282EB1" w:rsidP="004F5052">
      <w:pPr>
        <w:pStyle w:val="Heading1"/>
        <w:keepNext/>
        <w:numPr>
          <w:ilvl w:val="0"/>
          <w:numId w:val="0"/>
        </w:numPr>
        <w:spacing w:before="240"/>
        <w:jc w:val="left"/>
        <w:rPr>
          <w:b/>
          <w:bCs/>
        </w:rPr>
      </w:pPr>
      <w:r>
        <w:rPr>
          <w:b/>
        </w:rPr>
        <w:t>3.</w:t>
      </w:r>
      <w:r>
        <w:rPr>
          <w:b/>
        </w:rPr>
        <w:tab/>
        <w:t>Évaluation</w:t>
      </w:r>
    </w:p>
    <w:p w14:paraId="7C7A3920" w14:textId="77777777" w:rsidR="00282EB1" w:rsidRPr="004F5052" w:rsidRDefault="00282EB1" w:rsidP="004F5052">
      <w:pPr>
        <w:pStyle w:val="Heading1"/>
        <w:keepNext/>
        <w:numPr>
          <w:ilvl w:val="0"/>
          <w:numId w:val="0"/>
        </w:numPr>
        <w:spacing w:before="240"/>
        <w:jc w:val="left"/>
        <w:rPr>
          <w:b/>
          <w:bCs/>
        </w:rPr>
      </w:pPr>
      <w:r>
        <w:rPr>
          <w:b/>
        </w:rPr>
        <w:t>(a)</w:t>
      </w:r>
      <w:r>
        <w:rPr>
          <w:b/>
        </w:rPr>
        <w:tab/>
        <w:t>Efficacité des agences d’exécution</w:t>
      </w:r>
    </w:p>
    <w:p w14:paraId="22A0C102" w14:textId="287B694B" w:rsidR="00CE0454" w:rsidRDefault="00282EB1" w:rsidP="005360D7">
      <w:pPr>
        <w:pStyle w:val="Heading1"/>
        <w:numPr>
          <w:ilvl w:val="0"/>
          <w:numId w:val="10"/>
        </w:numPr>
        <w:tabs>
          <w:tab w:val="clear" w:pos="0"/>
          <w:tab w:val="num" w:pos="720"/>
        </w:tabs>
        <w:rPr>
          <w:bCs/>
        </w:rPr>
      </w:pPr>
      <w:r>
        <w:t>À la 93e réunion, le Comité exécutif a pris note de l’évaluation de l’efficacité des agences d’exécution par rapport à leurs plans d’activités de 2022</w:t>
      </w:r>
      <w:r w:rsidRPr="005002EB">
        <w:rPr>
          <w:bCs/>
          <w:vertAlign w:val="superscript"/>
          <w:lang w:val="en-GB"/>
        </w:rPr>
        <w:footnoteReference w:id="50"/>
      </w:r>
      <w:r>
        <w:t xml:space="preserve">. Toutes les agences d’exécution ont reçu une évaluation quantitative de leur efficacité pour 2022 d’au moins 86 sur une échelle de 100, et l’efficacité quantitative de l’ONUDI et de </w:t>
      </w:r>
      <w:r w:rsidR="00194409">
        <w:t xml:space="preserve">la </w:t>
      </w:r>
      <w:r>
        <w:t xml:space="preserve">Banque mondiale en 2022 s’est améliorée par rapport à 2021. </w:t>
      </w:r>
      <w:bookmarkStart w:id="3" w:name="_Hlk162872086"/>
      <w:r>
        <w:t>L’analyse des tendances a cependant révélé qu’en 2022, l’efficacité des agences d’exécution ne s’était pas améliorée pour certains indicateurs par rapport à 2021. Le Comité exécutif a pris note</w:t>
      </w:r>
      <w:bookmarkEnd w:id="3"/>
      <w:r>
        <w:t xml:space="preserve"> aussi des efforts déployés par les agences bilatérales et d’exécution en vue de mener des discussions ouvertes et constructives avec les BNO correspondants sur les domaines dans lesquels leurs services ont été perçus comme moins satisfaisants, ainsi que de l’issue positive de ces consultations avec les BNO concernés. Le Comité a demandé au PNUD d’organiser le même genre de discussions avec le BNO de la République dominicaine et d’en rendre compte à la 94e réunion. Le Comité exécutif a encouragé les BNO à remettre, chaque année et dans les délais prescrits, leurs évaluations de l’efficacité qualitative des agences bilatérales et d’exécution sur le plan de l’aide apportée à leurs gouvernements. </w:t>
      </w:r>
    </w:p>
    <w:p w14:paraId="77EE7F7A" w14:textId="16AA6992" w:rsidR="00282EB1" w:rsidRDefault="004F5052" w:rsidP="005360D7">
      <w:pPr>
        <w:pStyle w:val="Heading1"/>
        <w:numPr>
          <w:ilvl w:val="0"/>
          <w:numId w:val="10"/>
        </w:numPr>
        <w:tabs>
          <w:tab w:val="clear" w:pos="0"/>
          <w:tab w:val="num" w:pos="720"/>
        </w:tabs>
        <w:spacing w:after="120"/>
        <w:rPr>
          <w:bCs/>
        </w:rPr>
      </w:pPr>
      <w:r>
        <w:lastRenderedPageBreak/>
        <w:t>Le Comité a décidé de modifier les indicateurs d’efficacité établis dans la décision 71/28 et d’appliquer les nouveaux indicateurs dès les plans d’activités pour la période 2025–2027 (décision 93/8).</w:t>
      </w:r>
    </w:p>
    <w:p w14:paraId="5702D0BD" w14:textId="77777777" w:rsidR="002022D6" w:rsidRPr="002022D6" w:rsidRDefault="002022D6" w:rsidP="002022D6">
      <w:pPr>
        <w:pStyle w:val="Heading1"/>
        <w:tabs>
          <w:tab w:val="num" w:pos="720"/>
        </w:tabs>
        <w:spacing w:before="240"/>
        <w:rPr>
          <w:highlight w:val="yellow"/>
        </w:rPr>
      </w:pPr>
      <w:r>
        <w:rPr>
          <w:highlight w:val="yellow"/>
        </w:rPr>
        <w:t>[À la 94e réunion…]</w:t>
      </w:r>
    </w:p>
    <w:p w14:paraId="433A1EF2" w14:textId="6A3703E3" w:rsidR="00150136" w:rsidRPr="002022D6" w:rsidRDefault="002022D6" w:rsidP="002022D6">
      <w:pPr>
        <w:pStyle w:val="Heading1"/>
        <w:keepNext/>
        <w:numPr>
          <w:ilvl w:val="0"/>
          <w:numId w:val="0"/>
        </w:numPr>
        <w:spacing w:before="240"/>
        <w:jc w:val="left"/>
        <w:rPr>
          <w:b/>
          <w:bCs/>
        </w:rPr>
      </w:pPr>
      <w:r>
        <w:rPr>
          <w:b/>
        </w:rPr>
        <w:t>(b)</w:t>
      </w:r>
      <w:r>
        <w:rPr>
          <w:b/>
        </w:rPr>
        <w:tab/>
        <w:t>Travaux d’évaluation en cours</w:t>
      </w:r>
    </w:p>
    <w:p w14:paraId="5F7D8A52" w14:textId="64989A4A" w:rsidR="00150136" w:rsidRDefault="00150136" w:rsidP="00B839BB">
      <w:pPr>
        <w:pStyle w:val="Heading1"/>
        <w:tabs>
          <w:tab w:val="num" w:pos="720"/>
        </w:tabs>
        <w:spacing w:before="240"/>
      </w:pPr>
      <w:r>
        <w:t>À la 93e réunion, le Comité exécutif a pris note du rapport d’actualisation périodique sur l’examen externe de l’évaluation du Fonds multilatéral</w:t>
      </w:r>
      <w:r w:rsidR="00531914" w:rsidRPr="002022D6">
        <w:rPr>
          <w:rStyle w:val="FootnoteReference"/>
        </w:rPr>
        <w:footnoteReference w:id="51"/>
      </w:r>
      <w:r>
        <w:t xml:space="preserve"> et du rapport d’actualisation périodique sur l’examen des rapports d’achèvement de projet</w:t>
      </w:r>
      <w:r w:rsidR="00531914" w:rsidRPr="002022D6">
        <w:rPr>
          <w:rStyle w:val="FootnoteReference"/>
        </w:rPr>
        <w:footnoteReference w:id="52"/>
      </w:r>
      <w:r>
        <w:t>. Il a approuvé le cahier des charges de l’étude sur documents visant à évaluer le Programme d’aide à la conformité du PNUE</w:t>
      </w:r>
      <w:r w:rsidR="002022D6" w:rsidRPr="002022D6">
        <w:rPr>
          <w:rStyle w:val="FootnoteReference"/>
        </w:rPr>
        <w:footnoteReference w:id="53"/>
      </w:r>
      <w:r>
        <w:t xml:space="preserve"> (décision 93/9).</w:t>
      </w:r>
    </w:p>
    <w:p w14:paraId="6452F084" w14:textId="6EB93CD4" w:rsidR="002022D6" w:rsidRPr="002022D6" w:rsidRDefault="002022D6" w:rsidP="002022D6">
      <w:pPr>
        <w:pStyle w:val="Heading1"/>
        <w:tabs>
          <w:tab w:val="num" w:pos="720"/>
        </w:tabs>
        <w:spacing w:before="240"/>
        <w:rPr>
          <w:highlight w:val="yellow"/>
        </w:rPr>
      </w:pPr>
      <w:r>
        <w:rPr>
          <w:highlight w:val="yellow"/>
        </w:rPr>
        <w:t>[À la 94e réunion…]</w:t>
      </w:r>
    </w:p>
    <w:p w14:paraId="4607D3FD" w14:textId="4CD12BAB" w:rsidR="002022D6" w:rsidRPr="002022D6" w:rsidRDefault="00CA20B6" w:rsidP="00CA20B6">
      <w:pPr>
        <w:pStyle w:val="Heading1"/>
        <w:keepNext/>
        <w:numPr>
          <w:ilvl w:val="0"/>
          <w:numId w:val="0"/>
        </w:numPr>
        <w:spacing w:before="240"/>
        <w:jc w:val="left"/>
        <w:rPr>
          <w:b/>
          <w:bCs/>
        </w:rPr>
      </w:pPr>
      <w:r>
        <w:rPr>
          <w:b/>
        </w:rPr>
        <w:t>c)</w:t>
      </w:r>
      <w:r>
        <w:rPr>
          <w:b/>
        </w:rPr>
        <w:tab/>
        <w:t>Programme de travail de surveillance et d’évaluation pour la période 2024–2025</w:t>
      </w:r>
    </w:p>
    <w:p w14:paraId="166FA53E" w14:textId="300A6A9D" w:rsidR="00282EB1" w:rsidRPr="00150136" w:rsidRDefault="00282EB1" w:rsidP="00067D93">
      <w:pPr>
        <w:pStyle w:val="Heading1"/>
        <w:numPr>
          <w:ilvl w:val="0"/>
          <w:numId w:val="10"/>
        </w:numPr>
        <w:tabs>
          <w:tab w:val="clear" w:pos="0"/>
          <w:tab w:val="num" w:pos="720"/>
        </w:tabs>
        <w:rPr>
          <w:bCs/>
        </w:rPr>
      </w:pPr>
      <w:r>
        <w:t xml:space="preserve">À la 93e réunion, le Comité exécutif a approuvé le projet de programme de travail de surveillance et </w:t>
      </w:r>
      <w:r w:rsidR="00194409">
        <w:t>d’</w:t>
      </w:r>
      <w:r>
        <w:t>évaluation pour 2024–2025</w:t>
      </w:r>
      <w:r w:rsidRPr="007E7ADA">
        <w:rPr>
          <w:bCs/>
          <w:vertAlign w:val="superscript"/>
          <w:lang w:val="en-GB"/>
        </w:rPr>
        <w:footnoteReference w:id="54"/>
      </w:r>
      <w:r>
        <w:t xml:space="preserve"> et le budget qui lui a été affecté. Pour l’année 2025, il a sélectionné trois évaluations thématiques et a demandé à l’Administrateur principal, Surveillance et évaluation, de préparer les mandats correspondants, qui seront examinés par le Comité exécutif lors des 95e et 96e réunions (décision 93/10).</w:t>
      </w:r>
    </w:p>
    <w:p w14:paraId="1D0CEE79" w14:textId="32C2D394" w:rsidR="00282EB1" w:rsidRPr="00067D93" w:rsidRDefault="007409F5" w:rsidP="00791BF9">
      <w:pPr>
        <w:pStyle w:val="Heading2"/>
        <w:keepNext/>
        <w:widowControl/>
        <w:numPr>
          <w:ilvl w:val="0"/>
          <w:numId w:val="0"/>
        </w:numPr>
        <w:jc w:val="left"/>
        <w:rPr>
          <w:b/>
          <w:bCs/>
          <w:sz w:val="24"/>
          <w:szCs w:val="24"/>
        </w:rPr>
      </w:pPr>
      <w:r>
        <w:rPr>
          <w:b/>
          <w:sz w:val="24"/>
        </w:rPr>
        <w:t>D.</w:t>
      </w:r>
      <w:r>
        <w:rPr>
          <w:b/>
          <w:sz w:val="24"/>
        </w:rPr>
        <w:tab/>
        <w:t>Établissement des plans d’activités et questions financières</w:t>
      </w:r>
    </w:p>
    <w:p w14:paraId="14254E5C" w14:textId="77777777" w:rsidR="00282EB1" w:rsidRPr="002022D6" w:rsidRDefault="00282EB1" w:rsidP="002022D6">
      <w:pPr>
        <w:pStyle w:val="Heading2"/>
        <w:numPr>
          <w:ilvl w:val="0"/>
          <w:numId w:val="0"/>
        </w:numPr>
        <w:jc w:val="left"/>
        <w:rPr>
          <w:b/>
        </w:rPr>
      </w:pPr>
      <w:r>
        <w:rPr>
          <w:b/>
        </w:rPr>
        <w:t>1.</w:t>
      </w:r>
      <w:r>
        <w:rPr>
          <w:b/>
        </w:rPr>
        <w:tab/>
        <w:t>Établissement des plans d’activités</w:t>
      </w:r>
    </w:p>
    <w:p w14:paraId="6CA1E9D8" w14:textId="7819402B" w:rsidR="0073289B" w:rsidRPr="0073289B" w:rsidRDefault="00282EB1" w:rsidP="00153126">
      <w:pPr>
        <w:pStyle w:val="Heading1"/>
      </w:pPr>
      <w:r>
        <w:t>À la 93e réunion, le Comité exécutif a examiné une mise à jour sur l’état de la mise en œuvre du plan d’activités général du Fonds multilatéral pour la période 2023-2025</w:t>
      </w:r>
      <w:r w:rsidRPr="0073289B">
        <w:rPr>
          <w:vertAlign w:val="superscript"/>
          <w:lang w:val="en-GB"/>
        </w:rPr>
        <w:footnoteReference w:id="55"/>
      </w:r>
      <w:r>
        <w:t>, en prenant note de la valeur totale des activités proposées à la 93e réunion. Il a décidé d’autoriser, à titre exceptionnel, les agences bilatérales et les agences d’exécution à soumettre, durant l’année 2024, des projets pour la préparation d’inventaires nationaux des banques de déchets de substances réglementées au titre de la fenêtre de financement établie conformément à la décision 91/66, même lorsque ces projets n’ont pas été inclus dans les plans d’activités des agences (décision 93/26).</w:t>
      </w:r>
    </w:p>
    <w:p w14:paraId="6F58DBC2" w14:textId="5A76326A" w:rsidR="00282EB1" w:rsidRPr="00746978" w:rsidRDefault="00282EB1" w:rsidP="00153126">
      <w:pPr>
        <w:pStyle w:val="Heading1"/>
        <w:numPr>
          <w:ilvl w:val="0"/>
          <w:numId w:val="10"/>
        </w:numPr>
        <w:tabs>
          <w:tab w:val="clear" w:pos="0"/>
          <w:tab w:val="num" w:pos="720"/>
        </w:tabs>
        <w:rPr>
          <w:bCs/>
        </w:rPr>
      </w:pPr>
      <w:r>
        <w:t>À la 93e réunion, le Comité exécutif a également examiné le plan d’activités général du Fonds multilatéral pour la période 2024–2026</w:t>
      </w:r>
      <w:r w:rsidRPr="00746978">
        <w:rPr>
          <w:bCs/>
          <w:vertAlign w:val="superscript"/>
          <w:lang w:val="en-GB"/>
        </w:rPr>
        <w:footnoteReference w:id="56"/>
      </w:r>
      <w:r>
        <w:t>. Après y avoir apporté certaines modifications, il a appuyé le plan, en précisant que l’appui ne signifiait pas l’approbation des projets contenus ni de leur financement ou des tonnages (décision 93/28). Le Comité a aussi examiné les plans d’activités de 2024–2026 des agences bilatérales (Gouvernement de l’Allemagne)</w:t>
      </w:r>
      <w:r w:rsidRPr="00746978">
        <w:rPr>
          <w:bCs/>
          <w:vertAlign w:val="superscript"/>
          <w:lang w:val="en-GB"/>
        </w:rPr>
        <w:footnoteReference w:id="57"/>
      </w:r>
      <w:r>
        <w:t>, du PNUD</w:t>
      </w:r>
      <w:r w:rsidRPr="00746978">
        <w:rPr>
          <w:bCs/>
          <w:vertAlign w:val="superscript"/>
          <w:lang w:val="en-GB"/>
        </w:rPr>
        <w:footnoteReference w:id="58"/>
      </w:r>
      <w:r>
        <w:t>, du PNUE</w:t>
      </w:r>
      <w:r w:rsidRPr="00746978">
        <w:rPr>
          <w:bCs/>
          <w:vertAlign w:val="superscript"/>
          <w:lang w:val="en-GB"/>
        </w:rPr>
        <w:footnoteReference w:id="59"/>
      </w:r>
      <w:r>
        <w:t>, de l’ONUDI</w:t>
      </w:r>
      <w:r w:rsidRPr="00746978">
        <w:rPr>
          <w:bCs/>
          <w:vertAlign w:val="superscript"/>
          <w:lang w:val="en-GB"/>
        </w:rPr>
        <w:footnoteReference w:id="60"/>
      </w:r>
      <w:r>
        <w:t xml:space="preserve"> et de la Banque mondiale</w:t>
      </w:r>
      <w:r w:rsidRPr="00746978">
        <w:rPr>
          <w:bCs/>
          <w:vertAlign w:val="superscript"/>
          <w:lang w:val="en-GB"/>
        </w:rPr>
        <w:footnoteReference w:id="61"/>
      </w:r>
      <w:r>
        <w:t xml:space="preserve">. Prenant note des plans, il a approuvé les indicateurs d’efficacité du PNUD, du PNUE, de </w:t>
      </w:r>
      <w:r>
        <w:lastRenderedPageBreak/>
        <w:t>l’ONUDI et de la Banque mondiale présentés dans les annexes correspondantes du rapport de la réunion concernée</w:t>
      </w:r>
      <w:r w:rsidRPr="00746978">
        <w:rPr>
          <w:bCs/>
          <w:vertAlign w:val="superscript"/>
          <w:lang w:val="en-GB"/>
        </w:rPr>
        <w:footnoteReference w:id="62"/>
      </w:r>
      <w:r>
        <w:t xml:space="preserve"> (décisions 93/29 à 93/33).</w:t>
      </w:r>
    </w:p>
    <w:p w14:paraId="66B382F4" w14:textId="346D32C0" w:rsidR="0073289B" w:rsidRPr="00746978" w:rsidRDefault="0073289B" w:rsidP="00FE6859">
      <w:pPr>
        <w:pStyle w:val="Heading1"/>
        <w:rPr>
          <w:highlight w:val="yellow"/>
        </w:rPr>
      </w:pPr>
      <w:r>
        <w:rPr>
          <w:highlight w:val="yellow"/>
        </w:rPr>
        <w:t xml:space="preserve">[À la 94e réunion…] </w:t>
      </w:r>
    </w:p>
    <w:p w14:paraId="24015CC9" w14:textId="77777777" w:rsidR="00282EB1" w:rsidRPr="00746978" w:rsidRDefault="00282EB1" w:rsidP="00746978">
      <w:pPr>
        <w:pStyle w:val="Heading1"/>
        <w:numPr>
          <w:ilvl w:val="0"/>
          <w:numId w:val="0"/>
        </w:numPr>
        <w:jc w:val="left"/>
        <w:rPr>
          <w:b/>
          <w:bCs/>
        </w:rPr>
      </w:pPr>
      <w:r>
        <w:rPr>
          <w:b/>
        </w:rPr>
        <w:t>2.</w:t>
      </w:r>
      <w:r>
        <w:rPr>
          <w:b/>
        </w:rPr>
        <w:tab/>
        <w:t>Questions financières</w:t>
      </w:r>
    </w:p>
    <w:p w14:paraId="63515FFD" w14:textId="77777777" w:rsidR="00282EB1" w:rsidRPr="00746978" w:rsidRDefault="00282EB1" w:rsidP="00746978">
      <w:pPr>
        <w:pStyle w:val="Heading1"/>
        <w:keepNext/>
        <w:numPr>
          <w:ilvl w:val="0"/>
          <w:numId w:val="0"/>
        </w:numPr>
        <w:spacing w:before="240"/>
        <w:jc w:val="left"/>
        <w:rPr>
          <w:b/>
        </w:rPr>
      </w:pPr>
      <w:r>
        <w:rPr>
          <w:b/>
        </w:rPr>
        <w:t>(a)</w:t>
      </w:r>
      <w:r>
        <w:rPr>
          <w:b/>
        </w:rPr>
        <w:tab/>
        <w:t>État du Fonds multilatéral</w:t>
      </w:r>
    </w:p>
    <w:p w14:paraId="43DC4600" w14:textId="2D915F21" w:rsidR="00282EB1" w:rsidRPr="00746978" w:rsidRDefault="00282EB1" w:rsidP="00FE6859">
      <w:pPr>
        <w:pStyle w:val="Heading1"/>
      </w:pPr>
      <w:r>
        <w:t xml:space="preserve">Au </w:t>
      </w:r>
      <w:r>
        <w:rPr>
          <w:highlight w:val="yellow"/>
        </w:rPr>
        <w:t>[31 mai 2024]</w:t>
      </w:r>
      <w:r>
        <w:t xml:space="preserve">, le revenu total du Fonds multilatéral, comprenant les paiements comptants, les billets à ordre détenus, les contributions bilatérales, les intérêts créditeurs et les revenus divers, s’élevait à </w:t>
      </w:r>
      <w:r>
        <w:rPr>
          <w:highlight w:val="yellow"/>
        </w:rPr>
        <w:t>???</w:t>
      </w:r>
      <w:r>
        <w:t xml:space="preserve"> $ US, et le total des affectations, comprenant les réserves, à </w:t>
      </w:r>
      <w:r>
        <w:rPr>
          <w:highlight w:val="yellow"/>
        </w:rPr>
        <w:t>???</w:t>
      </w:r>
      <w:r>
        <w:t xml:space="preserve"> $ US. Le solde disponible était donc de </w:t>
      </w:r>
      <w:r>
        <w:rPr>
          <w:highlight w:val="yellow"/>
        </w:rPr>
        <w:t>???</w:t>
      </w:r>
      <w:r>
        <w:t> $ US</w:t>
      </w:r>
      <w:r w:rsidRPr="00746978">
        <w:rPr>
          <w:rStyle w:val="FootnoteReference"/>
          <w:bCs/>
          <w:lang w:val="en-GB"/>
        </w:rPr>
        <w:footnoteReference w:id="63"/>
      </w:r>
      <w:r>
        <w:t>.</w:t>
      </w:r>
    </w:p>
    <w:p w14:paraId="747646B6" w14:textId="79CBD41A" w:rsidR="00282EB1" w:rsidRPr="00746978" w:rsidRDefault="00282EB1" w:rsidP="00746978">
      <w:pPr>
        <w:pStyle w:val="Heading1"/>
        <w:keepNext/>
        <w:numPr>
          <w:ilvl w:val="0"/>
          <w:numId w:val="0"/>
        </w:numPr>
        <w:spacing w:before="240"/>
        <w:jc w:val="left"/>
        <w:rPr>
          <w:b/>
        </w:rPr>
      </w:pPr>
      <w:r>
        <w:rPr>
          <w:b/>
        </w:rPr>
        <w:t>(b)</w:t>
      </w:r>
      <w:r>
        <w:rPr>
          <w:b/>
        </w:rPr>
        <w:tab/>
        <w:t>Contributions</w:t>
      </w:r>
      <w:r w:rsidR="00D9382D">
        <w:rPr>
          <w:b/>
        </w:rPr>
        <w:t>,</w:t>
      </w:r>
      <w:r>
        <w:rPr>
          <w:b/>
        </w:rPr>
        <w:t xml:space="preserve"> décaissements, soldes, ressources, comptes et budgets</w:t>
      </w:r>
    </w:p>
    <w:p w14:paraId="7883B6B7" w14:textId="0F88C4D2" w:rsidR="00282EB1" w:rsidRPr="005D4604" w:rsidRDefault="00282EB1" w:rsidP="009B6A1D">
      <w:pPr>
        <w:pStyle w:val="Heading1"/>
        <w:numPr>
          <w:ilvl w:val="0"/>
          <w:numId w:val="10"/>
        </w:numPr>
        <w:tabs>
          <w:tab w:val="clear" w:pos="0"/>
          <w:tab w:val="num" w:pos="720"/>
          <w:tab w:val="num" w:pos="1080"/>
        </w:tabs>
        <w:rPr>
          <w:sz w:val="20"/>
          <w:szCs w:val="20"/>
        </w:rPr>
      </w:pPr>
      <w:r>
        <w:t>À la 93e réunion, le Comité exécutif a examiné le rapport du Trésorier sur l’état des contributions et des décaissements</w:t>
      </w:r>
      <w:r w:rsidRPr="005D4604">
        <w:rPr>
          <w:bCs/>
          <w:vertAlign w:val="superscript"/>
        </w:rPr>
        <w:footnoteReference w:id="64"/>
      </w:r>
      <w:r>
        <w:t>, le rapport sur les soldes et la disponibilité des ressources</w:t>
      </w:r>
      <w:r w:rsidRPr="005D4604">
        <w:rPr>
          <w:bCs/>
          <w:vertAlign w:val="superscript"/>
        </w:rPr>
        <w:footnoteReference w:id="65"/>
      </w:r>
      <w:r>
        <w:t>, les comptes finaux du Fonds multilatéral pour 2022</w:t>
      </w:r>
      <w:r w:rsidRPr="005D4604">
        <w:rPr>
          <w:bCs/>
          <w:vertAlign w:val="superscript"/>
        </w:rPr>
        <w:footnoteReference w:id="66"/>
      </w:r>
      <w:r>
        <w:t xml:space="preserve"> et le rapprochement des comptes de 2022</w:t>
      </w:r>
      <w:r w:rsidRPr="005D4604">
        <w:rPr>
          <w:bCs/>
          <w:vertAlign w:val="superscript"/>
        </w:rPr>
        <w:footnoteReference w:id="67"/>
      </w:r>
      <w:r>
        <w:t xml:space="preserve">, et </w:t>
      </w:r>
      <w:r w:rsidR="00E95F39">
        <w:t xml:space="preserve">a </w:t>
      </w:r>
      <w:r>
        <w:t>demandé des actions correspondantes de la part des Parties, des agences bilatérales et d’exécution, du Trésorier et du Chef du Secrétariat (décisions 93/2 à 93/5). Il a également examiné</w:t>
      </w:r>
      <w:r w:rsidRPr="005D4604">
        <w:rPr>
          <w:bCs/>
          <w:vertAlign w:val="superscript"/>
        </w:rPr>
        <w:footnoteReference w:id="68"/>
      </w:r>
      <w:r>
        <w:t xml:space="preserve"> les budgets approuvés pour 2024 et 2025 ainsi que les budgets proposés pour 2026 du Secrétariat du Fonds et a approuvé un budget rectifié pour 2024, un budget rectifié pour 2025 et la proposition de budget pour 2026 du Secrétariat du Fonds (décision 93/6).</w:t>
      </w:r>
    </w:p>
    <w:p w14:paraId="4D8F4B5E" w14:textId="1AA45F73" w:rsidR="00746978" w:rsidRPr="00746978" w:rsidRDefault="00746978" w:rsidP="00E60DB2">
      <w:pPr>
        <w:pStyle w:val="Heading1"/>
        <w:numPr>
          <w:ilvl w:val="0"/>
          <w:numId w:val="10"/>
        </w:numPr>
        <w:tabs>
          <w:tab w:val="clear" w:pos="0"/>
          <w:tab w:val="num" w:pos="720"/>
        </w:tabs>
        <w:rPr>
          <w:highlight w:val="yellow"/>
        </w:rPr>
      </w:pPr>
      <w:r>
        <w:rPr>
          <w:highlight w:val="yellow"/>
        </w:rPr>
        <w:t>[À la 94e</w:t>
      </w:r>
      <w:r>
        <w:rPr>
          <w:highlight w:val="yellow"/>
          <w:vertAlign w:val="superscript"/>
        </w:rPr>
        <w:t> </w:t>
      </w:r>
      <w:r>
        <w:rPr>
          <w:highlight w:val="yellow"/>
        </w:rPr>
        <w:t>réunion…]</w:t>
      </w:r>
    </w:p>
    <w:p w14:paraId="1D5BC7B5" w14:textId="2C54D580" w:rsidR="00282EB1" w:rsidRPr="00746978" w:rsidRDefault="00282EB1" w:rsidP="00E60DB2">
      <w:pPr>
        <w:pStyle w:val="Heading1"/>
        <w:numPr>
          <w:ilvl w:val="0"/>
          <w:numId w:val="10"/>
        </w:numPr>
        <w:tabs>
          <w:tab w:val="clear" w:pos="0"/>
          <w:tab w:val="num" w:pos="720"/>
        </w:tabs>
      </w:pPr>
      <w:r>
        <w:t xml:space="preserve">Aux 93e </w:t>
      </w:r>
      <w:r>
        <w:rPr>
          <w:highlight w:val="yellow"/>
        </w:rPr>
        <w:t>[et 94e]</w:t>
      </w:r>
      <w:r>
        <w:t> réunions, le Comité exécutif a prié le Trésorier de déduire les coûts des projets bilatéraux approuvés à la réunion en question des contributions bilatérales des gouvernements concernés (décisions 93/35 et 94/</w:t>
      </w:r>
      <w:r>
        <w:rPr>
          <w:highlight w:val="yellow"/>
        </w:rPr>
        <w:t>???</w:t>
      </w:r>
      <w:r>
        <w:t>).</w:t>
      </w:r>
    </w:p>
    <w:p w14:paraId="24A90172" w14:textId="24A2788D" w:rsidR="0072511A" w:rsidRPr="00067D93" w:rsidRDefault="0072511A" w:rsidP="00BE4515">
      <w:pPr>
        <w:pStyle w:val="Heading2"/>
        <w:keepNext/>
        <w:widowControl/>
        <w:numPr>
          <w:ilvl w:val="0"/>
          <w:numId w:val="0"/>
        </w:numPr>
        <w:jc w:val="left"/>
        <w:rPr>
          <w:b/>
          <w:bCs/>
          <w:sz w:val="24"/>
          <w:szCs w:val="24"/>
        </w:rPr>
      </w:pPr>
      <w:r>
        <w:rPr>
          <w:b/>
          <w:sz w:val="24"/>
        </w:rPr>
        <w:t>E.</w:t>
      </w:r>
      <w:r>
        <w:rPr>
          <w:b/>
          <w:sz w:val="24"/>
        </w:rPr>
        <w:tab/>
        <w:t>Activités du Secrétariat</w:t>
      </w:r>
    </w:p>
    <w:p w14:paraId="11ADC583" w14:textId="40E10254" w:rsidR="00282EB1" w:rsidRPr="00C54526" w:rsidRDefault="00282EB1" w:rsidP="00AA5D66">
      <w:pPr>
        <w:pStyle w:val="Heading1"/>
        <w:numPr>
          <w:ilvl w:val="0"/>
          <w:numId w:val="10"/>
        </w:numPr>
        <w:tabs>
          <w:tab w:val="clear" w:pos="0"/>
          <w:tab w:val="num" w:pos="720"/>
        </w:tabs>
        <w:rPr>
          <w:highlight w:val="yellow"/>
        </w:rPr>
      </w:pPr>
      <w:r>
        <w:t>À la 93e réunion</w:t>
      </w:r>
      <w:r w:rsidRPr="00607753">
        <w:rPr>
          <w:vertAlign w:val="superscript"/>
        </w:rPr>
        <w:footnoteReference w:id="69"/>
      </w:r>
      <w:r>
        <w:t xml:space="preserve"> et la 94e réunion</w:t>
      </w:r>
      <w:r w:rsidRPr="00607753">
        <w:rPr>
          <w:vertAlign w:val="superscript"/>
        </w:rPr>
        <w:footnoteReference w:id="70"/>
      </w:r>
      <w:r>
        <w:t xml:space="preserve">, le Comité exécutif a examiné les rapports sur les activités entreprises par le Secrétariat depuis la réunion précédente. </w:t>
      </w:r>
      <w:r>
        <w:rPr>
          <w:highlight w:val="yellow"/>
        </w:rPr>
        <w:t>[Ont été présentés aux deux réunions les progrès réalisés dans l’élaboration des systèmes de gestion des connaissances, en particulier …]</w:t>
      </w:r>
    </w:p>
    <w:p w14:paraId="7E522F73" w14:textId="77777777" w:rsidR="00715C02" w:rsidRPr="00AA5D66" w:rsidRDefault="00715C02" w:rsidP="009B6A1D">
      <w:pPr>
        <w:pStyle w:val="StyleHeader4Para4Left0Firstline0"/>
        <w:numPr>
          <w:ilvl w:val="0"/>
          <w:numId w:val="11"/>
        </w:numPr>
        <w:tabs>
          <w:tab w:val="left" w:pos="720"/>
        </w:tabs>
        <w:ind w:left="720"/>
        <w:jc w:val="left"/>
        <w:rPr>
          <w:b/>
          <w:sz w:val="24"/>
          <w:szCs w:val="24"/>
        </w:rPr>
      </w:pPr>
      <w:r>
        <w:rPr>
          <w:b/>
          <w:sz w:val="24"/>
        </w:rPr>
        <w:t>Réalisations du Fonds multilatéral depuis sa création</w:t>
      </w:r>
      <w:r w:rsidRPr="00AA5D66">
        <w:rPr>
          <w:rStyle w:val="FootnoteReference"/>
          <w:b/>
          <w:sz w:val="24"/>
          <w:szCs w:val="24"/>
        </w:rPr>
        <w:footnoteReference w:id="71"/>
      </w:r>
    </w:p>
    <w:p w14:paraId="5C20823F" w14:textId="3540E321" w:rsidR="00715C02" w:rsidRPr="00C54526" w:rsidRDefault="00715C02" w:rsidP="009B6A1D">
      <w:pPr>
        <w:pStyle w:val="Heading1"/>
        <w:numPr>
          <w:ilvl w:val="0"/>
          <w:numId w:val="18"/>
        </w:numPr>
      </w:pPr>
      <w:r>
        <w:t xml:space="preserve">De 1991 jusqu’à la 94e réunion, </w:t>
      </w:r>
      <w:r>
        <w:rPr>
          <w:color w:val="000000"/>
          <w:highlight w:val="yellow"/>
        </w:rPr>
        <w:t>???</w:t>
      </w:r>
      <w:r>
        <w:t> projets et activités (</w:t>
      </w:r>
      <w:r w:rsidR="00FB3580">
        <w:t>hormis l</w:t>
      </w:r>
      <w:r>
        <w:t xml:space="preserve">es projets annulés et transférés) ont été approuvés. La quantité totale de SAO devant être éliminée par la mise en œuvre de ces projets s’élève à </w:t>
      </w:r>
      <w:r>
        <w:rPr>
          <w:color w:val="000000"/>
          <w:highlight w:val="yellow"/>
        </w:rPr>
        <w:t>???</w:t>
      </w:r>
      <w:r>
        <w:t xml:space="preserve"> tonnes PAO, dont un total de </w:t>
      </w:r>
      <w:r>
        <w:rPr>
          <w:color w:val="000000"/>
          <w:highlight w:val="yellow"/>
        </w:rPr>
        <w:t>???</w:t>
      </w:r>
      <w:r>
        <w:t xml:space="preserve"> tonnes PAO déjà éliminées (tant au niveau de la production que de la consommation). De plus, la réduction progressive de </w:t>
      </w:r>
      <w:r>
        <w:rPr>
          <w:color w:val="000000"/>
          <w:highlight w:val="yellow"/>
        </w:rPr>
        <w:t>???</w:t>
      </w:r>
      <w:r>
        <w:t> tonnes métriques (</w:t>
      </w:r>
      <w:r>
        <w:rPr>
          <w:color w:val="000000"/>
          <w:highlight w:val="yellow"/>
        </w:rPr>
        <w:t>???</w:t>
      </w:r>
      <w:r>
        <w:t> tonnes d’équivalent CO</w:t>
      </w:r>
      <w:r>
        <w:rPr>
          <w:vertAlign w:val="subscript"/>
        </w:rPr>
        <w:t>2</w:t>
      </w:r>
      <w:r>
        <w:t xml:space="preserve">) de consommation de HFC a été approuvée et </w:t>
      </w:r>
      <w:r>
        <w:rPr>
          <w:color w:val="000000"/>
          <w:highlight w:val="yellow"/>
        </w:rPr>
        <w:t>???</w:t>
      </w:r>
      <w:r>
        <w:rPr>
          <w:color w:val="000000"/>
        </w:rPr>
        <w:t> </w:t>
      </w:r>
      <w:r>
        <w:t>tonnes métriques (</w:t>
      </w:r>
      <w:r>
        <w:rPr>
          <w:color w:val="000000"/>
          <w:highlight w:val="yellow"/>
        </w:rPr>
        <w:t>???</w:t>
      </w:r>
      <w:r>
        <w:t> tonnes d’équivalent CO</w:t>
      </w:r>
      <w:r>
        <w:rPr>
          <w:vertAlign w:val="subscript"/>
        </w:rPr>
        <w:t>2</w:t>
      </w:r>
      <w:r>
        <w:t xml:space="preserve">) ont été éliminées. La répartition géographique et sectorielle de l’élimination mise en </w:t>
      </w:r>
      <w:r>
        <w:lastRenderedPageBreak/>
        <w:t xml:space="preserve">œuvre au travers de tous les projets et activités approuvés et </w:t>
      </w:r>
      <w:r w:rsidR="00FB3580">
        <w:t>d</w:t>
      </w:r>
      <w:r>
        <w:t>es financements approuvés depuis la création est indiquée dans le tableau 2</w:t>
      </w:r>
      <w:r>
        <w:rPr>
          <w:color w:val="000000"/>
        </w:rPr>
        <w:t xml:space="preserve"> </w:t>
      </w:r>
      <w:r>
        <w:t>ci-dessous.</w:t>
      </w:r>
    </w:p>
    <w:p w14:paraId="2716BF39" w14:textId="5EC37B55" w:rsidR="00715C02" w:rsidRPr="00BC750B" w:rsidRDefault="00282EB1" w:rsidP="00BC750B">
      <w:pPr>
        <w:pStyle w:val="Heading1"/>
        <w:numPr>
          <w:ilvl w:val="0"/>
          <w:numId w:val="0"/>
        </w:numPr>
        <w:spacing w:after="0"/>
        <w:rPr>
          <w:color w:val="000000"/>
        </w:rPr>
      </w:pPr>
      <w:r>
        <w:t>Tableau 2</w:t>
      </w:r>
    </w:p>
    <w:p w14:paraId="3315447A" w14:textId="781E2585" w:rsidR="00282EB1" w:rsidRDefault="00282EB1" w:rsidP="00BC750B">
      <w:pPr>
        <w:pStyle w:val="Heading1"/>
        <w:numPr>
          <w:ilvl w:val="0"/>
          <w:numId w:val="0"/>
        </w:numPr>
        <w:spacing w:after="0"/>
        <w:rPr>
          <w:b/>
          <w:bCs/>
        </w:rPr>
      </w:pPr>
      <w:r>
        <w:rPr>
          <w:b/>
        </w:rPr>
        <w:t>Élimination et financements approuvés par région et par secteur depuis la création du Fonds multilatéral</w:t>
      </w:r>
    </w:p>
    <w:tbl>
      <w:tblPr>
        <w:tblW w:w="58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967"/>
        <w:gridCol w:w="1296"/>
        <w:gridCol w:w="1275"/>
        <w:gridCol w:w="1275"/>
        <w:gridCol w:w="1275"/>
        <w:gridCol w:w="993"/>
        <w:gridCol w:w="993"/>
        <w:gridCol w:w="1419"/>
      </w:tblGrid>
      <w:tr w:rsidR="00FB3580" w:rsidRPr="00D03284" w14:paraId="3B7DBC1C" w14:textId="77777777" w:rsidTr="000D204E">
        <w:trPr>
          <w:trHeight w:val="769"/>
          <w:tblHeader/>
          <w:jc w:val="center"/>
        </w:trPr>
        <w:tc>
          <w:tcPr>
            <w:tcW w:w="651" w:type="pct"/>
            <w:shd w:val="clear" w:color="auto" w:fill="auto"/>
            <w:hideMark/>
          </w:tcPr>
          <w:p w14:paraId="51F0DE2E" w14:textId="77777777" w:rsidR="00282EB1" w:rsidRPr="00D03284" w:rsidRDefault="00282EB1" w:rsidP="00FB3580">
            <w:pPr>
              <w:jc w:val="center"/>
              <w:rPr>
                <w:b/>
                <w:bCs/>
                <w:color w:val="000000"/>
                <w:sz w:val="18"/>
                <w:szCs w:val="18"/>
              </w:rPr>
            </w:pPr>
            <w:r>
              <w:rPr>
                <w:b/>
                <w:color w:val="000000"/>
                <w:sz w:val="18"/>
              </w:rPr>
              <w:t>Description</w:t>
            </w:r>
          </w:p>
        </w:tc>
        <w:tc>
          <w:tcPr>
            <w:tcW w:w="443" w:type="pct"/>
            <w:shd w:val="clear" w:color="auto" w:fill="auto"/>
            <w:hideMark/>
          </w:tcPr>
          <w:p w14:paraId="2A80B2AA" w14:textId="1FD0F864" w:rsidR="00282EB1" w:rsidRPr="00D03284" w:rsidRDefault="00282EB1" w:rsidP="00FB3580">
            <w:pPr>
              <w:ind w:left="-104" w:right="-104"/>
              <w:jc w:val="center"/>
              <w:rPr>
                <w:b/>
                <w:bCs/>
                <w:color w:val="000000"/>
                <w:sz w:val="18"/>
                <w:szCs w:val="18"/>
              </w:rPr>
            </w:pPr>
            <w:r>
              <w:rPr>
                <w:b/>
                <w:color w:val="000000"/>
                <w:sz w:val="18"/>
              </w:rPr>
              <w:t>Nombre de projets</w:t>
            </w:r>
          </w:p>
          <w:p w14:paraId="2652F488" w14:textId="77777777" w:rsidR="00282EB1" w:rsidRPr="00D03284" w:rsidRDefault="00282EB1" w:rsidP="00FB3580">
            <w:pPr>
              <w:ind w:left="-104" w:right="-104"/>
              <w:jc w:val="center"/>
              <w:rPr>
                <w:b/>
                <w:bCs/>
                <w:color w:val="000000"/>
                <w:sz w:val="18"/>
                <w:szCs w:val="18"/>
              </w:rPr>
            </w:pPr>
          </w:p>
        </w:tc>
        <w:tc>
          <w:tcPr>
            <w:tcW w:w="594" w:type="pct"/>
            <w:shd w:val="clear" w:color="auto" w:fill="auto"/>
            <w:hideMark/>
          </w:tcPr>
          <w:p w14:paraId="0F582928" w14:textId="77777777" w:rsidR="00FB3580" w:rsidRDefault="00282EB1" w:rsidP="00FB3580">
            <w:pPr>
              <w:ind w:left="-178" w:right="-167"/>
              <w:jc w:val="center"/>
              <w:rPr>
                <w:b/>
                <w:color w:val="000000"/>
                <w:sz w:val="18"/>
              </w:rPr>
            </w:pPr>
            <w:r>
              <w:rPr>
                <w:b/>
                <w:color w:val="000000"/>
                <w:sz w:val="18"/>
              </w:rPr>
              <w:t>Tonnes PAO</w:t>
            </w:r>
          </w:p>
          <w:p w14:paraId="2BDEEB42" w14:textId="7A7FA08B" w:rsidR="00FB3580" w:rsidRDefault="00FB3580" w:rsidP="00FB3580">
            <w:pPr>
              <w:ind w:left="-178" w:right="-167"/>
              <w:jc w:val="center"/>
              <w:rPr>
                <w:b/>
                <w:color w:val="000000"/>
                <w:sz w:val="18"/>
              </w:rPr>
            </w:pPr>
            <w:r>
              <w:rPr>
                <w:b/>
                <w:color w:val="000000"/>
                <w:sz w:val="18"/>
              </w:rPr>
              <w:t>d</w:t>
            </w:r>
            <w:r w:rsidR="00282EB1">
              <w:rPr>
                <w:b/>
                <w:color w:val="000000"/>
                <w:sz w:val="18"/>
              </w:rPr>
              <w:t>e</w:t>
            </w:r>
          </w:p>
          <w:p w14:paraId="396FC933" w14:textId="77777777" w:rsidR="00FB3580" w:rsidRDefault="00282EB1" w:rsidP="00FB3580">
            <w:pPr>
              <w:ind w:left="-178" w:right="-167"/>
              <w:jc w:val="center"/>
              <w:rPr>
                <w:b/>
                <w:color w:val="000000"/>
                <w:sz w:val="18"/>
              </w:rPr>
            </w:pPr>
            <w:proofErr w:type="gramStart"/>
            <w:r>
              <w:rPr>
                <w:b/>
                <w:color w:val="000000"/>
                <w:sz w:val="18"/>
              </w:rPr>
              <w:t>consommation</w:t>
            </w:r>
            <w:proofErr w:type="gramEnd"/>
            <w:r>
              <w:rPr>
                <w:b/>
                <w:color w:val="000000"/>
                <w:sz w:val="18"/>
              </w:rPr>
              <w:t xml:space="preserve"> approuvées</w:t>
            </w:r>
          </w:p>
          <w:p w14:paraId="577BD7E7" w14:textId="44CAF6ED" w:rsidR="00282EB1" w:rsidRPr="00D03284" w:rsidRDefault="00282EB1" w:rsidP="00FB3580">
            <w:pPr>
              <w:ind w:left="-178" w:right="-167"/>
              <w:jc w:val="center"/>
              <w:rPr>
                <w:b/>
                <w:bCs/>
                <w:color w:val="000000"/>
                <w:sz w:val="18"/>
                <w:szCs w:val="18"/>
              </w:rPr>
            </w:pPr>
            <w:r>
              <w:rPr>
                <w:b/>
                <w:color w:val="000000"/>
                <w:sz w:val="18"/>
              </w:rPr>
              <w:t>pour</w:t>
            </w:r>
            <w:r w:rsidR="00FB3580">
              <w:rPr>
                <w:b/>
                <w:color w:val="000000"/>
                <w:sz w:val="18"/>
              </w:rPr>
              <w:t xml:space="preserve"> </w:t>
            </w:r>
            <w:r>
              <w:rPr>
                <w:b/>
                <w:color w:val="000000"/>
                <w:sz w:val="18"/>
              </w:rPr>
              <w:t>les projets liés aux SAO*</w:t>
            </w:r>
          </w:p>
        </w:tc>
        <w:tc>
          <w:tcPr>
            <w:tcW w:w="584" w:type="pct"/>
            <w:shd w:val="clear" w:color="auto" w:fill="auto"/>
            <w:hideMark/>
          </w:tcPr>
          <w:p w14:paraId="22865BB5" w14:textId="77777777" w:rsidR="00FB3580" w:rsidRDefault="00282EB1" w:rsidP="00FB3580">
            <w:pPr>
              <w:ind w:left="-188" w:right="-192"/>
              <w:jc w:val="center"/>
              <w:rPr>
                <w:b/>
                <w:color w:val="000000"/>
                <w:sz w:val="18"/>
              </w:rPr>
            </w:pPr>
            <w:r>
              <w:rPr>
                <w:b/>
                <w:color w:val="000000"/>
                <w:sz w:val="18"/>
              </w:rPr>
              <w:t>Tonnes PAO</w:t>
            </w:r>
          </w:p>
          <w:p w14:paraId="06DCE678" w14:textId="6DCACFA4" w:rsidR="00FB3580" w:rsidRDefault="00FB3580" w:rsidP="00FB3580">
            <w:pPr>
              <w:ind w:left="-188" w:right="-192"/>
              <w:jc w:val="center"/>
              <w:rPr>
                <w:b/>
                <w:color w:val="000000"/>
                <w:sz w:val="18"/>
              </w:rPr>
            </w:pPr>
            <w:r>
              <w:rPr>
                <w:b/>
                <w:color w:val="000000"/>
                <w:sz w:val="18"/>
              </w:rPr>
              <w:t>d</w:t>
            </w:r>
            <w:r w:rsidR="00282EB1">
              <w:rPr>
                <w:b/>
                <w:color w:val="000000"/>
                <w:sz w:val="18"/>
              </w:rPr>
              <w:t>e</w:t>
            </w:r>
          </w:p>
          <w:p w14:paraId="7F8F6BE6" w14:textId="6E492352" w:rsidR="00FB3580" w:rsidRDefault="00282EB1" w:rsidP="00FB3580">
            <w:pPr>
              <w:ind w:left="-188" w:right="-192"/>
              <w:jc w:val="center"/>
              <w:rPr>
                <w:b/>
                <w:color w:val="000000"/>
                <w:sz w:val="18"/>
              </w:rPr>
            </w:pPr>
            <w:proofErr w:type="gramStart"/>
            <w:r>
              <w:rPr>
                <w:b/>
                <w:color w:val="000000"/>
                <w:sz w:val="18"/>
              </w:rPr>
              <w:t>consommation</w:t>
            </w:r>
            <w:proofErr w:type="gramEnd"/>
            <w:r>
              <w:rPr>
                <w:b/>
                <w:color w:val="000000"/>
                <w:sz w:val="18"/>
              </w:rPr>
              <w:t xml:space="preserve"> éliminées</w:t>
            </w:r>
          </w:p>
          <w:p w14:paraId="4516923C" w14:textId="024612C2" w:rsidR="00282EB1" w:rsidRPr="00D03284" w:rsidRDefault="00282EB1" w:rsidP="00FB3580">
            <w:pPr>
              <w:ind w:left="-188" w:right="-192"/>
              <w:jc w:val="center"/>
              <w:rPr>
                <w:b/>
                <w:bCs/>
                <w:color w:val="000000"/>
                <w:sz w:val="18"/>
                <w:szCs w:val="18"/>
              </w:rPr>
            </w:pPr>
            <w:r>
              <w:rPr>
                <w:b/>
                <w:color w:val="000000"/>
                <w:sz w:val="18"/>
              </w:rPr>
              <w:t>pour</w:t>
            </w:r>
            <w:r w:rsidR="00FB3580">
              <w:rPr>
                <w:b/>
                <w:color w:val="000000"/>
                <w:sz w:val="18"/>
              </w:rPr>
              <w:t xml:space="preserve"> </w:t>
            </w:r>
            <w:r>
              <w:rPr>
                <w:b/>
                <w:color w:val="000000"/>
                <w:sz w:val="18"/>
              </w:rPr>
              <w:t>les projets liés</w:t>
            </w:r>
            <w:r w:rsidR="00FB3580">
              <w:rPr>
                <w:b/>
                <w:color w:val="000000"/>
                <w:sz w:val="18"/>
              </w:rPr>
              <w:t xml:space="preserve"> </w:t>
            </w:r>
            <w:r>
              <w:rPr>
                <w:b/>
                <w:color w:val="000000"/>
                <w:sz w:val="18"/>
              </w:rPr>
              <w:t>aux SAO*</w:t>
            </w:r>
          </w:p>
        </w:tc>
        <w:tc>
          <w:tcPr>
            <w:tcW w:w="584" w:type="pct"/>
            <w:shd w:val="clear" w:color="auto" w:fill="auto"/>
            <w:hideMark/>
          </w:tcPr>
          <w:p w14:paraId="6C752E96" w14:textId="77777777" w:rsidR="00FB3580" w:rsidRDefault="00282EB1" w:rsidP="00FB3580">
            <w:pPr>
              <w:ind w:left="-190" w:right="-189"/>
              <w:jc w:val="center"/>
              <w:rPr>
                <w:b/>
                <w:color w:val="000000"/>
                <w:sz w:val="18"/>
              </w:rPr>
            </w:pPr>
            <w:r>
              <w:rPr>
                <w:b/>
                <w:color w:val="000000"/>
                <w:sz w:val="18"/>
              </w:rPr>
              <w:t>Tonne</w:t>
            </w:r>
            <w:r w:rsidR="00FB3580">
              <w:rPr>
                <w:b/>
                <w:color w:val="000000"/>
                <w:sz w:val="18"/>
              </w:rPr>
              <w:t>s</w:t>
            </w:r>
          </w:p>
          <w:p w14:paraId="54C95506" w14:textId="74F4BFF6" w:rsidR="00FB3580" w:rsidRDefault="00282EB1" w:rsidP="00FB3580">
            <w:pPr>
              <w:ind w:left="-190" w:right="-189"/>
              <w:jc w:val="center"/>
              <w:rPr>
                <w:b/>
                <w:color w:val="000000"/>
                <w:sz w:val="18"/>
              </w:rPr>
            </w:pPr>
            <w:r>
              <w:rPr>
                <w:b/>
                <w:color w:val="000000"/>
                <w:sz w:val="18"/>
              </w:rPr>
              <w:t>métriques de</w:t>
            </w:r>
          </w:p>
          <w:p w14:paraId="654EE9A4" w14:textId="77777777" w:rsidR="00FB3580" w:rsidRDefault="00282EB1" w:rsidP="00FB3580">
            <w:pPr>
              <w:ind w:left="-190" w:right="-189"/>
              <w:jc w:val="center"/>
              <w:rPr>
                <w:b/>
                <w:color w:val="000000"/>
                <w:sz w:val="18"/>
              </w:rPr>
            </w:pPr>
            <w:proofErr w:type="gramStart"/>
            <w:r>
              <w:rPr>
                <w:b/>
                <w:color w:val="000000"/>
                <w:sz w:val="18"/>
              </w:rPr>
              <w:t>consommation</w:t>
            </w:r>
            <w:proofErr w:type="gramEnd"/>
            <w:r>
              <w:rPr>
                <w:b/>
                <w:color w:val="000000"/>
                <w:sz w:val="18"/>
              </w:rPr>
              <w:t xml:space="preserve"> approuvées</w:t>
            </w:r>
          </w:p>
          <w:p w14:paraId="0DF4CF0F" w14:textId="2E17FD79" w:rsidR="00282EB1" w:rsidRPr="00D03284" w:rsidRDefault="00282EB1" w:rsidP="00FB3580">
            <w:pPr>
              <w:ind w:left="-190" w:right="-189"/>
              <w:jc w:val="center"/>
              <w:rPr>
                <w:b/>
                <w:bCs/>
                <w:color w:val="000000"/>
                <w:sz w:val="18"/>
                <w:szCs w:val="18"/>
              </w:rPr>
            </w:pPr>
            <w:r>
              <w:rPr>
                <w:b/>
                <w:color w:val="000000"/>
                <w:sz w:val="18"/>
              </w:rPr>
              <w:t>pour</w:t>
            </w:r>
            <w:r w:rsidR="00FB3580">
              <w:rPr>
                <w:b/>
                <w:color w:val="000000"/>
                <w:sz w:val="18"/>
              </w:rPr>
              <w:t xml:space="preserve"> l</w:t>
            </w:r>
            <w:r>
              <w:rPr>
                <w:b/>
                <w:color w:val="000000"/>
                <w:sz w:val="18"/>
              </w:rPr>
              <w:t>es projets liés</w:t>
            </w:r>
            <w:r w:rsidR="00FB3580">
              <w:rPr>
                <w:b/>
                <w:color w:val="000000"/>
                <w:sz w:val="18"/>
              </w:rPr>
              <w:t xml:space="preserve"> </w:t>
            </w:r>
            <w:r>
              <w:rPr>
                <w:b/>
                <w:color w:val="000000"/>
                <w:sz w:val="18"/>
              </w:rPr>
              <w:t>aux HFC**</w:t>
            </w:r>
          </w:p>
        </w:tc>
        <w:tc>
          <w:tcPr>
            <w:tcW w:w="584" w:type="pct"/>
            <w:shd w:val="clear" w:color="auto" w:fill="auto"/>
            <w:hideMark/>
          </w:tcPr>
          <w:p w14:paraId="03B81BF7" w14:textId="77777777" w:rsidR="00282EB1" w:rsidRPr="00D03284" w:rsidRDefault="00282EB1" w:rsidP="00FB3580">
            <w:pPr>
              <w:ind w:left="-148" w:right="-90"/>
              <w:jc w:val="center"/>
              <w:rPr>
                <w:b/>
                <w:bCs/>
                <w:color w:val="000000"/>
                <w:sz w:val="18"/>
                <w:szCs w:val="18"/>
              </w:rPr>
            </w:pPr>
            <w:r>
              <w:rPr>
                <w:b/>
                <w:color w:val="000000"/>
                <w:sz w:val="18"/>
              </w:rPr>
              <w:t>Tonnes métriques de consommation éliminées pour les projets liés aux HFC**</w:t>
            </w:r>
          </w:p>
        </w:tc>
        <w:tc>
          <w:tcPr>
            <w:tcW w:w="455" w:type="pct"/>
            <w:shd w:val="clear" w:color="auto" w:fill="auto"/>
            <w:hideMark/>
          </w:tcPr>
          <w:p w14:paraId="491577F8" w14:textId="77777777" w:rsidR="00282EB1" w:rsidRPr="00D03284" w:rsidRDefault="00282EB1" w:rsidP="00FB3580">
            <w:pPr>
              <w:ind w:left="-156" w:right="-103"/>
              <w:jc w:val="center"/>
              <w:rPr>
                <w:b/>
                <w:bCs/>
                <w:color w:val="000000"/>
                <w:sz w:val="18"/>
                <w:szCs w:val="18"/>
              </w:rPr>
            </w:pPr>
            <w:r>
              <w:rPr>
                <w:b/>
                <w:color w:val="000000"/>
                <w:sz w:val="18"/>
              </w:rPr>
              <w:t>Tonnes PAO de production approuvées*</w:t>
            </w:r>
          </w:p>
        </w:tc>
        <w:tc>
          <w:tcPr>
            <w:tcW w:w="455" w:type="pct"/>
            <w:shd w:val="clear" w:color="auto" w:fill="auto"/>
            <w:hideMark/>
          </w:tcPr>
          <w:p w14:paraId="57A8497F" w14:textId="77777777" w:rsidR="00282EB1" w:rsidRPr="00D03284" w:rsidRDefault="00282EB1" w:rsidP="00FB3580">
            <w:pPr>
              <w:ind w:left="-105" w:right="-106"/>
              <w:jc w:val="center"/>
              <w:rPr>
                <w:b/>
                <w:bCs/>
                <w:color w:val="000000"/>
                <w:sz w:val="18"/>
                <w:szCs w:val="18"/>
              </w:rPr>
            </w:pPr>
            <w:r>
              <w:rPr>
                <w:b/>
                <w:color w:val="000000"/>
                <w:sz w:val="18"/>
              </w:rPr>
              <w:t>Tonnes PAO de production éliminées*</w:t>
            </w:r>
          </w:p>
        </w:tc>
        <w:tc>
          <w:tcPr>
            <w:tcW w:w="650" w:type="pct"/>
            <w:shd w:val="clear" w:color="auto" w:fill="auto"/>
            <w:hideMark/>
          </w:tcPr>
          <w:p w14:paraId="54C33497" w14:textId="77777777" w:rsidR="00461D9A" w:rsidRPr="00D03284" w:rsidRDefault="00282EB1" w:rsidP="00FB3580">
            <w:pPr>
              <w:jc w:val="center"/>
              <w:rPr>
                <w:b/>
                <w:bCs/>
                <w:color w:val="000000"/>
                <w:sz w:val="18"/>
                <w:szCs w:val="18"/>
              </w:rPr>
            </w:pPr>
            <w:r>
              <w:rPr>
                <w:b/>
                <w:color w:val="000000"/>
                <w:sz w:val="18"/>
              </w:rPr>
              <w:t>Financements approuvés*</w:t>
            </w:r>
          </w:p>
          <w:p w14:paraId="6E187642" w14:textId="54A4E3C7" w:rsidR="00282EB1" w:rsidRPr="00D03284" w:rsidRDefault="00282EB1" w:rsidP="00FB3580">
            <w:pPr>
              <w:jc w:val="center"/>
              <w:rPr>
                <w:b/>
                <w:bCs/>
                <w:color w:val="000000"/>
                <w:sz w:val="18"/>
                <w:szCs w:val="18"/>
              </w:rPr>
            </w:pPr>
            <w:r>
              <w:rPr>
                <w:b/>
                <w:color w:val="000000"/>
                <w:sz w:val="18"/>
              </w:rPr>
              <w:t>($ US)</w:t>
            </w:r>
          </w:p>
        </w:tc>
      </w:tr>
      <w:tr w:rsidR="002343A1" w:rsidRPr="00D03284" w14:paraId="45FE3797" w14:textId="77777777" w:rsidTr="000D204E">
        <w:trPr>
          <w:trHeight w:val="44"/>
          <w:jc w:val="center"/>
        </w:trPr>
        <w:tc>
          <w:tcPr>
            <w:tcW w:w="5000" w:type="pct"/>
            <w:gridSpan w:val="9"/>
            <w:shd w:val="clear" w:color="auto" w:fill="auto"/>
            <w:hideMark/>
          </w:tcPr>
          <w:p w14:paraId="61A65B02" w14:textId="77777777" w:rsidR="00282EB1" w:rsidRPr="00D03284" w:rsidRDefault="00282EB1" w:rsidP="00275C7B">
            <w:pPr>
              <w:jc w:val="left"/>
              <w:rPr>
                <w:b/>
                <w:bCs/>
                <w:color w:val="000000"/>
                <w:sz w:val="18"/>
                <w:szCs w:val="18"/>
              </w:rPr>
            </w:pPr>
            <w:r>
              <w:rPr>
                <w:b/>
                <w:color w:val="000000"/>
                <w:sz w:val="18"/>
              </w:rPr>
              <w:t>Région </w:t>
            </w:r>
          </w:p>
        </w:tc>
      </w:tr>
      <w:tr w:rsidR="00FB3580" w:rsidRPr="00D03284" w14:paraId="76480937" w14:textId="77777777" w:rsidTr="000D204E">
        <w:trPr>
          <w:trHeight w:val="65"/>
          <w:jc w:val="center"/>
        </w:trPr>
        <w:tc>
          <w:tcPr>
            <w:tcW w:w="651" w:type="pct"/>
            <w:shd w:val="clear" w:color="auto" w:fill="auto"/>
            <w:noWrap/>
            <w:hideMark/>
          </w:tcPr>
          <w:p w14:paraId="44A769DB" w14:textId="77777777" w:rsidR="002A4B82" w:rsidRPr="00D03284" w:rsidRDefault="002A4B82" w:rsidP="002A4B82">
            <w:pPr>
              <w:jc w:val="left"/>
              <w:rPr>
                <w:color w:val="000000"/>
                <w:sz w:val="18"/>
                <w:szCs w:val="18"/>
              </w:rPr>
            </w:pPr>
            <w:r>
              <w:rPr>
                <w:color w:val="000000"/>
                <w:sz w:val="18"/>
              </w:rPr>
              <w:t>Afrique</w:t>
            </w:r>
          </w:p>
        </w:tc>
        <w:tc>
          <w:tcPr>
            <w:tcW w:w="443" w:type="pct"/>
            <w:shd w:val="clear" w:color="auto" w:fill="auto"/>
            <w:noWrap/>
            <w:hideMark/>
          </w:tcPr>
          <w:p w14:paraId="6594D3C4" w14:textId="120DDEF3" w:rsidR="002A4B82" w:rsidRPr="00D03284" w:rsidRDefault="002A4B82" w:rsidP="000D204E">
            <w:pPr>
              <w:jc w:val="center"/>
              <w:rPr>
                <w:i/>
                <w:iCs/>
                <w:color w:val="000000"/>
                <w:sz w:val="16"/>
                <w:szCs w:val="16"/>
              </w:rPr>
            </w:pPr>
            <w:r>
              <w:rPr>
                <w:i/>
                <w:sz w:val="16"/>
              </w:rPr>
              <w:t>À compléter</w:t>
            </w:r>
          </w:p>
        </w:tc>
        <w:tc>
          <w:tcPr>
            <w:tcW w:w="594" w:type="pct"/>
            <w:shd w:val="clear" w:color="auto" w:fill="auto"/>
            <w:noWrap/>
            <w:hideMark/>
          </w:tcPr>
          <w:p w14:paraId="198D04E9" w14:textId="408AAA23"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5202180A" w14:textId="1EE4BC74"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356116B8" w14:textId="1F39AB47"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68B15793" w14:textId="2905BD10" w:rsidR="002A4B82" w:rsidRPr="00D03284" w:rsidRDefault="002A4B82" w:rsidP="000D204E">
            <w:pPr>
              <w:jc w:val="center"/>
              <w:rPr>
                <w:color w:val="000000"/>
                <w:sz w:val="16"/>
                <w:szCs w:val="16"/>
              </w:rPr>
            </w:pPr>
            <w:r>
              <w:rPr>
                <w:i/>
                <w:sz w:val="16"/>
              </w:rPr>
              <w:t>À compléter</w:t>
            </w:r>
          </w:p>
        </w:tc>
        <w:tc>
          <w:tcPr>
            <w:tcW w:w="455" w:type="pct"/>
            <w:shd w:val="clear" w:color="auto" w:fill="auto"/>
            <w:noWrap/>
            <w:hideMark/>
          </w:tcPr>
          <w:p w14:paraId="76798E39" w14:textId="1B10D49D" w:rsidR="002A4B82" w:rsidRPr="00D03284" w:rsidRDefault="002A4B82" w:rsidP="000D204E">
            <w:pPr>
              <w:jc w:val="center"/>
              <w:rPr>
                <w:color w:val="000000"/>
                <w:sz w:val="16"/>
                <w:szCs w:val="16"/>
              </w:rPr>
            </w:pPr>
            <w:r>
              <w:rPr>
                <w:i/>
                <w:sz w:val="16"/>
              </w:rPr>
              <w:t>À compléter</w:t>
            </w:r>
          </w:p>
        </w:tc>
        <w:tc>
          <w:tcPr>
            <w:tcW w:w="455" w:type="pct"/>
            <w:shd w:val="clear" w:color="auto" w:fill="auto"/>
            <w:noWrap/>
            <w:hideMark/>
          </w:tcPr>
          <w:p w14:paraId="30520929" w14:textId="6C895C0F" w:rsidR="002A4B82" w:rsidRPr="00D03284" w:rsidRDefault="002A4B82" w:rsidP="000D204E">
            <w:pPr>
              <w:jc w:val="center"/>
              <w:rPr>
                <w:color w:val="000000"/>
                <w:sz w:val="16"/>
                <w:szCs w:val="16"/>
              </w:rPr>
            </w:pPr>
            <w:r>
              <w:rPr>
                <w:i/>
                <w:sz w:val="16"/>
              </w:rPr>
              <w:t>À compléter</w:t>
            </w:r>
          </w:p>
        </w:tc>
        <w:tc>
          <w:tcPr>
            <w:tcW w:w="650" w:type="pct"/>
            <w:shd w:val="clear" w:color="auto" w:fill="auto"/>
            <w:noWrap/>
            <w:hideMark/>
          </w:tcPr>
          <w:p w14:paraId="56362576" w14:textId="75356692" w:rsidR="002A4B82" w:rsidRPr="00D03284" w:rsidRDefault="002A4B82" w:rsidP="000D204E">
            <w:pPr>
              <w:jc w:val="center"/>
              <w:rPr>
                <w:color w:val="000000"/>
                <w:sz w:val="16"/>
                <w:szCs w:val="16"/>
              </w:rPr>
            </w:pPr>
            <w:r>
              <w:rPr>
                <w:i/>
                <w:sz w:val="16"/>
              </w:rPr>
              <w:t>À compléter</w:t>
            </w:r>
          </w:p>
        </w:tc>
      </w:tr>
      <w:tr w:rsidR="00FB3580" w:rsidRPr="00D03284" w14:paraId="34176216" w14:textId="77777777" w:rsidTr="000D204E">
        <w:trPr>
          <w:trHeight w:val="124"/>
          <w:jc w:val="center"/>
        </w:trPr>
        <w:tc>
          <w:tcPr>
            <w:tcW w:w="651" w:type="pct"/>
            <w:shd w:val="clear" w:color="auto" w:fill="auto"/>
            <w:noWrap/>
            <w:hideMark/>
          </w:tcPr>
          <w:p w14:paraId="44966BA8" w14:textId="77777777" w:rsidR="002A4B82" w:rsidRPr="00D03284" w:rsidRDefault="002A4B82" w:rsidP="002A4B82">
            <w:pPr>
              <w:ind w:right="-110"/>
              <w:jc w:val="left"/>
              <w:rPr>
                <w:color w:val="000000"/>
                <w:sz w:val="18"/>
                <w:szCs w:val="18"/>
              </w:rPr>
            </w:pPr>
            <w:r>
              <w:rPr>
                <w:color w:val="000000"/>
                <w:sz w:val="18"/>
              </w:rPr>
              <w:t>Asie et Pacifique</w:t>
            </w:r>
          </w:p>
        </w:tc>
        <w:tc>
          <w:tcPr>
            <w:tcW w:w="443" w:type="pct"/>
            <w:shd w:val="clear" w:color="auto" w:fill="auto"/>
            <w:noWrap/>
            <w:hideMark/>
          </w:tcPr>
          <w:p w14:paraId="59ACDC6E" w14:textId="2AAB7003" w:rsidR="002A4B82" w:rsidRPr="00D03284" w:rsidRDefault="002A4B82" w:rsidP="000D204E">
            <w:pPr>
              <w:jc w:val="center"/>
              <w:rPr>
                <w:color w:val="000000"/>
                <w:sz w:val="16"/>
                <w:szCs w:val="16"/>
              </w:rPr>
            </w:pPr>
            <w:r>
              <w:rPr>
                <w:i/>
                <w:sz w:val="16"/>
              </w:rPr>
              <w:t>À compléter</w:t>
            </w:r>
          </w:p>
        </w:tc>
        <w:tc>
          <w:tcPr>
            <w:tcW w:w="594" w:type="pct"/>
            <w:shd w:val="clear" w:color="auto" w:fill="auto"/>
            <w:noWrap/>
            <w:hideMark/>
          </w:tcPr>
          <w:p w14:paraId="57913DFA" w14:textId="61773A2B"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7A038DBD" w14:textId="729B0AFA"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75617767" w14:textId="59D6C95C"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372EB26A" w14:textId="100D8684" w:rsidR="002A4B82" w:rsidRPr="00D03284" w:rsidRDefault="002A4B82" w:rsidP="000D204E">
            <w:pPr>
              <w:jc w:val="center"/>
              <w:rPr>
                <w:color w:val="000000"/>
                <w:sz w:val="16"/>
                <w:szCs w:val="16"/>
              </w:rPr>
            </w:pPr>
            <w:r>
              <w:rPr>
                <w:i/>
                <w:sz w:val="16"/>
              </w:rPr>
              <w:t>À compléter</w:t>
            </w:r>
          </w:p>
        </w:tc>
        <w:tc>
          <w:tcPr>
            <w:tcW w:w="455" w:type="pct"/>
            <w:shd w:val="clear" w:color="auto" w:fill="auto"/>
            <w:noWrap/>
            <w:hideMark/>
          </w:tcPr>
          <w:p w14:paraId="157F5A10" w14:textId="2E0FA73B" w:rsidR="002A4B82" w:rsidRPr="00D03284" w:rsidRDefault="002A4B82" w:rsidP="000D204E">
            <w:pPr>
              <w:jc w:val="center"/>
              <w:rPr>
                <w:color w:val="000000"/>
                <w:sz w:val="16"/>
                <w:szCs w:val="16"/>
              </w:rPr>
            </w:pPr>
            <w:r>
              <w:rPr>
                <w:i/>
                <w:sz w:val="16"/>
              </w:rPr>
              <w:t>À compléter</w:t>
            </w:r>
          </w:p>
        </w:tc>
        <w:tc>
          <w:tcPr>
            <w:tcW w:w="455" w:type="pct"/>
            <w:shd w:val="clear" w:color="auto" w:fill="auto"/>
            <w:noWrap/>
            <w:hideMark/>
          </w:tcPr>
          <w:p w14:paraId="51AECB36" w14:textId="7934D545" w:rsidR="002A4B82" w:rsidRPr="00D03284" w:rsidRDefault="002A4B82" w:rsidP="000D204E">
            <w:pPr>
              <w:jc w:val="center"/>
              <w:rPr>
                <w:color w:val="000000"/>
                <w:sz w:val="16"/>
                <w:szCs w:val="16"/>
              </w:rPr>
            </w:pPr>
            <w:r>
              <w:rPr>
                <w:i/>
                <w:sz w:val="16"/>
              </w:rPr>
              <w:t>À compléter</w:t>
            </w:r>
          </w:p>
        </w:tc>
        <w:tc>
          <w:tcPr>
            <w:tcW w:w="650" w:type="pct"/>
            <w:shd w:val="clear" w:color="auto" w:fill="auto"/>
            <w:noWrap/>
            <w:hideMark/>
          </w:tcPr>
          <w:p w14:paraId="39B6C7AF" w14:textId="3ADC3445" w:rsidR="002A4B82" w:rsidRPr="00D03284" w:rsidRDefault="002A4B82" w:rsidP="000D204E">
            <w:pPr>
              <w:jc w:val="center"/>
              <w:rPr>
                <w:color w:val="000000"/>
                <w:sz w:val="16"/>
                <w:szCs w:val="16"/>
              </w:rPr>
            </w:pPr>
            <w:r>
              <w:rPr>
                <w:i/>
                <w:sz w:val="16"/>
              </w:rPr>
              <w:t>À compléter</w:t>
            </w:r>
          </w:p>
        </w:tc>
      </w:tr>
      <w:tr w:rsidR="00FB3580" w:rsidRPr="00D03284" w14:paraId="0E2BC946" w14:textId="77777777" w:rsidTr="000D204E">
        <w:trPr>
          <w:trHeight w:val="56"/>
          <w:jc w:val="center"/>
        </w:trPr>
        <w:tc>
          <w:tcPr>
            <w:tcW w:w="651" w:type="pct"/>
            <w:shd w:val="clear" w:color="auto" w:fill="auto"/>
            <w:noWrap/>
            <w:hideMark/>
          </w:tcPr>
          <w:p w14:paraId="001AB3D9" w14:textId="77777777" w:rsidR="002A4B82" w:rsidRPr="00D03284" w:rsidRDefault="002A4B82" w:rsidP="002A4B82">
            <w:pPr>
              <w:jc w:val="left"/>
              <w:rPr>
                <w:color w:val="000000"/>
                <w:sz w:val="18"/>
                <w:szCs w:val="18"/>
              </w:rPr>
            </w:pPr>
            <w:r>
              <w:rPr>
                <w:color w:val="000000"/>
                <w:sz w:val="18"/>
              </w:rPr>
              <w:t>Europe</w:t>
            </w:r>
          </w:p>
        </w:tc>
        <w:tc>
          <w:tcPr>
            <w:tcW w:w="443" w:type="pct"/>
            <w:shd w:val="clear" w:color="auto" w:fill="auto"/>
            <w:noWrap/>
            <w:hideMark/>
          </w:tcPr>
          <w:p w14:paraId="1B7234BF" w14:textId="65AD0874" w:rsidR="002A4B82" w:rsidRPr="00D03284" w:rsidRDefault="002A4B82" w:rsidP="000D204E">
            <w:pPr>
              <w:jc w:val="center"/>
              <w:rPr>
                <w:color w:val="000000"/>
                <w:sz w:val="16"/>
                <w:szCs w:val="16"/>
              </w:rPr>
            </w:pPr>
            <w:r>
              <w:rPr>
                <w:i/>
                <w:sz w:val="16"/>
              </w:rPr>
              <w:t>À compléter</w:t>
            </w:r>
          </w:p>
        </w:tc>
        <w:tc>
          <w:tcPr>
            <w:tcW w:w="594" w:type="pct"/>
            <w:shd w:val="clear" w:color="auto" w:fill="auto"/>
            <w:noWrap/>
            <w:hideMark/>
          </w:tcPr>
          <w:p w14:paraId="075E3D9C" w14:textId="27F0AF2E"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456E50B4" w14:textId="7DD686FC"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341AEAB9" w14:textId="61B8B803"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07AB932D" w14:textId="4BA13AA0" w:rsidR="002A4B82" w:rsidRPr="00D03284" w:rsidRDefault="002A4B82" w:rsidP="000D204E">
            <w:pPr>
              <w:jc w:val="center"/>
              <w:rPr>
                <w:color w:val="000000"/>
                <w:sz w:val="16"/>
                <w:szCs w:val="16"/>
              </w:rPr>
            </w:pPr>
            <w:r>
              <w:rPr>
                <w:i/>
                <w:sz w:val="16"/>
              </w:rPr>
              <w:t>À compléter</w:t>
            </w:r>
          </w:p>
        </w:tc>
        <w:tc>
          <w:tcPr>
            <w:tcW w:w="455" w:type="pct"/>
            <w:shd w:val="clear" w:color="auto" w:fill="auto"/>
            <w:noWrap/>
            <w:hideMark/>
          </w:tcPr>
          <w:p w14:paraId="5C39E243" w14:textId="12BED7E1" w:rsidR="002A4B82" w:rsidRPr="00D03284" w:rsidRDefault="002A4B82" w:rsidP="000D204E">
            <w:pPr>
              <w:jc w:val="center"/>
              <w:rPr>
                <w:color w:val="000000"/>
                <w:sz w:val="16"/>
                <w:szCs w:val="16"/>
              </w:rPr>
            </w:pPr>
            <w:r>
              <w:rPr>
                <w:i/>
                <w:sz w:val="16"/>
              </w:rPr>
              <w:t>À compléter</w:t>
            </w:r>
          </w:p>
        </w:tc>
        <w:tc>
          <w:tcPr>
            <w:tcW w:w="455" w:type="pct"/>
            <w:shd w:val="clear" w:color="auto" w:fill="auto"/>
            <w:noWrap/>
            <w:hideMark/>
          </w:tcPr>
          <w:p w14:paraId="33AA1808" w14:textId="7C887DE9" w:rsidR="002A4B82" w:rsidRPr="00D03284" w:rsidRDefault="002A4B82" w:rsidP="000D204E">
            <w:pPr>
              <w:jc w:val="center"/>
              <w:rPr>
                <w:color w:val="000000"/>
                <w:sz w:val="16"/>
                <w:szCs w:val="16"/>
              </w:rPr>
            </w:pPr>
            <w:r>
              <w:rPr>
                <w:i/>
                <w:sz w:val="16"/>
              </w:rPr>
              <w:t>À compléter</w:t>
            </w:r>
          </w:p>
        </w:tc>
        <w:tc>
          <w:tcPr>
            <w:tcW w:w="650" w:type="pct"/>
            <w:shd w:val="clear" w:color="auto" w:fill="auto"/>
            <w:noWrap/>
            <w:hideMark/>
          </w:tcPr>
          <w:p w14:paraId="1F68AFC5" w14:textId="035A094A" w:rsidR="002A4B82" w:rsidRPr="00D03284" w:rsidRDefault="002A4B82" w:rsidP="000D204E">
            <w:pPr>
              <w:jc w:val="center"/>
              <w:rPr>
                <w:color w:val="000000"/>
                <w:sz w:val="16"/>
                <w:szCs w:val="16"/>
              </w:rPr>
            </w:pPr>
            <w:r>
              <w:rPr>
                <w:i/>
                <w:sz w:val="16"/>
              </w:rPr>
              <w:t>À compléter</w:t>
            </w:r>
          </w:p>
        </w:tc>
      </w:tr>
      <w:tr w:rsidR="00FB3580" w:rsidRPr="00D03284" w14:paraId="1F084670" w14:textId="77777777" w:rsidTr="000D204E">
        <w:trPr>
          <w:trHeight w:val="273"/>
          <w:jc w:val="center"/>
        </w:trPr>
        <w:tc>
          <w:tcPr>
            <w:tcW w:w="651" w:type="pct"/>
            <w:shd w:val="clear" w:color="auto" w:fill="auto"/>
            <w:noWrap/>
            <w:hideMark/>
          </w:tcPr>
          <w:p w14:paraId="40D53874" w14:textId="77777777" w:rsidR="002A4B82" w:rsidRPr="00D03284" w:rsidRDefault="002A4B82" w:rsidP="002A4B82">
            <w:pPr>
              <w:jc w:val="left"/>
              <w:rPr>
                <w:color w:val="000000"/>
                <w:sz w:val="18"/>
                <w:szCs w:val="18"/>
              </w:rPr>
            </w:pPr>
            <w:r>
              <w:rPr>
                <w:color w:val="000000"/>
                <w:sz w:val="18"/>
              </w:rPr>
              <w:t>Amérique latine et Caraïbes</w:t>
            </w:r>
          </w:p>
        </w:tc>
        <w:tc>
          <w:tcPr>
            <w:tcW w:w="443" w:type="pct"/>
            <w:shd w:val="clear" w:color="auto" w:fill="auto"/>
            <w:noWrap/>
            <w:hideMark/>
          </w:tcPr>
          <w:p w14:paraId="4EE3928E" w14:textId="1431E85F" w:rsidR="002A4B82" w:rsidRPr="00D03284" w:rsidRDefault="002A4B82" w:rsidP="000D204E">
            <w:pPr>
              <w:jc w:val="center"/>
              <w:rPr>
                <w:color w:val="000000"/>
                <w:sz w:val="16"/>
                <w:szCs w:val="16"/>
              </w:rPr>
            </w:pPr>
            <w:r>
              <w:rPr>
                <w:i/>
                <w:sz w:val="16"/>
              </w:rPr>
              <w:t>À compléter</w:t>
            </w:r>
          </w:p>
        </w:tc>
        <w:tc>
          <w:tcPr>
            <w:tcW w:w="594" w:type="pct"/>
            <w:shd w:val="clear" w:color="auto" w:fill="auto"/>
            <w:noWrap/>
            <w:hideMark/>
          </w:tcPr>
          <w:p w14:paraId="0B7A3851" w14:textId="4B3F8414"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6ACF3006" w14:textId="1E3CD3C6"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297243A7" w14:textId="0F4497BF"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1F9A1FAF" w14:textId="2309CC8B" w:rsidR="002A4B82" w:rsidRPr="00D03284" w:rsidRDefault="002A4B82" w:rsidP="000D204E">
            <w:pPr>
              <w:jc w:val="center"/>
              <w:rPr>
                <w:color w:val="000000"/>
                <w:sz w:val="16"/>
                <w:szCs w:val="16"/>
              </w:rPr>
            </w:pPr>
            <w:r>
              <w:rPr>
                <w:i/>
                <w:sz w:val="16"/>
              </w:rPr>
              <w:t>À compléter</w:t>
            </w:r>
          </w:p>
        </w:tc>
        <w:tc>
          <w:tcPr>
            <w:tcW w:w="455" w:type="pct"/>
            <w:shd w:val="clear" w:color="auto" w:fill="auto"/>
            <w:noWrap/>
            <w:hideMark/>
          </w:tcPr>
          <w:p w14:paraId="76BE3105" w14:textId="661FC8A2" w:rsidR="002A4B82" w:rsidRPr="00D03284" w:rsidRDefault="002A4B82" w:rsidP="000D204E">
            <w:pPr>
              <w:jc w:val="center"/>
              <w:rPr>
                <w:color w:val="000000"/>
                <w:sz w:val="16"/>
                <w:szCs w:val="16"/>
              </w:rPr>
            </w:pPr>
            <w:r>
              <w:rPr>
                <w:i/>
                <w:sz w:val="16"/>
              </w:rPr>
              <w:t>À compléter</w:t>
            </w:r>
          </w:p>
        </w:tc>
        <w:tc>
          <w:tcPr>
            <w:tcW w:w="455" w:type="pct"/>
            <w:shd w:val="clear" w:color="auto" w:fill="auto"/>
            <w:noWrap/>
            <w:hideMark/>
          </w:tcPr>
          <w:p w14:paraId="796B92B6" w14:textId="266C467B" w:rsidR="002A4B82" w:rsidRPr="00D03284" w:rsidRDefault="002A4B82" w:rsidP="000D204E">
            <w:pPr>
              <w:jc w:val="center"/>
              <w:rPr>
                <w:color w:val="000000"/>
                <w:sz w:val="16"/>
                <w:szCs w:val="16"/>
              </w:rPr>
            </w:pPr>
            <w:r>
              <w:rPr>
                <w:i/>
                <w:sz w:val="16"/>
              </w:rPr>
              <w:t>À compléter</w:t>
            </w:r>
          </w:p>
        </w:tc>
        <w:tc>
          <w:tcPr>
            <w:tcW w:w="650" w:type="pct"/>
            <w:shd w:val="clear" w:color="auto" w:fill="auto"/>
            <w:noWrap/>
            <w:hideMark/>
          </w:tcPr>
          <w:p w14:paraId="2EE840BC" w14:textId="0B4F4CDE" w:rsidR="002A4B82" w:rsidRPr="00D03284" w:rsidRDefault="002A4B82" w:rsidP="000D204E">
            <w:pPr>
              <w:jc w:val="center"/>
              <w:rPr>
                <w:color w:val="000000"/>
                <w:sz w:val="16"/>
                <w:szCs w:val="16"/>
              </w:rPr>
            </w:pPr>
            <w:r>
              <w:rPr>
                <w:i/>
                <w:sz w:val="16"/>
              </w:rPr>
              <w:t>À compléter</w:t>
            </w:r>
          </w:p>
        </w:tc>
      </w:tr>
      <w:tr w:rsidR="00FB3580" w:rsidRPr="00D03284" w14:paraId="2CB4DA8B" w14:textId="77777777" w:rsidTr="000D204E">
        <w:trPr>
          <w:trHeight w:val="122"/>
          <w:jc w:val="center"/>
        </w:trPr>
        <w:tc>
          <w:tcPr>
            <w:tcW w:w="651" w:type="pct"/>
            <w:shd w:val="clear" w:color="auto" w:fill="auto"/>
            <w:noWrap/>
            <w:hideMark/>
          </w:tcPr>
          <w:p w14:paraId="1B82FDDF" w14:textId="77777777" w:rsidR="002A4B82" w:rsidRPr="00D03284" w:rsidRDefault="002A4B82" w:rsidP="002A4B82">
            <w:pPr>
              <w:jc w:val="left"/>
              <w:rPr>
                <w:color w:val="000000"/>
                <w:sz w:val="18"/>
                <w:szCs w:val="18"/>
              </w:rPr>
            </w:pPr>
            <w:r>
              <w:rPr>
                <w:color w:val="000000"/>
                <w:sz w:val="18"/>
              </w:rPr>
              <w:t>Monde</w:t>
            </w:r>
          </w:p>
        </w:tc>
        <w:tc>
          <w:tcPr>
            <w:tcW w:w="443" w:type="pct"/>
            <w:shd w:val="clear" w:color="auto" w:fill="auto"/>
            <w:noWrap/>
            <w:hideMark/>
          </w:tcPr>
          <w:p w14:paraId="0B521CEC" w14:textId="235CB61D" w:rsidR="002A4B82" w:rsidRPr="00D03284" w:rsidRDefault="002A4B82" w:rsidP="000D204E">
            <w:pPr>
              <w:jc w:val="center"/>
              <w:rPr>
                <w:color w:val="000000"/>
                <w:sz w:val="16"/>
                <w:szCs w:val="16"/>
              </w:rPr>
            </w:pPr>
            <w:r>
              <w:rPr>
                <w:i/>
                <w:sz w:val="16"/>
              </w:rPr>
              <w:t>À compléter</w:t>
            </w:r>
          </w:p>
        </w:tc>
        <w:tc>
          <w:tcPr>
            <w:tcW w:w="594" w:type="pct"/>
            <w:shd w:val="clear" w:color="auto" w:fill="auto"/>
            <w:noWrap/>
            <w:hideMark/>
          </w:tcPr>
          <w:p w14:paraId="682C3318" w14:textId="5376DF71"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02B103C1" w14:textId="4A4F9443"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5BE9A308" w14:textId="491BE5D7" w:rsidR="002A4B82" w:rsidRPr="00D03284" w:rsidRDefault="002A4B82" w:rsidP="000D204E">
            <w:pPr>
              <w:jc w:val="center"/>
              <w:rPr>
                <w:color w:val="000000"/>
                <w:sz w:val="16"/>
                <w:szCs w:val="16"/>
              </w:rPr>
            </w:pPr>
            <w:r>
              <w:rPr>
                <w:i/>
                <w:sz w:val="16"/>
              </w:rPr>
              <w:t>À compléter</w:t>
            </w:r>
          </w:p>
        </w:tc>
        <w:tc>
          <w:tcPr>
            <w:tcW w:w="584" w:type="pct"/>
            <w:shd w:val="clear" w:color="auto" w:fill="auto"/>
            <w:noWrap/>
            <w:hideMark/>
          </w:tcPr>
          <w:p w14:paraId="2D205249" w14:textId="7DD73DC1" w:rsidR="002A4B82" w:rsidRPr="00D03284" w:rsidRDefault="002A4B82" w:rsidP="000D204E">
            <w:pPr>
              <w:jc w:val="center"/>
              <w:rPr>
                <w:color w:val="000000"/>
                <w:sz w:val="16"/>
                <w:szCs w:val="16"/>
              </w:rPr>
            </w:pPr>
            <w:r>
              <w:rPr>
                <w:i/>
                <w:sz w:val="16"/>
              </w:rPr>
              <w:t>À compléter</w:t>
            </w:r>
          </w:p>
        </w:tc>
        <w:tc>
          <w:tcPr>
            <w:tcW w:w="455" w:type="pct"/>
            <w:shd w:val="clear" w:color="auto" w:fill="auto"/>
            <w:noWrap/>
            <w:hideMark/>
          </w:tcPr>
          <w:p w14:paraId="4C0185F9" w14:textId="7224015A" w:rsidR="002A4B82" w:rsidRPr="00D03284" w:rsidRDefault="002A4B82" w:rsidP="000D204E">
            <w:pPr>
              <w:jc w:val="center"/>
              <w:rPr>
                <w:color w:val="000000"/>
                <w:sz w:val="16"/>
                <w:szCs w:val="16"/>
              </w:rPr>
            </w:pPr>
            <w:r>
              <w:rPr>
                <w:i/>
                <w:sz w:val="16"/>
              </w:rPr>
              <w:t>À compléter</w:t>
            </w:r>
          </w:p>
        </w:tc>
        <w:tc>
          <w:tcPr>
            <w:tcW w:w="455" w:type="pct"/>
            <w:shd w:val="clear" w:color="auto" w:fill="auto"/>
            <w:noWrap/>
            <w:hideMark/>
          </w:tcPr>
          <w:p w14:paraId="717D77EC" w14:textId="67AA348E" w:rsidR="002A4B82" w:rsidRPr="00D03284" w:rsidRDefault="002A4B82" w:rsidP="000D204E">
            <w:pPr>
              <w:jc w:val="center"/>
              <w:rPr>
                <w:color w:val="000000"/>
                <w:sz w:val="16"/>
                <w:szCs w:val="16"/>
              </w:rPr>
            </w:pPr>
            <w:r>
              <w:rPr>
                <w:i/>
                <w:sz w:val="16"/>
              </w:rPr>
              <w:t>À compléter</w:t>
            </w:r>
          </w:p>
        </w:tc>
        <w:tc>
          <w:tcPr>
            <w:tcW w:w="650" w:type="pct"/>
            <w:shd w:val="clear" w:color="auto" w:fill="auto"/>
            <w:noWrap/>
            <w:hideMark/>
          </w:tcPr>
          <w:p w14:paraId="756E8A19" w14:textId="3357B898" w:rsidR="002A4B82" w:rsidRPr="00D03284" w:rsidRDefault="002A4B82" w:rsidP="000D204E">
            <w:pPr>
              <w:jc w:val="center"/>
              <w:rPr>
                <w:color w:val="000000"/>
                <w:sz w:val="16"/>
                <w:szCs w:val="16"/>
              </w:rPr>
            </w:pPr>
            <w:r>
              <w:rPr>
                <w:i/>
                <w:sz w:val="16"/>
              </w:rPr>
              <w:t>À compléter</w:t>
            </w:r>
          </w:p>
        </w:tc>
      </w:tr>
      <w:tr w:rsidR="002343A1" w:rsidRPr="00D03284" w14:paraId="37E4F9E7" w14:textId="77777777" w:rsidTr="000D204E">
        <w:trPr>
          <w:trHeight w:val="55"/>
          <w:jc w:val="center"/>
        </w:trPr>
        <w:tc>
          <w:tcPr>
            <w:tcW w:w="5000" w:type="pct"/>
            <w:gridSpan w:val="9"/>
            <w:shd w:val="clear" w:color="auto" w:fill="auto"/>
            <w:noWrap/>
            <w:hideMark/>
          </w:tcPr>
          <w:p w14:paraId="3130CAE8" w14:textId="77777777" w:rsidR="00282EB1" w:rsidRPr="00D03284" w:rsidRDefault="00282EB1" w:rsidP="000D204E">
            <w:pPr>
              <w:jc w:val="left"/>
              <w:rPr>
                <w:color w:val="000000"/>
                <w:sz w:val="16"/>
                <w:szCs w:val="16"/>
              </w:rPr>
            </w:pPr>
            <w:r>
              <w:rPr>
                <w:b/>
                <w:color w:val="000000"/>
                <w:sz w:val="16"/>
              </w:rPr>
              <w:t>Secteur</w:t>
            </w:r>
          </w:p>
        </w:tc>
      </w:tr>
      <w:tr w:rsidR="00FB3580" w:rsidRPr="00D03284" w14:paraId="2E6FE90B" w14:textId="77777777" w:rsidTr="000D204E">
        <w:trPr>
          <w:trHeight w:val="44"/>
          <w:jc w:val="center"/>
        </w:trPr>
        <w:tc>
          <w:tcPr>
            <w:tcW w:w="651" w:type="pct"/>
            <w:shd w:val="clear" w:color="auto" w:fill="auto"/>
            <w:noWrap/>
            <w:hideMark/>
          </w:tcPr>
          <w:p w14:paraId="6653E1AA" w14:textId="77777777" w:rsidR="000312DB" w:rsidRPr="00D03284" w:rsidRDefault="000312DB" w:rsidP="000312DB">
            <w:pPr>
              <w:jc w:val="left"/>
              <w:rPr>
                <w:color w:val="000000"/>
                <w:sz w:val="18"/>
                <w:szCs w:val="18"/>
              </w:rPr>
            </w:pPr>
            <w:r>
              <w:rPr>
                <w:color w:val="000000"/>
                <w:sz w:val="18"/>
              </w:rPr>
              <w:t>Aérosols</w:t>
            </w:r>
          </w:p>
        </w:tc>
        <w:tc>
          <w:tcPr>
            <w:tcW w:w="443" w:type="pct"/>
            <w:shd w:val="clear" w:color="auto" w:fill="auto"/>
            <w:noWrap/>
          </w:tcPr>
          <w:p w14:paraId="3B05334A" w14:textId="48DAD011"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518D7360" w14:textId="158C8E5E"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3A900D61" w14:textId="2F53C063"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435E2478" w14:textId="013AE60B"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0DA9EE75" w14:textId="40C6F1A7"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4B2DB055" w14:textId="23778E47"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32D27EB4" w14:textId="6FA1BF09"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5053805A" w14:textId="79CEE77E" w:rsidR="000312DB" w:rsidRPr="00D03284" w:rsidRDefault="000312DB" w:rsidP="000D204E">
            <w:pPr>
              <w:jc w:val="center"/>
              <w:rPr>
                <w:i/>
                <w:iCs/>
                <w:color w:val="000000"/>
                <w:sz w:val="16"/>
                <w:szCs w:val="16"/>
              </w:rPr>
            </w:pPr>
            <w:r>
              <w:rPr>
                <w:i/>
                <w:sz w:val="16"/>
              </w:rPr>
              <w:t>À compléter</w:t>
            </w:r>
          </w:p>
        </w:tc>
      </w:tr>
      <w:tr w:rsidR="00FB3580" w:rsidRPr="00D03284" w14:paraId="237B9338" w14:textId="77777777" w:rsidTr="000D204E">
        <w:trPr>
          <w:trHeight w:val="44"/>
          <w:jc w:val="center"/>
        </w:trPr>
        <w:tc>
          <w:tcPr>
            <w:tcW w:w="651" w:type="pct"/>
            <w:shd w:val="clear" w:color="auto" w:fill="auto"/>
            <w:noWrap/>
            <w:hideMark/>
          </w:tcPr>
          <w:p w14:paraId="164C1780" w14:textId="77777777" w:rsidR="000312DB" w:rsidRPr="00D03284" w:rsidRDefault="000312DB" w:rsidP="000312DB">
            <w:pPr>
              <w:jc w:val="left"/>
              <w:rPr>
                <w:color w:val="000000"/>
                <w:sz w:val="18"/>
                <w:szCs w:val="18"/>
              </w:rPr>
            </w:pPr>
            <w:r>
              <w:rPr>
                <w:color w:val="000000"/>
                <w:sz w:val="18"/>
              </w:rPr>
              <w:t>Destruction</w:t>
            </w:r>
          </w:p>
        </w:tc>
        <w:tc>
          <w:tcPr>
            <w:tcW w:w="443" w:type="pct"/>
            <w:shd w:val="clear" w:color="auto" w:fill="auto"/>
            <w:noWrap/>
          </w:tcPr>
          <w:p w14:paraId="002E4E70" w14:textId="0D6CF0EC"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0B83D65D" w14:textId="5C7F6989"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5BC35FB0" w14:textId="4CC07920"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713ACA1A" w14:textId="39F85934"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77683CEE" w14:textId="1609133B"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74F66F78" w14:textId="0834748F"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2D1F35EC" w14:textId="09FB49D9"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216464CB" w14:textId="69A4D0CF" w:rsidR="000312DB" w:rsidRPr="00D03284" w:rsidRDefault="000312DB" w:rsidP="000D204E">
            <w:pPr>
              <w:jc w:val="center"/>
              <w:rPr>
                <w:i/>
                <w:iCs/>
                <w:color w:val="000000"/>
                <w:sz w:val="16"/>
                <w:szCs w:val="16"/>
              </w:rPr>
            </w:pPr>
            <w:r>
              <w:rPr>
                <w:i/>
                <w:sz w:val="16"/>
              </w:rPr>
              <w:t>À compléter</w:t>
            </w:r>
          </w:p>
        </w:tc>
      </w:tr>
      <w:tr w:rsidR="00FB3580" w:rsidRPr="00D03284" w14:paraId="24221DD7" w14:textId="77777777" w:rsidTr="000D204E">
        <w:trPr>
          <w:trHeight w:val="107"/>
          <w:jc w:val="center"/>
        </w:trPr>
        <w:tc>
          <w:tcPr>
            <w:tcW w:w="651" w:type="pct"/>
            <w:shd w:val="clear" w:color="auto" w:fill="auto"/>
            <w:noWrap/>
            <w:hideMark/>
          </w:tcPr>
          <w:p w14:paraId="56CB8C28" w14:textId="77777777" w:rsidR="000312DB" w:rsidRPr="00D03284" w:rsidRDefault="000312DB" w:rsidP="000312DB">
            <w:pPr>
              <w:jc w:val="left"/>
              <w:rPr>
                <w:color w:val="000000"/>
                <w:sz w:val="18"/>
                <w:szCs w:val="18"/>
              </w:rPr>
            </w:pPr>
            <w:r>
              <w:rPr>
                <w:color w:val="000000"/>
                <w:sz w:val="18"/>
              </w:rPr>
              <w:t>Mousses</w:t>
            </w:r>
          </w:p>
        </w:tc>
        <w:tc>
          <w:tcPr>
            <w:tcW w:w="443" w:type="pct"/>
            <w:shd w:val="clear" w:color="auto" w:fill="auto"/>
            <w:noWrap/>
          </w:tcPr>
          <w:p w14:paraId="59CCB8F1" w14:textId="276351EC"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1DDFCA4C" w14:textId="5D9E3D7F"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2D6089CC" w14:textId="51037D18"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6B9315D2" w14:textId="22FF420A"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04B91AC5" w14:textId="5317F517"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4C44A63F" w14:textId="56439839"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00AA9EF3" w14:textId="034E733B"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2CA07E82" w14:textId="70C5D8A0" w:rsidR="000312DB" w:rsidRPr="00D03284" w:rsidRDefault="000312DB" w:rsidP="000D204E">
            <w:pPr>
              <w:jc w:val="center"/>
              <w:rPr>
                <w:i/>
                <w:iCs/>
                <w:color w:val="000000"/>
                <w:sz w:val="16"/>
                <w:szCs w:val="16"/>
              </w:rPr>
            </w:pPr>
            <w:r>
              <w:rPr>
                <w:i/>
                <w:sz w:val="16"/>
              </w:rPr>
              <w:t>À compléter</w:t>
            </w:r>
          </w:p>
        </w:tc>
      </w:tr>
      <w:tr w:rsidR="00FB3580" w:rsidRPr="00D03284" w14:paraId="29257D55" w14:textId="77777777" w:rsidTr="000D204E">
        <w:trPr>
          <w:trHeight w:val="44"/>
          <w:jc w:val="center"/>
        </w:trPr>
        <w:tc>
          <w:tcPr>
            <w:tcW w:w="651" w:type="pct"/>
            <w:shd w:val="clear" w:color="auto" w:fill="auto"/>
            <w:noWrap/>
            <w:hideMark/>
          </w:tcPr>
          <w:p w14:paraId="4BDF9390" w14:textId="77777777" w:rsidR="000312DB" w:rsidRPr="00D03284" w:rsidRDefault="000312DB" w:rsidP="000312DB">
            <w:pPr>
              <w:jc w:val="left"/>
              <w:rPr>
                <w:color w:val="000000"/>
                <w:sz w:val="18"/>
                <w:szCs w:val="18"/>
              </w:rPr>
            </w:pPr>
            <w:r>
              <w:rPr>
                <w:color w:val="000000"/>
                <w:sz w:val="18"/>
              </w:rPr>
              <w:t>Fumigènes</w:t>
            </w:r>
          </w:p>
        </w:tc>
        <w:tc>
          <w:tcPr>
            <w:tcW w:w="443" w:type="pct"/>
            <w:shd w:val="clear" w:color="auto" w:fill="auto"/>
            <w:noWrap/>
          </w:tcPr>
          <w:p w14:paraId="5B2CE453" w14:textId="284A8973"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6440209D" w14:textId="13A0C5A4"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0B30066C" w14:textId="48DA569A"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4C73197A" w14:textId="3C442E24"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76A538A8" w14:textId="14D2CD8F"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3B7B6EFB" w14:textId="279081D9"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095D6708" w14:textId="39EE31AE"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5F465B32" w14:textId="51029D37" w:rsidR="000312DB" w:rsidRPr="00D03284" w:rsidRDefault="000312DB" w:rsidP="000D204E">
            <w:pPr>
              <w:jc w:val="center"/>
              <w:rPr>
                <w:i/>
                <w:iCs/>
                <w:color w:val="000000"/>
                <w:sz w:val="16"/>
                <w:szCs w:val="16"/>
              </w:rPr>
            </w:pPr>
            <w:r>
              <w:rPr>
                <w:i/>
                <w:sz w:val="16"/>
              </w:rPr>
              <w:t>À compléter</w:t>
            </w:r>
          </w:p>
        </w:tc>
      </w:tr>
      <w:tr w:rsidR="00FB3580" w:rsidRPr="00D03284" w14:paraId="45D59854" w14:textId="77777777" w:rsidTr="000D204E">
        <w:trPr>
          <w:trHeight w:val="44"/>
          <w:jc w:val="center"/>
        </w:trPr>
        <w:tc>
          <w:tcPr>
            <w:tcW w:w="651" w:type="pct"/>
            <w:shd w:val="clear" w:color="auto" w:fill="auto"/>
            <w:noWrap/>
            <w:hideMark/>
          </w:tcPr>
          <w:p w14:paraId="1E45FC80" w14:textId="77777777" w:rsidR="000312DB" w:rsidRPr="00D03284" w:rsidRDefault="000312DB" w:rsidP="000312DB">
            <w:pPr>
              <w:jc w:val="left"/>
              <w:rPr>
                <w:color w:val="000000"/>
                <w:sz w:val="18"/>
                <w:szCs w:val="18"/>
              </w:rPr>
            </w:pPr>
            <w:r>
              <w:rPr>
                <w:color w:val="000000"/>
                <w:sz w:val="18"/>
              </w:rPr>
              <w:t>Halons</w:t>
            </w:r>
          </w:p>
        </w:tc>
        <w:tc>
          <w:tcPr>
            <w:tcW w:w="443" w:type="pct"/>
            <w:shd w:val="clear" w:color="auto" w:fill="auto"/>
            <w:noWrap/>
          </w:tcPr>
          <w:p w14:paraId="7DF46D13" w14:textId="4E87DBE4"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2509630C" w14:textId="62355CB2"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7429819F" w14:textId="06E00A62"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775EAECA" w14:textId="21CF62FF"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0664694E" w14:textId="21DEE1FD"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55289ACB" w14:textId="02B9D2F3"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11C74633" w14:textId="0376826F"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24DCCDF3" w14:textId="75C84EB2" w:rsidR="000312DB" w:rsidRPr="00D03284" w:rsidRDefault="000312DB" w:rsidP="000D204E">
            <w:pPr>
              <w:jc w:val="center"/>
              <w:rPr>
                <w:i/>
                <w:iCs/>
                <w:color w:val="000000"/>
                <w:sz w:val="16"/>
                <w:szCs w:val="16"/>
              </w:rPr>
            </w:pPr>
            <w:r>
              <w:rPr>
                <w:i/>
                <w:sz w:val="16"/>
              </w:rPr>
              <w:t>À compléter</w:t>
            </w:r>
          </w:p>
        </w:tc>
      </w:tr>
      <w:tr w:rsidR="00FB3580" w:rsidRPr="00D03284" w14:paraId="76C9575D" w14:textId="77777777" w:rsidTr="000D204E">
        <w:trPr>
          <w:trHeight w:val="44"/>
          <w:jc w:val="center"/>
        </w:trPr>
        <w:tc>
          <w:tcPr>
            <w:tcW w:w="651" w:type="pct"/>
            <w:shd w:val="clear" w:color="auto" w:fill="auto"/>
            <w:noWrap/>
            <w:hideMark/>
          </w:tcPr>
          <w:p w14:paraId="2E419912" w14:textId="77777777" w:rsidR="000312DB" w:rsidRPr="00D03284" w:rsidRDefault="000312DB" w:rsidP="000312DB">
            <w:pPr>
              <w:jc w:val="left"/>
              <w:rPr>
                <w:color w:val="000000"/>
                <w:sz w:val="18"/>
                <w:szCs w:val="18"/>
              </w:rPr>
            </w:pPr>
            <w:r>
              <w:rPr>
                <w:color w:val="000000"/>
                <w:sz w:val="18"/>
              </w:rPr>
              <w:t>KIP</w:t>
            </w:r>
          </w:p>
        </w:tc>
        <w:tc>
          <w:tcPr>
            <w:tcW w:w="443" w:type="pct"/>
            <w:shd w:val="clear" w:color="auto" w:fill="auto"/>
            <w:noWrap/>
          </w:tcPr>
          <w:p w14:paraId="259A171D" w14:textId="1B2A06E5"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237589A1" w14:textId="37FF0F1F"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6F2DB403" w14:textId="37D01EFE"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475FBEB7" w14:textId="14BC596D"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3F24546A" w14:textId="431EE0A7"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6FC7297E" w14:textId="76AE8A95"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468FAF73" w14:textId="0F82BCF9"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114A9F2E" w14:textId="650AC96B" w:rsidR="000312DB" w:rsidRPr="00D03284" w:rsidRDefault="000312DB" w:rsidP="000D204E">
            <w:pPr>
              <w:jc w:val="center"/>
              <w:rPr>
                <w:i/>
                <w:iCs/>
                <w:color w:val="000000"/>
                <w:sz w:val="16"/>
                <w:szCs w:val="16"/>
              </w:rPr>
            </w:pPr>
            <w:r>
              <w:rPr>
                <w:i/>
                <w:sz w:val="16"/>
              </w:rPr>
              <w:t>À compléter</w:t>
            </w:r>
          </w:p>
        </w:tc>
      </w:tr>
      <w:tr w:rsidR="00FB3580" w:rsidRPr="00D03284" w14:paraId="796E886C" w14:textId="77777777" w:rsidTr="000D204E">
        <w:trPr>
          <w:trHeight w:val="44"/>
          <w:jc w:val="center"/>
        </w:trPr>
        <w:tc>
          <w:tcPr>
            <w:tcW w:w="651" w:type="pct"/>
            <w:shd w:val="clear" w:color="auto" w:fill="auto"/>
            <w:noWrap/>
            <w:hideMark/>
          </w:tcPr>
          <w:p w14:paraId="252978B5" w14:textId="77777777" w:rsidR="000312DB" w:rsidRPr="00D03284" w:rsidRDefault="000312DB" w:rsidP="000312DB">
            <w:pPr>
              <w:jc w:val="left"/>
              <w:rPr>
                <w:color w:val="000000"/>
                <w:sz w:val="18"/>
                <w:szCs w:val="18"/>
              </w:rPr>
            </w:pPr>
            <w:r>
              <w:rPr>
                <w:color w:val="000000"/>
                <w:sz w:val="18"/>
              </w:rPr>
              <w:t>Multi-sectoriel</w:t>
            </w:r>
          </w:p>
        </w:tc>
        <w:tc>
          <w:tcPr>
            <w:tcW w:w="443" w:type="pct"/>
            <w:shd w:val="clear" w:color="auto" w:fill="auto"/>
            <w:noWrap/>
          </w:tcPr>
          <w:p w14:paraId="43087D36" w14:textId="75494FA7"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37B86911" w14:textId="3981BECF"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38A392F5" w14:textId="1F7FFCA9"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76499C6A" w14:textId="57481DAD"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01027F6E" w14:textId="37A6BEE1"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57DF483F" w14:textId="6773C1C2"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2BE375F3" w14:textId="6340D625"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5030C125" w14:textId="4766EBBB" w:rsidR="000312DB" w:rsidRPr="00D03284" w:rsidRDefault="000312DB" w:rsidP="000D204E">
            <w:pPr>
              <w:jc w:val="center"/>
              <w:rPr>
                <w:i/>
                <w:iCs/>
                <w:color w:val="000000"/>
                <w:sz w:val="16"/>
                <w:szCs w:val="16"/>
              </w:rPr>
            </w:pPr>
            <w:r>
              <w:rPr>
                <w:i/>
                <w:sz w:val="16"/>
              </w:rPr>
              <w:t>À compléter</w:t>
            </w:r>
          </w:p>
        </w:tc>
      </w:tr>
      <w:tr w:rsidR="00FB3580" w:rsidRPr="00D03284" w14:paraId="751FE512" w14:textId="77777777" w:rsidTr="000D204E">
        <w:trPr>
          <w:trHeight w:val="44"/>
          <w:jc w:val="center"/>
        </w:trPr>
        <w:tc>
          <w:tcPr>
            <w:tcW w:w="651" w:type="pct"/>
            <w:shd w:val="clear" w:color="auto" w:fill="auto"/>
            <w:noWrap/>
            <w:hideMark/>
          </w:tcPr>
          <w:p w14:paraId="20748B3A" w14:textId="77777777" w:rsidR="000312DB" w:rsidRPr="00D03284" w:rsidRDefault="000312DB" w:rsidP="000312DB">
            <w:pPr>
              <w:jc w:val="left"/>
              <w:rPr>
                <w:color w:val="000000"/>
                <w:sz w:val="18"/>
                <w:szCs w:val="18"/>
              </w:rPr>
            </w:pPr>
            <w:r>
              <w:rPr>
                <w:color w:val="000000"/>
                <w:sz w:val="18"/>
              </w:rPr>
              <w:t>Autres</w:t>
            </w:r>
          </w:p>
        </w:tc>
        <w:tc>
          <w:tcPr>
            <w:tcW w:w="443" w:type="pct"/>
            <w:shd w:val="clear" w:color="auto" w:fill="auto"/>
            <w:noWrap/>
          </w:tcPr>
          <w:p w14:paraId="320DEA71" w14:textId="259B3849"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5AE7B7A2" w14:textId="60CA044C"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067C9FBE" w14:textId="3652D771"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7608DFFC" w14:textId="078FC72F"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4D85CDF1" w14:textId="36D4AF13"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213A7915" w14:textId="6798A703"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5B43EEFF" w14:textId="5FDFCB35"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58349AB5" w14:textId="441EB96F" w:rsidR="000312DB" w:rsidRPr="00D03284" w:rsidRDefault="000312DB" w:rsidP="000D204E">
            <w:pPr>
              <w:jc w:val="center"/>
              <w:rPr>
                <w:i/>
                <w:iCs/>
                <w:color w:val="000000"/>
                <w:sz w:val="16"/>
                <w:szCs w:val="16"/>
              </w:rPr>
            </w:pPr>
            <w:r>
              <w:rPr>
                <w:i/>
                <w:sz w:val="16"/>
              </w:rPr>
              <w:t>À compléter</w:t>
            </w:r>
          </w:p>
        </w:tc>
      </w:tr>
      <w:tr w:rsidR="00FB3580" w:rsidRPr="00D03284" w14:paraId="0385DA73" w14:textId="77777777" w:rsidTr="000D204E">
        <w:trPr>
          <w:trHeight w:val="44"/>
          <w:jc w:val="center"/>
        </w:trPr>
        <w:tc>
          <w:tcPr>
            <w:tcW w:w="651" w:type="pct"/>
            <w:shd w:val="clear" w:color="auto" w:fill="auto"/>
            <w:noWrap/>
            <w:hideMark/>
          </w:tcPr>
          <w:p w14:paraId="63A3E324" w14:textId="77777777" w:rsidR="000312DB" w:rsidRPr="00D03284" w:rsidRDefault="000312DB" w:rsidP="000312DB">
            <w:pPr>
              <w:jc w:val="left"/>
              <w:rPr>
                <w:color w:val="000000"/>
                <w:sz w:val="18"/>
                <w:szCs w:val="18"/>
              </w:rPr>
            </w:pPr>
            <w:r>
              <w:rPr>
                <w:color w:val="000000"/>
                <w:sz w:val="18"/>
              </w:rPr>
              <w:t>Agents de transformation</w:t>
            </w:r>
          </w:p>
        </w:tc>
        <w:tc>
          <w:tcPr>
            <w:tcW w:w="443" w:type="pct"/>
            <w:shd w:val="clear" w:color="auto" w:fill="auto"/>
            <w:noWrap/>
          </w:tcPr>
          <w:p w14:paraId="214DC2CF" w14:textId="2B75A11D"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3F3733CD" w14:textId="1989F13B"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43CB0694" w14:textId="34B55FF9"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5EC84410" w14:textId="377AB432"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43E81405" w14:textId="7B4195BA"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3954E779" w14:textId="477D2FF6"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0940D6C4" w14:textId="4BF9E5CE"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177BCD76" w14:textId="6E4CAE11" w:rsidR="000312DB" w:rsidRPr="00D03284" w:rsidRDefault="000312DB" w:rsidP="000D204E">
            <w:pPr>
              <w:jc w:val="center"/>
              <w:rPr>
                <w:i/>
                <w:iCs/>
                <w:color w:val="000000"/>
                <w:sz w:val="16"/>
                <w:szCs w:val="16"/>
              </w:rPr>
            </w:pPr>
            <w:r>
              <w:rPr>
                <w:i/>
                <w:sz w:val="16"/>
              </w:rPr>
              <w:t>À compléter</w:t>
            </w:r>
          </w:p>
        </w:tc>
      </w:tr>
      <w:tr w:rsidR="00FB3580" w:rsidRPr="00D03284" w14:paraId="2EE2EE10" w14:textId="77777777" w:rsidTr="000D204E">
        <w:trPr>
          <w:trHeight w:val="44"/>
          <w:jc w:val="center"/>
        </w:trPr>
        <w:tc>
          <w:tcPr>
            <w:tcW w:w="651" w:type="pct"/>
            <w:shd w:val="clear" w:color="auto" w:fill="auto"/>
            <w:noWrap/>
            <w:hideMark/>
          </w:tcPr>
          <w:p w14:paraId="411A1231" w14:textId="77777777" w:rsidR="000312DB" w:rsidRPr="00D03284" w:rsidRDefault="000312DB" w:rsidP="000312DB">
            <w:pPr>
              <w:jc w:val="left"/>
              <w:rPr>
                <w:color w:val="000000"/>
                <w:sz w:val="18"/>
                <w:szCs w:val="18"/>
              </w:rPr>
            </w:pPr>
            <w:r>
              <w:rPr>
                <w:color w:val="000000"/>
                <w:sz w:val="18"/>
              </w:rPr>
              <w:t>Plan d’élimination</w:t>
            </w:r>
          </w:p>
        </w:tc>
        <w:tc>
          <w:tcPr>
            <w:tcW w:w="443" w:type="pct"/>
            <w:shd w:val="clear" w:color="auto" w:fill="auto"/>
            <w:noWrap/>
          </w:tcPr>
          <w:p w14:paraId="2038C648" w14:textId="3010B749"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3D1B81E3" w14:textId="42B5AE6F"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6352B11D" w14:textId="7C4C1CCC"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76618298" w14:textId="7B25E2E4"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15DBF1FD" w14:textId="3833FFD2"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31DF38A0" w14:textId="721C10EE"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5B8C1110" w14:textId="42F86BB5"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277782D5" w14:textId="1068E801" w:rsidR="000312DB" w:rsidRPr="00D03284" w:rsidRDefault="000312DB" w:rsidP="000D204E">
            <w:pPr>
              <w:jc w:val="center"/>
              <w:rPr>
                <w:i/>
                <w:iCs/>
                <w:color w:val="000000"/>
                <w:sz w:val="16"/>
                <w:szCs w:val="16"/>
              </w:rPr>
            </w:pPr>
            <w:r>
              <w:rPr>
                <w:i/>
                <w:sz w:val="16"/>
              </w:rPr>
              <w:t>À compléter</w:t>
            </w:r>
          </w:p>
        </w:tc>
      </w:tr>
      <w:tr w:rsidR="00FB3580" w:rsidRPr="00D03284" w14:paraId="10518267" w14:textId="77777777" w:rsidTr="000D204E">
        <w:trPr>
          <w:trHeight w:val="44"/>
          <w:jc w:val="center"/>
        </w:trPr>
        <w:tc>
          <w:tcPr>
            <w:tcW w:w="651" w:type="pct"/>
            <w:shd w:val="clear" w:color="auto" w:fill="auto"/>
            <w:noWrap/>
            <w:hideMark/>
          </w:tcPr>
          <w:p w14:paraId="52D396A1" w14:textId="77777777" w:rsidR="000312DB" w:rsidRPr="00D03284" w:rsidRDefault="000312DB" w:rsidP="000312DB">
            <w:pPr>
              <w:jc w:val="left"/>
              <w:rPr>
                <w:color w:val="000000"/>
                <w:sz w:val="18"/>
                <w:szCs w:val="18"/>
              </w:rPr>
            </w:pPr>
            <w:r>
              <w:rPr>
                <w:color w:val="000000"/>
                <w:sz w:val="18"/>
              </w:rPr>
              <w:t>Production</w:t>
            </w:r>
          </w:p>
        </w:tc>
        <w:tc>
          <w:tcPr>
            <w:tcW w:w="443" w:type="pct"/>
            <w:shd w:val="clear" w:color="auto" w:fill="auto"/>
            <w:noWrap/>
          </w:tcPr>
          <w:p w14:paraId="1A468EE2" w14:textId="077C8CA7"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1FE43943" w14:textId="760D1E4F"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11758BEB" w14:textId="625B2A32"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65858246" w14:textId="7117BE16"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4DE39158" w14:textId="6940FDB6"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2E4BB59C" w14:textId="7D5FEA3E"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2982F6F1" w14:textId="44D8677A"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20484A27" w14:textId="5302FD63" w:rsidR="000312DB" w:rsidRPr="00D03284" w:rsidRDefault="000312DB" w:rsidP="000D204E">
            <w:pPr>
              <w:jc w:val="center"/>
              <w:rPr>
                <w:i/>
                <w:iCs/>
                <w:color w:val="000000"/>
                <w:sz w:val="16"/>
                <w:szCs w:val="16"/>
              </w:rPr>
            </w:pPr>
            <w:r>
              <w:rPr>
                <w:i/>
                <w:sz w:val="16"/>
              </w:rPr>
              <w:t>À compléter</w:t>
            </w:r>
          </w:p>
        </w:tc>
      </w:tr>
      <w:tr w:rsidR="00FB3580" w:rsidRPr="00D03284" w14:paraId="50A43136" w14:textId="77777777" w:rsidTr="000D204E">
        <w:trPr>
          <w:trHeight w:val="44"/>
          <w:jc w:val="center"/>
        </w:trPr>
        <w:tc>
          <w:tcPr>
            <w:tcW w:w="651" w:type="pct"/>
            <w:shd w:val="clear" w:color="auto" w:fill="auto"/>
            <w:noWrap/>
            <w:hideMark/>
          </w:tcPr>
          <w:p w14:paraId="220460CB" w14:textId="77777777" w:rsidR="000312DB" w:rsidRPr="00D03284" w:rsidRDefault="000312DB" w:rsidP="000312DB">
            <w:pPr>
              <w:jc w:val="left"/>
              <w:rPr>
                <w:color w:val="000000"/>
                <w:sz w:val="18"/>
                <w:szCs w:val="18"/>
              </w:rPr>
            </w:pPr>
            <w:r>
              <w:rPr>
                <w:color w:val="000000"/>
                <w:sz w:val="18"/>
              </w:rPr>
              <w:t>Réfrigération</w:t>
            </w:r>
          </w:p>
        </w:tc>
        <w:tc>
          <w:tcPr>
            <w:tcW w:w="443" w:type="pct"/>
            <w:shd w:val="clear" w:color="auto" w:fill="auto"/>
            <w:noWrap/>
          </w:tcPr>
          <w:p w14:paraId="1D020824" w14:textId="5BF4749A"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71FF0FFD" w14:textId="5C4DA59B"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61153E9D" w14:textId="2FC17A62"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071007D9" w14:textId="74FF254F"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0D09B826" w14:textId="23AE367B"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48EA32A4" w14:textId="3428DFEF"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5BA59731" w14:textId="1E9B7980"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7AA615ED" w14:textId="1F9682A9" w:rsidR="000312DB" w:rsidRPr="00D03284" w:rsidRDefault="000312DB" w:rsidP="000D204E">
            <w:pPr>
              <w:jc w:val="center"/>
              <w:rPr>
                <w:i/>
                <w:iCs/>
                <w:color w:val="000000"/>
                <w:sz w:val="16"/>
                <w:szCs w:val="16"/>
              </w:rPr>
            </w:pPr>
            <w:r>
              <w:rPr>
                <w:i/>
                <w:sz w:val="16"/>
              </w:rPr>
              <w:t>À compléter</w:t>
            </w:r>
          </w:p>
        </w:tc>
      </w:tr>
      <w:tr w:rsidR="00FB3580" w:rsidRPr="00D03284" w14:paraId="174B2FC1" w14:textId="77777777" w:rsidTr="000D204E">
        <w:trPr>
          <w:trHeight w:val="95"/>
          <w:jc w:val="center"/>
        </w:trPr>
        <w:tc>
          <w:tcPr>
            <w:tcW w:w="651" w:type="pct"/>
            <w:shd w:val="clear" w:color="auto" w:fill="auto"/>
            <w:noWrap/>
            <w:hideMark/>
          </w:tcPr>
          <w:p w14:paraId="4600D83B" w14:textId="120D57B4" w:rsidR="000312DB" w:rsidRPr="00D03284" w:rsidRDefault="003B3FE8" w:rsidP="000312DB">
            <w:pPr>
              <w:jc w:val="left"/>
              <w:rPr>
                <w:color w:val="000000"/>
                <w:sz w:val="18"/>
                <w:szCs w:val="18"/>
              </w:rPr>
            </w:pPr>
            <w:r>
              <w:rPr>
                <w:color w:val="000000"/>
                <w:sz w:val="18"/>
              </w:rPr>
              <w:t>Multiple</w:t>
            </w:r>
          </w:p>
        </w:tc>
        <w:tc>
          <w:tcPr>
            <w:tcW w:w="443" w:type="pct"/>
            <w:shd w:val="clear" w:color="auto" w:fill="auto"/>
            <w:noWrap/>
          </w:tcPr>
          <w:p w14:paraId="297433B0" w14:textId="641B1545"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69EFC21F" w14:textId="59975BBB"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2DF721A3" w14:textId="7B2CDB7E"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7CD24626" w14:textId="25A36D11"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29DA1B23" w14:textId="0B3E6B26"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2F4FE6F5" w14:textId="78450334"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275C054B" w14:textId="7A75BE0C"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1043E23E" w14:textId="6DB81170" w:rsidR="000312DB" w:rsidRPr="00D03284" w:rsidRDefault="000312DB" w:rsidP="000D204E">
            <w:pPr>
              <w:jc w:val="center"/>
              <w:rPr>
                <w:i/>
                <w:iCs/>
                <w:color w:val="000000"/>
                <w:sz w:val="16"/>
                <w:szCs w:val="16"/>
              </w:rPr>
            </w:pPr>
            <w:r>
              <w:rPr>
                <w:i/>
                <w:sz w:val="16"/>
              </w:rPr>
              <w:t>À compléter</w:t>
            </w:r>
          </w:p>
        </w:tc>
      </w:tr>
      <w:tr w:rsidR="00FB3580" w:rsidRPr="00D03284" w14:paraId="7CCD59DB" w14:textId="77777777" w:rsidTr="000D204E">
        <w:trPr>
          <w:trHeight w:val="44"/>
          <w:jc w:val="center"/>
        </w:trPr>
        <w:tc>
          <w:tcPr>
            <w:tcW w:w="651" w:type="pct"/>
            <w:shd w:val="clear" w:color="auto" w:fill="auto"/>
            <w:noWrap/>
            <w:hideMark/>
          </w:tcPr>
          <w:p w14:paraId="3A73C0AD" w14:textId="77777777" w:rsidR="000312DB" w:rsidRPr="00D03284" w:rsidRDefault="000312DB" w:rsidP="000312DB">
            <w:pPr>
              <w:jc w:val="left"/>
              <w:rPr>
                <w:color w:val="000000"/>
                <w:sz w:val="18"/>
                <w:szCs w:val="18"/>
              </w:rPr>
            </w:pPr>
            <w:r>
              <w:rPr>
                <w:color w:val="000000"/>
                <w:sz w:val="18"/>
              </w:rPr>
              <w:t>Solvants</w:t>
            </w:r>
          </w:p>
        </w:tc>
        <w:tc>
          <w:tcPr>
            <w:tcW w:w="443" w:type="pct"/>
            <w:shd w:val="clear" w:color="auto" w:fill="auto"/>
            <w:noWrap/>
          </w:tcPr>
          <w:p w14:paraId="05B38438" w14:textId="49A6985A"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52E403E0" w14:textId="19A7BC36"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107596AC" w14:textId="2F7C3C6C"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0A22065A" w14:textId="1B7D5D65"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565A5135" w14:textId="3EC43022"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61EA4607" w14:textId="6AE46171"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738D6A55" w14:textId="6584C736"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13353F62" w14:textId="7756C161" w:rsidR="000312DB" w:rsidRPr="00D03284" w:rsidRDefault="000312DB" w:rsidP="000D204E">
            <w:pPr>
              <w:jc w:val="center"/>
              <w:rPr>
                <w:i/>
                <w:iCs/>
                <w:color w:val="000000"/>
                <w:sz w:val="16"/>
                <w:szCs w:val="16"/>
              </w:rPr>
            </w:pPr>
            <w:r>
              <w:rPr>
                <w:i/>
                <w:sz w:val="16"/>
              </w:rPr>
              <w:t>À compléter</w:t>
            </w:r>
          </w:p>
        </w:tc>
      </w:tr>
      <w:tr w:rsidR="00FB3580" w:rsidRPr="00D03284" w14:paraId="2F2AD8A5" w14:textId="77777777" w:rsidTr="000D204E">
        <w:trPr>
          <w:trHeight w:val="44"/>
          <w:jc w:val="center"/>
        </w:trPr>
        <w:tc>
          <w:tcPr>
            <w:tcW w:w="651" w:type="pct"/>
            <w:shd w:val="clear" w:color="auto" w:fill="auto"/>
            <w:noWrap/>
            <w:hideMark/>
          </w:tcPr>
          <w:p w14:paraId="6CFD1CCB" w14:textId="77777777" w:rsidR="000312DB" w:rsidRPr="00D03284" w:rsidRDefault="000312DB" w:rsidP="000312DB">
            <w:pPr>
              <w:jc w:val="left"/>
              <w:rPr>
                <w:color w:val="000000"/>
                <w:sz w:val="18"/>
                <w:szCs w:val="18"/>
              </w:rPr>
            </w:pPr>
            <w:r>
              <w:rPr>
                <w:color w:val="000000"/>
                <w:sz w:val="18"/>
              </w:rPr>
              <w:t>Agents de stérilisation</w:t>
            </w:r>
          </w:p>
        </w:tc>
        <w:tc>
          <w:tcPr>
            <w:tcW w:w="443" w:type="pct"/>
            <w:shd w:val="clear" w:color="auto" w:fill="auto"/>
            <w:noWrap/>
          </w:tcPr>
          <w:p w14:paraId="454689DD" w14:textId="515AB4EB" w:rsidR="000312DB" w:rsidRPr="00D03284" w:rsidRDefault="000312DB" w:rsidP="000D204E">
            <w:pPr>
              <w:jc w:val="center"/>
              <w:rPr>
                <w:i/>
                <w:iCs/>
                <w:color w:val="000000"/>
                <w:sz w:val="16"/>
                <w:szCs w:val="16"/>
              </w:rPr>
            </w:pPr>
            <w:r>
              <w:rPr>
                <w:i/>
                <w:sz w:val="16"/>
              </w:rPr>
              <w:t>À compléter</w:t>
            </w:r>
          </w:p>
        </w:tc>
        <w:tc>
          <w:tcPr>
            <w:tcW w:w="594" w:type="pct"/>
            <w:shd w:val="clear" w:color="auto" w:fill="auto"/>
            <w:noWrap/>
          </w:tcPr>
          <w:p w14:paraId="3E23AF56" w14:textId="7FA205AF"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7A0A5E17" w14:textId="2CFCD971"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7AC88F1D" w14:textId="7CDC0189" w:rsidR="000312DB" w:rsidRPr="00D03284" w:rsidRDefault="000312DB" w:rsidP="000D204E">
            <w:pPr>
              <w:jc w:val="center"/>
              <w:rPr>
                <w:i/>
                <w:iCs/>
                <w:color w:val="000000"/>
                <w:sz w:val="16"/>
                <w:szCs w:val="16"/>
              </w:rPr>
            </w:pPr>
            <w:r>
              <w:rPr>
                <w:i/>
                <w:sz w:val="16"/>
              </w:rPr>
              <w:t>À compléter</w:t>
            </w:r>
          </w:p>
        </w:tc>
        <w:tc>
          <w:tcPr>
            <w:tcW w:w="584" w:type="pct"/>
            <w:shd w:val="clear" w:color="auto" w:fill="auto"/>
            <w:noWrap/>
          </w:tcPr>
          <w:p w14:paraId="7B2747FD" w14:textId="7901AD7B"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2D01A9E0" w14:textId="117BE682" w:rsidR="000312DB" w:rsidRPr="00D03284" w:rsidRDefault="000312DB" w:rsidP="000D204E">
            <w:pPr>
              <w:jc w:val="center"/>
              <w:rPr>
                <w:i/>
                <w:iCs/>
                <w:color w:val="000000"/>
                <w:sz w:val="16"/>
                <w:szCs w:val="16"/>
              </w:rPr>
            </w:pPr>
            <w:r>
              <w:rPr>
                <w:i/>
                <w:sz w:val="16"/>
              </w:rPr>
              <w:t>À compléter</w:t>
            </w:r>
          </w:p>
        </w:tc>
        <w:tc>
          <w:tcPr>
            <w:tcW w:w="455" w:type="pct"/>
            <w:shd w:val="clear" w:color="auto" w:fill="auto"/>
            <w:noWrap/>
          </w:tcPr>
          <w:p w14:paraId="33DEBEAF" w14:textId="271FCCA1" w:rsidR="000312DB" w:rsidRPr="00D03284" w:rsidRDefault="000312DB" w:rsidP="000D204E">
            <w:pPr>
              <w:jc w:val="center"/>
              <w:rPr>
                <w:i/>
                <w:iCs/>
                <w:color w:val="000000"/>
                <w:sz w:val="16"/>
                <w:szCs w:val="16"/>
              </w:rPr>
            </w:pPr>
            <w:r>
              <w:rPr>
                <w:i/>
                <w:sz w:val="16"/>
              </w:rPr>
              <w:t>À compléter</w:t>
            </w:r>
          </w:p>
        </w:tc>
        <w:tc>
          <w:tcPr>
            <w:tcW w:w="650" w:type="pct"/>
            <w:shd w:val="clear" w:color="auto" w:fill="auto"/>
            <w:noWrap/>
          </w:tcPr>
          <w:p w14:paraId="0345FDEB" w14:textId="341776BE" w:rsidR="000312DB" w:rsidRPr="00D03284" w:rsidRDefault="000312DB" w:rsidP="000D204E">
            <w:pPr>
              <w:jc w:val="center"/>
              <w:rPr>
                <w:i/>
                <w:iCs/>
                <w:color w:val="000000"/>
                <w:sz w:val="16"/>
                <w:szCs w:val="16"/>
              </w:rPr>
            </w:pPr>
            <w:r>
              <w:rPr>
                <w:i/>
                <w:sz w:val="16"/>
              </w:rPr>
              <w:t>À compléter</w:t>
            </w:r>
          </w:p>
        </w:tc>
      </w:tr>
      <w:tr w:rsidR="00FB3580" w:rsidRPr="00D03284" w14:paraId="4860FE2B" w14:textId="77777777" w:rsidTr="000D204E">
        <w:trPr>
          <w:trHeight w:val="44"/>
          <w:jc w:val="center"/>
        </w:trPr>
        <w:tc>
          <w:tcPr>
            <w:tcW w:w="651" w:type="pct"/>
            <w:shd w:val="clear" w:color="auto" w:fill="auto"/>
            <w:noWrap/>
            <w:hideMark/>
          </w:tcPr>
          <w:p w14:paraId="19C5F53B" w14:textId="77777777" w:rsidR="000312DB" w:rsidRPr="00D03284" w:rsidRDefault="000312DB" w:rsidP="000312DB">
            <w:pPr>
              <w:jc w:val="left"/>
              <w:rPr>
                <w:b/>
                <w:bCs/>
                <w:color w:val="000000"/>
                <w:sz w:val="18"/>
                <w:szCs w:val="18"/>
              </w:rPr>
            </w:pPr>
            <w:r>
              <w:rPr>
                <w:b/>
                <w:color w:val="000000"/>
                <w:sz w:val="18"/>
              </w:rPr>
              <w:t>Total</w:t>
            </w:r>
          </w:p>
        </w:tc>
        <w:tc>
          <w:tcPr>
            <w:tcW w:w="443" w:type="pct"/>
            <w:shd w:val="clear" w:color="auto" w:fill="auto"/>
            <w:noWrap/>
          </w:tcPr>
          <w:p w14:paraId="5A5DA742" w14:textId="23E5FCC8" w:rsidR="000312DB" w:rsidRPr="00D03284" w:rsidRDefault="000312DB" w:rsidP="000D204E">
            <w:pPr>
              <w:jc w:val="center"/>
              <w:rPr>
                <w:b/>
                <w:bCs/>
                <w:i/>
                <w:iCs/>
                <w:color w:val="000000"/>
                <w:sz w:val="16"/>
                <w:szCs w:val="16"/>
              </w:rPr>
            </w:pPr>
            <w:r>
              <w:rPr>
                <w:i/>
                <w:sz w:val="16"/>
              </w:rPr>
              <w:t>À compléter</w:t>
            </w:r>
          </w:p>
        </w:tc>
        <w:tc>
          <w:tcPr>
            <w:tcW w:w="594" w:type="pct"/>
            <w:shd w:val="clear" w:color="auto" w:fill="auto"/>
            <w:noWrap/>
          </w:tcPr>
          <w:p w14:paraId="55E66C1D" w14:textId="5177CA02" w:rsidR="000312DB" w:rsidRPr="00D03284" w:rsidRDefault="000312DB" w:rsidP="000D204E">
            <w:pPr>
              <w:jc w:val="center"/>
              <w:rPr>
                <w:b/>
                <w:bCs/>
                <w:i/>
                <w:iCs/>
                <w:color w:val="000000"/>
                <w:sz w:val="16"/>
                <w:szCs w:val="16"/>
              </w:rPr>
            </w:pPr>
            <w:r>
              <w:rPr>
                <w:i/>
                <w:sz w:val="16"/>
              </w:rPr>
              <w:t>À compléter</w:t>
            </w:r>
          </w:p>
        </w:tc>
        <w:tc>
          <w:tcPr>
            <w:tcW w:w="584" w:type="pct"/>
            <w:shd w:val="clear" w:color="auto" w:fill="auto"/>
            <w:noWrap/>
          </w:tcPr>
          <w:p w14:paraId="03CE65E9" w14:textId="64ECF7D5" w:rsidR="000312DB" w:rsidRPr="00D03284" w:rsidRDefault="000312DB" w:rsidP="000D204E">
            <w:pPr>
              <w:jc w:val="center"/>
              <w:rPr>
                <w:b/>
                <w:bCs/>
                <w:i/>
                <w:iCs/>
                <w:color w:val="000000"/>
                <w:sz w:val="16"/>
                <w:szCs w:val="16"/>
              </w:rPr>
            </w:pPr>
            <w:r>
              <w:rPr>
                <w:i/>
                <w:sz w:val="16"/>
              </w:rPr>
              <w:t>À compléter</w:t>
            </w:r>
          </w:p>
        </w:tc>
        <w:tc>
          <w:tcPr>
            <w:tcW w:w="584" w:type="pct"/>
            <w:shd w:val="clear" w:color="auto" w:fill="auto"/>
            <w:noWrap/>
          </w:tcPr>
          <w:p w14:paraId="2028592A" w14:textId="6540E2E6" w:rsidR="000312DB" w:rsidRPr="00D03284" w:rsidRDefault="000312DB" w:rsidP="000D204E">
            <w:pPr>
              <w:jc w:val="center"/>
              <w:rPr>
                <w:b/>
                <w:bCs/>
                <w:i/>
                <w:iCs/>
                <w:color w:val="000000"/>
                <w:sz w:val="16"/>
                <w:szCs w:val="16"/>
              </w:rPr>
            </w:pPr>
            <w:r>
              <w:rPr>
                <w:i/>
                <w:sz w:val="16"/>
              </w:rPr>
              <w:t>À compléter</w:t>
            </w:r>
          </w:p>
        </w:tc>
        <w:tc>
          <w:tcPr>
            <w:tcW w:w="584" w:type="pct"/>
            <w:shd w:val="clear" w:color="auto" w:fill="auto"/>
            <w:noWrap/>
          </w:tcPr>
          <w:p w14:paraId="46F1589B" w14:textId="15BC8419" w:rsidR="000312DB" w:rsidRPr="00D03284" w:rsidRDefault="000312DB" w:rsidP="000D204E">
            <w:pPr>
              <w:jc w:val="center"/>
              <w:rPr>
                <w:b/>
                <w:bCs/>
                <w:i/>
                <w:iCs/>
                <w:color w:val="000000"/>
                <w:sz w:val="16"/>
                <w:szCs w:val="16"/>
              </w:rPr>
            </w:pPr>
            <w:r>
              <w:rPr>
                <w:i/>
                <w:sz w:val="16"/>
              </w:rPr>
              <w:t>À compléter</w:t>
            </w:r>
          </w:p>
        </w:tc>
        <w:tc>
          <w:tcPr>
            <w:tcW w:w="455" w:type="pct"/>
            <w:shd w:val="clear" w:color="auto" w:fill="auto"/>
            <w:noWrap/>
          </w:tcPr>
          <w:p w14:paraId="33E0FC90" w14:textId="50C0C4ED" w:rsidR="000312DB" w:rsidRPr="00D03284" w:rsidRDefault="000312DB" w:rsidP="000D204E">
            <w:pPr>
              <w:jc w:val="center"/>
              <w:rPr>
                <w:b/>
                <w:bCs/>
                <w:i/>
                <w:iCs/>
                <w:color w:val="000000"/>
                <w:sz w:val="16"/>
                <w:szCs w:val="16"/>
              </w:rPr>
            </w:pPr>
            <w:r>
              <w:rPr>
                <w:i/>
                <w:sz w:val="16"/>
              </w:rPr>
              <w:t>À compléter</w:t>
            </w:r>
          </w:p>
        </w:tc>
        <w:tc>
          <w:tcPr>
            <w:tcW w:w="455" w:type="pct"/>
            <w:shd w:val="clear" w:color="auto" w:fill="auto"/>
            <w:noWrap/>
          </w:tcPr>
          <w:p w14:paraId="5945FA60" w14:textId="18F2BCD0" w:rsidR="000312DB" w:rsidRPr="00D03284" w:rsidRDefault="000312DB" w:rsidP="000D204E">
            <w:pPr>
              <w:jc w:val="center"/>
              <w:rPr>
                <w:b/>
                <w:bCs/>
                <w:i/>
                <w:iCs/>
                <w:color w:val="000000"/>
                <w:sz w:val="16"/>
                <w:szCs w:val="16"/>
              </w:rPr>
            </w:pPr>
            <w:r>
              <w:rPr>
                <w:i/>
                <w:sz w:val="16"/>
              </w:rPr>
              <w:t>À compléter</w:t>
            </w:r>
          </w:p>
        </w:tc>
        <w:tc>
          <w:tcPr>
            <w:tcW w:w="650" w:type="pct"/>
            <w:shd w:val="clear" w:color="auto" w:fill="auto"/>
            <w:noWrap/>
          </w:tcPr>
          <w:p w14:paraId="6CA31B73" w14:textId="2F88DB03" w:rsidR="000312DB" w:rsidRPr="00D03284" w:rsidRDefault="000312DB" w:rsidP="000D204E">
            <w:pPr>
              <w:jc w:val="center"/>
              <w:rPr>
                <w:b/>
                <w:bCs/>
                <w:i/>
                <w:iCs/>
                <w:color w:val="000000"/>
                <w:sz w:val="16"/>
                <w:szCs w:val="16"/>
              </w:rPr>
            </w:pPr>
            <w:r>
              <w:rPr>
                <w:i/>
                <w:sz w:val="16"/>
              </w:rPr>
              <w:t>À compléter</w:t>
            </w:r>
          </w:p>
        </w:tc>
      </w:tr>
    </w:tbl>
    <w:p w14:paraId="4C0386F8" w14:textId="77777777" w:rsidR="00282EB1" w:rsidRPr="001927CD" w:rsidRDefault="00282EB1" w:rsidP="003B3FE8">
      <w:pPr>
        <w:rPr>
          <w:sz w:val="16"/>
          <w:szCs w:val="16"/>
        </w:rPr>
      </w:pPr>
      <w:r>
        <w:rPr>
          <w:sz w:val="16"/>
        </w:rPr>
        <w:t>* Ne comprend pas les projets annulés et transférés et comprend les coûts d’appui d’agence, le cas échéant.</w:t>
      </w:r>
    </w:p>
    <w:p w14:paraId="3E5DBFA5" w14:textId="4D2A1B49" w:rsidR="00282EB1" w:rsidRPr="001927CD" w:rsidRDefault="00282EB1" w:rsidP="003B3FE8">
      <w:pPr>
        <w:rPr>
          <w:sz w:val="16"/>
          <w:szCs w:val="16"/>
        </w:rPr>
      </w:pPr>
      <w:r>
        <w:rPr>
          <w:sz w:val="16"/>
        </w:rPr>
        <w:t xml:space="preserve">** L’élimination de </w:t>
      </w:r>
      <w:r>
        <w:rPr>
          <w:color w:val="000000"/>
          <w:sz w:val="16"/>
          <w:highlight w:val="yellow"/>
        </w:rPr>
        <w:t>???</w:t>
      </w:r>
      <w:r>
        <w:rPr>
          <w:sz w:val="16"/>
        </w:rPr>
        <w:t> tonnes d’équivalent CO</w:t>
      </w:r>
      <w:r>
        <w:rPr>
          <w:sz w:val="16"/>
          <w:vertAlign w:val="subscript"/>
        </w:rPr>
        <w:t>2</w:t>
      </w:r>
      <w:r>
        <w:rPr>
          <w:sz w:val="16"/>
        </w:rPr>
        <w:t xml:space="preserve"> de consommation a été approuvée et </w:t>
      </w:r>
      <w:r>
        <w:rPr>
          <w:color w:val="000000"/>
          <w:sz w:val="16"/>
          <w:highlight w:val="yellow"/>
        </w:rPr>
        <w:t>???</w:t>
      </w:r>
      <w:r>
        <w:rPr>
          <w:sz w:val="16"/>
        </w:rPr>
        <w:t> tonnes d’équivalent CO</w:t>
      </w:r>
      <w:r>
        <w:rPr>
          <w:sz w:val="16"/>
          <w:vertAlign w:val="subscript"/>
        </w:rPr>
        <w:t>2</w:t>
      </w:r>
      <w:r>
        <w:rPr>
          <w:sz w:val="16"/>
        </w:rPr>
        <w:t xml:space="preserve"> de consommation ont été éliminées.</w:t>
      </w:r>
    </w:p>
    <w:p w14:paraId="2D8DF7D5" w14:textId="77777777" w:rsidR="00282EB1" w:rsidRPr="00193CCD" w:rsidRDefault="00282EB1" w:rsidP="00282EB1">
      <w:pPr>
        <w:rPr>
          <w:sz w:val="20"/>
          <w:szCs w:val="20"/>
        </w:rPr>
      </w:pPr>
    </w:p>
    <w:p w14:paraId="3A696685" w14:textId="51DAE38C" w:rsidR="00282EB1" w:rsidRPr="00BC750B" w:rsidRDefault="00282EB1" w:rsidP="00FE6859">
      <w:pPr>
        <w:pStyle w:val="Heading1"/>
      </w:pPr>
      <w:r>
        <w:t xml:space="preserve">Le financement total approuvé par le Comité exécutif depuis 1991 pour parvenir à l’élimination des SAO et à la réduction progressive des HFC s’élève à </w:t>
      </w:r>
      <w:r>
        <w:rPr>
          <w:color w:val="000000"/>
          <w:highlight w:val="yellow"/>
        </w:rPr>
        <w:t>???</w:t>
      </w:r>
      <w:r>
        <w:t xml:space="preserve"> $ US, dont </w:t>
      </w:r>
      <w:r>
        <w:rPr>
          <w:color w:val="000000"/>
          <w:highlight w:val="yellow"/>
        </w:rPr>
        <w:t>???</w:t>
      </w:r>
      <w:r>
        <w:t> $ US de coûts d’appui d’agence (projets annulés et transférés exclus). Sur l’ensemble des financements de projet approuvés, les sommes allouées aux agences bilatérales et à chacune des agences d’exécution et décaissées par celles-ci sont indiquées dans le tableau 3 ci-dessous.</w:t>
      </w:r>
    </w:p>
    <w:p w14:paraId="788EC25F" w14:textId="3A31431C" w:rsidR="00282EB1" w:rsidRPr="00BC750B" w:rsidRDefault="00282EB1" w:rsidP="00BC750B">
      <w:r>
        <w:lastRenderedPageBreak/>
        <w:t>Tableau 3</w:t>
      </w:r>
    </w:p>
    <w:p w14:paraId="17C3B059" w14:textId="6531B560" w:rsidR="00282EB1" w:rsidRPr="00BC750B" w:rsidRDefault="00282EB1" w:rsidP="00BC750B">
      <w:pPr>
        <w:rPr>
          <w:b/>
          <w:bCs/>
        </w:rPr>
      </w:pPr>
      <w:r>
        <w:rPr>
          <w:b/>
        </w:rPr>
        <w:t>Sommes approuvées et décaissées par agence depuis la création du Fonds multilatéral</w:t>
      </w:r>
    </w:p>
    <w:tbl>
      <w:tblPr>
        <w:tblW w:w="5000" w:type="pct"/>
        <w:jc w:val="center"/>
        <w:tblLook w:val="04A0" w:firstRow="1" w:lastRow="0" w:firstColumn="1" w:lastColumn="0" w:noHBand="0" w:noVBand="1"/>
      </w:tblPr>
      <w:tblGrid>
        <w:gridCol w:w="1782"/>
        <w:gridCol w:w="2644"/>
        <w:gridCol w:w="2302"/>
        <w:gridCol w:w="2622"/>
      </w:tblGrid>
      <w:tr w:rsidR="00282EB1" w:rsidRPr="00270A31" w14:paraId="4269F81D" w14:textId="77777777" w:rsidTr="003B3FE8">
        <w:trPr>
          <w:trHeight w:val="292"/>
          <w:jc w:val="center"/>
        </w:trPr>
        <w:tc>
          <w:tcPr>
            <w:tcW w:w="1035" w:type="pct"/>
            <w:tcBorders>
              <w:top w:val="single" w:sz="4" w:space="0" w:color="auto"/>
              <w:left w:val="single" w:sz="4" w:space="0" w:color="auto"/>
              <w:bottom w:val="single" w:sz="4" w:space="0" w:color="auto"/>
              <w:right w:val="single" w:sz="4" w:space="0" w:color="auto"/>
            </w:tcBorders>
            <w:shd w:val="clear" w:color="auto" w:fill="auto"/>
            <w:noWrap/>
            <w:hideMark/>
          </w:tcPr>
          <w:p w14:paraId="4951074B" w14:textId="77777777" w:rsidR="00282EB1" w:rsidRPr="00270A31" w:rsidRDefault="00282EB1" w:rsidP="003B3FE8">
            <w:pPr>
              <w:jc w:val="center"/>
              <w:rPr>
                <w:b/>
                <w:bCs/>
                <w:color w:val="000000"/>
                <w:sz w:val="20"/>
                <w:szCs w:val="20"/>
              </w:rPr>
            </w:pPr>
            <w:r>
              <w:rPr>
                <w:b/>
                <w:color w:val="000000"/>
                <w:sz w:val="20"/>
              </w:rPr>
              <w:t>Agence</w:t>
            </w:r>
          </w:p>
        </w:tc>
        <w:tc>
          <w:tcPr>
            <w:tcW w:w="1230" w:type="pct"/>
            <w:tcBorders>
              <w:top w:val="single" w:sz="4" w:space="0" w:color="auto"/>
              <w:left w:val="nil"/>
              <w:bottom w:val="single" w:sz="4" w:space="0" w:color="auto"/>
              <w:right w:val="single" w:sz="4" w:space="0" w:color="auto"/>
            </w:tcBorders>
            <w:shd w:val="clear" w:color="auto" w:fill="auto"/>
            <w:noWrap/>
            <w:hideMark/>
          </w:tcPr>
          <w:p w14:paraId="4491B498" w14:textId="77777777" w:rsidR="00282EB1" w:rsidRPr="00270A31" w:rsidRDefault="00282EB1" w:rsidP="003B3FE8">
            <w:pPr>
              <w:jc w:val="center"/>
              <w:rPr>
                <w:b/>
                <w:bCs/>
                <w:color w:val="000000"/>
                <w:sz w:val="20"/>
                <w:szCs w:val="20"/>
              </w:rPr>
            </w:pPr>
            <w:r>
              <w:rPr>
                <w:b/>
                <w:color w:val="000000"/>
                <w:sz w:val="20"/>
              </w:rPr>
              <w:t>Sommes approuvées* ($ US)</w:t>
            </w:r>
          </w:p>
        </w:tc>
        <w:tc>
          <w:tcPr>
            <w:tcW w:w="1312" w:type="pct"/>
            <w:tcBorders>
              <w:top w:val="single" w:sz="4" w:space="0" w:color="auto"/>
              <w:left w:val="nil"/>
              <w:bottom w:val="single" w:sz="4" w:space="0" w:color="auto"/>
              <w:right w:val="single" w:sz="4" w:space="0" w:color="auto"/>
            </w:tcBorders>
            <w:shd w:val="clear" w:color="auto" w:fill="auto"/>
            <w:hideMark/>
          </w:tcPr>
          <w:p w14:paraId="24C9F7B9" w14:textId="77777777" w:rsidR="00282EB1" w:rsidRPr="00270A31" w:rsidRDefault="00282EB1" w:rsidP="003B3FE8">
            <w:pPr>
              <w:jc w:val="center"/>
              <w:rPr>
                <w:b/>
                <w:bCs/>
                <w:color w:val="000000"/>
                <w:sz w:val="20"/>
                <w:szCs w:val="20"/>
              </w:rPr>
            </w:pPr>
            <w:r>
              <w:rPr>
                <w:b/>
                <w:color w:val="000000"/>
                <w:sz w:val="20"/>
              </w:rPr>
              <w:t>Coûts d’appui d’agence* ($ US)</w:t>
            </w:r>
          </w:p>
        </w:tc>
        <w:tc>
          <w:tcPr>
            <w:tcW w:w="1423" w:type="pct"/>
            <w:tcBorders>
              <w:top w:val="single" w:sz="4" w:space="0" w:color="auto"/>
              <w:left w:val="nil"/>
              <w:bottom w:val="single" w:sz="4" w:space="0" w:color="auto"/>
              <w:right w:val="single" w:sz="4" w:space="0" w:color="auto"/>
            </w:tcBorders>
            <w:shd w:val="clear" w:color="auto" w:fill="auto"/>
            <w:noWrap/>
            <w:hideMark/>
          </w:tcPr>
          <w:p w14:paraId="73313923" w14:textId="77777777" w:rsidR="00282EB1" w:rsidRPr="00270A31" w:rsidRDefault="00282EB1" w:rsidP="003B3FE8">
            <w:pPr>
              <w:jc w:val="center"/>
              <w:rPr>
                <w:b/>
                <w:bCs/>
                <w:color w:val="000000"/>
                <w:sz w:val="20"/>
                <w:szCs w:val="20"/>
              </w:rPr>
            </w:pPr>
            <w:r>
              <w:rPr>
                <w:b/>
                <w:color w:val="000000"/>
                <w:sz w:val="20"/>
              </w:rPr>
              <w:t>Sommes décaissées** ($ US)</w:t>
            </w:r>
          </w:p>
        </w:tc>
      </w:tr>
      <w:tr w:rsidR="00270A31" w:rsidRPr="00270A31" w14:paraId="56D9A779" w14:textId="77777777" w:rsidTr="003B3FE8">
        <w:trPr>
          <w:trHeight w:val="80"/>
          <w:jc w:val="center"/>
        </w:trPr>
        <w:tc>
          <w:tcPr>
            <w:tcW w:w="1035" w:type="pct"/>
            <w:tcBorders>
              <w:top w:val="nil"/>
              <w:left w:val="single" w:sz="4" w:space="0" w:color="auto"/>
              <w:bottom w:val="single" w:sz="4" w:space="0" w:color="auto"/>
              <w:right w:val="single" w:sz="4" w:space="0" w:color="auto"/>
            </w:tcBorders>
            <w:shd w:val="clear" w:color="auto" w:fill="auto"/>
            <w:noWrap/>
            <w:hideMark/>
          </w:tcPr>
          <w:p w14:paraId="766048DF" w14:textId="77777777" w:rsidR="00270A31" w:rsidRPr="00270A31" w:rsidRDefault="00270A31" w:rsidP="003B3FE8">
            <w:pPr>
              <w:jc w:val="center"/>
              <w:rPr>
                <w:color w:val="000000"/>
                <w:sz w:val="20"/>
                <w:szCs w:val="20"/>
              </w:rPr>
            </w:pPr>
            <w:r>
              <w:rPr>
                <w:color w:val="000000"/>
                <w:sz w:val="20"/>
              </w:rPr>
              <w:t>Agences bilatérales</w:t>
            </w:r>
          </w:p>
        </w:tc>
        <w:tc>
          <w:tcPr>
            <w:tcW w:w="1230" w:type="pct"/>
            <w:tcBorders>
              <w:top w:val="nil"/>
              <w:left w:val="nil"/>
              <w:bottom w:val="single" w:sz="4" w:space="0" w:color="auto"/>
              <w:right w:val="single" w:sz="4" w:space="0" w:color="auto"/>
            </w:tcBorders>
            <w:shd w:val="clear" w:color="auto" w:fill="auto"/>
            <w:noWrap/>
          </w:tcPr>
          <w:p w14:paraId="66D89922" w14:textId="41B21B0C" w:rsidR="00270A31" w:rsidRPr="001927CD" w:rsidRDefault="00270A31" w:rsidP="003B3FE8">
            <w:pPr>
              <w:jc w:val="center"/>
              <w:rPr>
                <w:i/>
                <w:iCs/>
                <w:color w:val="000000"/>
                <w:sz w:val="20"/>
                <w:szCs w:val="20"/>
              </w:rPr>
            </w:pPr>
            <w:r>
              <w:rPr>
                <w:i/>
                <w:sz w:val="20"/>
              </w:rPr>
              <w:t>À compléter</w:t>
            </w:r>
          </w:p>
        </w:tc>
        <w:tc>
          <w:tcPr>
            <w:tcW w:w="1312" w:type="pct"/>
            <w:tcBorders>
              <w:top w:val="nil"/>
              <w:left w:val="nil"/>
              <w:bottom w:val="single" w:sz="4" w:space="0" w:color="auto"/>
              <w:right w:val="single" w:sz="4" w:space="0" w:color="auto"/>
            </w:tcBorders>
            <w:shd w:val="clear" w:color="auto" w:fill="auto"/>
            <w:noWrap/>
          </w:tcPr>
          <w:p w14:paraId="1E778C96" w14:textId="242311CC" w:rsidR="00270A31" w:rsidRPr="001927CD" w:rsidRDefault="00270A31" w:rsidP="003B3FE8">
            <w:pPr>
              <w:jc w:val="center"/>
              <w:rPr>
                <w:i/>
                <w:iCs/>
                <w:color w:val="000000"/>
                <w:sz w:val="20"/>
                <w:szCs w:val="20"/>
              </w:rPr>
            </w:pPr>
            <w:r>
              <w:rPr>
                <w:i/>
                <w:sz w:val="20"/>
              </w:rPr>
              <w:t>À compléter</w:t>
            </w:r>
          </w:p>
        </w:tc>
        <w:tc>
          <w:tcPr>
            <w:tcW w:w="1423" w:type="pct"/>
            <w:tcBorders>
              <w:top w:val="nil"/>
              <w:left w:val="nil"/>
              <w:bottom w:val="single" w:sz="4" w:space="0" w:color="auto"/>
              <w:right w:val="single" w:sz="4" w:space="0" w:color="auto"/>
            </w:tcBorders>
            <w:shd w:val="clear" w:color="auto" w:fill="auto"/>
            <w:noWrap/>
          </w:tcPr>
          <w:p w14:paraId="6B592B29" w14:textId="5180E987" w:rsidR="00270A31" w:rsidRPr="001927CD" w:rsidRDefault="00270A31" w:rsidP="003B3FE8">
            <w:pPr>
              <w:jc w:val="center"/>
              <w:rPr>
                <w:i/>
                <w:iCs/>
                <w:color w:val="000000"/>
                <w:sz w:val="20"/>
                <w:szCs w:val="20"/>
              </w:rPr>
            </w:pPr>
            <w:r>
              <w:rPr>
                <w:i/>
                <w:sz w:val="20"/>
              </w:rPr>
              <w:t>À compléter</w:t>
            </w:r>
          </w:p>
        </w:tc>
      </w:tr>
      <w:tr w:rsidR="00270A31" w:rsidRPr="00270A31" w14:paraId="50FFDD68" w14:textId="77777777" w:rsidTr="003B3FE8">
        <w:trPr>
          <w:trHeight w:val="107"/>
          <w:jc w:val="center"/>
        </w:trPr>
        <w:tc>
          <w:tcPr>
            <w:tcW w:w="1035" w:type="pct"/>
            <w:tcBorders>
              <w:top w:val="nil"/>
              <w:left w:val="single" w:sz="4" w:space="0" w:color="auto"/>
              <w:bottom w:val="single" w:sz="4" w:space="0" w:color="auto"/>
              <w:right w:val="single" w:sz="4" w:space="0" w:color="auto"/>
            </w:tcBorders>
            <w:shd w:val="clear" w:color="auto" w:fill="auto"/>
            <w:noWrap/>
            <w:hideMark/>
          </w:tcPr>
          <w:p w14:paraId="76FAB63A" w14:textId="77777777" w:rsidR="00270A31" w:rsidRPr="00270A31" w:rsidRDefault="00270A31" w:rsidP="003B3FE8">
            <w:pPr>
              <w:jc w:val="center"/>
              <w:rPr>
                <w:color w:val="000000"/>
                <w:sz w:val="20"/>
                <w:szCs w:val="20"/>
              </w:rPr>
            </w:pPr>
            <w:r>
              <w:rPr>
                <w:color w:val="000000"/>
                <w:sz w:val="20"/>
              </w:rPr>
              <w:t>PNUD</w:t>
            </w:r>
          </w:p>
        </w:tc>
        <w:tc>
          <w:tcPr>
            <w:tcW w:w="1230" w:type="pct"/>
            <w:tcBorders>
              <w:top w:val="nil"/>
              <w:left w:val="nil"/>
              <w:bottom w:val="single" w:sz="4" w:space="0" w:color="auto"/>
              <w:right w:val="single" w:sz="4" w:space="0" w:color="auto"/>
            </w:tcBorders>
            <w:shd w:val="clear" w:color="auto" w:fill="auto"/>
            <w:noWrap/>
          </w:tcPr>
          <w:p w14:paraId="0B2DD725" w14:textId="68C4798B" w:rsidR="00270A31" w:rsidRPr="001927CD" w:rsidRDefault="00270A31" w:rsidP="003B3FE8">
            <w:pPr>
              <w:jc w:val="center"/>
              <w:rPr>
                <w:i/>
                <w:iCs/>
                <w:color w:val="000000"/>
                <w:sz w:val="20"/>
                <w:szCs w:val="20"/>
              </w:rPr>
            </w:pPr>
            <w:r>
              <w:rPr>
                <w:i/>
                <w:sz w:val="20"/>
              </w:rPr>
              <w:t>À compléter</w:t>
            </w:r>
          </w:p>
        </w:tc>
        <w:tc>
          <w:tcPr>
            <w:tcW w:w="1312" w:type="pct"/>
            <w:tcBorders>
              <w:top w:val="nil"/>
              <w:left w:val="nil"/>
              <w:bottom w:val="single" w:sz="4" w:space="0" w:color="auto"/>
              <w:right w:val="single" w:sz="4" w:space="0" w:color="auto"/>
            </w:tcBorders>
            <w:shd w:val="clear" w:color="auto" w:fill="auto"/>
            <w:noWrap/>
          </w:tcPr>
          <w:p w14:paraId="78A35485" w14:textId="706E732F" w:rsidR="00270A31" w:rsidRPr="001927CD" w:rsidRDefault="00270A31" w:rsidP="003B3FE8">
            <w:pPr>
              <w:jc w:val="center"/>
              <w:rPr>
                <w:i/>
                <w:iCs/>
                <w:color w:val="000000"/>
                <w:sz w:val="20"/>
                <w:szCs w:val="20"/>
              </w:rPr>
            </w:pPr>
            <w:r>
              <w:rPr>
                <w:i/>
                <w:sz w:val="20"/>
              </w:rPr>
              <w:t>À compléter</w:t>
            </w:r>
          </w:p>
        </w:tc>
        <w:tc>
          <w:tcPr>
            <w:tcW w:w="1423" w:type="pct"/>
            <w:tcBorders>
              <w:top w:val="nil"/>
              <w:left w:val="nil"/>
              <w:bottom w:val="single" w:sz="4" w:space="0" w:color="auto"/>
              <w:right w:val="single" w:sz="4" w:space="0" w:color="auto"/>
            </w:tcBorders>
            <w:shd w:val="clear" w:color="auto" w:fill="auto"/>
            <w:noWrap/>
          </w:tcPr>
          <w:p w14:paraId="2CEE675B" w14:textId="598BC8DE" w:rsidR="00270A31" w:rsidRPr="001927CD" w:rsidRDefault="00270A31" w:rsidP="003B3FE8">
            <w:pPr>
              <w:jc w:val="center"/>
              <w:rPr>
                <w:i/>
                <w:iCs/>
                <w:color w:val="000000"/>
                <w:sz w:val="20"/>
                <w:szCs w:val="20"/>
              </w:rPr>
            </w:pPr>
            <w:r>
              <w:rPr>
                <w:i/>
                <w:sz w:val="20"/>
              </w:rPr>
              <w:t>À compléter</w:t>
            </w:r>
          </w:p>
        </w:tc>
      </w:tr>
      <w:tr w:rsidR="00270A31" w:rsidRPr="00270A31" w14:paraId="386C6E7B" w14:textId="77777777" w:rsidTr="003B3FE8">
        <w:trPr>
          <w:trHeight w:val="143"/>
          <w:jc w:val="center"/>
        </w:trPr>
        <w:tc>
          <w:tcPr>
            <w:tcW w:w="1035" w:type="pct"/>
            <w:tcBorders>
              <w:top w:val="nil"/>
              <w:left w:val="single" w:sz="4" w:space="0" w:color="auto"/>
              <w:bottom w:val="single" w:sz="4" w:space="0" w:color="auto"/>
              <w:right w:val="single" w:sz="4" w:space="0" w:color="auto"/>
            </w:tcBorders>
            <w:shd w:val="clear" w:color="auto" w:fill="auto"/>
            <w:noWrap/>
            <w:hideMark/>
          </w:tcPr>
          <w:p w14:paraId="02DDC656" w14:textId="77777777" w:rsidR="00270A31" w:rsidRPr="00270A31" w:rsidRDefault="00270A31" w:rsidP="003B3FE8">
            <w:pPr>
              <w:jc w:val="center"/>
              <w:rPr>
                <w:color w:val="000000"/>
                <w:sz w:val="20"/>
                <w:szCs w:val="20"/>
              </w:rPr>
            </w:pPr>
            <w:r>
              <w:rPr>
                <w:color w:val="000000"/>
                <w:sz w:val="20"/>
              </w:rPr>
              <w:t>PNUE</w:t>
            </w:r>
          </w:p>
        </w:tc>
        <w:tc>
          <w:tcPr>
            <w:tcW w:w="1230" w:type="pct"/>
            <w:tcBorders>
              <w:top w:val="nil"/>
              <w:left w:val="nil"/>
              <w:bottom w:val="single" w:sz="4" w:space="0" w:color="auto"/>
              <w:right w:val="single" w:sz="4" w:space="0" w:color="auto"/>
            </w:tcBorders>
            <w:shd w:val="clear" w:color="auto" w:fill="auto"/>
            <w:noWrap/>
          </w:tcPr>
          <w:p w14:paraId="110E85C5" w14:textId="5477AFB3" w:rsidR="00270A31" w:rsidRPr="001927CD" w:rsidRDefault="00270A31" w:rsidP="003B3FE8">
            <w:pPr>
              <w:jc w:val="center"/>
              <w:rPr>
                <w:i/>
                <w:iCs/>
                <w:color w:val="000000"/>
                <w:sz w:val="20"/>
                <w:szCs w:val="20"/>
              </w:rPr>
            </w:pPr>
            <w:r>
              <w:rPr>
                <w:i/>
                <w:sz w:val="20"/>
              </w:rPr>
              <w:t>À compléter</w:t>
            </w:r>
          </w:p>
        </w:tc>
        <w:tc>
          <w:tcPr>
            <w:tcW w:w="1312" w:type="pct"/>
            <w:tcBorders>
              <w:top w:val="nil"/>
              <w:left w:val="nil"/>
              <w:bottom w:val="single" w:sz="4" w:space="0" w:color="auto"/>
              <w:right w:val="single" w:sz="4" w:space="0" w:color="auto"/>
            </w:tcBorders>
            <w:shd w:val="clear" w:color="auto" w:fill="auto"/>
            <w:noWrap/>
          </w:tcPr>
          <w:p w14:paraId="752E96B4" w14:textId="5845B521" w:rsidR="00270A31" w:rsidRPr="001927CD" w:rsidRDefault="00270A31" w:rsidP="003B3FE8">
            <w:pPr>
              <w:jc w:val="center"/>
              <w:rPr>
                <w:i/>
                <w:iCs/>
                <w:color w:val="000000"/>
                <w:sz w:val="20"/>
                <w:szCs w:val="20"/>
              </w:rPr>
            </w:pPr>
            <w:r>
              <w:rPr>
                <w:i/>
                <w:sz w:val="20"/>
              </w:rPr>
              <w:t>À compléter</w:t>
            </w:r>
          </w:p>
        </w:tc>
        <w:tc>
          <w:tcPr>
            <w:tcW w:w="1423" w:type="pct"/>
            <w:tcBorders>
              <w:top w:val="nil"/>
              <w:left w:val="nil"/>
              <w:bottom w:val="single" w:sz="4" w:space="0" w:color="auto"/>
              <w:right w:val="single" w:sz="4" w:space="0" w:color="auto"/>
            </w:tcBorders>
            <w:shd w:val="clear" w:color="auto" w:fill="auto"/>
            <w:noWrap/>
          </w:tcPr>
          <w:p w14:paraId="17587AD1" w14:textId="62A5CAE8" w:rsidR="00270A31" w:rsidRPr="001927CD" w:rsidRDefault="00270A31" w:rsidP="003B3FE8">
            <w:pPr>
              <w:jc w:val="center"/>
              <w:rPr>
                <w:i/>
                <w:iCs/>
                <w:color w:val="000000"/>
                <w:sz w:val="20"/>
                <w:szCs w:val="20"/>
              </w:rPr>
            </w:pPr>
            <w:r>
              <w:rPr>
                <w:i/>
                <w:sz w:val="20"/>
              </w:rPr>
              <w:t>À compléter</w:t>
            </w:r>
          </w:p>
        </w:tc>
      </w:tr>
      <w:tr w:rsidR="00270A31" w:rsidRPr="00270A31" w14:paraId="53E3028B" w14:textId="77777777" w:rsidTr="003B3FE8">
        <w:trPr>
          <w:trHeight w:val="170"/>
          <w:jc w:val="center"/>
        </w:trPr>
        <w:tc>
          <w:tcPr>
            <w:tcW w:w="1035" w:type="pct"/>
            <w:tcBorders>
              <w:top w:val="nil"/>
              <w:left w:val="single" w:sz="4" w:space="0" w:color="auto"/>
              <w:bottom w:val="single" w:sz="4" w:space="0" w:color="auto"/>
              <w:right w:val="single" w:sz="4" w:space="0" w:color="auto"/>
            </w:tcBorders>
            <w:shd w:val="clear" w:color="auto" w:fill="auto"/>
            <w:noWrap/>
            <w:hideMark/>
          </w:tcPr>
          <w:p w14:paraId="32D73442" w14:textId="77777777" w:rsidR="00270A31" w:rsidRPr="00270A31" w:rsidRDefault="00270A31" w:rsidP="003B3FE8">
            <w:pPr>
              <w:jc w:val="center"/>
              <w:rPr>
                <w:color w:val="000000"/>
                <w:sz w:val="20"/>
                <w:szCs w:val="20"/>
              </w:rPr>
            </w:pPr>
            <w:r>
              <w:rPr>
                <w:color w:val="000000"/>
                <w:sz w:val="20"/>
              </w:rPr>
              <w:t>ONUDI</w:t>
            </w:r>
          </w:p>
        </w:tc>
        <w:tc>
          <w:tcPr>
            <w:tcW w:w="1230" w:type="pct"/>
            <w:tcBorders>
              <w:top w:val="nil"/>
              <w:left w:val="nil"/>
              <w:bottom w:val="single" w:sz="4" w:space="0" w:color="auto"/>
              <w:right w:val="single" w:sz="4" w:space="0" w:color="auto"/>
            </w:tcBorders>
            <w:shd w:val="clear" w:color="auto" w:fill="auto"/>
            <w:noWrap/>
          </w:tcPr>
          <w:p w14:paraId="04FC9E13" w14:textId="0E9C3694" w:rsidR="00270A31" w:rsidRPr="001927CD" w:rsidRDefault="00270A31" w:rsidP="003B3FE8">
            <w:pPr>
              <w:jc w:val="center"/>
              <w:rPr>
                <w:i/>
                <w:iCs/>
                <w:color w:val="000000"/>
                <w:sz w:val="20"/>
                <w:szCs w:val="20"/>
              </w:rPr>
            </w:pPr>
            <w:r>
              <w:rPr>
                <w:i/>
                <w:sz w:val="20"/>
              </w:rPr>
              <w:t>À compléter</w:t>
            </w:r>
          </w:p>
        </w:tc>
        <w:tc>
          <w:tcPr>
            <w:tcW w:w="1312" w:type="pct"/>
            <w:tcBorders>
              <w:top w:val="nil"/>
              <w:left w:val="nil"/>
              <w:bottom w:val="single" w:sz="4" w:space="0" w:color="auto"/>
              <w:right w:val="single" w:sz="4" w:space="0" w:color="auto"/>
            </w:tcBorders>
            <w:shd w:val="clear" w:color="auto" w:fill="auto"/>
            <w:noWrap/>
          </w:tcPr>
          <w:p w14:paraId="6A48E710" w14:textId="054291ED" w:rsidR="00270A31" w:rsidRPr="001927CD" w:rsidRDefault="00270A31" w:rsidP="003B3FE8">
            <w:pPr>
              <w:jc w:val="center"/>
              <w:rPr>
                <w:i/>
                <w:iCs/>
                <w:color w:val="000000"/>
                <w:sz w:val="20"/>
                <w:szCs w:val="20"/>
              </w:rPr>
            </w:pPr>
            <w:r>
              <w:rPr>
                <w:i/>
                <w:sz w:val="20"/>
              </w:rPr>
              <w:t>À compléter</w:t>
            </w:r>
          </w:p>
        </w:tc>
        <w:tc>
          <w:tcPr>
            <w:tcW w:w="1423" w:type="pct"/>
            <w:tcBorders>
              <w:top w:val="nil"/>
              <w:left w:val="nil"/>
              <w:bottom w:val="single" w:sz="4" w:space="0" w:color="auto"/>
              <w:right w:val="single" w:sz="4" w:space="0" w:color="auto"/>
            </w:tcBorders>
            <w:shd w:val="clear" w:color="auto" w:fill="auto"/>
            <w:noWrap/>
          </w:tcPr>
          <w:p w14:paraId="09D53871" w14:textId="0D661375" w:rsidR="00270A31" w:rsidRPr="001927CD" w:rsidRDefault="00270A31" w:rsidP="003B3FE8">
            <w:pPr>
              <w:jc w:val="center"/>
              <w:rPr>
                <w:i/>
                <w:iCs/>
                <w:color w:val="000000"/>
                <w:sz w:val="20"/>
                <w:szCs w:val="20"/>
              </w:rPr>
            </w:pPr>
            <w:r>
              <w:rPr>
                <w:i/>
                <w:sz w:val="20"/>
              </w:rPr>
              <w:t>À compléter</w:t>
            </w:r>
          </w:p>
        </w:tc>
      </w:tr>
      <w:tr w:rsidR="00270A31" w:rsidRPr="00270A31" w14:paraId="07FBDEEC" w14:textId="77777777" w:rsidTr="003B3FE8">
        <w:trPr>
          <w:trHeight w:val="116"/>
          <w:jc w:val="center"/>
        </w:trPr>
        <w:tc>
          <w:tcPr>
            <w:tcW w:w="1035" w:type="pct"/>
            <w:tcBorders>
              <w:top w:val="nil"/>
              <w:left w:val="single" w:sz="4" w:space="0" w:color="auto"/>
              <w:bottom w:val="single" w:sz="4" w:space="0" w:color="auto"/>
              <w:right w:val="single" w:sz="4" w:space="0" w:color="auto"/>
            </w:tcBorders>
            <w:shd w:val="clear" w:color="auto" w:fill="auto"/>
            <w:noWrap/>
            <w:hideMark/>
          </w:tcPr>
          <w:p w14:paraId="46E570E0" w14:textId="77777777" w:rsidR="00270A31" w:rsidRPr="00270A31" w:rsidRDefault="00270A31" w:rsidP="003B3FE8">
            <w:pPr>
              <w:jc w:val="center"/>
              <w:rPr>
                <w:color w:val="000000"/>
                <w:sz w:val="20"/>
                <w:szCs w:val="20"/>
              </w:rPr>
            </w:pPr>
            <w:r>
              <w:rPr>
                <w:color w:val="000000"/>
                <w:sz w:val="20"/>
              </w:rPr>
              <w:t>Banque mondiale</w:t>
            </w:r>
          </w:p>
        </w:tc>
        <w:tc>
          <w:tcPr>
            <w:tcW w:w="1230" w:type="pct"/>
            <w:tcBorders>
              <w:top w:val="nil"/>
              <w:left w:val="nil"/>
              <w:bottom w:val="single" w:sz="4" w:space="0" w:color="auto"/>
              <w:right w:val="single" w:sz="4" w:space="0" w:color="auto"/>
            </w:tcBorders>
            <w:shd w:val="clear" w:color="auto" w:fill="auto"/>
            <w:noWrap/>
          </w:tcPr>
          <w:p w14:paraId="6B282E2B" w14:textId="19E6895C" w:rsidR="00270A31" w:rsidRPr="001927CD" w:rsidRDefault="00270A31" w:rsidP="003B3FE8">
            <w:pPr>
              <w:jc w:val="center"/>
              <w:rPr>
                <w:i/>
                <w:iCs/>
                <w:color w:val="000000"/>
                <w:sz w:val="20"/>
                <w:szCs w:val="20"/>
              </w:rPr>
            </w:pPr>
            <w:r>
              <w:rPr>
                <w:i/>
                <w:sz w:val="20"/>
              </w:rPr>
              <w:t>À compléter</w:t>
            </w:r>
          </w:p>
        </w:tc>
        <w:tc>
          <w:tcPr>
            <w:tcW w:w="1312" w:type="pct"/>
            <w:tcBorders>
              <w:top w:val="nil"/>
              <w:left w:val="nil"/>
              <w:bottom w:val="single" w:sz="4" w:space="0" w:color="auto"/>
              <w:right w:val="single" w:sz="4" w:space="0" w:color="auto"/>
            </w:tcBorders>
            <w:shd w:val="clear" w:color="auto" w:fill="auto"/>
            <w:noWrap/>
          </w:tcPr>
          <w:p w14:paraId="7F801DEE" w14:textId="65E4E9E4" w:rsidR="00270A31" w:rsidRPr="001927CD" w:rsidRDefault="00270A31" w:rsidP="003B3FE8">
            <w:pPr>
              <w:jc w:val="center"/>
              <w:rPr>
                <w:i/>
                <w:iCs/>
                <w:color w:val="000000"/>
                <w:sz w:val="20"/>
                <w:szCs w:val="20"/>
              </w:rPr>
            </w:pPr>
            <w:r>
              <w:rPr>
                <w:i/>
                <w:sz w:val="20"/>
              </w:rPr>
              <w:t>À compléter</w:t>
            </w:r>
          </w:p>
        </w:tc>
        <w:tc>
          <w:tcPr>
            <w:tcW w:w="1423" w:type="pct"/>
            <w:tcBorders>
              <w:top w:val="nil"/>
              <w:left w:val="nil"/>
              <w:bottom w:val="single" w:sz="4" w:space="0" w:color="auto"/>
              <w:right w:val="single" w:sz="4" w:space="0" w:color="auto"/>
            </w:tcBorders>
            <w:shd w:val="clear" w:color="auto" w:fill="auto"/>
            <w:noWrap/>
          </w:tcPr>
          <w:p w14:paraId="71092C78" w14:textId="20051592" w:rsidR="00270A31" w:rsidRPr="001927CD" w:rsidRDefault="00270A31" w:rsidP="003B3FE8">
            <w:pPr>
              <w:jc w:val="center"/>
              <w:rPr>
                <w:i/>
                <w:iCs/>
                <w:color w:val="000000"/>
                <w:sz w:val="20"/>
                <w:szCs w:val="20"/>
              </w:rPr>
            </w:pPr>
            <w:r>
              <w:rPr>
                <w:i/>
                <w:sz w:val="20"/>
              </w:rPr>
              <w:t>À compléter</w:t>
            </w:r>
          </w:p>
        </w:tc>
      </w:tr>
      <w:tr w:rsidR="00270A31" w:rsidRPr="00270A31" w14:paraId="26471F2B" w14:textId="77777777" w:rsidTr="003B3FE8">
        <w:trPr>
          <w:trHeight w:val="143"/>
          <w:jc w:val="center"/>
        </w:trPr>
        <w:tc>
          <w:tcPr>
            <w:tcW w:w="1035" w:type="pct"/>
            <w:tcBorders>
              <w:top w:val="nil"/>
              <w:left w:val="single" w:sz="4" w:space="0" w:color="auto"/>
              <w:bottom w:val="single" w:sz="4" w:space="0" w:color="auto"/>
              <w:right w:val="single" w:sz="4" w:space="0" w:color="auto"/>
            </w:tcBorders>
            <w:shd w:val="clear" w:color="auto" w:fill="auto"/>
            <w:noWrap/>
            <w:hideMark/>
          </w:tcPr>
          <w:p w14:paraId="64A3C9CA" w14:textId="77777777" w:rsidR="00270A31" w:rsidRPr="00270A31" w:rsidRDefault="00270A31" w:rsidP="003B3FE8">
            <w:pPr>
              <w:jc w:val="center"/>
              <w:rPr>
                <w:b/>
                <w:bCs/>
                <w:color w:val="000000"/>
                <w:sz w:val="20"/>
                <w:szCs w:val="20"/>
              </w:rPr>
            </w:pPr>
            <w:r>
              <w:rPr>
                <w:b/>
                <w:color w:val="000000"/>
                <w:sz w:val="20"/>
              </w:rPr>
              <w:t>Total</w:t>
            </w:r>
          </w:p>
        </w:tc>
        <w:tc>
          <w:tcPr>
            <w:tcW w:w="1230" w:type="pct"/>
            <w:tcBorders>
              <w:top w:val="nil"/>
              <w:left w:val="nil"/>
              <w:bottom w:val="single" w:sz="4" w:space="0" w:color="auto"/>
              <w:right w:val="single" w:sz="4" w:space="0" w:color="auto"/>
            </w:tcBorders>
            <w:shd w:val="clear" w:color="auto" w:fill="auto"/>
            <w:noWrap/>
          </w:tcPr>
          <w:p w14:paraId="7A814437" w14:textId="3C304DBD" w:rsidR="00270A31" w:rsidRPr="001927CD" w:rsidRDefault="00270A31" w:rsidP="003B3FE8">
            <w:pPr>
              <w:jc w:val="center"/>
              <w:rPr>
                <w:b/>
                <w:bCs/>
                <w:i/>
                <w:iCs/>
                <w:color w:val="000000"/>
                <w:sz w:val="20"/>
                <w:szCs w:val="20"/>
              </w:rPr>
            </w:pPr>
            <w:r>
              <w:rPr>
                <w:i/>
                <w:sz w:val="20"/>
              </w:rPr>
              <w:t>À compléter</w:t>
            </w:r>
          </w:p>
        </w:tc>
        <w:tc>
          <w:tcPr>
            <w:tcW w:w="1312" w:type="pct"/>
            <w:tcBorders>
              <w:top w:val="nil"/>
              <w:left w:val="nil"/>
              <w:bottom w:val="single" w:sz="4" w:space="0" w:color="auto"/>
              <w:right w:val="single" w:sz="4" w:space="0" w:color="auto"/>
            </w:tcBorders>
            <w:shd w:val="clear" w:color="auto" w:fill="auto"/>
            <w:noWrap/>
          </w:tcPr>
          <w:p w14:paraId="4C22D928" w14:textId="19EDC3E5" w:rsidR="00270A31" w:rsidRPr="001927CD" w:rsidRDefault="00270A31" w:rsidP="003B3FE8">
            <w:pPr>
              <w:jc w:val="center"/>
              <w:rPr>
                <w:b/>
                <w:bCs/>
                <w:i/>
                <w:iCs/>
                <w:color w:val="000000"/>
                <w:sz w:val="20"/>
                <w:szCs w:val="20"/>
              </w:rPr>
            </w:pPr>
            <w:r>
              <w:rPr>
                <w:i/>
                <w:sz w:val="20"/>
              </w:rPr>
              <w:t>À compléter</w:t>
            </w:r>
          </w:p>
        </w:tc>
        <w:tc>
          <w:tcPr>
            <w:tcW w:w="1423" w:type="pct"/>
            <w:tcBorders>
              <w:top w:val="nil"/>
              <w:left w:val="nil"/>
              <w:bottom w:val="single" w:sz="4" w:space="0" w:color="auto"/>
              <w:right w:val="single" w:sz="4" w:space="0" w:color="auto"/>
            </w:tcBorders>
            <w:shd w:val="clear" w:color="auto" w:fill="auto"/>
            <w:noWrap/>
          </w:tcPr>
          <w:p w14:paraId="6FF1B203" w14:textId="7E194000" w:rsidR="00270A31" w:rsidRPr="001927CD" w:rsidRDefault="00270A31" w:rsidP="003B3FE8">
            <w:pPr>
              <w:jc w:val="center"/>
              <w:rPr>
                <w:b/>
                <w:bCs/>
                <w:i/>
                <w:iCs/>
                <w:color w:val="000000"/>
                <w:sz w:val="20"/>
                <w:szCs w:val="20"/>
              </w:rPr>
            </w:pPr>
            <w:r>
              <w:rPr>
                <w:i/>
                <w:sz w:val="20"/>
              </w:rPr>
              <w:t>À compléter</w:t>
            </w:r>
          </w:p>
        </w:tc>
      </w:tr>
    </w:tbl>
    <w:p w14:paraId="118374B0" w14:textId="5ED91834" w:rsidR="00282EB1" w:rsidRPr="00A87595" w:rsidRDefault="00282EB1" w:rsidP="00BC750B">
      <w:pPr>
        <w:pStyle w:val="CM28"/>
        <w:spacing w:after="0"/>
        <w:rPr>
          <w:sz w:val="18"/>
          <w:szCs w:val="18"/>
        </w:rPr>
      </w:pPr>
      <w:r>
        <w:rPr>
          <w:sz w:val="18"/>
        </w:rPr>
        <w:t xml:space="preserve">* Au </w:t>
      </w:r>
      <w:r>
        <w:rPr>
          <w:color w:val="000000"/>
          <w:sz w:val="18"/>
          <w:highlight w:val="yellow"/>
        </w:rPr>
        <w:t>???</w:t>
      </w:r>
      <w:r>
        <w:rPr>
          <w:sz w:val="18"/>
        </w:rPr>
        <w:t xml:space="preserve"> (ne comprend pas les projets annulés et transférés).</w:t>
      </w:r>
    </w:p>
    <w:p w14:paraId="7B204306" w14:textId="15B51451" w:rsidR="00282EB1" w:rsidRPr="00A87595" w:rsidRDefault="00282EB1" w:rsidP="00BC750B">
      <w:pPr>
        <w:pStyle w:val="CM28"/>
        <w:spacing w:after="240"/>
        <w:rPr>
          <w:sz w:val="18"/>
          <w:szCs w:val="18"/>
        </w:rPr>
      </w:pPr>
      <w:r>
        <w:rPr>
          <w:sz w:val="18"/>
        </w:rPr>
        <w:t xml:space="preserve">** Au </w:t>
      </w:r>
      <w:r>
        <w:rPr>
          <w:color w:val="000000"/>
          <w:sz w:val="18"/>
          <w:highlight w:val="yellow"/>
        </w:rPr>
        <w:t>???</w:t>
      </w:r>
      <w:r>
        <w:rPr>
          <w:sz w:val="18"/>
        </w:rPr>
        <w:t xml:space="preserve"> (ne comprend pas les projets annulés et transférés).</w:t>
      </w:r>
    </w:p>
    <w:p w14:paraId="36C3AF78" w14:textId="77777777" w:rsidR="00BC750B" w:rsidRDefault="00BC750B" w:rsidP="00BC750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DE94213" w14:textId="77777777" w:rsidTr="00715C02">
        <w:tc>
          <w:tcPr>
            <w:tcW w:w="1871" w:type="dxa"/>
          </w:tcPr>
          <w:p w14:paraId="04A4CB8D" w14:textId="49E7CFBD" w:rsidR="00BC750B" w:rsidRPr="009B0D30" w:rsidRDefault="00BC750B" w:rsidP="00FB077C"/>
        </w:tc>
        <w:tc>
          <w:tcPr>
            <w:tcW w:w="1872" w:type="dxa"/>
          </w:tcPr>
          <w:p w14:paraId="412190B4" w14:textId="77777777" w:rsidR="00E85409" w:rsidRPr="009B0D30" w:rsidRDefault="00E85409" w:rsidP="00FB077C"/>
        </w:tc>
        <w:tc>
          <w:tcPr>
            <w:tcW w:w="1872" w:type="dxa"/>
            <w:tcBorders>
              <w:bottom w:val="single" w:sz="4" w:space="0" w:color="auto"/>
            </w:tcBorders>
          </w:tcPr>
          <w:p w14:paraId="3FB910DF" w14:textId="77777777" w:rsidR="00E85409" w:rsidRPr="009B0D30" w:rsidRDefault="00E85409" w:rsidP="00FB077C"/>
        </w:tc>
        <w:tc>
          <w:tcPr>
            <w:tcW w:w="1872" w:type="dxa"/>
          </w:tcPr>
          <w:p w14:paraId="39C91FCA" w14:textId="77777777" w:rsidR="00E85409" w:rsidRPr="009B0D30" w:rsidRDefault="00E85409" w:rsidP="00FB077C"/>
        </w:tc>
        <w:tc>
          <w:tcPr>
            <w:tcW w:w="1873" w:type="dxa"/>
          </w:tcPr>
          <w:p w14:paraId="73D56DFC" w14:textId="77777777" w:rsidR="00E85409" w:rsidRPr="009B0D30" w:rsidRDefault="00E85409" w:rsidP="00FB077C"/>
        </w:tc>
      </w:tr>
    </w:tbl>
    <w:p w14:paraId="5898B189" w14:textId="77777777" w:rsidR="00E85409" w:rsidRPr="009B0D30" w:rsidRDefault="00E85409" w:rsidP="004E7F9C"/>
    <w:sectPr w:rsidR="00E85409" w:rsidRPr="009B0D30" w:rsidSect="0020264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C0A9E2" w14:textId="77777777" w:rsidR="0020264F" w:rsidRDefault="0020264F" w:rsidP="004A504B">
      <w:r>
        <w:separator/>
      </w:r>
    </w:p>
  </w:endnote>
  <w:endnote w:type="continuationSeparator" w:id="0">
    <w:p w14:paraId="6E3123AF" w14:textId="77777777" w:rsidR="0020264F" w:rsidRDefault="0020264F" w:rsidP="004A504B">
      <w:r>
        <w:continuationSeparator/>
      </w:r>
    </w:p>
  </w:endnote>
  <w:endnote w:type="continuationNotice" w:id="1">
    <w:p w14:paraId="332C3563" w14:textId="77777777" w:rsidR="0020264F" w:rsidRDefault="002026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Roboto">
    <w:panose1 w:val="02000000000000000000"/>
    <w:charset w:val="00"/>
    <w:family w:val="auto"/>
    <w:pitch w:val="variable"/>
    <w:sig w:usb0="E0000AFF" w:usb1="5000217F" w:usb2="0000002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6A26C"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635FB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D7F8A" w14:textId="77777777" w:rsidR="003850C3" w:rsidRDefault="003850C3" w:rsidP="003850C3">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 xml:space="preserve">Les documents de présession du Comité exécutif du Fonds multilatéral aux fins d’application du Protocole de </w:t>
    </w:r>
  </w:p>
  <w:p w14:paraId="7C87513B" w14:textId="4A4A0CFD" w:rsidR="004E7F9C" w:rsidRPr="003850C3" w:rsidRDefault="003850C3" w:rsidP="003850C3">
    <w:pPr>
      <w:pBdr>
        <w:top w:val="single" w:sz="4" w:space="1" w:color="auto"/>
        <w:left w:val="single" w:sz="4" w:space="4" w:color="auto"/>
        <w:bottom w:val="single" w:sz="4" w:space="1" w:color="auto"/>
        <w:right w:val="single" w:sz="4" w:space="4" w:color="auto"/>
      </w:pBdr>
      <w:jc w:val="center"/>
      <w:rPr>
        <w:rFonts w:cs="MS Serif"/>
        <w:sz w:val="20"/>
      </w:rPr>
    </w:pPr>
    <w:r>
      <w:rPr>
        <w:rFonts w:cs="MS Serif"/>
        <w:sz w:val="20"/>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9BEB69" w14:textId="77777777" w:rsidR="0020264F" w:rsidRDefault="0020264F" w:rsidP="004A504B">
      <w:r>
        <w:separator/>
      </w:r>
    </w:p>
  </w:footnote>
  <w:footnote w:type="continuationSeparator" w:id="0">
    <w:p w14:paraId="03159CC5" w14:textId="77777777" w:rsidR="0020264F" w:rsidRDefault="0020264F" w:rsidP="004A504B">
      <w:r>
        <w:continuationSeparator/>
      </w:r>
    </w:p>
  </w:footnote>
  <w:footnote w:type="continuationNotice" w:id="1">
    <w:p w14:paraId="0409D123" w14:textId="77777777" w:rsidR="0020264F" w:rsidRDefault="0020264F"/>
  </w:footnote>
  <w:footnote w:id="2">
    <w:p w14:paraId="527927D3" w14:textId="77777777" w:rsidR="0079781A" w:rsidRPr="001E1147" w:rsidRDefault="0079781A"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3">
    <w:p w14:paraId="1204AABD" w14:textId="42AC8772" w:rsidR="00F0671D" w:rsidRPr="005C57EC" w:rsidRDefault="00F0671D" w:rsidP="00F0671D">
      <w:pPr>
        <w:pStyle w:val="FootnoteText"/>
      </w:pPr>
      <w:r>
        <w:rPr>
          <w:rStyle w:val="FootnoteReference"/>
        </w:rPr>
        <w:footnoteRef/>
      </w:r>
      <w:r>
        <w:t> UNEP/</w:t>
      </w:r>
      <w:proofErr w:type="spellStart"/>
      <w:r>
        <w:t>OzL.Pro</w:t>
      </w:r>
      <w:proofErr w:type="spellEnd"/>
      <w:r>
        <w:t>/</w:t>
      </w:r>
      <w:proofErr w:type="spellStart"/>
      <w:r>
        <w:t>ExCom</w:t>
      </w:r>
      <w:proofErr w:type="spellEnd"/>
      <w:r>
        <w:t>/93/105 [</w:t>
      </w:r>
      <w:r>
        <w:rPr>
          <w:highlight w:val="yellow"/>
        </w:rPr>
        <w:t>et UNEP/</w:t>
      </w:r>
      <w:proofErr w:type="spellStart"/>
      <w:r>
        <w:rPr>
          <w:highlight w:val="yellow"/>
        </w:rPr>
        <w:t>OzL.Pro</w:t>
      </w:r>
      <w:proofErr w:type="spellEnd"/>
      <w:r>
        <w:rPr>
          <w:highlight w:val="yellow"/>
        </w:rPr>
        <w:t>/</w:t>
      </w:r>
      <w:proofErr w:type="spellStart"/>
      <w:r>
        <w:rPr>
          <w:highlight w:val="yellow"/>
        </w:rPr>
        <w:t>ExCom</w:t>
      </w:r>
      <w:proofErr w:type="spellEnd"/>
      <w:r>
        <w:rPr>
          <w:highlight w:val="yellow"/>
        </w:rPr>
        <w:t>/94/??</w:t>
      </w:r>
      <w:r>
        <w:t>].</w:t>
      </w:r>
    </w:p>
  </w:footnote>
  <w:footnote w:id="4">
    <w:p w14:paraId="4BCCEA50" w14:textId="701EFAD9" w:rsidR="0009159E" w:rsidRPr="005C57EC" w:rsidRDefault="0009159E">
      <w:pPr>
        <w:pStyle w:val="FootnoteText"/>
      </w:pPr>
      <w:r>
        <w:rPr>
          <w:rStyle w:val="FootnoteReference"/>
        </w:rPr>
        <w:footnoteRef/>
      </w:r>
      <w:r>
        <w:t> </w:t>
      </w:r>
      <w:bookmarkStart w:id="0" w:name="_Hlk163574035"/>
      <w:r>
        <w:t>UNEP/</w:t>
      </w:r>
      <w:proofErr w:type="spellStart"/>
      <w:r>
        <w:t>OzL.Pro</w:t>
      </w:r>
      <w:proofErr w:type="spellEnd"/>
      <w:r>
        <w:t>/</w:t>
      </w:r>
      <w:proofErr w:type="spellStart"/>
      <w:r>
        <w:t>ExCom</w:t>
      </w:r>
      <w:proofErr w:type="spellEnd"/>
      <w:r>
        <w:t>/93/96</w:t>
      </w:r>
      <w:bookmarkEnd w:id="0"/>
      <w:r>
        <w:t>, UNEP/</w:t>
      </w:r>
      <w:proofErr w:type="spellStart"/>
      <w:r>
        <w:t>OzL.Pro</w:t>
      </w:r>
      <w:proofErr w:type="spellEnd"/>
      <w:r>
        <w:t>/</w:t>
      </w:r>
      <w:proofErr w:type="spellStart"/>
      <w:r>
        <w:t>ExCom</w:t>
      </w:r>
      <w:proofErr w:type="spellEnd"/>
      <w:r>
        <w:t xml:space="preserve">/93/97 </w:t>
      </w:r>
      <w:r>
        <w:rPr>
          <w:highlight w:val="yellow"/>
        </w:rPr>
        <w:t>[et UNEP/</w:t>
      </w:r>
      <w:proofErr w:type="spellStart"/>
      <w:r>
        <w:rPr>
          <w:highlight w:val="yellow"/>
        </w:rPr>
        <w:t>OzL.Pro</w:t>
      </w:r>
      <w:proofErr w:type="spellEnd"/>
      <w:r>
        <w:rPr>
          <w:highlight w:val="yellow"/>
        </w:rPr>
        <w:t>/</w:t>
      </w:r>
      <w:proofErr w:type="spellStart"/>
      <w:r>
        <w:rPr>
          <w:highlight w:val="yellow"/>
        </w:rPr>
        <w:t>ExCom</w:t>
      </w:r>
      <w:proofErr w:type="spellEnd"/>
      <w:r>
        <w:rPr>
          <w:highlight w:val="yellow"/>
        </w:rPr>
        <w:t>/94/60</w:t>
      </w:r>
      <w:r>
        <w:t>].</w:t>
      </w:r>
    </w:p>
  </w:footnote>
  <w:footnote w:id="5">
    <w:p w14:paraId="7E7D0D71" w14:textId="5B7C5562" w:rsidR="0009159E" w:rsidRPr="001C01D4" w:rsidRDefault="0009159E">
      <w:pPr>
        <w:pStyle w:val="FootnoteText"/>
        <w:rPr>
          <w:lang w:val="en-CA"/>
        </w:rPr>
      </w:pPr>
      <w:r>
        <w:rPr>
          <w:rStyle w:val="FootnoteReference"/>
        </w:rPr>
        <w:footnoteRef/>
      </w:r>
      <w:r w:rsidRPr="001C01D4">
        <w:rPr>
          <w:lang w:val="en-CA"/>
        </w:rPr>
        <w:t> UNEP/OzL.Pro/ExCom/93/105, annexe LXII.</w:t>
      </w:r>
    </w:p>
  </w:footnote>
  <w:footnote w:id="6">
    <w:p w14:paraId="4E47BA97" w14:textId="77777777" w:rsidR="00282EB1" w:rsidRPr="001C01D4" w:rsidRDefault="00282EB1" w:rsidP="00282EB1">
      <w:pPr>
        <w:pStyle w:val="FootnoteText"/>
        <w:tabs>
          <w:tab w:val="left" w:pos="5670"/>
        </w:tabs>
        <w:rPr>
          <w:lang w:val="en-CA"/>
        </w:rPr>
      </w:pPr>
      <w:r>
        <w:rPr>
          <w:vertAlign w:val="superscript"/>
        </w:rPr>
        <w:footnoteRef/>
      </w:r>
      <w:r w:rsidRPr="001C01D4">
        <w:rPr>
          <w:lang w:val="en-CA"/>
        </w:rPr>
        <w:t> UNEP/OzL.Pro/ExCom/82/65 et Add.1.</w:t>
      </w:r>
    </w:p>
  </w:footnote>
  <w:footnote w:id="7">
    <w:p w14:paraId="19AB5103" w14:textId="77777777" w:rsidR="007E0207" w:rsidRPr="001C01D4" w:rsidRDefault="007E0207" w:rsidP="007E0207">
      <w:pPr>
        <w:pStyle w:val="FootnoteText"/>
        <w:rPr>
          <w:lang w:val="en-CA"/>
        </w:rPr>
      </w:pPr>
      <w:r>
        <w:rPr>
          <w:rStyle w:val="FootnoteReference"/>
        </w:rPr>
        <w:footnoteRef/>
      </w:r>
      <w:r w:rsidRPr="001C01D4">
        <w:rPr>
          <w:lang w:val="en-CA"/>
        </w:rPr>
        <w:t> UNEP/OzL.Pro/ExCom/93/98.</w:t>
      </w:r>
    </w:p>
  </w:footnote>
  <w:footnote w:id="8">
    <w:p w14:paraId="07A84C5F" w14:textId="0687D89A" w:rsidR="00282EB1" w:rsidRPr="001C01D4" w:rsidRDefault="00282EB1" w:rsidP="00282EB1">
      <w:pPr>
        <w:pStyle w:val="FootnoteText"/>
        <w:rPr>
          <w:lang w:val="en-CA"/>
        </w:rPr>
      </w:pPr>
      <w:r>
        <w:rPr>
          <w:vertAlign w:val="superscript"/>
          <w:lang w:val="en-GB"/>
        </w:rPr>
        <w:footnoteRef/>
      </w:r>
      <w:r w:rsidRPr="001C01D4">
        <w:rPr>
          <w:lang w:val="en-CA"/>
        </w:rPr>
        <w:t> UNEP/OzL.Pro/ExCom/93/100.</w:t>
      </w:r>
    </w:p>
  </w:footnote>
  <w:footnote w:id="9">
    <w:p w14:paraId="38530E61" w14:textId="55E5036C" w:rsidR="0089471D" w:rsidRPr="001C01D4" w:rsidRDefault="0089471D">
      <w:pPr>
        <w:pStyle w:val="FootnoteText"/>
        <w:rPr>
          <w:lang w:val="en-CA"/>
        </w:rPr>
      </w:pPr>
      <w:r>
        <w:rPr>
          <w:rStyle w:val="FootnoteReference"/>
        </w:rPr>
        <w:footnoteRef/>
      </w:r>
      <w:r w:rsidRPr="001C01D4">
        <w:rPr>
          <w:lang w:val="en-CA"/>
        </w:rPr>
        <w:t> UNEP/OzL.Pro/ExCom/93/105, annexe LXIII.</w:t>
      </w:r>
    </w:p>
  </w:footnote>
  <w:footnote w:id="10">
    <w:p w14:paraId="7C43170A" w14:textId="1BB77D52" w:rsidR="0089471D" w:rsidRPr="001C01D4" w:rsidRDefault="0089471D">
      <w:pPr>
        <w:pStyle w:val="FootnoteText"/>
        <w:rPr>
          <w:lang w:val="en-CA"/>
        </w:rPr>
      </w:pPr>
      <w:r>
        <w:rPr>
          <w:rStyle w:val="FootnoteReference"/>
        </w:rPr>
        <w:footnoteRef/>
      </w:r>
      <w:r w:rsidRPr="001C01D4">
        <w:rPr>
          <w:lang w:val="en-CA"/>
        </w:rPr>
        <w:t xml:space="preserve"> UNEP/OzL.Pro/ExCom/93/99. </w:t>
      </w:r>
    </w:p>
  </w:footnote>
  <w:footnote w:id="11">
    <w:p w14:paraId="1FDD4589" w14:textId="34D550E2" w:rsidR="005519C2" w:rsidRPr="001C01D4" w:rsidRDefault="005519C2">
      <w:pPr>
        <w:pStyle w:val="FootnoteText"/>
        <w:rPr>
          <w:lang w:val="en-CA"/>
        </w:rPr>
      </w:pPr>
      <w:r>
        <w:rPr>
          <w:rStyle w:val="FootnoteReference"/>
        </w:rPr>
        <w:footnoteRef/>
      </w:r>
      <w:r w:rsidRPr="001C01D4">
        <w:rPr>
          <w:lang w:val="en-CA"/>
        </w:rPr>
        <w:t> UNEP/OzL.Pro/ExCom/93/31.</w:t>
      </w:r>
    </w:p>
  </w:footnote>
  <w:footnote w:id="12">
    <w:p w14:paraId="2BEA8E1D" w14:textId="69C47D55" w:rsidR="00D23BEC" w:rsidRPr="007A6E40" w:rsidRDefault="00D23BEC">
      <w:pPr>
        <w:pStyle w:val="FootnoteText"/>
      </w:pPr>
      <w:r>
        <w:rPr>
          <w:rStyle w:val="FootnoteReference"/>
        </w:rPr>
        <w:footnoteRef/>
      </w:r>
      <w:r>
        <w:t xml:space="preserve"> « Le Comté exécutif a décidé de charger les agences bilatérales et d’exécution, lors de la préparation des plans </w:t>
      </w:r>
      <w:proofErr w:type="spellStart"/>
      <w:r>
        <w:t>pluri</w:t>
      </w:r>
      <w:r>
        <w:noBreakHyphen/>
        <w:t>annuels</w:t>
      </w:r>
      <w:proofErr w:type="spellEnd"/>
      <w:r>
        <w:t xml:space="preserve"> de gestion de l’élimination des HCFC, de veiller à ce que la dernière tranche affecte 10 pour</w:t>
      </w:r>
      <w:r w:rsidR="00CB063A">
        <w:t> </w:t>
      </w:r>
      <w:r>
        <w:t>cent du financement total au secteur de l’entretien des équipements de réfrigération d</w:t>
      </w:r>
      <w:r w:rsidR="00CB063A">
        <w:t>ans</w:t>
      </w:r>
      <w:r>
        <w:t xml:space="preserve"> l’accord et qu’elle soit prévue la dernière année du plan.</w:t>
      </w:r>
      <w:r w:rsidR="00E850DD">
        <w:t> »</w:t>
      </w:r>
    </w:p>
  </w:footnote>
  <w:footnote w:id="13">
    <w:p w14:paraId="0D6530E7" w14:textId="356A99E3" w:rsidR="00AC0411" w:rsidRPr="007A6E40" w:rsidRDefault="00AC0411">
      <w:pPr>
        <w:pStyle w:val="FootnoteText"/>
      </w:pPr>
      <w:r>
        <w:rPr>
          <w:rStyle w:val="FootnoteReference"/>
        </w:rPr>
        <w:footnoteRef/>
      </w:r>
      <w:r>
        <w:t> UNEP/</w:t>
      </w:r>
      <w:proofErr w:type="spellStart"/>
      <w:r>
        <w:t>OzL.Pro</w:t>
      </w:r>
      <w:proofErr w:type="spellEnd"/>
      <w:r>
        <w:t>/</w:t>
      </w:r>
      <w:proofErr w:type="spellStart"/>
      <w:r>
        <w:t>ExCom</w:t>
      </w:r>
      <w:proofErr w:type="spellEnd"/>
      <w:r>
        <w:t>/93/101.</w:t>
      </w:r>
    </w:p>
  </w:footnote>
  <w:footnote w:id="14">
    <w:p w14:paraId="662CB91D" w14:textId="77777777" w:rsidR="00282EB1" w:rsidRPr="00C97D59" w:rsidRDefault="00282EB1" w:rsidP="00282EB1">
      <w:pPr>
        <w:pStyle w:val="FootnoteText"/>
      </w:pPr>
      <w:r>
        <w:rPr>
          <w:rStyle w:val="FootnoteReference"/>
        </w:rPr>
        <w:footnoteRef/>
      </w:r>
      <w:r>
        <w:t> UNEP/</w:t>
      </w:r>
      <w:proofErr w:type="spellStart"/>
      <w:r>
        <w:t>OzL.Pro</w:t>
      </w:r>
      <w:proofErr w:type="spellEnd"/>
      <w:r>
        <w:t>/</w:t>
      </w:r>
      <w:proofErr w:type="spellStart"/>
      <w:r>
        <w:t>ExCom</w:t>
      </w:r>
      <w:proofErr w:type="spellEnd"/>
      <w:r>
        <w:t>/83/38.</w:t>
      </w:r>
    </w:p>
  </w:footnote>
  <w:footnote w:id="15">
    <w:p w14:paraId="00F64DA7" w14:textId="5251371B" w:rsidR="006A4A06" w:rsidRPr="00C97D59" w:rsidRDefault="006A4A06">
      <w:pPr>
        <w:pStyle w:val="FootnoteText"/>
      </w:pPr>
      <w:r>
        <w:rPr>
          <w:rStyle w:val="FootnoteReference"/>
        </w:rPr>
        <w:footnoteRef/>
      </w:r>
      <w:r>
        <w:t> UNEP/</w:t>
      </w:r>
      <w:proofErr w:type="spellStart"/>
      <w:r>
        <w:t>OzL.Pro</w:t>
      </w:r>
      <w:proofErr w:type="spellEnd"/>
      <w:r>
        <w:t>/</w:t>
      </w:r>
      <w:proofErr w:type="spellStart"/>
      <w:r>
        <w:t>ExCom</w:t>
      </w:r>
      <w:proofErr w:type="spellEnd"/>
      <w:r>
        <w:t>/93/102.</w:t>
      </w:r>
    </w:p>
  </w:footnote>
  <w:footnote w:id="16">
    <w:p w14:paraId="36721986" w14:textId="35C371AA" w:rsidR="006A4A06" w:rsidRPr="00C97D59" w:rsidRDefault="006A4A06">
      <w:pPr>
        <w:pStyle w:val="FootnoteText"/>
      </w:pPr>
      <w:r>
        <w:rPr>
          <w:rStyle w:val="FootnoteReference"/>
        </w:rPr>
        <w:footnoteRef/>
      </w:r>
      <w:r>
        <w:t> UNEP/</w:t>
      </w:r>
      <w:proofErr w:type="spellStart"/>
      <w:r>
        <w:t>OzL.Pro</w:t>
      </w:r>
      <w:proofErr w:type="spellEnd"/>
      <w:r>
        <w:t>/</w:t>
      </w:r>
      <w:proofErr w:type="spellStart"/>
      <w:r>
        <w:t>ExCom</w:t>
      </w:r>
      <w:proofErr w:type="spellEnd"/>
      <w:r>
        <w:t>/93/102, UNEP/</w:t>
      </w:r>
      <w:proofErr w:type="spellStart"/>
      <w:r>
        <w:t>OzL.Pro</w:t>
      </w:r>
      <w:proofErr w:type="spellEnd"/>
      <w:r>
        <w:t>/</w:t>
      </w:r>
      <w:proofErr w:type="spellStart"/>
      <w:r>
        <w:t>ExCom</w:t>
      </w:r>
      <w:proofErr w:type="spellEnd"/>
      <w:r>
        <w:t>/91/69 et UNEP/</w:t>
      </w:r>
      <w:proofErr w:type="spellStart"/>
      <w:r>
        <w:t>OzL.Pro</w:t>
      </w:r>
      <w:proofErr w:type="spellEnd"/>
      <w:r>
        <w:t>/</w:t>
      </w:r>
      <w:proofErr w:type="spellStart"/>
      <w:r>
        <w:t>ExCom</w:t>
      </w:r>
      <w:proofErr w:type="spellEnd"/>
      <w:r>
        <w:t>/89/3.</w:t>
      </w:r>
    </w:p>
  </w:footnote>
  <w:footnote w:id="17">
    <w:p w14:paraId="366E88D6" w14:textId="2EB63D3A" w:rsidR="0025140F" w:rsidRPr="00C97D59" w:rsidRDefault="0025140F">
      <w:pPr>
        <w:pStyle w:val="FootnoteText"/>
      </w:pPr>
      <w:r>
        <w:rPr>
          <w:rStyle w:val="FootnoteReference"/>
        </w:rPr>
        <w:footnoteRef/>
      </w:r>
      <w:r>
        <w:t xml:space="preserve"> Portant, entre autres, sur l’établissement d’une fenêtre de financement pour la préparation d’inventaires nationaux des banques de substances réglementées utilisées ou indésirables et d’un plan pour la collecte, le transport et l’élimination de </w:t>
      </w:r>
      <w:r w:rsidR="0047283A">
        <w:t>ces</w:t>
      </w:r>
      <w:r>
        <w:t xml:space="preserve"> substances, incluant les possibilités de recyclage, de régénération et de destruction rentable.</w:t>
      </w:r>
    </w:p>
  </w:footnote>
  <w:footnote w:id="18">
    <w:p w14:paraId="2936D7AC" w14:textId="6D1A7D3D" w:rsidR="00282EB1" w:rsidRPr="0089317D" w:rsidRDefault="00282EB1" w:rsidP="00282EB1">
      <w:pPr>
        <w:pStyle w:val="FootnoteText"/>
      </w:pPr>
      <w:r>
        <w:rPr>
          <w:rStyle w:val="FootnoteReference"/>
        </w:rPr>
        <w:footnoteRef/>
      </w:r>
      <w:r>
        <w:t> UNEP/</w:t>
      </w:r>
      <w:proofErr w:type="spellStart"/>
      <w:r>
        <w:t>OzL.Pro</w:t>
      </w:r>
      <w:proofErr w:type="spellEnd"/>
      <w:r>
        <w:t>/</w:t>
      </w:r>
      <w:proofErr w:type="spellStart"/>
      <w:r>
        <w:t>ExCom</w:t>
      </w:r>
      <w:proofErr w:type="spellEnd"/>
      <w:r>
        <w:t>/93/103.</w:t>
      </w:r>
    </w:p>
  </w:footnote>
  <w:footnote w:id="19">
    <w:p w14:paraId="2FDE4080" w14:textId="3731137F" w:rsidR="00622BF8" w:rsidRPr="0089317D" w:rsidRDefault="00622BF8">
      <w:pPr>
        <w:pStyle w:val="FootnoteText"/>
      </w:pPr>
      <w:r>
        <w:rPr>
          <w:rStyle w:val="FootnoteReference"/>
        </w:rPr>
        <w:footnoteRef/>
      </w:r>
      <w:r>
        <w:t> UNEP/</w:t>
      </w:r>
      <w:proofErr w:type="spellStart"/>
      <w:r>
        <w:t>OzL.Pro</w:t>
      </w:r>
      <w:proofErr w:type="spellEnd"/>
      <w:r>
        <w:t>/</w:t>
      </w:r>
      <w:proofErr w:type="spellStart"/>
      <w:r>
        <w:t>ExCom</w:t>
      </w:r>
      <w:proofErr w:type="spellEnd"/>
      <w:r>
        <w:t>/93/105, annexe LXIV.</w:t>
      </w:r>
    </w:p>
  </w:footnote>
  <w:footnote w:id="20">
    <w:p w14:paraId="747D7567" w14:textId="15761028" w:rsidR="00282EB1" w:rsidRPr="0089317D" w:rsidRDefault="00282EB1" w:rsidP="00282EB1">
      <w:pPr>
        <w:pStyle w:val="FootnoteText"/>
      </w:pPr>
      <w:r>
        <w:rPr>
          <w:rStyle w:val="FootnoteReference"/>
        </w:rPr>
        <w:footnoteRef/>
      </w:r>
      <w:r>
        <w:t> UNEP/</w:t>
      </w:r>
      <w:proofErr w:type="spellStart"/>
      <w:r>
        <w:t>OzL.Pro</w:t>
      </w:r>
      <w:proofErr w:type="spellEnd"/>
      <w:r>
        <w:t>/</w:t>
      </w:r>
      <w:proofErr w:type="spellStart"/>
      <w:r>
        <w:t>ExCom</w:t>
      </w:r>
      <w:proofErr w:type="spellEnd"/>
      <w:r>
        <w:t>/93/104 [</w:t>
      </w:r>
      <w:r>
        <w:rPr>
          <w:highlight w:val="yellow"/>
        </w:rPr>
        <w:t>et UNEP/</w:t>
      </w:r>
      <w:proofErr w:type="spellStart"/>
      <w:r>
        <w:rPr>
          <w:highlight w:val="yellow"/>
        </w:rPr>
        <w:t>OzL.Pro</w:t>
      </w:r>
      <w:proofErr w:type="spellEnd"/>
      <w:r>
        <w:rPr>
          <w:highlight w:val="yellow"/>
        </w:rPr>
        <w:t>/</w:t>
      </w:r>
      <w:proofErr w:type="spellStart"/>
      <w:r>
        <w:rPr>
          <w:highlight w:val="yellow"/>
        </w:rPr>
        <w:t>ExCom</w:t>
      </w:r>
      <w:proofErr w:type="spellEnd"/>
      <w:r>
        <w:rPr>
          <w:highlight w:val="yellow"/>
        </w:rPr>
        <w:t>/94/??</w:t>
      </w:r>
      <w:r>
        <w:t>].</w:t>
      </w:r>
    </w:p>
  </w:footnote>
  <w:footnote w:id="21">
    <w:p w14:paraId="4F4180C3" w14:textId="41290EA4" w:rsidR="000270B4" w:rsidRPr="0089317D" w:rsidRDefault="000270B4">
      <w:pPr>
        <w:pStyle w:val="FootnoteText"/>
      </w:pPr>
      <w:r>
        <w:rPr>
          <w:rStyle w:val="FootnoteReference"/>
        </w:rPr>
        <w:footnoteRef/>
      </w:r>
      <w:r>
        <w:t> Comme indiqué dans l’annexe I du document UNEP/</w:t>
      </w:r>
      <w:proofErr w:type="spellStart"/>
      <w:r>
        <w:t>OzL.Pro</w:t>
      </w:r>
      <w:proofErr w:type="spellEnd"/>
      <w:r>
        <w:t>/</w:t>
      </w:r>
      <w:proofErr w:type="spellStart"/>
      <w:r>
        <w:t>ExCom</w:t>
      </w:r>
      <w:proofErr w:type="spellEnd"/>
      <w:r>
        <w:t>/93/104/Rev.1.</w:t>
      </w:r>
    </w:p>
  </w:footnote>
  <w:footnote w:id="22">
    <w:p w14:paraId="1E325D7C" w14:textId="1205E581" w:rsidR="000270B4" w:rsidRPr="0089317D" w:rsidRDefault="000270B4">
      <w:pPr>
        <w:pStyle w:val="FootnoteText"/>
      </w:pPr>
      <w:r>
        <w:rPr>
          <w:rStyle w:val="FootnoteReference"/>
        </w:rPr>
        <w:footnoteRef/>
      </w:r>
      <w:r>
        <w:t> Comme indiqué dans le document UNEP/</w:t>
      </w:r>
      <w:proofErr w:type="spellStart"/>
      <w:r>
        <w:t>OzL.Pro</w:t>
      </w:r>
      <w:proofErr w:type="spellEnd"/>
      <w:r>
        <w:t>/</w:t>
      </w:r>
      <w:proofErr w:type="spellStart"/>
      <w:r>
        <w:t>ExCom</w:t>
      </w:r>
      <w:proofErr w:type="spellEnd"/>
      <w:r>
        <w:t xml:space="preserve">/93/SGP/5 du sous-groupe </w:t>
      </w:r>
      <w:r w:rsidR="009F5239">
        <w:t>dédié au</w:t>
      </w:r>
      <w:r>
        <w:t xml:space="preserve"> secteur de la production. </w:t>
      </w:r>
    </w:p>
  </w:footnote>
  <w:footnote w:id="23">
    <w:p w14:paraId="4666F5B3" w14:textId="16EC0D5D" w:rsidR="002809B3" w:rsidRPr="00C73E49" w:rsidRDefault="002809B3" w:rsidP="00020638">
      <w:pPr>
        <w:pStyle w:val="FootnoteText"/>
        <w:keepNext/>
        <w:keepLines/>
        <w:widowControl w:val="0"/>
      </w:pPr>
      <w:r>
        <w:rPr>
          <w:rStyle w:val="FootnoteReference"/>
        </w:rPr>
        <w:footnoteRef/>
      </w:r>
      <w:r>
        <w:t> « Une installation verticalement intégrée est une installation qui comprend une ou plusieurs chaînes de production produisant des SAO utilisées exclusivement comme matières premières dans la fabrication d’autres produits chimiques dans un procédé en aval qui est exclusivement détenu, exploité et contrôlé par la même entité légale, y compris les entités légales au sein du même groupe. L’installation verticalement intégrée peut aussi acheter des SAO pour compléter celles produites par la ou les chaînes de production internes</w:t>
      </w:r>
      <w:r w:rsidR="00AA583E">
        <w:t>,</w:t>
      </w:r>
      <w:r>
        <w:t xml:space="preserve"> à condition de suivre et de communiquer de façon claire la quantité des SAO complémentaires. Une installation verticalement intégrée doit présenter les caractéristiques suivantes : (i) les SAO produites dans l’installation verticalement intégrée sont exclusivement destinées à servir de matière première dans le procédé de production en aval. L’installation verticalement intégrée peut aussi vendre ou transférer des SAO, en cas de surplus dû à un arrêt ou une fermeture imprévisible de l’usine, à condition qu’elles soient exclusivement vendues pour un usage en tant que matière première ; dans ce cas, le gouvernement concerné devra en informer le Comité exécutif pour veiller à inclure</w:t>
      </w:r>
      <w:r w:rsidR="00AA583E">
        <w:t>, dans la vérification annuelle,</w:t>
      </w:r>
      <w:r>
        <w:t xml:space="preserve"> ces ventes ou transferts issus de l’installation dans la vérification annuelle ; (ii) la capacité nominale des procédés de production en aval doit être compatible ou supérieure à la capacité de la ou des chaînes produisant des SAO en amont ; et (iii) un mécanisme de surveillance et de communication doit être mis en place pour s’assurer que toutes les SAO produites par l’installation intégrée sont exclusivement utilisées comme matière première dans la fabrication d’autres produits chimiques dans le procédé de production en aval. »</w:t>
      </w:r>
    </w:p>
  </w:footnote>
  <w:footnote w:id="24">
    <w:p w14:paraId="62FD8E59" w14:textId="47653D13" w:rsidR="00E747E0" w:rsidRPr="001C01D4" w:rsidRDefault="00E747E0">
      <w:pPr>
        <w:pStyle w:val="FootnoteText"/>
        <w:rPr>
          <w:lang w:val="en-CA"/>
        </w:rPr>
      </w:pPr>
      <w:r>
        <w:rPr>
          <w:rStyle w:val="FootnoteReference"/>
        </w:rPr>
        <w:footnoteRef/>
      </w:r>
      <w:r w:rsidRPr="001C01D4">
        <w:rPr>
          <w:lang w:val="en-CA"/>
        </w:rPr>
        <w:t> UNEP/OzL.Pro/ExCom/93/104/Rev.1, annexe II.</w:t>
      </w:r>
    </w:p>
  </w:footnote>
  <w:footnote w:id="25">
    <w:p w14:paraId="206E95F4" w14:textId="6C5FC3BB" w:rsidR="00B8034F" w:rsidRPr="001C01D4" w:rsidRDefault="00B8034F" w:rsidP="00B8034F">
      <w:pPr>
        <w:pStyle w:val="FootnoteText"/>
        <w:rPr>
          <w:lang w:val="en-CA"/>
        </w:rPr>
      </w:pPr>
      <w:r>
        <w:rPr>
          <w:rStyle w:val="FootnoteReference"/>
        </w:rPr>
        <w:footnoteRef/>
      </w:r>
      <w:r w:rsidRPr="001C01D4">
        <w:rPr>
          <w:lang w:val="en-CA"/>
        </w:rPr>
        <w:t> UNEP/OzL.Pro/ExCom/93/33 [</w:t>
      </w:r>
      <w:r w:rsidRPr="001C01D4">
        <w:rPr>
          <w:highlight w:val="yellow"/>
          <w:lang w:val="en-CA"/>
        </w:rPr>
        <w:t>et UNEP/OzL.Pro/ExCom/94/16</w:t>
      </w:r>
      <w:r w:rsidRPr="001C01D4">
        <w:rPr>
          <w:lang w:val="en-CA"/>
        </w:rPr>
        <w:t>].</w:t>
      </w:r>
    </w:p>
  </w:footnote>
  <w:footnote w:id="26">
    <w:p w14:paraId="4D7B6B09" w14:textId="71553414" w:rsidR="00B8034F" w:rsidRPr="001C01D4" w:rsidRDefault="00B8034F" w:rsidP="00B8034F">
      <w:pPr>
        <w:pStyle w:val="FootnoteText"/>
        <w:rPr>
          <w:lang w:val="en-CA"/>
        </w:rPr>
      </w:pPr>
      <w:r>
        <w:rPr>
          <w:rStyle w:val="FootnoteReference"/>
        </w:rPr>
        <w:footnoteRef/>
      </w:r>
      <w:r w:rsidRPr="001C01D4">
        <w:rPr>
          <w:lang w:val="en-CA"/>
        </w:rPr>
        <w:t> UNEP/OzL.Pro/ExCom/93/34 [</w:t>
      </w:r>
      <w:r w:rsidRPr="001C01D4">
        <w:rPr>
          <w:highlight w:val="yellow"/>
          <w:lang w:val="en-CA"/>
        </w:rPr>
        <w:t>et UNEP/OzL.Pro/ExCom/94/17]</w:t>
      </w:r>
      <w:r w:rsidRPr="001C01D4">
        <w:rPr>
          <w:lang w:val="en-CA"/>
        </w:rPr>
        <w:t>.</w:t>
      </w:r>
    </w:p>
  </w:footnote>
  <w:footnote w:id="27">
    <w:p w14:paraId="35CAEF44" w14:textId="77777777" w:rsidR="008C5B50" w:rsidRPr="001C01D4" w:rsidRDefault="008C5B50" w:rsidP="008C5B50">
      <w:pPr>
        <w:pStyle w:val="FootnoteText"/>
        <w:rPr>
          <w:lang w:val="en-CA"/>
        </w:rPr>
      </w:pPr>
      <w:r>
        <w:rPr>
          <w:rStyle w:val="FootnoteReference"/>
        </w:rPr>
        <w:footnoteRef/>
      </w:r>
      <w:r w:rsidRPr="001C01D4">
        <w:rPr>
          <w:lang w:val="en-CA"/>
        </w:rPr>
        <w:t xml:space="preserve"> UNEP/OzL.Pro/ExCom/93/32. </w:t>
      </w:r>
    </w:p>
  </w:footnote>
  <w:footnote w:id="28">
    <w:p w14:paraId="4549D2AD" w14:textId="77777777" w:rsidR="008C5B50" w:rsidRPr="001C01D4" w:rsidRDefault="008C5B50" w:rsidP="008C5B50">
      <w:pPr>
        <w:pStyle w:val="FootnoteText"/>
        <w:widowControl w:val="0"/>
        <w:rPr>
          <w:lang w:val="en-CA"/>
        </w:rPr>
      </w:pPr>
      <w:r>
        <w:rPr>
          <w:rStyle w:val="FootnoteReference"/>
        </w:rPr>
        <w:footnoteRef/>
      </w:r>
      <w:r w:rsidRPr="001C01D4">
        <w:rPr>
          <w:lang w:val="en-CA"/>
        </w:rPr>
        <w:t> UNEP/OzL.Pro/ExCom/93/35.</w:t>
      </w:r>
    </w:p>
  </w:footnote>
  <w:footnote w:id="29">
    <w:p w14:paraId="3C2421EC" w14:textId="77777777" w:rsidR="008C5B50" w:rsidRPr="001C01D4" w:rsidRDefault="008C5B50" w:rsidP="008C5B50">
      <w:pPr>
        <w:pStyle w:val="FootnoteText"/>
        <w:widowControl w:val="0"/>
        <w:rPr>
          <w:lang w:val="en-CA"/>
        </w:rPr>
      </w:pPr>
      <w:r>
        <w:rPr>
          <w:rStyle w:val="FootnoteReference"/>
        </w:rPr>
        <w:footnoteRef/>
      </w:r>
      <w:r w:rsidRPr="001C01D4">
        <w:rPr>
          <w:lang w:val="en-CA"/>
        </w:rPr>
        <w:t> UNEP/OzL.Pro/ExCom/93/36.</w:t>
      </w:r>
    </w:p>
  </w:footnote>
  <w:footnote w:id="30">
    <w:p w14:paraId="513623DD" w14:textId="77777777" w:rsidR="008C5B50" w:rsidRPr="001C01D4" w:rsidRDefault="008C5B50" w:rsidP="008C5B50">
      <w:pPr>
        <w:pStyle w:val="FootnoteText"/>
        <w:widowControl w:val="0"/>
        <w:rPr>
          <w:lang w:val="en-CA"/>
        </w:rPr>
      </w:pPr>
      <w:r>
        <w:rPr>
          <w:rStyle w:val="FootnoteReference"/>
        </w:rPr>
        <w:footnoteRef/>
      </w:r>
      <w:r w:rsidRPr="001C01D4">
        <w:rPr>
          <w:lang w:val="en-CA"/>
        </w:rPr>
        <w:t> UNEP/OzL.Pro/ExCom/93/37.</w:t>
      </w:r>
    </w:p>
  </w:footnote>
  <w:footnote w:id="31">
    <w:p w14:paraId="250AB9EA" w14:textId="77777777" w:rsidR="008C5B50" w:rsidRPr="001C01D4" w:rsidRDefault="008C5B50" w:rsidP="008C5B50">
      <w:pPr>
        <w:pStyle w:val="FootnoteText"/>
        <w:rPr>
          <w:lang w:val="en-CA"/>
        </w:rPr>
      </w:pPr>
      <w:r>
        <w:rPr>
          <w:rStyle w:val="FootnoteReference"/>
        </w:rPr>
        <w:footnoteRef/>
      </w:r>
      <w:r w:rsidRPr="001C01D4">
        <w:rPr>
          <w:lang w:val="en-CA"/>
        </w:rPr>
        <w:t> UNEP/OzL.Pro/ExCom/93/38.</w:t>
      </w:r>
    </w:p>
  </w:footnote>
  <w:footnote w:id="32">
    <w:p w14:paraId="58C3EC78" w14:textId="61E931CA" w:rsidR="00282EB1" w:rsidRPr="001C01D4" w:rsidRDefault="00282EB1" w:rsidP="00282EB1">
      <w:pPr>
        <w:pStyle w:val="FootnoteText"/>
        <w:rPr>
          <w:lang w:val="en-CA"/>
        </w:rPr>
      </w:pPr>
      <w:r>
        <w:rPr>
          <w:rStyle w:val="FootnoteReference"/>
        </w:rPr>
        <w:footnoteRef/>
      </w:r>
      <w:r w:rsidRPr="001C01D4">
        <w:rPr>
          <w:lang w:val="en-CA"/>
        </w:rPr>
        <w:t> UNEP/OzL.Pro/ExCom/93/94.</w:t>
      </w:r>
    </w:p>
  </w:footnote>
  <w:footnote w:id="33">
    <w:p w14:paraId="6F53A343" w14:textId="7BD43363" w:rsidR="00282EB1" w:rsidRPr="001C01D4" w:rsidRDefault="00282EB1" w:rsidP="00282EB1">
      <w:pPr>
        <w:pStyle w:val="FootnoteText"/>
        <w:rPr>
          <w:lang w:val="en-CA"/>
        </w:rPr>
      </w:pPr>
      <w:r>
        <w:rPr>
          <w:rStyle w:val="FootnoteReference"/>
        </w:rPr>
        <w:footnoteRef/>
      </w:r>
      <w:r w:rsidRPr="001C01D4">
        <w:rPr>
          <w:lang w:val="en-CA"/>
        </w:rPr>
        <w:t> UNEP/OzL.Pro/ExCom/93/105, annexe LXI.</w:t>
      </w:r>
    </w:p>
  </w:footnote>
  <w:footnote w:id="34">
    <w:p w14:paraId="76AB4237" w14:textId="07BDFAC9" w:rsidR="00282EB1" w:rsidRPr="001C01D4" w:rsidRDefault="00282EB1" w:rsidP="00282EB1">
      <w:pPr>
        <w:pStyle w:val="FootnoteText"/>
        <w:rPr>
          <w:lang w:val="en-CA"/>
        </w:rPr>
      </w:pPr>
      <w:r>
        <w:rPr>
          <w:rStyle w:val="FootnoteReference"/>
        </w:rPr>
        <w:footnoteRef/>
      </w:r>
      <w:r w:rsidRPr="001C01D4">
        <w:rPr>
          <w:lang w:val="en-CA"/>
        </w:rPr>
        <w:t> UNEP/OzL.Pro/ExCom/93/95.</w:t>
      </w:r>
    </w:p>
  </w:footnote>
  <w:footnote w:id="35">
    <w:p w14:paraId="23182202" w14:textId="2E0EAAE9" w:rsidR="00282EB1" w:rsidRPr="001C01D4" w:rsidRDefault="00282EB1" w:rsidP="00282EB1">
      <w:pPr>
        <w:pStyle w:val="FootnoteText"/>
        <w:rPr>
          <w:lang w:val="en-CA"/>
        </w:rPr>
      </w:pPr>
      <w:r>
        <w:rPr>
          <w:rStyle w:val="FootnoteReference"/>
        </w:rPr>
        <w:footnoteRef/>
      </w:r>
      <w:r w:rsidRPr="001C01D4">
        <w:rPr>
          <w:lang w:val="en-CA"/>
        </w:rPr>
        <w:t> UNEP/OzL.Pro/ExCom/93/8.</w:t>
      </w:r>
    </w:p>
  </w:footnote>
  <w:footnote w:id="36">
    <w:p w14:paraId="500A742A" w14:textId="60B2B19F" w:rsidR="00FB3FDC" w:rsidRPr="001C01D4" w:rsidRDefault="00FB3FDC">
      <w:pPr>
        <w:pStyle w:val="FootnoteText"/>
        <w:rPr>
          <w:lang w:val="en-CA"/>
        </w:rPr>
      </w:pPr>
      <w:r>
        <w:rPr>
          <w:rStyle w:val="FootnoteReference"/>
        </w:rPr>
        <w:footnoteRef/>
      </w:r>
      <w:r w:rsidRPr="001C01D4">
        <w:rPr>
          <w:lang w:val="en-CA"/>
        </w:rPr>
        <w:t> </w:t>
      </w:r>
      <w:r w:rsidRPr="001C01D4">
        <w:rPr>
          <w:highlight w:val="yellow"/>
          <w:lang w:val="en-CA"/>
        </w:rPr>
        <w:t>[UNEP/OzL.Pro/ExCom/94/5]</w:t>
      </w:r>
      <w:r w:rsidRPr="001C01D4">
        <w:rPr>
          <w:lang w:val="en-CA"/>
        </w:rPr>
        <w:t>.</w:t>
      </w:r>
    </w:p>
  </w:footnote>
  <w:footnote w:id="37">
    <w:p w14:paraId="1251BA8B" w14:textId="2A65DDDC" w:rsidR="00282EB1" w:rsidRPr="001C01D4" w:rsidRDefault="00282EB1" w:rsidP="00282EB1">
      <w:pPr>
        <w:pStyle w:val="FootnoteText"/>
        <w:rPr>
          <w:lang w:val="en-CA"/>
        </w:rPr>
      </w:pPr>
      <w:r>
        <w:rPr>
          <w:vertAlign w:val="superscript"/>
          <w:lang w:val="en-GB"/>
        </w:rPr>
        <w:footnoteRef/>
      </w:r>
      <w:r w:rsidRPr="001C01D4">
        <w:rPr>
          <w:lang w:val="en-CA"/>
        </w:rPr>
        <w:t> UNEP/OzL.Pro/ExCom/93/24.</w:t>
      </w:r>
    </w:p>
  </w:footnote>
  <w:footnote w:id="38">
    <w:p w14:paraId="36E62DDD" w14:textId="0CE3B140" w:rsidR="00473AC4" w:rsidRPr="001C01D4" w:rsidRDefault="00473AC4">
      <w:pPr>
        <w:pStyle w:val="FootnoteText"/>
        <w:rPr>
          <w:lang w:val="en-CA"/>
        </w:rPr>
      </w:pPr>
      <w:r>
        <w:rPr>
          <w:rStyle w:val="FootnoteReference"/>
          <w:highlight w:val="yellow"/>
        </w:rPr>
        <w:footnoteRef/>
      </w:r>
      <w:r w:rsidRPr="001C01D4">
        <w:rPr>
          <w:highlight w:val="yellow"/>
          <w:lang w:val="en-CA"/>
        </w:rPr>
        <w:t> [UNEP/OzL.Pro/ExCom/94/13]</w:t>
      </w:r>
      <w:r w:rsidRPr="001C01D4">
        <w:rPr>
          <w:lang w:val="en-CA"/>
        </w:rPr>
        <w:t>.</w:t>
      </w:r>
    </w:p>
  </w:footnote>
  <w:footnote w:id="39">
    <w:p w14:paraId="6FECCB5C" w14:textId="349C62BF" w:rsidR="00282EB1" w:rsidRPr="001C01D4" w:rsidRDefault="00282EB1" w:rsidP="00282EB1">
      <w:pPr>
        <w:pStyle w:val="FootnoteText"/>
        <w:rPr>
          <w:lang w:val="en-CA"/>
        </w:rPr>
      </w:pPr>
      <w:r>
        <w:rPr>
          <w:rStyle w:val="FootnoteReference"/>
        </w:rPr>
        <w:footnoteRef/>
      </w:r>
      <w:r w:rsidRPr="001C01D4">
        <w:rPr>
          <w:lang w:val="en-CA"/>
        </w:rPr>
        <w:t xml:space="preserve"> UNEP/OzL.Pro/ExCom/93/105, annexe IX, </w:t>
      </w:r>
      <w:r w:rsidRPr="001C01D4">
        <w:rPr>
          <w:highlight w:val="yellow"/>
          <w:lang w:val="en-CA"/>
        </w:rPr>
        <w:t>[et UNEP/OzL.Pro/ExCom/94/??, annexe ???</w:t>
      </w:r>
      <w:r w:rsidRPr="001C01D4">
        <w:rPr>
          <w:lang w:val="en-CA"/>
        </w:rPr>
        <w:t>].</w:t>
      </w:r>
    </w:p>
  </w:footnote>
  <w:footnote w:id="40">
    <w:p w14:paraId="6A426A6D" w14:textId="5759FE9F" w:rsidR="00282EB1" w:rsidRPr="001C01D4" w:rsidRDefault="00282EB1" w:rsidP="00282EB1">
      <w:pPr>
        <w:pStyle w:val="FootnoteText"/>
        <w:rPr>
          <w:lang w:val="en-CA"/>
        </w:rPr>
      </w:pPr>
      <w:r>
        <w:rPr>
          <w:rStyle w:val="FootnoteReference"/>
        </w:rPr>
        <w:footnoteRef/>
      </w:r>
      <w:r w:rsidRPr="001C01D4">
        <w:rPr>
          <w:lang w:val="en-CA"/>
        </w:rPr>
        <w:t> UNEP/OzL.Pro/ExCom/93/14.</w:t>
      </w:r>
    </w:p>
  </w:footnote>
  <w:footnote w:id="41">
    <w:p w14:paraId="10F9C7EB" w14:textId="72E2BAA3" w:rsidR="00282EB1" w:rsidRPr="001C01D4" w:rsidRDefault="00282EB1" w:rsidP="00282EB1">
      <w:pPr>
        <w:pStyle w:val="FootnoteText"/>
        <w:rPr>
          <w:lang w:val="en-CA"/>
        </w:rPr>
      </w:pPr>
      <w:r>
        <w:rPr>
          <w:rStyle w:val="FootnoteReference"/>
        </w:rPr>
        <w:footnoteRef/>
      </w:r>
      <w:r w:rsidRPr="001C01D4">
        <w:rPr>
          <w:lang w:val="en-CA"/>
        </w:rPr>
        <w:t> UNEP/OzL.Pro/ExCom/93/15.</w:t>
      </w:r>
    </w:p>
  </w:footnote>
  <w:footnote w:id="42">
    <w:p w14:paraId="5977408F" w14:textId="638CD9CA" w:rsidR="00282EB1" w:rsidRPr="001C01D4" w:rsidRDefault="00282EB1" w:rsidP="00282EB1">
      <w:pPr>
        <w:pStyle w:val="FootnoteText"/>
        <w:rPr>
          <w:lang w:val="en-CA"/>
        </w:rPr>
      </w:pPr>
      <w:r>
        <w:rPr>
          <w:rStyle w:val="FootnoteReference"/>
        </w:rPr>
        <w:footnoteRef/>
      </w:r>
      <w:r w:rsidRPr="001C01D4">
        <w:rPr>
          <w:lang w:val="en-CA"/>
        </w:rPr>
        <w:t> UNEP/OzL.Pro/ExCom/93/16.</w:t>
      </w:r>
    </w:p>
  </w:footnote>
  <w:footnote w:id="43">
    <w:p w14:paraId="4EF4A502" w14:textId="722CC670" w:rsidR="00282EB1" w:rsidRPr="001C01D4" w:rsidRDefault="00282EB1" w:rsidP="00282EB1">
      <w:pPr>
        <w:pStyle w:val="FootnoteText"/>
        <w:rPr>
          <w:lang w:val="en-CA"/>
        </w:rPr>
      </w:pPr>
      <w:r>
        <w:rPr>
          <w:rStyle w:val="FootnoteReference"/>
        </w:rPr>
        <w:footnoteRef/>
      </w:r>
      <w:r w:rsidRPr="001C01D4">
        <w:rPr>
          <w:lang w:val="en-CA"/>
        </w:rPr>
        <w:t> UNEP/OzL.Pro/ExCom/93/17.</w:t>
      </w:r>
    </w:p>
  </w:footnote>
  <w:footnote w:id="44">
    <w:p w14:paraId="1A6B2F9F" w14:textId="4D3CE3A1" w:rsidR="00282EB1" w:rsidRPr="001C01D4" w:rsidRDefault="00282EB1" w:rsidP="00282EB1">
      <w:pPr>
        <w:pStyle w:val="FootnoteText"/>
        <w:rPr>
          <w:lang w:val="en-CA"/>
        </w:rPr>
      </w:pPr>
      <w:r>
        <w:rPr>
          <w:rStyle w:val="FootnoteReference"/>
        </w:rPr>
        <w:footnoteRef/>
      </w:r>
      <w:r w:rsidRPr="001C01D4">
        <w:rPr>
          <w:lang w:val="en-CA"/>
        </w:rPr>
        <w:t> UNEP/OzL.Pro/ExCom/93/18.</w:t>
      </w:r>
    </w:p>
  </w:footnote>
  <w:footnote w:id="45">
    <w:p w14:paraId="1D0E9DD6" w14:textId="684069C0" w:rsidR="00282EB1" w:rsidRPr="001C01D4" w:rsidRDefault="00282EB1" w:rsidP="00282EB1">
      <w:pPr>
        <w:pStyle w:val="FootnoteText"/>
        <w:rPr>
          <w:lang w:val="en-CA"/>
        </w:rPr>
      </w:pPr>
      <w:r>
        <w:rPr>
          <w:rStyle w:val="FootnoteReference"/>
        </w:rPr>
        <w:footnoteRef/>
      </w:r>
      <w:r w:rsidRPr="001C01D4">
        <w:rPr>
          <w:lang w:val="en-CA"/>
        </w:rPr>
        <w:t> UNEP/OzL.Pro/ExCom/93/19.</w:t>
      </w:r>
    </w:p>
  </w:footnote>
  <w:footnote w:id="46">
    <w:p w14:paraId="54C9E1A0" w14:textId="66584200" w:rsidR="00282EB1" w:rsidRPr="00B34A84" w:rsidRDefault="00282EB1" w:rsidP="00282EB1">
      <w:pPr>
        <w:pStyle w:val="FootnoteText"/>
      </w:pPr>
      <w:r>
        <w:rPr>
          <w:rStyle w:val="FootnoteReference"/>
        </w:rPr>
        <w:footnoteRef/>
      </w:r>
      <w:r>
        <w:t> UNEP/</w:t>
      </w:r>
      <w:proofErr w:type="spellStart"/>
      <w:r>
        <w:t>OzL.Pro</w:t>
      </w:r>
      <w:proofErr w:type="spellEnd"/>
      <w:r>
        <w:t>/</w:t>
      </w:r>
      <w:proofErr w:type="spellStart"/>
      <w:r>
        <w:t>ExCom</w:t>
      </w:r>
      <w:proofErr w:type="spellEnd"/>
      <w:r>
        <w:t>/93/105, annexes III à VII.</w:t>
      </w:r>
    </w:p>
  </w:footnote>
  <w:footnote w:id="47">
    <w:p w14:paraId="5FE18A85" w14:textId="77FF1291" w:rsidR="00282EB1" w:rsidRPr="00B34A84" w:rsidRDefault="00282EB1" w:rsidP="00282EB1">
      <w:pPr>
        <w:pStyle w:val="FootnoteText"/>
      </w:pPr>
      <w:r>
        <w:rPr>
          <w:rStyle w:val="FootnoteReference"/>
        </w:rPr>
        <w:footnoteRef/>
      </w:r>
      <w:r>
        <w:t> UNEP/</w:t>
      </w:r>
      <w:proofErr w:type="spellStart"/>
      <w:r>
        <w:t>OzL.Pro</w:t>
      </w:r>
      <w:proofErr w:type="spellEnd"/>
      <w:r>
        <w:t>/</w:t>
      </w:r>
      <w:proofErr w:type="spellStart"/>
      <w:r>
        <w:t>ExCom</w:t>
      </w:r>
      <w:proofErr w:type="spellEnd"/>
      <w:r>
        <w:t>/93/20 et UNEP/</w:t>
      </w:r>
      <w:proofErr w:type="spellStart"/>
      <w:r>
        <w:t>OzL.Pro</w:t>
      </w:r>
      <w:proofErr w:type="spellEnd"/>
      <w:r>
        <w:t>/</w:t>
      </w:r>
      <w:proofErr w:type="spellStart"/>
      <w:r>
        <w:t>ExCom</w:t>
      </w:r>
      <w:proofErr w:type="spellEnd"/>
      <w:r>
        <w:t>/93/21.</w:t>
      </w:r>
    </w:p>
  </w:footnote>
  <w:footnote w:id="48">
    <w:p w14:paraId="33C00021" w14:textId="163AD0CF" w:rsidR="008A0AA2" w:rsidRPr="00B34A84" w:rsidRDefault="008A0AA2">
      <w:pPr>
        <w:pStyle w:val="FootnoteText"/>
      </w:pPr>
      <w:r>
        <w:rPr>
          <w:rStyle w:val="FootnoteReference"/>
        </w:rPr>
        <w:footnoteRef/>
      </w:r>
      <w:r>
        <w:t> [</w:t>
      </w:r>
      <w:r>
        <w:rPr>
          <w:highlight w:val="yellow"/>
        </w:rPr>
        <w:t>UNEP/</w:t>
      </w:r>
      <w:proofErr w:type="spellStart"/>
      <w:r>
        <w:rPr>
          <w:highlight w:val="yellow"/>
        </w:rPr>
        <w:t>OzL.Pro</w:t>
      </w:r>
      <w:proofErr w:type="spellEnd"/>
      <w:r>
        <w:rPr>
          <w:highlight w:val="yellow"/>
        </w:rPr>
        <w:t>/</w:t>
      </w:r>
      <w:proofErr w:type="spellStart"/>
      <w:r>
        <w:rPr>
          <w:highlight w:val="yellow"/>
        </w:rPr>
        <w:t>ExCom</w:t>
      </w:r>
      <w:proofErr w:type="spellEnd"/>
      <w:r>
        <w:rPr>
          <w:highlight w:val="yellow"/>
        </w:rPr>
        <w:t>/94/9</w:t>
      </w:r>
      <w:r>
        <w:t xml:space="preserve"> et </w:t>
      </w:r>
      <w:r>
        <w:rPr>
          <w:highlight w:val="yellow"/>
        </w:rPr>
        <w:t>UNEP/</w:t>
      </w:r>
      <w:proofErr w:type="spellStart"/>
      <w:r>
        <w:rPr>
          <w:highlight w:val="yellow"/>
        </w:rPr>
        <w:t>OzL.Pro</w:t>
      </w:r>
      <w:proofErr w:type="spellEnd"/>
      <w:r>
        <w:rPr>
          <w:highlight w:val="yellow"/>
        </w:rPr>
        <w:t>/</w:t>
      </w:r>
      <w:proofErr w:type="spellStart"/>
      <w:r>
        <w:rPr>
          <w:highlight w:val="yellow"/>
        </w:rPr>
        <w:t>ExCom</w:t>
      </w:r>
      <w:proofErr w:type="spellEnd"/>
      <w:r>
        <w:rPr>
          <w:highlight w:val="yellow"/>
        </w:rPr>
        <w:t>/94/10</w:t>
      </w:r>
      <w:r>
        <w:t>].</w:t>
      </w:r>
    </w:p>
  </w:footnote>
  <w:footnote w:id="49">
    <w:p w14:paraId="3126AF9E" w14:textId="1EC19EBA" w:rsidR="00282EB1" w:rsidRPr="000455E6" w:rsidRDefault="00282EB1" w:rsidP="00282EB1">
      <w:pPr>
        <w:pStyle w:val="FootnoteText"/>
      </w:pPr>
      <w:r>
        <w:rPr>
          <w:rStyle w:val="FootnoteReference"/>
        </w:rPr>
        <w:footnoteRef/>
      </w:r>
      <w:r>
        <w:t> UNEP/</w:t>
      </w:r>
      <w:proofErr w:type="spellStart"/>
      <w:r>
        <w:t>OzL.Pro</w:t>
      </w:r>
      <w:proofErr w:type="spellEnd"/>
      <w:r>
        <w:t>/</w:t>
      </w:r>
      <w:proofErr w:type="spellStart"/>
      <w:r>
        <w:t>ExCom</w:t>
      </w:r>
      <w:proofErr w:type="spellEnd"/>
      <w:r>
        <w:t>/93/22.</w:t>
      </w:r>
    </w:p>
  </w:footnote>
  <w:footnote w:id="50">
    <w:p w14:paraId="19FD5316" w14:textId="7BE98941" w:rsidR="00282EB1" w:rsidRPr="000455E6" w:rsidRDefault="00282EB1" w:rsidP="00282EB1">
      <w:pPr>
        <w:pStyle w:val="FootnoteText"/>
      </w:pPr>
      <w:r>
        <w:rPr>
          <w:rStyle w:val="FootnoteReference"/>
        </w:rPr>
        <w:footnoteRef/>
      </w:r>
      <w:r>
        <w:t> UNEP/</w:t>
      </w:r>
      <w:proofErr w:type="spellStart"/>
      <w:r>
        <w:t>OzL.Pro</w:t>
      </w:r>
      <w:proofErr w:type="spellEnd"/>
      <w:r>
        <w:t>/</w:t>
      </w:r>
      <w:proofErr w:type="spellStart"/>
      <w:r>
        <w:t>ExCom</w:t>
      </w:r>
      <w:proofErr w:type="spellEnd"/>
      <w:r>
        <w:t>/93/9.</w:t>
      </w:r>
    </w:p>
  </w:footnote>
  <w:footnote w:id="51">
    <w:p w14:paraId="282E775E" w14:textId="48F8DE97" w:rsidR="00531914" w:rsidRPr="00E60DB2" w:rsidRDefault="00531914">
      <w:pPr>
        <w:pStyle w:val="FootnoteText"/>
      </w:pPr>
      <w:r>
        <w:rPr>
          <w:rStyle w:val="FootnoteReference"/>
        </w:rPr>
        <w:footnoteRef/>
      </w:r>
      <w:r>
        <w:t> UNEP/</w:t>
      </w:r>
      <w:proofErr w:type="spellStart"/>
      <w:r>
        <w:t>OzL.Pro</w:t>
      </w:r>
      <w:proofErr w:type="spellEnd"/>
      <w:r>
        <w:t>/</w:t>
      </w:r>
      <w:proofErr w:type="spellStart"/>
      <w:r>
        <w:t>ExCom</w:t>
      </w:r>
      <w:proofErr w:type="spellEnd"/>
      <w:r>
        <w:t>/93/10.</w:t>
      </w:r>
    </w:p>
  </w:footnote>
  <w:footnote w:id="52">
    <w:p w14:paraId="391E3FED" w14:textId="0E8023EC" w:rsidR="00531914" w:rsidRPr="00E60DB2" w:rsidRDefault="00531914">
      <w:pPr>
        <w:pStyle w:val="FootnoteText"/>
      </w:pPr>
      <w:r>
        <w:rPr>
          <w:vertAlign w:val="superscript"/>
          <w:lang w:val="en-GB"/>
        </w:rPr>
        <w:footnoteRef/>
      </w:r>
      <w:r>
        <w:t> UNEP/</w:t>
      </w:r>
      <w:proofErr w:type="spellStart"/>
      <w:r>
        <w:t>OzL.Pro</w:t>
      </w:r>
      <w:proofErr w:type="spellEnd"/>
      <w:r>
        <w:t>/</w:t>
      </w:r>
      <w:proofErr w:type="spellStart"/>
      <w:r>
        <w:t>ExCom</w:t>
      </w:r>
      <w:proofErr w:type="spellEnd"/>
      <w:r>
        <w:t>/93/11.</w:t>
      </w:r>
    </w:p>
  </w:footnote>
  <w:footnote w:id="53">
    <w:p w14:paraId="60A7A1EE" w14:textId="3962D5D7" w:rsidR="002022D6" w:rsidRPr="001C01D4" w:rsidRDefault="002022D6">
      <w:pPr>
        <w:pStyle w:val="FootnoteText"/>
        <w:rPr>
          <w:lang w:val="en-CA"/>
        </w:rPr>
      </w:pPr>
      <w:r>
        <w:rPr>
          <w:rStyle w:val="FootnoteReference"/>
        </w:rPr>
        <w:footnoteRef/>
      </w:r>
      <w:r w:rsidRPr="001C01D4">
        <w:rPr>
          <w:lang w:val="en-CA"/>
        </w:rPr>
        <w:t> UNEP/OzL.Pro/ExCom/93/12/Rev.1.</w:t>
      </w:r>
    </w:p>
  </w:footnote>
  <w:footnote w:id="54">
    <w:p w14:paraId="26693348" w14:textId="36EB3825" w:rsidR="00282EB1" w:rsidRPr="001C01D4" w:rsidRDefault="00282EB1" w:rsidP="00282EB1">
      <w:pPr>
        <w:pStyle w:val="FootnoteText"/>
        <w:rPr>
          <w:lang w:val="en-CA"/>
        </w:rPr>
      </w:pPr>
      <w:r>
        <w:rPr>
          <w:vertAlign w:val="superscript"/>
          <w:lang w:val="en-GB"/>
        </w:rPr>
        <w:footnoteRef/>
      </w:r>
      <w:r w:rsidRPr="001C01D4">
        <w:rPr>
          <w:lang w:val="en-CA"/>
        </w:rPr>
        <w:t> UNEP/OzL.Pro/ExCom/93/13/Rev.1.</w:t>
      </w:r>
    </w:p>
  </w:footnote>
  <w:footnote w:id="55">
    <w:p w14:paraId="0316DAC5" w14:textId="428B9785" w:rsidR="00282EB1" w:rsidRPr="001C01D4" w:rsidRDefault="00282EB1" w:rsidP="00282EB1">
      <w:pPr>
        <w:pStyle w:val="FootnoteText"/>
        <w:rPr>
          <w:lang w:val="en-CA"/>
        </w:rPr>
      </w:pPr>
      <w:r>
        <w:rPr>
          <w:rStyle w:val="FootnoteReference"/>
        </w:rPr>
        <w:footnoteRef/>
      </w:r>
      <w:r w:rsidRPr="001C01D4">
        <w:rPr>
          <w:lang w:val="en-CA"/>
        </w:rPr>
        <w:t> UNEP/OzL.Pro/ExCom/93/23.</w:t>
      </w:r>
    </w:p>
  </w:footnote>
  <w:footnote w:id="56">
    <w:p w14:paraId="1ED3631A" w14:textId="71F127FD" w:rsidR="00282EB1" w:rsidRPr="001C01D4" w:rsidRDefault="00282EB1" w:rsidP="00282EB1">
      <w:pPr>
        <w:pStyle w:val="FootnoteText"/>
        <w:rPr>
          <w:lang w:val="en-CA"/>
        </w:rPr>
      </w:pPr>
      <w:r>
        <w:rPr>
          <w:rStyle w:val="FootnoteReference"/>
        </w:rPr>
        <w:footnoteRef/>
      </w:r>
      <w:r w:rsidRPr="001C01D4">
        <w:rPr>
          <w:lang w:val="en-CA"/>
        </w:rPr>
        <w:t> UNEP/OzL.Pro/ExCom/93/25.</w:t>
      </w:r>
    </w:p>
  </w:footnote>
  <w:footnote w:id="57">
    <w:p w14:paraId="2E8DA461" w14:textId="5553654C"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UNEP/OzL.Pro/ExCom/93/26.</w:t>
      </w:r>
    </w:p>
  </w:footnote>
  <w:footnote w:id="58">
    <w:p w14:paraId="0AE7F61B" w14:textId="16EB31B6"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UNEP/OzL.Pro/ExCom/93/27.</w:t>
      </w:r>
    </w:p>
  </w:footnote>
  <w:footnote w:id="59">
    <w:p w14:paraId="7FD92D9D" w14:textId="7988A4BB"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UNEP/OzL.Pro/ExCom/93/28.</w:t>
      </w:r>
    </w:p>
  </w:footnote>
  <w:footnote w:id="60">
    <w:p w14:paraId="49B7EF00" w14:textId="2A757B93"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UNEP/OzL.Pro/ExCom/93/29.</w:t>
      </w:r>
    </w:p>
  </w:footnote>
  <w:footnote w:id="61">
    <w:p w14:paraId="30589C5B" w14:textId="08FCF7EE"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UNEP/OzL.Pro/ExCom/93/30.</w:t>
      </w:r>
    </w:p>
  </w:footnote>
  <w:footnote w:id="62">
    <w:p w14:paraId="5273223A" w14:textId="19F15D8A"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UNEP/OzL.Pro/ExCom/93/105, annexes X, XI, XII et XIII.</w:t>
      </w:r>
    </w:p>
  </w:footnote>
  <w:footnote w:id="63">
    <w:p w14:paraId="4290A731" w14:textId="4CAD1BEB"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w:t>
      </w:r>
      <w:r w:rsidRPr="001C01D4">
        <w:rPr>
          <w:sz w:val="18"/>
          <w:highlight w:val="yellow"/>
          <w:lang w:val="en-CA"/>
        </w:rPr>
        <w:t>UNEP/OzL.Pro/ExCom/94/3, annexe I</w:t>
      </w:r>
      <w:r w:rsidRPr="001C01D4">
        <w:rPr>
          <w:sz w:val="18"/>
          <w:lang w:val="en-CA"/>
        </w:rPr>
        <w:t>.]</w:t>
      </w:r>
    </w:p>
  </w:footnote>
  <w:footnote w:id="64">
    <w:p w14:paraId="426AD60C" w14:textId="3E2D6135"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UNEP/OzL.Pro/ExCom/93/3 et UNEP/OzL.Pro/ExCom/93/105, annexe I.</w:t>
      </w:r>
    </w:p>
  </w:footnote>
  <w:footnote w:id="65">
    <w:p w14:paraId="17A25CA2" w14:textId="0EDA4034"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UNEP/OzL.Pro/ExCom/93/4.</w:t>
      </w:r>
    </w:p>
  </w:footnote>
  <w:footnote w:id="66">
    <w:p w14:paraId="4AC87743" w14:textId="395D2E20"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UNEP/OzL.Pro/ExCom/93/5.</w:t>
      </w:r>
    </w:p>
  </w:footnote>
  <w:footnote w:id="67">
    <w:p w14:paraId="079418F7" w14:textId="32F45AA2"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UNEP/OzL.Pro/ExCom/93/6.</w:t>
      </w:r>
    </w:p>
  </w:footnote>
  <w:footnote w:id="68">
    <w:p w14:paraId="578E641E" w14:textId="05CB0358"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UNEP/OzL.Pro/ExCom/93/7.</w:t>
      </w:r>
    </w:p>
  </w:footnote>
  <w:footnote w:id="69">
    <w:p w14:paraId="4DA0DD90" w14:textId="741ECCBE"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UNEP/OzL.Pro/ExCom/93/2.</w:t>
      </w:r>
    </w:p>
  </w:footnote>
  <w:footnote w:id="70">
    <w:p w14:paraId="2F60AF23" w14:textId="76F98B5E" w:rsidR="00282EB1" w:rsidRPr="001C01D4" w:rsidRDefault="00282EB1" w:rsidP="00282EB1">
      <w:pPr>
        <w:pStyle w:val="FootnoteText"/>
        <w:rPr>
          <w:sz w:val="18"/>
          <w:szCs w:val="18"/>
          <w:lang w:val="en-CA"/>
        </w:rPr>
      </w:pPr>
      <w:r>
        <w:rPr>
          <w:rStyle w:val="FootnoteReference"/>
          <w:sz w:val="18"/>
          <w:szCs w:val="18"/>
        </w:rPr>
        <w:footnoteRef/>
      </w:r>
      <w:r w:rsidRPr="001C01D4">
        <w:rPr>
          <w:sz w:val="18"/>
          <w:lang w:val="en-CA"/>
        </w:rPr>
        <w:t> </w:t>
      </w:r>
      <w:r w:rsidRPr="001C01D4">
        <w:rPr>
          <w:sz w:val="16"/>
          <w:lang w:val="en-CA"/>
        </w:rPr>
        <w:t>[</w:t>
      </w:r>
      <w:r w:rsidRPr="001C01D4">
        <w:rPr>
          <w:sz w:val="18"/>
          <w:highlight w:val="yellow"/>
          <w:lang w:val="en-CA"/>
        </w:rPr>
        <w:t>UNEP/OzL.Pro/ExCom/94/2</w:t>
      </w:r>
      <w:r w:rsidRPr="001C01D4">
        <w:rPr>
          <w:sz w:val="18"/>
          <w:lang w:val="en-CA"/>
        </w:rPr>
        <w:t>.]</w:t>
      </w:r>
    </w:p>
  </w:footnote>
  <w:footnote w:id="71">
    <w:p w14:paraId="3A3D5DB5" w14:textId="77777777" w:rsidR="00715C02" w:rsidRPr="00461D9A" w:rsidRDefault="00715C02" w:rsidP="00715C02">
      <w:pPr>
        <w:pStyle w:val="FootnoteText"/>
        <w:rPr>
          <w:sz w:val="18"/>
          <w:szCs w:val="18"/>
        </w:rPr>
      </w:pPr>
      <w:r>
        <w:rPr>
          <w:rStyle w:val="FootnoteReference"/>
          <w:sz w:val="18"/>
          <w:szCs w:val="18"/>
        </w:rPr>
        <w:footnoteRef/>
      </w:r>
      <w:r>
        <w:rPr>
          <w:sz w:val="18"/>
        </w:rPr>
        <w:t> Ne concerne que les projets approuvés et financés par des contributions régulières.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D7651" w14:textId="0F3701C2" w:rsidR="00DC6A10" w:rsidRPr="0033525D" w:rsidRDefault="0014239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/94/64</w:t>
    </w:r>
    <w:r>
      <w:fldChar w:fldCharType="end"/>
    </w:r>
  </w:p>
  <w:p w14:paraId="0240DD11" w14:textId="77777777" w:rsidR="00DC6A10" w:rsidRPr="0033525D" w:rsidRDefault="00DC6A10"/>
  <w:p w14:paraId="0D6D8E4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F23FCC" w14:textId="78524A47" w:rsidR="00DC6A10" w:rsidRPr="0033525D" w:rsidRDefault="0014239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/94/64</w:t>
    </w:r>
    <w:r>
      <w:fldChar w:fldCharType="end"/>
    </w:r>
  </w:p>
  <w:p w14:paraId="1C86565E" w14:textId="77777777" w:rsidR="00DC6A10" w:rsidRPr="0033525D" w:rsidRDefault="00DC6A10"/>
  <w:p w14:paraId="68AC2525"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088C5468"/>
    <w:lvl w:ilvl="0">
      <w:start w:val="1"/>
      <w:numFmt w:val="decimal"/>
      <w:pStyle w:val="Heading1"/>
      <w:lvlText w:val="%1."/>
      <w:lvlJc w:val="left"/>
      <w:pPr>
        <w:tabs>
          <w:tab w:val="num" w:pos="0"/>
        </w:tabs>
        <w:ind w:left="0" w:firstLine="0"/>
      </w:pPr>
      <w:rPr>
        <w:b w:val="0"/>
        <w:b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CF6C24"/>
    <w:multiLevelType w:val="hybridMultilevel"/>
    <w:tmpl w:val="AF189A5C"/>
    <w:lvl w:ilvl="0" w:tplc="5406BA9E">
      <w:start w:val="1"/>
      <w:numFmt w:val="upperRoman"/>
      <w:lvlText w:val="%1."/>
      <w:lvlJc w:val="left"/>
      <w:pPr>
        <w:ind w:left="1080" w:hanging="720"/>
      </w:pPr>
      <w:rPr>
        <w:sz w:val="24"/>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0"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1"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5"/>
  </w:num>
  <w:num w:numId="6" w16cid:durableId="299306927">
    <w:abstractNumId w:val="7"/>
  </w:num>
  <w:num w:numId="7" w16cid:durableId="559828470">
    <w:abstractNumId w:val="8"/>
  </w:num>
  <w:num w:numId="8" w16cid:durableId="1488010068">
    <w:abstractNumId w:val="12"/>
  </w:num>
  <w:num w:numId="9" w16cid:durableId="444007775">
    <w:abstractNumId w:val="6"/>
  </w:num>
  <w:num w:numId="10" w16cid:durableId="12480775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26418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5298131">
    <w:abstractNumId w:val="9"/>
  </w:num>
  <w:num w:numId="13" w16cid:durableId="969438327">
    <w:abstractNumId w:val="4"/>
  </w:num>
  <w:num w:numId="14" w16cid:durableId="292643302">
    <w:abstractNumId w:val="10"/>
  </w:num>
  <w:num w:numId="15" w16cid:durableId="668095613">
    <w:abstractNumId w:val="2"/>
  </w:num>
  <w:num w:numId="16" w16cid:durableId="1223829628">
    <w:abstractNumId w:val="3"/>
  </w:num>
  <w:num w:numId="17" w16cid:durableId="1182629551">
    <w:abstractNumId w:val="11"/>
  </w:num>
  <w:num w:numId="18" w16cid:durableId="760905644">
    <w:abstractNumId w:val="0"/>
    <w:lvlOverride w:ilvl="0">
      <w:lvl w:ilvl="0">
        <w:start w:val="1"/>
        <w:numFmt w:val="decimal"/>
        <w:pStyle w:val="Heading1"/>
        <w:lvlText w:val="%1."/>
        <w:lvlJc w:val="left"/>
        <w:pPr>
          <w:tabs>
            <w:tab w:val="num" w:pos="0"/>
          </w:tabs>
          <w:ind w:left="0" w:firstLine="0"/>
        </w:pPr>
        <w:rPr>
          <w:b w:val="0"/>
          <w:bCs/>
          <w:i w:val="0"/>
          <w:iCs/>
        </w:rPr>
      </w:lvl>
    </w:lvlOverride>
    <w:lvlOverride w:ilvl="1">
      <w:lvl w:ilvl="1">
        <w:start w:val="1"/>
        <w:numFmt w:val="decimal"/>
        <w:pStyle w:val="Heading2"/>
        <w:lvlText w:val="(%2)"/>
        <w:lvlJc w:val="left"/>
        <w:pPr>
          <w:tabs>
            <w:tab w:val="num" w:pos="0"/>
          </w:tabs>
          <w:ind w:left="1440" w:hanging="720"/>
        </w:pPr>
      </w:lvl>
    </w:lvlOverride>
    <w:lvlOverride w:ilvl="2">
      <w:lvl w:ilvl="2">
        <w:start w:val="1"/>
        <w:numFmt w:val="decimal"/>
        <w:pStyle w:val="Heading3"/>
        <w:lvlText w:val="(%3)"/>
        <w:lvlJc w:val="left"/>
        <w:pPr>
          <w:tabs>
            <w:tab w:val="num" w:pos="0"/>
          </w:tabs>
          <w:ind w:left="2160" w:hanging="720"/>
        </w:pPr>
      </w:lvl>
    </w:lvlOverride>
    <w:lvlOverride w:ilvl="3">
      <w:lvl w:ilvl="3">
        <w:start w:val="1"/>
        <w:numFmt w:val="decimal"/>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decimal"/>
        <w:pStyle w:val="Heading6"/>
        <w:lvlText w:val="(%6)"/>
        <w:lvlJc w:val="left"/>
        <w:pPr>
          <w:tabs>
            <w:tab w:val="num" w:pos="0"/>
          </w:tabs>
          <w:ind w:left="4291" w:hanging="720"/>
        </w:pPr>
      </w:lvl>
    </w:lvlOverride>
    <w:lvlOverride w:ilvl="6">
      <w:lvl w:ilvl="6">
        <w:start w:val="1"/>
        <w:numFmt w:val="decimal"/>
        <w:pStyle w:val="Heading7"/>
        <w:lvlText w:val="(%7)"/>
        <w:lvlJc w:val="left"/>
        <w:pPr>
          <w:tabs>
            <w:tab w:val="num" w:pos="0"/>
          </w:tabs>
          <w:ind w:left="4997" w:hanging="706"/>
        </w:pPr>
      </w:lvl>
    </w:lvlOverride>
    <w:lvlOverride w:ilvl="7">
      <w:lvl w:ilvl="7">
        <w:start w:val="1"/>
        <w:numFmt w:val="decimal"/>
        <w:lvlText w:val="(%8)"/>
        <w:lvlJc w:val="left"/>
        <w:pPr>
          <w:tabs>
            <w:tab w:val="num" w:pos="0"/>
          </w:tabs>
          <w:ind w:left="5702" w:hanging="705"/>
        </w:pPr>
      </w:lvl>
    </w:lvlOverride>
    <w:lvlOverride w:ilvl="8">
      <w:lvl w:ilvl="8">
        <w:start w:val="1"/>
        <w:numFmt w:val="decimal"/>
        <w:pStyle w:val="Heading9"/>
        <w:lvlText w:val="(%9)"/>
        <w:lvlJc w:val="left"/>
        <w:pPr>
          <w:tabs>
            <w:tab w:val="num" w:pos="0"/>
          </w:tabs>
          <w:ind w:left="6408" w:hanging="706"/>
        </w:pPr>
      </w:lvl>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D2423"/>
    <w:rsid w:val="00000FED"/>
    <w:rsid w:val="00001542"/>
    <w:rsid w:val="0000434E"/>
    <w:rsid w:val="00012F24"/>
    <w:rsid w:val="00017B7E"/>
    <w:rsid w:val="00020638"/>
    <w:rsid w:val="000211A9"/>
    <w:rsid w:val="00021238"/>
    <w:rsid w:val="00022071"/>
    <w:rsid w:val="00022ECF"/>
    <w:rsid w:val="000253FF"/>
    <w:rsid w:val="000270B4"/>
    <w:rsid w:val="00031260"/>
    <w:rsid w:val="000312DB"/>
    <w:rsid w:val="0003407B"/>
    <w:rsid w:val="00036641"/>
    <w:rsid w:val="0003681A"/>
    <w:rsid w:val="000372B7"/>
    <w:rsid w:val="0004329E"/>
    <w:rsid w:val="000439A8"/>
    <w:rsid w:val="000455E6"/>
    <w:rsid w:val="00050F6E"/>
    <w:rsid w:val="000540E1"/>
    <w:rsid w:val="00056685"/>
    <w:rsid w:val="00061EC2"/>
    <w:rsid w:val="00063B11"/>
    <w:rsid w:val="00066CE8"/>
    <w:rsid w:val="0006737B"/>
    <w:rsid w:val="00067D93"/>
    <w:rsid w:val="0007675A"/>
    <w:rsid w:val="000801D2"/>
    <w:rsid w:val="00080529"/>
    <w:rsid w:val="00080ED0"/>
    <w:rsid w:val="00085B8F"/>
    <w:rsid w:val="00086020"/>
    <w:rsid w:val="00086D24"/>
    <w:rsid w:val="00090481"/>
    <w:rsid w:val="0009159E"/>
    <w:rsid w:val="0009362B"/>
    <w:rsid w:val="000962A6"/>
    <w:rsid w:val="000A017F"/>
    <w:rsid w:val="000A3826"/>
    <w:rsid w:val="000A49D6"/>
    <w:rsid w:val="000A6C26"/>
    <w:rsid w:val="000A7D5E"/>
    <w:rsid w:val="000A7E31"/>
    <w:rsid w:val="000B36C8"/>
    <w:rsid w:val="000B5460"/>
    <w:rsid w:val="000B62F3"/>
    <w:rsid w:val="000C1252"/>
    <w:rsid w:val="000C4361"/>
    <w:rsid w:val="000D204E"/>
    <w:rsid w:val="000D52A4"/>
    <w:rsid w:val="000E07BC"/>
    <w:rsid w:val="000E2E21"/>
    <w:rsid w:val="000F1CD4"/>
    <w:rsid w:val="000F4103"/>
    <w:rsid w:val="000F5247"/>
    <w:rsid w:val="000F6E52"/>
    <w:rsid w:val="000F70A7"/>
    <w:rsid w:val="001005FF"/>
    <w:rsid w:val="00100826"/>
    <w:rsid w:val="00105484"/>
    <w:rsid w:val="00113CCA"/>
    <w:rsid w:val="00120937"/>
    <w:rsid w:val="00122F25"/>
    <w:rsid w:val="001230EB"/>
    <w:rsid w:val="00123871"/>
    <w:rsid w:val="00124199"/>
    <w:rsid w:val="001243CC"/>
    <w:rsid w:val="00135980"/>
    <w:rsid w:val="0013786F"/>
    <w:rsid w:val="00142398"/>
    <w:rsid w:val="00142C34"/>
    <w:rsid w:val="001431AC"/>
    <w:rsid w:val="001440DD"/>
    <w:rsid w:val="001457A7"/>
    <w:rsid w:val="00147B96"/>
    <w:rsid w:val="00150136"/>
    <w:rsid w:val="0015121C"/>
    <w:rsid w:val="00153126"/>
    <w:rsid w:val="001606A6"/>
    <w:rsid w:val="0016100B"/>
    <w:rsid w:val="00164719"/>
    <w:rsid w:val="00166FC4"/>
    <w:rsid w:val="001677AC"/>
    <w:rsid w:val="001765D6"/>
    <w:rsid w:val="001804EA"/>
    <w:rsid w:val="0018228B"/>
    <w:rsid w:val="001878F0"/>
    <w:rsid w:val="00190A61"/>
    <w:rsid w:val="001927CD"/>
    <w:rsid w:val="00194409"/>
    <w:rsid w:val="00196AF5"/>
    <w:rsid w:val="00197179"/>
    <w:rsid w:val="00197636"/>
    <w:rsid w:val="001A2215"/>
    <w:rsid w:val="001A3342"/>
    <w:rsid w:val="001A3E3D"/>
    <w:rsid w:val="001A7049"/>
    <w:rsid w:val="001B028E"/>
    <w:rsid w:val="001B1E40"/>
    <w:rsid w:val="001C01D4"/>
    <w:rsid w:val="001C764E"/>
    <w:rsid w:val="001D6C9A"/>
    <w:rsid w:val="001D7F6F"/>
    <w:rsid w:val="001E1052"/>
    <w:rsid w:val="001E21B1"/>
    <w:rsid w:val="001E2F93"/>
    <w:rsid w:val="001E4554"/>
    <w:rsid w:val="001E5A69"/>
    <w:rsid w:val="001E61E5"/>
    <w:rsid w:val="001F2159"/>
    <w:rsid w:val="001F53FD"/>
    <w:rsid w:val="002022D6"/>
    <w:rsid w:val="0020264F"/>
    <w:rsid w:val="002029F5"/>
    <w:rsid w:val="0020772E"/>
    <w:rsid w:val="00210B8B"/>
    <w:rsid w:val="00211C2A"/>
    <w:rsid w:val="00212B71"/>
    <w:rsid w:val="00214863"/>
    <w:rsid w:val="002156B4"/>
    <w:rsid w:val="00221218"/>
    <w:rsid w:val="00224FCD"/>
    <w:rsid w:val="002343A1"/>
    <w:rsid w:val="002348F4"/>
    <w:rsid w:val="0024167A"/>
    <w:rsid w:val="00242A85"/>
    <w:rsid w:val="0025140F"/>
    <w:rsid w:val="00253222"/>
    <w:rsid w:val="00254B6E"/>
    <w:rsid w:val="00261C13"/>
    <w:rsid w:val="00262847"/>
    <w:rsid w:val="00263E43"/>
    <w:rsid w:val="00270A31"/>
    <w:rsid w:val="00270E67"/>
    <w:rsid w:val="00271522"/>
    <w:rsid w:val="002746C4"/>
    <w:rsid w:val="002809B3"/>
    <w:rsid w:val="00281BB2"/>
    <w:rsid w:val="00281E11"/>
    <w:rsid w:val="00282EB1"/>
    <w:rsid w:val="002848D2"/>
    <w:rsid w:val="00295A1C"/>
    <w:rsid w:val="00295EBD"/>
    <w:rsid w:val="002A03C3"/>
    <w:rsid w:val="002A4B82"/>
    <w:rsid w:val="002B254E"/>
    <w:rsid w:val="002B3C8B"/>
    <w:rsid w:val="002B4CE8"/>
    <w:rsid w:val="002B6420"/>
    <w:rsid w:val="002B667E"/>
    <w:rsid w:val="002B72E9"/>
    <w:rsid w:val="002C7998"/>
    <w:rsid w:val="002E0842"/>
    <w:rsid w:val="002E70CC"/>
    <w:rsid w:val="002F1E53"/>
    <w:rsid w:val="002F2CAA"/>
    <w:rsid w:val="002F6C4E"/>
    <w:rsid w:val="0030052C"/>
    <w:rsid w:val="00301902"/>
    <w:rsid w:val="00302264"/>
    <w:rsid w:val="00302588"/>
    <w:rsid w:val="00311587"/>
    <w:rsid w:val="0031454F"/>
    <w:rsid w:val="003306E1"/>
    <w:rsid w:val="003320E4"/>
    <w:rsid w:val="00333D2F"/>
    <w:rsid w:val="0033525D"/>
    <w:rsid w:val="00336955"/>
    <w:rsid w:val="003414F3"/>
    <w:rsid w:val="00345B26"/>
    <w:rsid w:val="003501D4"/>
    <w:rsid w:val="003555C8"/>
    <w:rsid w:val="0035613E"/>
    <w:rsid w:val="0036012C"/>
    <w:rsid w:val="00363EE9"/>
    <w:rsid w:val="003650A4"/>
    <w:rsid w:val="0036605E"/>
    <w:rsid w:val="00376128"/>
    <w:rsid w:val="0037742E"/>
    <w:rsid w:val="00377D56"/>
    <w:rsid w:val="003811A6"/>
    <w:rsid w:val="0038245A"/>
    <w:rsid w:val="003840E6"/>
    <w:rsid w:val="003850C3"/>
    <w:rsid w:val="00385CFC"/>
    <w:rsid w:val="00387D00"/>
    <w:rsid w:val="00391D16"/>
    <w:rsid w:val="00392D6C"/>
    <w:rsid w:val="0039337A"/>
    <w:rsid w:val="0039537A"/>
    <w:rsid w:val="003A18AB"/>
    <w:rsid w:val="003A3189"/>
    <w:rsid w:val="003A3CA7"/>
    <w:rsid w:val="003A6202"/>
    <w:rsid w:val="003B202D"/>
    <w:rsid w:val="003B2316"/>
    <w:rsid w:val="003B33BD"/>
    <w:rsid w:val="003B3FE8"/>
    <w:rsid w:val="003B4B23"/>
    <w:rsid w:val="003B569D"/>
    <w:rsid w:val="003B63CB"/>
    <w:rsid w:val="003B6AC8"/>
    <w:rsid w:val="003C18C8"/>
    <w:rsid w:val="003C3C0E"/>
    <w:rsid w:val="003D1FFB"/>
    <w:rsid w:val="003D42A6"/>
    <w:rsid w:val="003D4F21"/>
    <w:rsid w:val="003D4FAC"/>
    <w:rsid w:val="003D6C0F"/>
    <w:rsid w:val="003E1885"/>
    <w:rsid w:val="003E4190"/>
    <w:rsid w:val="003E454E"/>
    <w:rsid w:val="003E45A5"/>
    <w:rsid w:val="003E7906"/>
    <w:rsid w:val="003F000F"/>
    <w:rsid w:val="003F3C50"/>
    <w:rsid w:val="00406202"/>
    <w:rsid w:val="00406A6A"/>
    <w:rsid w:val="00406B22"/>
    <w:rsid w:val="00407147"/>
    <w:rsid w:val="004078FA"/>
    <w:rsid w:val="00413C61"/>
    <w:rsid w:val="004142A0"/>
    <w:rsid w:val="004162EA"/>
    <w:rsid w:val="00416C46"/>
    <w:rsid w:val="004173A2"/>
    <w:rsid w:val="0042185A"/>
    <w:rsid w:val="00421E39"/>
    <w:rsid w:val="00422952"/>
    <w:rsid w:val="00422F87"/>
    <w:rsid w:val="00431BA5"/>
    <w:rsid w:val="00431E08"/>
    <w:rsid w:val="00431F82"/>
    <w:rsid w:val="004328A7"/>
    <w:rsid w:val="00434C74"/>
    <w:rsid w:val="0043780D"/>
    <w:rsid w:val="00446E77"/>
    <w:rsid w:val="00450BB9"/>
    <w:rsid w:val="00455B2B"/>
    <w:rsid w:val="00456EB4"/>
    <w:rsid w:val="00457827"/>
    <w:rsid w:val="00461A43"/>
    <w:rsid w:val="00461D9A"/>
    <w:rsid w:val="00463E06"/>
    <w:rsid w:val="00465750"/>
    <w:rsid w:val="004718F3"/>
    <w:rsid w:val="0047283A"/>
    <w:rsid w:val="00473AC4"/>
    <w:rsid w:val="00475040"/>
    <w:rsid w:val="00480ECC"/>
    <w:rsid w:val="00490C06"/>
    <w:rsid w:val="00493450"/>
    <w:rsid w:val="00493735"/>
    <w:rsid w:val="00493D40"/>
    <w:rsid w:val="00493EE3"/>
    <w:rsid w:val="00494B62"/>
    <w:rsid w:val="004959FA"/>
    <w:rsid w:val="004967B6"/>
    <w:rsid w:val="004A46F4"/>
    <w:rsid w:val="004A504B"/>
    <w:rsid w:val="004A6911"/>
    <w:rsid w:val="004A7B91"/>
    <w:rsid w:val="004B3652"/>
    <w:rsid w:val="004B54E0"/>
    <w:rsid w:val="004B7384"/>
    <w:rsid w:val="004C4269"/>
    <w:rsid w:val="004C7B2A"/>
    <w:rsid w:val="004D1804"/>
    <w:rsid w:val="004D557C"/>
    <w:rsid w:val="004D6236"/>
    <w:rsid w:val="004D7F90"/>
    <w:rsid w:val="004E4DBB"/>
    <w:rsid w:val="004E4E41"/>
    <w:rsid w:val="004E73DB"/>
    <w:rsid w:val="004E7F9C"/>
    <w:rsid w:val="004F3493"/>
    <w:rsid w:val="004F5052"/>
    <w:rsid w:val="004F5143"/>
    <w:rsid w:val="005002EB"/>
    <w:rsid w:val="00503690"/>
    <w:rsid w:val="00504CAA"/>
    <w:rsid w:val="00512B09"/>
    <w:rsid w:val="005132CC"/>
    <w:rsid w:val="00513B48"/>
    <w:rsid w:val="005147CD"/>
    <w:rsid w:val="005215C1"/>
    <w:rsid w:val="005220ED"/>
    <w:rsid w:val="005233E4"/>
    <w:rsid w:val="00531914"/>
    <w:rsid w:val="00533796"/>
    <w:rsid w:val="00535574"/>
    <w:rsid w:val="005360D7"/>
    <w:rsid w:val="00537343"/>
    <w:rsid w:val="00537616"/>
    <w:rsid w:val="00541BDF"/>
    <w:rsid w:val="00545E7E"/>
    <w:rsid w:val="00546590"/>
    <w:rsid w:val="005516F3"/>
    <w:rsid w:val="005519C2"/>
    <w:rsid w:val="00555D75"/>
    <w:rsid w:val="00555EBA"/>
    <w:rsid w:val="005609F2"/>
    <w:rsid w:val="00560DF0"/>
    <w:rsid w:val="00563895"/>
    <w:rsid w:val="0056759C"/>
    <w:rsid w:val="00574B12"/>
    <w:rsid w:val="00576A5F"/>
    <w:rsid w:val="00577B5E"/>
    <w:rsid w:val="00594288"/>
    <w:rsid w:val="005949F7"/>
    <w:rsid w:val="0059513E"/>
    <w:rsid w:val="00596B4E"/>
    <w:rsid w:val="005A3118"/>
    <w:rsid w:val="005A3BF5"/>
    <w:rsid w:val="005A6AA4"/>
    <w:rsid w:val="005A6D9F"/>
    <w:rsid w:val="005A7A10"/>
    <w:rsid w:val="005B0E0E"/>
    <w:rsid w:val="005B1149"/>
    <w:rsid w:val="005B19BB"/>
    <w:rsid w:val="005B2EE3"/>
    <w:rsid w:val="005B335C"/>
    <w:rsid w:val="005B48FF"/>
    <w:rsid w:val="005C1E32"/>
    <w:rsid w:val="005C57EC"/>
    <w:rsid w:val="005C670D"/>
    <w:rsid w:val="005D363F"/>
    <w:rsid w:val="005D3FD4"/>
    <w:rsid w:val="005D45C2"/>
    <w:rsid w:val="005D4604"/>
    <w:rsid w:val="005D5FA5"/>
    <w:rsid w:val="005E255F"/>
    <w:rsid w:val="005E4F89"/>
    <w:rsid w:val="005F24A3"/>
    <w:rsid w:val="005F4C79"/>
    <w:rsid w:val="005F6D2C"/>
    <w:rsid w:val="00604C15"/>
    <w:rsid w:val="00605B30"/>
    <w:rsid w:val="00606918"/>
    <w:rsid w:val="00607753"/>
    <w:rsid w:val="006158D5"/>
    <w:rsid w:val="006171D3"/>
    <w:rsid w:val="00622BF8"/>
    <w:rsid w:val="00624973"/>
    <w:rsid w:val="006255CB"/>
    <w:rsid w:val="00625D83"/>
    <w:rsid w:val="0063780F"/>
    <w:rsid w:val="00640255"/>
    <w:rsid w:val="00643E66"/>
    <w:rsid w:val="00650225"/>
    <w:rsid w:val="00651984"/>
    <w:rsid w:val="006623E7"/>
    <w:rsid w:val="00662B80"/>
    <w:rsid w:val="0066768F"/>
    <w:rsid w:val="00670F6C"/>
    <w:rsid w:val="00675129"/>
    <w:rsid w:val="00676E58"/>
    <w:rsid w:val="006852C7"/>
    <w:rsid w:val="006852CE"/>
    <w:rsid w:val="0068556F"/>
    <w:rsid w:val="006862FD"/>
    <w:rsid w:val="00686336"/>
    <w:rsid w:val="00690B00"/>
    <w:rsid w:val="00692D14"/>
    <w:rsid w:val="006A4A06"/>
    <w:rsid w:val="006A7816"/>
    <w:rsid w:val="006A7A3B"/>
    <w:rsid w:val="006B07DE"/>
    <w:rsid w:val="006B0D13"/>
    <w:rsid w:val="006B65C7"/>
    <w:rsid w:val="006B7C5B"/>
    <w:rsid w:val="006C03CF"/>
    <w:rsid w:val="006C06C2"/>
    <w:rsid w:val="006C1727"/>
    <w:rsid w:val="006C1F51"/>
    <w:rsid w:val="006C2360"/>
    <w:rsid w:val="006C32FD"/>
    <w:rsid w:val="006C39CE"/>
    <w:rsid w:val="006C6238"/>
    <w:rsid w:val="006C6A13"/>
    <w:rsid w:val="006D0FCC"/>
    <w:rsid w:val="006D21F5"/>
    <w:rsid w:val="006D3089"/>
    <w:rsid w:val="006D6897"/>
    <w:rsid w:val="006D7DDD"/>
    <w:rsid w:val="006E08DB"/>
    <w:rsid w:val="006E126D"/>
    <w:rsid w:val="006E1FC3"/>
    <w:rsid w:val="006F0CCF"/>
    <w:rsid w:val="006F4132"/>
    <w:rsid w:val="006F6CDF"/>
    <w:rsid w:val="00704CE9"/>
    <w:rsid w:val="0070616B"/>
    <w:rsid w:val="00706295"/>
    <w:rsid w:val="00706FDA"/>
    <w:rsid w:val="00711F9A"/>
    <w:rsid w:val="00713810"/>
    <w:rsid w:val="00715B77"/>
    <w:rsid w:val="00715C02"/>
    <w:rsid w:val="0072511A"/>
    <w:rsid w:val="0072684F"/>
    <w:rsid w:val="007303A5"/>
    <w:rsid w:val="00730B3E"/>
    <w:rsid w:val="0073289B"/>
    <w:rsid w:val="0073420B"/>
    <w:rsid w:val="00736367"/>
    <w:rsid w:val="007409F5"/>
    <w:rsid w:val="00746978"/>
    <w:rsid w:val="0074760E"/>
    <w:rsid w:val="00754ABA"/>
    <w:rsid w:val="007732A0"/>
    <w:rsid w:val="00782B0D"/>
    <w:rsid w:val="00785C96"/>
    <w:rsid w:val="00786522"/>
    <w:rsid w:val="00790619"/>
    <w:rsid w:val="00791BF9"/>
    <w:rsid w:val="00793032"/>
    <w:rsid w:val="00793F4E"/>
    <w:rsid w:val="0079781A"/>
    <w:rsid w:val="007A1546"/>
    <w:rsid w:val="007A228C"/>
    <w:rsid w:val="007A368E"/>
    <w:rsid w:val="007A5868"/>
    <w:rsid w:val="007A6E40"/>
    <w:rsid w:val="007B04CE"/>
    <w:rsid w:val="007B246E"/>
    <w:rsid w:val="007B6871"/>
    <w:rsid w:val="007B7A2F"/>
    <w:rsid w:val="007C32EE"/>
    <w:rsid w:val="007C3D33"/>
    <w:rsid w:val="007C6D2D"/>
    <w:rsid w:val="007D2423"/>
    <w:rsid w:val="007D2680"/>
    <w:rsid w:val="007D294A"/>
    <w:rsid w:val="007D47D2"/>
    <w:rsid w:val="007D4F85"/>
    <w:rsid w:val="007D6EC0"/>
    <w:rsid w:val="007D7E1D"/>
    <w:rsid w:val="007E0207"/>
    <w:rsid w:val="007E3CEF"/>
    <w:rsid w:val="007E503C"/>
    <w:rsid w:val="007E7ADA"/>
    <w:rsid w:val="007F04F9"/>
    <w:rsid w:val="007F7A43"/>
    <w:rsid w:val="0080345C"/>
    <w:rsid w:val="008046FC"/>
    <w:rsid w:val="0081016C"/>
    <w:rsid w:val="00817525"/>
    <w:rsid w:val="00820B1C"/>
    <w:rsid w:val="00820E68"/>
    <w:rsid w:val="00821C6B"/>
    <w:rsid w:val="00824546"/>
    <w:rsid w:val="0082522F"/>
    <w:rsid w:val="00826F7D"/>
    <w:rsid w:val="00831979"/>
    <w:rsid w:val="00835FBB"/>
    <w:rsid w:val="0084382B"/>
    <w:rsid w:val="00845A64"/>
    <w:rsid w:val="00851352"/>
    <w:rsid w:val="00857077"/>
    <w:rsid w:val="008631C0"/>
    <w:rsid w:val="00863230"/>
    <w:rsid w:val="00863BC7"/>
    <w:rsid w:val="00865BD0"/>
    <w:rsid w:val="008717D8"/>
    <w:rsid w:val="0087215C"/>
    <w:rsid w:val="00875D25"/>
    <w:rsid w:val="00875F82"/>
    <w:rsid w:val="00880E35"/>
    <w:rsid w:val="00885923"/>
    <w:rsid w:val="008875FE"/>
    <w:rsid w:val="008879D3"/>
    <w:rsid w:val="00887F8E"/>
    <w:rsid w:val="0089317D"/>
    <w:rsid w:val="0089471D"/>
    <w:rsid w:val="00895FDC"/>
    <w:rsid w:val="0089613F"/>
    <w:rsid w:val="00896234"/>
    <w:rsid w:val="00897AC3"/>
    <w:rsid w:val="00897E43"/>
    <w:rsid w:val="008A0AA2"/>
    <w:rsid w:val="008B5E0C"/>
    <w:rsid w:val="008C222B"/>
    <w:rsid w:val="008C5738"/>
    <w:rsid w:val="008C5B50"/>
    <w:rsid w:val="008C7EAD"/>
    <w:rsid w:val="008D0904"/>
    <w:rsid w:val="008D0CFE"/>
    <w:rsid w:val="008D115D"/>
    <w:rsid w:val="008D6152"/>
    <w:rsid w:val="008E6FD5"/>
    <w:rsid w:val="008E7288"/>
    <w:rsid w:val="008E7B47"/>
    <w:rsid w:val="008E7BA9"/>
    <w:rsid w:val="008F0F81"/>
    <w:rsid w:val="008F27BF"/>
    <w:rsid w:val="008F2E64"/>
    <w:rsid w:val="00901774"/>
    <w:rsid w:val="00903583"/>
    <w:rsid w:val="009075D5"/>
    <w:rsid w:val="009137AC"/>
    <w:rsid w:val="009142EC"/>
    <w:rsid w:val="009145E4"/>
    <w:rsid w:val="009154C3"/>
    <w:rsid w:val="00920E68"/>
    <w:rsid w:val="00921E23"/>
    <w:rsid w:val="00923540"/>
    <w:rsid w:val="00926767"/>
    <w:rsid w:val="00935538"/>
    <w:rsid w:val="009361D5"/>
    <w:rsid w:val="00936624"/>
    <w:rsid w:val="009428A4"/>
    <w:rsid w:val="009431C5"/>
    <w:rsid w:val="009529EE"/>
    <w:rsid w:val="0095419B"/>
    <w:rsid w:val="0095662D"/>
    <w:rsid w:val="009659F4"/>
    <w:rsid w:val="00966A7C"/>
    <w:rsid w:val="0096725F"/>
    <w:rsid w:val="00970D60"/>
    <w:rsid w:val="0097366D"/>
    <w:rsid w:val="00975D86"/>
    <w:rsid w:val="009868E2"/>
    <w:rsid w:val="0099390E"/>
    <w:rsid w:val="009960E5"/>
    <w:rsid w:val="009A03C5"/>
    <w:rsid w:val="009A7ADC"/>
    <w:rsid w:val="009B0D30"/>
    <w:rsid w:val="009B27D2"/>
    <w:rsid w:val="009B3043"/>
    <w:rsid w:val="009B5789"/>
    <w:rsid w:val="009B6A1D"/>
    <w:rsid w:val="009B76A6"/>
    <w:rsid w:val="009C19B7"/>
    <w:rsid w:val="009C4355"/>
    <w:rsid w:val="009C58D6"/>
    <w:rsid w:val="009C5ABB"/>
    <w:rsid w:val="009C5BE3"/>
    <w:rsid w:val="009D0D0A"/>
    <w:rsid w:val="009D3CA9"/>
    <w:rsid w:val="009D6C7C"/>
    <w:rsid w:val="009D7481"/>
    <w:rsid w:val="009D7C51"/>
    <w:rsid w:val="009E196C"/>
    <w:rsid w:val="009E6A0A"/>
    <w:rsid w:val="009F0C72"/>
    <w:rsid w:val="009F16C6"/>
    <w:rsid w:val="009F36BF"/>
    <w:rsid w:val="009F470E"/>
    <w:rsid w:val="009F5239"/>
    <w:rsid w:val="009F6B81"/>
    <w:rsid w:val="00A024AE"/>
    <w:rsid w:val="00A02B6E"/>
    <w:rsid w:val="00A03476"/>
    <w:rsid w:val="00A04BCB"/>
    <w:rsid w:val="00A04E60"/>
    <w:rsid w:val="00A111AF"/>
    <w:rsid w:val="00A111B6"/>
    <w:rsid w:val="00A1280D"/>
    <w:rsid w:val="00A17CB4"/>
    <w:rsid w:val="00A25102"/>
    <w:rsid w:val="00A25226"/>
    <w:rsid w:val="00A263E8"/>
    <w:rsid w:val="00A26D27"/>
    <w:rsid w:val="00A34AAD"/>
    <w:rsid w:val="00A376EE"/>
    <w:rsid w:val="00A37F2B"/>
    <w:rsid w:val="00A4066C"/>
    <w:rsid w:val="00A42051"/>
    <w:rsid w:val="00A42A99"/>
    <w:rsid w:val="00A5151A"/>
    <w:rsid w:val="00A57E0A"/>
    <w:rsid w:val="00A64715"/>
    <w:rsid w:val="00A733C0"/>
    <w:rsid w:val="00A77919"/>
    <w:rsid w:val="00A823F6"/>
    <w:rsid w:val="00A8317A"/>
    <w:rsid w:val="00A8719E"/>
    <w:rsid w:val="00A87595"/>
    <w:rsid w:val="00A91B99"/>
    <w:rsid w:val="00A92AD4"/>
    <w:rsid w:val="00A96695"/>
    <w:rsid w:val="00AA0A89"/>
    <w:rsid w:val="00AA5368"/>
    <w:rsid w:val="00AA583E"/>
    <w:rsid w:val="00AA5D66"/>
    <w:rsid w:val="00AA6429"/>
    <w:rsid w:val="00AB429E"/>
    <w:rsid w:val="00AC01AA"/>
    <w:rsid w:val="00AC0411"/>
    <w:rsid w:val="00AC356C"/>
    <w:rsid w:val="00AC4F72"/>
    <w:rsid w:val="00AC5041"/>
    <w:rsid w:val="00AD3EE6"/>
    <w:rsid w:val="00AD6E6B"/>
    <w:rsid w:val="00AE0B71"/>
    <w:rsid w:val="00AE1B6E"/>
    <w:rsid w:val="00AE43E5"/>
    <w:rsid w:val="00AE482E"/>
    <w:rsid w:val="00AF741A"/>
    <w:rsid w:val="00B01ADB"/>
    <w:rsid w:val="00B04161"/>
    <w:rsid w:val="00B056F9"/>
    <w:rsid w:val="00B06BB9"/>
    <w:rsid w:val="00B10595"/>
    <w:rsid w:val="00B11E3D"/>
    <w:rsid w:val="00B14D2C"/>
    <w:rsid w:val="00B17E82"/>
    <w:rsid w:val="00B20616"/>
    <w:rsid w:val="00B305F1"/>
    <w:rsid w:val="00B32AA8"/>
    <w:rsid w:val="00B34A84"/>
    <w:rsid w:val="00B34E2B"/>
    <w:rsid w:val="00B35DDA"/>
    <w:rsid w:val="00B378CD"/>
    <w:rsid w:val="00B42DEA"/>
    <w:rsid w:val="00B4575A"/>
    <w:rsid w:val="00B56C85"/>
    <w:rsid w:val="00B575BA"/>
    <w:rsid w:val="00B601F6"/>
    <w:rsid w:val="00B6165F"/>
    <w:rsid w:val="00B61B53"/>
    <w:rsid w:val="00B71608"/>
    <w:rsid w:val="00B72BC1"/>
    <w:rsid w:val="00B76429"/>
    <w:rsid w:val="00B7676F"/>
    <w:rsid w:val="00B76C29"/>
    <w:rsid w:val="00B8034F"/>
    <w:rsid w:val="00B8050C"/>
    <w:rsid w:val="00B8138D"/>
    <w:rsid w:val="00B85E83"/>
    <w:rsid w:val="00B86471"/>
    <w:rsid w:val="00B86F7D"/>
    <w:rsid w:val="00B87C1A"/>
    <w:rsid w:val="00B956D4"/>
    <w:rsid w:val="00B97446"/>
    <w:rsid w:val="00BA7432"/>
    <w:rsid w:val="00BB2764"/>
    <w:rsid w:val="00BB4FBB"/>
    <w:rsid w:val="00BC0B21"/>
    <w:rsid w:val="00BC1AA0"/>
    <w:rsid w:val="00BC2495"/>
    <w:rsid w:val="00BC2745"/>
    <w:rsid w:val="00BC314A"/>
    <w:rsid w:val="00BC4770"/>
    <w:rsid w:val="00BC5552"/>
    <w:rsid w:val="00BC750B"/>
    <w:rsid w:val="00BC7EB9"/>
    <w:rsid w:val="00BD2643"/>
    <w:rsid w:val="00BD56B1"/>
    <w:rsid w:val="00BD6558"/>
    <w:rsid w:val="00BD6EF0"/>
    <w:rsid w:val="00BE4515"/>
    <w:rsid w:val="00BF2AD7"/>
    <w:rsid w:val="00BF2F76"/>
    <w:rsid w:val="00BF3022"/>
    <w:rsid w:val="00BF3087"/>
    <w:rsid w:val="00BF3214"/>
    <w:rsid w:val="00BF5573"/>
    <w:rsid w:val="00BF6EC2"/>
    <w:rsid w:val="00BF7D77"/>
    <w:rsid w:val="00C06FA8"/>
    <w:rsid w:val="00C1161B"/>
    <w:rsid w:val="00C15867"/>
    <w:rsid w:val="00C22398"/>
    <w:rsid w:val="00C2296D"/>
    <w:rsid w:val="00C23155"/>
    <w:rsid w:val="00C316C4"/>
    <w:rsid w:val="00C34968"/>
    <w:rsid w:val="00C37B75"/>
    <w:rsid w:val="00C4090C"/>
    <w:rsid w:val="00C40C41"/>
    <w:rsid w:val="00C45885"/>
    <w:rsid w:val="00C47A76"/>
    <w:rsid w:val="00C50F22"/>
    <w:rsid w:val="00C511C9"/>
    <w:rsid w:val="00C54526"/>
    <w:rsid w:val="00C54A88"/>
    <w:rsid w:val="00C57971"/>
    <w:rsid w:val="00C65BD7"/>
    <w:rsid w:val="00C73E49"/>
    <w:rsid w:val="00C76BA4"/>
    <w:rsid w:val="00C770E7"/>
    <w:rsid w:val="00C83A48"/>
    <w:rsid w:val="00C85865"/>
    <w:rsid w:val="00C85E85"/>
    <w:rsid w:val="00C87442"/>
    <w:rsid w:val="00C90779"/>
    <w:rsid w:val="00C91AAF"/>
    <w:rsid w:val="00C9723D"/>
    <w:rsid w:val="00C97D59"/>
    <w:rsid w:val="00CA20B6"/>
    <w:rsid w:val="00CA2EAE"/>
    <w:rsid w:val="00CA4AC1"/>
    <w:rsid w:val="00CA59FB"/>
    <w:rsid w:val="00CB0316"/>
    <w:rsid w:val="00CB04EA"/>
    <w:rsid w:val="00CB063A"/>
    <w:rsid w:val="00CB0B11"/>
    <w:rsid w:val="00CB1DBA"/>
    <w:rsid w:val="00CB426A"/>
    <w:rsid w:val="00CB5354"/>
    <w:rsid w:val="00CB676D"/>
    <w:rsid w:val="00CC3C9E"/>
    <w:rsid w:val="00CC6A14"/>
    <w:rsid w:val="00CC6C4B"/>
    <w:rsid w:val="00CC70A3"/>
    <w:rsid w:val="00CD30CD"/>
    <w:rsid w:val="00CD3F5A"/>
    <w:rsid w:val="00CD4442"/>
    <w:rsid w:val="00CD53C3"/>
    <w:rsid w:val="00CD574E"/>
    <w:rsid w:val="00CE0454"/>
    <w:rsid w:val="00CE2ED3"/>
    <w:rsid w:val="00CE336F"/>
    <w:rsid w:val="00CE4C22"/>
    <w:rsid w:val="00CE5A02"/>
    <w:rsid w:val="00CE732C"/>
    <w:rsid w:val="00CE76E5"/>
    <w:rsid w:val="00CE77C0"/>
    <w:rsid w:val="00CF41EC"/>
    <w:rsid w:val="00CF5D04"/>
    <w:rsid w:val="00D00928"/>
    <w:rsid w:val="00D03284"/>
    <w:rsid w:val="00D04DE4"/>
    <w:rsid w:val="00D063F1"/>
    <w:rsid w:val="00D10D06"/>
    <w:rsid w:val="00D14F22"/>
    <w:rsid w:val="00D1532C"/>
    <w:rsid w:val="00D23BEC"/>
    <w:rsid w:val="00D26936"/>
    <w:rsid w:val="00D34038"/>
    <w:rsid w:val="00D3450C"/>
    <w:rsid w:val="00D37391"/>
    <w:rsid w:val="00D41846"/>
    <w:rsid w:val="00D4741C"/>
    <w:rsid w:val="00D478EE"/>
    <w:rsid w:val="00D533D6"/>
    <w:rsid w:val="00D565FD"/>
    <w:rsid w:val="00D56674"/>
    <w:rsid w:val="00D5740B"/>
    <w:rsid w:val="00D57918"/>
    <w:rsid w:val="00D63FAB"/>
    <w:rsid w:val="00D7124E"/>
    <w:rsid w:val="00D73DC6"/>
    <w:rsid w:val="00D74C1A"/>
    <w:rsid w:val="00D754C1"/>
    <w:rsid w:val="00D76C63"/>
    <w:rsid w:val="00D76C95"/>
    <w:rsid w:val="00D77393"/>
    <w:rsid w:val="00D77A35"/>
    <w:rsid w:val="00D81B3E"/>
    <w:rsid w:val="00D840DE"/>
    <w:rsid w:val="00D854B6"/>
    <w:rsid w:val="00D86A7E"/>
    <w:rsid w:val="00D90C70"/>
    <w:rsid w:val="00D90E49"/>
    <w:rsid w:val="00D9382D"/>
    <w:rsid w:val="00D96ADE"/>
    <w:rsid w:val="00D97D57"/>
    <w:rsid w:val="00DA0CE2"/>
    <w:rsid w:val="00DA2387"/>
    <w:rsid w:val="00DC6A10"/>
    <w:rsid w:val="00DD2E57"/>
    <w:rsid w:val="00DD7C60"/>
    <w:rsid w:val="00DE1BD7"/>
    <w:rsid w:val="00DE36B2"/>
    <w:rsid w:val="00DE3ED3"/>
    <w:rsid w:val="00DE657E"/>
    <w:rsid w:val="00DF4704"/>
    <w:rsid w:val="00DF4ADE"/>
    <w:rsid w:val="00E00648"/>
    <w:rsid w:val="00E0209B"/>
    <w:rsid w:val="00E024AA"/>
    <w:rsid w:val="00E06D81"/>
    <w:rsid w:val="00E15C77"/>
    <w:rsid w:val="00E15FEE"/>
    <w:rsid w:val="00E21FE3"/>
    <w:rsid w:val="00E22C4B"/>
    <w:rsid w:val="00E250F1"/>
    <w:rsid w:val="00E31BFF"/>
    <w:rsid w:val="00E34057"/>
    <w:rsid w:val="00E34496"/>
    <w:rsid w:val="00E3550D"/>
    <w:rsid w:val="00E4077E"/>
    <w:rsid w:val="00E40AC5"/>
    <w:rsid w:val="00E4171A"/>
    <w:rsid w:val="00E42B75"/>
    <w:rsid w:val="00E44E44"/>
    <w:rsid w:val="00E46D70"/>
    <w:rsid w:val="00E52838"/>
    <w:rsid w:val="00E57F2C"/>
    <w:rsid w:val="00E60DB2"/>
    <w:rsid w:val="00E614E0"/>
    <w:rsid w:val="00E67871"/>
    <w:rsid w:val="00E72FE4"/>
    <w:rsid w:val="00E73F7F"/>
    <w:rsid w:val="00E747E0"/>
    <w:rsid w:val="00E753E8"/>
    <w:rsid w:val="00E75AE5"/>
    <w:rsid w:val="00E77A8A"/>
    <w:rsid w:val="00E850DD"/>
    <w:rsid w:val="00E85409"/>
    <w:rsid w:val="00E930A1"/>
    <w:rsid w:val="00E95F39"/>
    <w:rsid w:val="00E96318"/>
    <w:rsid w:val="00EA2030"/>
    <w:rsid w:val="00EA2ECB"/>
    <w:rsid w:val="00EA429F"/>
    <w:rsid w:val="00EA4F9E"/>
    <w:rsid w:val="00EA5757"/>
    <w:rsid w:val="00EA5EF1"/>
    <w:rsid w:val="00EA6299"/>
    <w:rsid w:val="00EA63CA"/>
    <w:rsid w:val="00EA6D3B"/>
    <w:rsid w:val="00EB00AD"/>
    <w:rsid w:val="00EB0639"/>
    <w:rsid w:val="00EB0935"/>
    <w:rsid w:val="00EB136C"/>
    <w:rsid w:val="00EB3633"/>
    <w:rsid w:val="00EB480E"/>
    <w:rsid w:val="00EB4DB3"/>
    <w:rsid w:val="00EB5EC6"/>
    <w:rsid w:val="00EB7DA5"/>
    <w:rsid w:val="00EB7FC9"/>
    <w:rsid w:val="00EC12AD"/>
    <w:rsid w:val="00EC4F38"/>
    <w:rsid w:val="00EC5A5F"/>
    <w:rsid w:val="00ED1039"/>
    <w:rsid w:val="00ED1DE3"/>
    <w:rsid w:val="00ED27E8"/>
    <w:rsid w:val="00ED492D"/>
    <w:rsid w:val="00ED7137"/>
    <w:rsid w:val="00ED7828"/>
    <w:rsid w:val="00EE0530"/>
    <w:rsid w:val="00EE0683"/>
    <w:rsid w:val="00EE2FA2"/>
    <w:rsid w:val="00EE3D8E"/>
    <w:rsid w:val="00EF06EA"/>
    <w:rsid w:val="00EF0D7B"/>
    <w:rsid w:val="00EF337F"/>
    <w:rsid w:val="00EF3F9D"/>
    <w:rsid w:val="00EF47E8"/>
    <w:rsid w:val="00F0671D"/>
    <w:rsid w:val="00F07604"/>
    <w:rsid w:val="00F1420E"/>
    <w:rsid w:val="00F1651D"/>
    <w:rsid w:val="00F21088"/>
    <w:rsid w:val="00F23E50"/>
    <w:rsid w:val="00F278AA"/>
    <w:rsid w:val="00F3199C"/>
    <w:rsid w:val="00F326BF"/>
    <w:rsid w:val="00F327E7"/>
    <w:rsid w:val="00F32BB1"/>
    <w:rsid w:val="00F35746"/>
    <w:rsid w:val="00F41C0A"/>
    <w:rsid w:val="00F4319E"/>
    <w:rsid w:val="00F447C7"/>
    <w:rsid w:val="00F459B4"/>
    <w:rsid w:val="00F460B0"/>
    <w:rsid w:val="00F5211B"/>
    <w:rsid w:val="00F554A9"/>
    <w:rsid w:val="00F57085"/>
    <w:rsid w:val="00F579C3"/>
    <w:rsid w:val="00F61552"/>
    <w:rsid w:val="00F6627D"/>
    <w:rsid w:val="00F716FD"/>
    <w:rsid w:val="00F80355"/>
    <w:rsid w:val="00F8694C"/>
    <w:rsid w:val="00F87C43"/>
    <w:rsid w:val="00F9155D"/>
    <w:rsid w:val="00FA0B46"/>
    <w:rsid w:val="00FA20DE"/>
    <w:rsid w:val="00FA5722"/>
    <w:rsid w:val="00FB0C81"/>
    <w:rsid w:val="00FB3580"/>
    <w:rsid w:val="00FB3FDC"/>
    <w:rsid w:val="00FB42F3"/>
    <w:rsid w:val="00FB5183"/>
    <w:rsid w:val="00FB6200"/>
    <w:rsid w:val="00FC2200"/>
    <w:rsid w:val="00FC2540"/>
    <w:rsid w:val="00FE2187"/>
    <w:rsid w:val="00FE3251"/>
    <w:rsid w:val="00FE6859"/>
    <w:rsid w:val="00FF0204"/>
    <w:rsid w:val="00FF11C8"/>
    <w:rsid w:val="00FF3AED"/>
    <w:rsid w:val="30ED17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BD9BC6"/>
  <w15:docId w15:val="{4AD38F9E-113F-461F-86E4-5CA3300F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列出段落YUAN"/>
    <w:basedOn w:val="Normal"/>
    <w:link w:val="ListParagraphChar"/>
    <w:uiPriority w:val="1"/>
    <w:qFormat/>
    <w:rsid w:val="00080529"/>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80529"/>
    <w:pPr>
      <w:spacing w:after="160" w:line="240" w:lineRule="exact"/>
    </w:pPr>
    <w:rPr>
      <w:sz w:val="20"/>
      <w:szCs w:val="20"/>
      <w:vertAlign w:val="superscript"/>
    </w:rPr>
  </w:style>
  <w:style w:type="paragraph" w:customStyle="1" w:styleId="CM28">
    <w:name w:val="CM28"/>
    <w:basedOn w:val="Normal"/>
    <w:next w:val="Normal"/>
    <w:rsid w:val="00080529"/>
    <w:pPr>
      <w:widowControl w:val="0"/>
      <w:autoSpaceDE w:val="0"/>
      <w:autoSpaceDN w:val="0"/>
      <w:adjustRightInd w:val="0"/>
      <w:spacing w:after="223"/>
      <w:jc w:val="left"/>
    </w:pPr>
    <w:rPr>
      <w:sz w:val="24"/>
      <w:szCs w:val="24"/>
    </w:rPr>
  </w:style>
  <w:style w:type="character" w:customStyle="1" w:styleId="normaltextrun">
    <w:name w:val="normaltextrun"/>
    <w:basedOn w:val="DefaultParagraphFont"/>
    <w:rsid w:val="00080529"/>
  </w:style>
  <w:style w:type="numbering" w:customStyle="1" w:styleId="ArticleSection114">
    <w:name w:val="Article / Section114"/>
    <w:rsid w:val="00080529"/>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82EB1"/>
    <w:rPr>
      <w:sz w:val="22"/>
      <w:szCs w:val="22"/>
      <w:lang w:val="fr-FR"/>
    </w:rPr>
  </w:style>
  <w:style w:type="character" w:customStyle="1" w:styleId="Heading3Char">
    <w:name w:val="Heading 3 Char"/>
    <w:basedOn w:val="DefaultParagraphFont"/>
    <w:qFormat/>
    <w:rsid w:val="00282EB1"/>
    <w:rPr>
      <w:rFonts w:asciiTheme="majorHAnsi" w:eastAsiaTheme="majorEastAsia" w:hAnsiTheme="majorHAnsi" w:cstheme="majorBidi"/>
      <w:color w:val="243F60" w:themeColor="accent1" w:themeShade="7F"/>
      <w:sz w:val="24"/>
      <w:szCs w:val="24"/>
      <w:lang w:val="fr-FR"/>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282EB1"/>
    <w:rPr>
      <w:sz w:val="22"/>
      <w:szCs w:val="22"/>
      <w:lang w:val="fr-FR"/>
    </w:rPr>
  </w:style>
  <w:style w:type="character" w:customStyle="1" w:styleId="Heading5Char">
    <w:name w:val="Heading 5 Char"/>
    <w:basedOn w:val="DefaultParagraphFont"/>
    <w:link w:val="Heading5"/>
    <w:rsid w:val="00282EB1"/>
    <w:rPr>
      <w:sz w:val="22"/>
      <w:szCs w:val="22"/>
      <w:lang w:val="fr-FR"/>
    </w:rPr>
  </w:style>
  <w:style w:type="character" w:customStyle="1" w:styleId="Heading6Char">
    <w:name w:val="Heading 6 Char"/>
    <w:basedOn w:val="DefaultParagraphFont"/>
    <w:link w:val="Heading6"/>
    <w:rsid w:val="00282EB1"/>
    <w:rPr>
      <w:rFonts w:ascii="Arial" w:hAnsi="Arial"/>
      <w:i/>
      <w:sz w:val="22"/>
      <w:szCs w:val="22"/>
      <w:lang w:val="fr-FR"/>
    </w:rPr>
  </w:style>
  <w:style w:type="character" w:customStyle="1" w:styleId="Heading7Char">
    <w:name w:val="Heading 7 Char"/>
    <w:basedOn w:val="DefaultParagraphFont"/>
    <w:link w:val="Heading7"/>
    <w:rsid w:val="00282EB1"/>
    <w:rPr>
      <w:rFonts w:ascii="Arial" w:hAnsi="Arial"/>
      <w:sz w:val="22"/>
      <w:szCs w:val="22"/>
      <w:lang w:val="fr-FR"/>
    </w:rPr>
  </w:style>
  <w:style w:type="character" w:customStyle="1" w:styleId="Heading8Char">
    <w:name w:val="Heading 8 Char"/>
    <w:basedOn w:val="DefaultParagraphFont"/>
    <w:link w:val="Heading8"/>
    <w:rsid w:val="00282EB1"/>
    <w:rPr>
      <w:b/>
      <w:sz w:val="22"/>
      <w:szCs w:val="22"/>
      <w:lang w:val="fr-FR"/>
    </w:rPr>
  </w:style>
  <w:style w:type="character" w:customStyle="1" w:styleId="Heading9Char">
    <w:name w:val="Heading 9 Char"/>
    <w:basedOn w:val="DefaultParagraphFont"/>
    <w:link w:val="Heading9"/>
    <w:rsid w:val="00282EB1"/>
    <w:rPr>
      <w:rFonts w:ascii="Arial" w:hAnsi="Arial"/>
      <w:i/>
      <w:sz w:val="18"/>
      <w:szCs w:val="22"/>
      <w:lang w:val="fr-FR"/>
    </w:rPr>
  </w:style>
  <w:style w:type="character" w:styleId="PageNumber">
    <w:name w:val="page number"/>
    <w:basedOn w:val="DefaultParagraphFont"/>
    <w:rsid w:val="00282EB1"/>
    <w:rPr>
      <w:rFonts w:ascii="Times New Roman" w:hAnsi="Times New Roman"/>
      <w:b/>
      <w:sz w:val="18"/>
    </w:rPr>
  </w:style>
  <w:style w:type="table" w:customStyle="1" w:styleId="Tabledocright">
    <w:name w:val="Table_doc_right"/>
    <w:basedOn w:val="TableNormal"/>
    <w:rsid w:val="00282EB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82EB1"/>
    <w:pPr>
      <w:tabs>
        <w:tab w:val="left" w:pos="1247"/>
      </w:tabs>
      <w:ind w:left="1000"/>
      <w:jc w:val="left"/>
    </w:pPr>
    <w:rPr>
      <w:sz w:val="18"/>
      <w:szCs w:val="18"/>
    </w:rPr>
  </w:style>
  <w:style w:type="paragraph" w:styleId="TOC7">
    <w:name w:val="toc 7"/>
    <w:basedOn w:val="Normal"/>
    <w:next w:val="Normal"/>
    <w:autoRedefine/>
    <w:semiHidden/>
    <w:rsid w:val="00282EB1"/>
    <w:pPr>
      <w:tabs>
        <w:tab w:val="left" w:pos="1247"/>
      </w:tabs>
      <w:ind w:left="1200"/>
      <w:jc w:val="left"/>
    </w:pPr>
    <w:rPr>
      <w:sz w:val="18"/>
      <w:szCs w:val="18"/>
    </w:rPr>
  </w:style>
  <w:style w:type="paragraph" w:styleId="TOC8">
    <w:name w:val="toc 8"/>
    <w:basedOn w:val="Normal"/>
    <w:next w:val="Normal"/>
    <w:autoRedefine/>
    <w:semiHidden/>
    <w:rsid w:val="00282EB1"/>
    <w:pPr>
      <w:tabs>
        <w:tab w:val="left" w:pos="1247"/>
      </w:tabs>
      <w:ind w:left="1400"/>
      <w:jc w:val="left"/>
    </w:pPr>
    <w:rPr>
      <w:sz w:val="18"/>
      <w:szCs w:val="18"/>
    </w:rPr>
  </w:style>
  <w:style w:type="paragraph" w:styleId="TOC9">
    <w:name w:val="toc 9"/>
    <w:basedOn w:val="Normal"/>
    <w:next w:val="Normal"/>
    <w:autoRedefine/>
    <w:semiHidden/>
    <w:rsid w:val="00282EB1"/>
    <w:pPr>
      <w:tabs>
        <w:tab w:val="left" w:pos="1247"/>
      </w:tabs>
      <w:ind w:left="1600"/>
      <w:jc w:val="left"/>
    </w:pPr>
    <w:rPr>
      <w:sz w:val="18"/>
      <w:szCs w:val="18"/>
    </w:rPr>
  </w:style>
  <w:style w:type="paragraph" w:customStyle="1" w:styleId="Titlefigure">
    <w:name w:val="Title_figure"/>
    <w:basedOn w:val="Titletable"/>
    <w:next w:val="NormalNonumber"/>
    <w:rsid w:val="00282EB1"/>
    <w:rPr>
      <w:bCs w:val="0"/>
    </w:rPr>
  </w:style>
  <w:style w:type="paragraph" w:styleId="TableofFigures">
    <w:name w:val="table of figures"/>
    <w:basedOn w:val="Normal"/>
    <w:next w:val="Normal"/>
    <w:autoRedefine/>
    <w:semiHidden/>
    <w:rsid w:val="00282EB1"/>
    <w:pPr>
      <w:tabs>
        <w:tab w:val="left" w:pos="1247"/>
      </w:tabs>
      <w:ind w:left="1814" w:hanging="567"/>
      <w:jc w:val="left"/>
    </w:pPr>
    <w:rPr>
      <w:sz w:val="20"/>
      <w:szCs w:val="20"/>
    </w:rPr>
  </w:style>
  <w:style w:type="paragraph" w:customStyle="1" w:styleId="CH1">
    <w:name w:val="CH1"/>
    <w:basedOn w:val="Normalpool"/>
    <w:next w:val="CH2"/>
    <w:link w:val="CH1Char"/>
    <w:qFormat/>
    <w:rsid w:val="00282EB1"/>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rsid w:val="00282EB1"/>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282EB1"/>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282EB1"/>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282EB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282EB1"/>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282EB1"/>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282EB1"/>
    <w:pPr>
      <w:pBdr>
        <w:bottom w:val="single" w:sz="4" w:space="1" w:color="auto"/>
      </w:pBdr>
      <w:tabs>
        <w:tab w:val="left" w:pos="1247"/>
        <w:tab w:val="center" w:pos="4536"/>
        <w:tab w:val="right" w:pos="9072"/>
      </w:tabs>
      <w:spacing w:after="120"/>
      <w:jc w:val="left"/>
    </w:pPr>
    <w:rPr>
      <w:b/>
      <w:sz w:val="18"/>
      <w:szCs w:val="20"/>
    </w:rPr>
  </w:style>
  <w:style w:type="paragraph" w:customStyle="1" w:styleId="Normalpool">
    <w:name w:val="Normal_pool"/>
    <w:link w:val="NormalpoolChar"/>
    <w:rsid w:val="00282EB1"/>
    <w:pPr>
      <w:tabs>
        <w:tab w:val="left" w:pos="1247"/>
        <w:tab w:val="left" w:pos="1814"/>
        <w:tab w:val="left" w:pos="2381"/>
        <w:tab w:val="left" w:pos="2948"/>
        <w:tab w:val="left" w:pos="3515"/>
        <w:tab w:val="left" w:pos="4082"/>
      </w:tabs>
    </w:pPr>
  </w:style>
  <w:style w:type="paragraph" w:customStyle="1" w:styleId="Footer-pool">
    <w:name w:val="Footer-pool"/>
    <w:basedOn w:val="Normal-pool"/>
    <w:next w:val="Normal-pool"/>
    <w:rsid w:val="00282EB1"/>
    <w:pPr>
      <w:tabs>
        <w:tab w:val="left" w:pos="4321"/>
        <w:tab w:val="right" w:pos="8641"/>
      </w:tabs>
      <w:spacing w:before="60" w:after="120"/>
    </w:pPr>
    <w:rPr>
      <w:b/>
      <w:sz w:val="18"/>
    </w:rPr>
  </w:style>
  <w:style w:type="paragraph" w:customStyle="1" w:styleId="Header-pool">
    <w:name w:val="Header-pool"/>
    <w:basedOn w:val="Normal-pool"/>
    <w:next w:val="Normal-pool"/>
    <w:rsid w:val="00282EB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282EB1"/>
    <w:pPr>
      <w:tabs>
        <w:tab w:val="left" w:pos="1247"/>
        <w:tab w:val="left" w:pos="1814"/>
        <w:tab w:val="left" w:pos="2381"/>
        <w:tab w:val="left" w:pos="2948"/>
        <w:tab w:val="left" w:pos="3515"/>
        <w:tab w:val="left" w:pos="4082"/>
      </w:tabs>
    </w:pPr>
  </w:style>
  <w:style w:type="character" w:customStyle="1" w:styleId="FooterChar">
    <w:name w:val="Footer Char"/>
    <w:link w:val="Footer"/>
    <w:uiPriority w:val="99"/>
    <w:rsid w:val="00282EB1"/>
    <w:rPr>
      <w:sz w:val="22"/>
      <w:szCs w:val="22"/>
      <w:lang w:val="fr-FR"/>
    </w:rPr>
  </w:style>
  <w:style w:type="character" w:customStyle="1" w:styleId="HeaderChar">
    <w:name w:val="Header Char"/>
    <w:aliases w:val="EthylHeader Char"/>
    <w:link w:val="Header"/>
    <w:uiPriority w:val="99"/>
    <w:rsid w:val="00282EB1"/>
    <w:rPr>
      <w:sz w:val="22"/>
      <w:szCs w:val="22"/>
      <w:lang w:val="fr-FR"/>
    </w:rPr>
  </w:style>
  <w:style w:type="character" w:customStyle="1" w:styleId="CH2Char">
    <w:name w:val="CH2 Char"/>
    <w:link w:val="CH2"/>
    <w:locked/>
    <w:rsid w:val="00282EB1"/>
    <w:rPr>
      <w:b/>
      <w:sz w:val="24"/>
      <w:szCs w:val="24"/>
      <w:lang w:val="fr-FR"/>
    </w:rPr>
  </w:style>
  <w:style w:type="character" w:customStyle="1" w:styleId="NormalnumberChar">
    <w:name w:val="Normal_number Char"/>
    <w:link w:val="Normalnumber"/>
    <w:locked/>
    <w:rsid w:val="00282EB1"/>
    <w:rPr>
      <w:lang w:val="fr-FR"/>
    </w:rPr>
  </w:style>
  <w:style w:type="paragraph" w:styleId="NormalWeb">
    <w:name w:val="Normal (Web)"/>
    <w:basedOn w:val="Normal"/>
    <w:unhideWhenUsed/>
    <w:rsid w:val="00282EB1"/>
    <w:pPr>
      <w:spacing w:before="100" w:beforeAutospacing="1" w:after="100" w:afterAutospacing="1"/>
      <w:jc w:val="left"/>
    </w:pPr>
    <w:rPr>
      <w:sz w:val="24"/>
      <w:szCs w:val="24"/>
      <w:lang w:eastAsia="zh-CN"/>
    </w:rPr>
  </w:style>
  <w:style w:type="character" w:styleId="Emphasis">
    <w:name w:val="Emphasis"/>
    <w:qFormat/>
    <w:rsid w:val="00282EB1"/>
    <w:rPr>
      <w:i/>
      <w:iCs/>
    </w:rPr>
  </w:style>
  <w:style w:type="character" w:styleId="FollowedHyperlink">
    <w:name w:val="FollowedHyperlink"/>
    <w:uiPriority w:val="99"/>
    <w:unhideWhenUsed/>
    <w:rsid w:val="00282EB1"/>
    <w:rPr>
      <w:color w:val="954F72"/>
      <w:u w:val="single"/>
    </w:rPr>
  </w:style>
  <w:style w:type="paragraph" w:customStyle="1" w:styleId="xl63">
    <w:name w:val="xl6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rPr>
  </w:style>
  <w:style w:type="paragraph" w:customStyle="1" w:styleId="xl64">
    <w:name w:val="xl64"/>
    <w:basedOn w:val="Normal"/>
    <w:rsid w:val="00282EB1"/>
    <w:pPr>
      <w:spacing w:before="100" w:beforeAutospacing="1" w:after="100" w:afterAutospacing="1"/>
      <w:jc w:val="left"/>
    </w:pPr>
    <w:rPr>
      <w:rFonts w:ascii="Roboto" w:hAnsi="Roboto"/>
      <w:sz w:val="16"/>
      <w:szCs w:val="16"/>
    </w:rPr>
  </w:style>
  <w:style w:type="paragraph" w:customStyle="1" w:styleId="xl65">
    <w:name w:val="xl65"/>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rPr>
  </w:style>
  <w:style w:type="paragraph" w:customStyle="1" w:styleId="xl66">
    <w:name w:val="xl66"/>
    <w:basedOn w:val="Normal"/>
    <w:rsid w:val="00282EB1"/>
    <w:pPr>
      <w:spacing w:before="100" w:beforeAutospacing="1" w:after="100" w:afterAutospacing="1"/>
      <w:jc w:val="left"/>
    </w:pPr>
    <w:rPr>
      <w:rFonts w:ascii="Roboto" w:hAnsi="Roboto"/>
      <w:sz w:val="16"/>
      <w:szCs w:val="16"/>
    </w:rPr>
  </w:style>
  <w:style w:type="paragraph" w:customStyle="1" w:styleId="xl67">
    <w:name w:val="xl67"/>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rPr>
  </w:style>
  <w:style w:type="paragraph" w:customStyle="1" w:styleId="xl68">
    <w:name w:val="xl68"/>
    <w:basedOn w:val="Normal"/>
    <w:rsid w:val="00282EB1"/>
    <w:pPr>
      <w:spacing w:before="100" w:beforeAutospacing="1" w:after="100" w:afterAutospacing="1"/>
      <w:jc w:val="left"/>
    </w:pPr>
    <w:rPr>
      <w:rFonts w:ascii="Roboto" w:hAnsi="Roboto"/>
      <w:b/>
      <w:bCs/>
      <w:sz w:val="16"/>
      <w:szCs w:val="16"/>
    </w:rPr>
  </w:style>
  <w:style w:type="paragraph" w:customStyle="1" w:styleId="xl69">
    <w:name w:val="xl69"/>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rPr>
  </w:style>
  <w:style w:type="paragraph" w:customStyle="1" w:styleId="xl70">
    <w:name w:val="xl70"/>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rPr>
  </w:style>
  <w:style w:type="paragraph" w:customStyle="1" w:styleId="xl71">
    <w:name w:val="xl71"/>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rPr>
  </w:style>
  <w:style w:type="paragraph" w:customStyle="1" w:styleId="xl72">
    <w:name w:val="xl72"/>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rPr>
  </w:style>
  <w:style w:type="paragraph" w:customStyle="1" w:styleId="xl73">
    <w:name w:val="xl7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rPr>
  </w:style>
  <w:style w:type="paragraph" w:customStyle="1" w:styleId="xl74">
    <w:name w:val="xl74"/>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rPr>
  </w:style>
  <w:style w:type="paragraph" w:customStyle="1" w:styleId="xl75">
    <w:name w:val="xl75"/>
    <w:basedOn w:val="Normal"/>
    <w:rsid w:val="00282EB1"/>
    <w:pPr>
      <w:spacing w:before="100" w:beforeAutospacing="1" w:after="100" w:afterAutospacing="1"/>
      <w:jc w:val="center"/>
    </w:pPr>
    <w:rPr>
      <w:rFonts w:ascii="Roboto" w:hAnsi="Roboto"/>
      <w:sz w:val="16"/>
      <w:szCs w:val="16"/>
    </w:rPr>
  </w:style>
  <w:style w:type="paragraph" w:styleId="EndnoteText">
    <w:name w:val="endnote text"/>
    <w:basedOn w:val="Normal"/>
    <w:link w:val="EndnoteTextChar"/>
    <w:uiPriority w:val="99"/>
    <w:rsid w:val="00282EB1"/>
    <w:pPr>
      <w:widowControl w:val="0"/>
      <w:tabs>
        <w:tab w:val="left" w:pos="-720"/>
      </w:tabs>
      <w:suppressAutoHyphens/>
      <w:overflowPunct w:val="0"/>
      <w:autoSpaceDE w:val="0"/>
      <w:autoSpaceDN w:val="0"/>
      <w:adjustRightInd w:val="0"/>
      <w:jc w:val="left"/>
      <w:textAlignment w:val="baseline"/>
    </w:pPr>
    <w:rPr>
      <w:rFonts w:ascii="Courier" w:hAnsi="Courier"/>
      <w:sz w:val="24"/>
      <w:szCs w:val="20"/>
    </w:rPr>
  </w:style>
  <w:style w:type="character" w:customStyle="1" w:styleId="EndnoteTextChar">
    <w:name w:val="Endnote Text Char"/>
    <w:basedOn w:val="DefaultParagraphFont"/>
    <w:link w:val="EndnoteText"/>
    <w:uiPriority w:val="99"/>
    <w:rsid w:val="00282EB1"/>
    <w:rPr>
      <w:rFonts w:ascii="Courier" w:hAnsi="Courier"/>
      <w:sz w:val="24"/>
    </w:rPr>
  </w:style>
  <w:style w:type="character" w:styleId="EndnoteReference">
    <w:name w:val="endnote reference"/>
    <w:uiPriority w:val="99"/>
    <w:rsid w:val="00282EB1"/>
    <w:rPr>
      <w:vertAlign w:val="superscript"/>
    </w:rPr>
  </w:style>
  <w:style w:type="character" w:customStyle="1" w:styleId="DefaultPara">
    <w:name w:val="Default Para"/>
    <w:rsid w:val="00282EB1"/>
  </w:style>
  <w:style w:type="character" w:customStyle="1" w:styleId="endnoterefe">
    <w:name w:val="endnote refe"/>
    <w:rsid w:val="00282EB1"/>
    <w:rPr>
      <w:rFonts w:ascii="Courier" w:hAnsi="Courier"/>
      <w:noProof w:val="0"/>
      <w:sz w:val="24"/>
      <w:vertAlign w:val="superscript"/>
      <w:lang w:val="fr-FR"/>
    </w:rPr>
  </w:style>
  <w:style w:type="paragraph" w:customStyle="1" w:styleId="footnotetex">
    <w:name w:val="footnote tex"/>
    <w:rsid w:val="00282EB1"/>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282EB1"/>
    <w:rPr>
      <w:rFonts w:ascii="Courier" w:hAnsi="Courier"/>
      <w:noProof w:val="0"/>
      <w:sz w:val="24"/>
      <w:vertAlign w:val="superscript"/>
      <w:lang w:val="fr-FR"/>
    </w:rPr>
  </w:style>
  <w:style w:type="character" w:customStyle="1" w:styleId="EquationCa">
    <w:name w:val="_Equation Ca"/>
    <w:rsid w:val="00282EB1"/>
  </w:style>
  <w:style w:type="paragraph" w:customStyle="1" w:styleId="MSNormal">
    <w:name w:val="MSNormal"/>
    <w:rsid w:val="00282EB1"/>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282EB1"/>
  </w:style>
  <w:style w:type="character" w:customStyle="1" w:styleId="Document8">
    <w:name w:val="Document 8"/>
    <w:rsid w:val="00282EB1"/>
  </w:style>
  <w:style w:type="character" w:customStyle="1" w:styleId="Document4">
    <w:name w:val="Document 4"/>
    <w:rsid w:val="00282EB1"/>
    <w:rPr>
      <w:b/>
      <w:i/>
      <w:sz w:val="24"/>
    </w:rPr>
  </w:style>
  <w:style w:type="character" w:customStyle="1" w:styleId="Document6">
    <w:name w:val="Document 6"/>
    <w:rsid w:val="00282EB1"/>
  </w:style>
  <w:style w:type="character" w:customStyle="1" w:styleId="Document5">
    <w:name w:val="Document 5"/>
    <w:rsid w:val="00282EB1"/>
  </w:style>
  <w:style w:type="character" w:customStyle="1" w:styleId="Document2">
    <w:name w:val="Document 2"/>
    <w:rsid w:val="00282EB1"/>
    <w:rPr>
      <w:rFonts w:ascii="Courier" w:hAnsi="Courier"/>
      <w:noProof w:val="0"/>
      <w:sz w:val="24"/>
      <w:lang w:val="fr-FR"/>
    </w:rPr>
  </w:style>
  <w:style w:type="character" w:customStyle="1" w:styleId="Document7">
    <w:name w:val="Document 7"/>
    <w:rsid w:val="00282EB1"/>
  </w:style>
  <w:style w:type="character" w:customStyle="1" w:styleId="Bibliogrphy">
    <w:name w:val="Bibliogrphy"/>
    <w:rsid w:val="00282EB1"/>
  </w:style>
  <w:style w:type="character" w:customStyle="1" w:styleId="RightPar1">
    <w:name w:val="Right Par 1"/>
    <w:rsid w:val="00282EB1"/>
  </w:style>
  <w:style w:type="character" w:customStyle="1" w:styleId="RightPar2">
    <w:name w:val="Right Par 2"/>
    <w:rsid w:val="00282EB1"/>
  </w:style>
  <w:style w:type="character" w:customStyle="1" w:styleId="Document3">
    <w:name w:val="Document 3"/>
    <w:rsid w:val="00282EB1"/>
    <w:rPr>
      <w:rFonts w:ascii="Courier" w:hAnsi="Courier"/>
      <w:noProof w:val="0"/>
      <w:sz w:val="24"/>
      <w:lang w:val="fr-FR"/>
    </w:rPr>
  </w:style>
  <w:style w:type="character" w:customStyle="1" w:styleId="RightPar3">
    <w:name w:val="Right Par 3"/>
    <w:rsid w:val="00282EB1"/>
  </w:style>
  <w:style w:type="character" w:customStyle="1" w:styleId="RightPar4">
    <w:name w:val="Right Par 4"/>
    <w:rsid w:val="00282EB1"/>
  </w:style>
  <w:style w:type="character" w:customStyle="1" w:styleId="RightPar5">
    <w:name w:val="Right Par 5"/>
    <w:rsid w:val="00282EB1"/>
  </w:style>
  <w:style w:type="character" w:customStyle="1" w:styleId="RightPar6">
    <w:name w:val="Right Par 6"/>
    <w:rsid w:val="00282EB1"/>
  </w:style>
  <w:style w:type="character" w:customStyle="1" w:styleId="RightPar7">
    <w:name w:val="Right Par 7"/>
    <w:rsid w:val="00282EB1"/>
  </w:style>
  <w:style w:type="character" w:customStyle="1" w:styleId="RightPar8">
    <w:name w:val="Right Par 8"/>
    <w:rsid w:val="00282EB1"/>
  </w:style>
  <w:style w:type="paragraph" w:customStyle="1" w:styleId="Document1">
    <w:name w:val="Document 1"/>
    <w:rsid w:val="00282EB1"/>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282EB1"/>
  </w:style>
  <w:style w:type="character" w:customStyle="1" w:styleId="TechInit">
    <w:name w:val="Tech Init"/>
    <w:rsid w:val="00282EB1"/>
    <w:rPr>
      <w:rFonts w:ascii="Courier" w:hAnsi="Courier"/>
      <w:noProof w:val="0"/>
      <w:sz w:val="24"/>
      <w:lang w:val="fr-FR"/>
    </w:rPr>
  </w:style>
  <w:style w:type="character" w:customStyle="1" w:styleId="Technical5">
    <w:name w:val="Technical 5"/>
    <w:rsid w:val="00282EB1"/>
  </w:style>
  <w:style w:type="character" w:customStyle="1" w:styleId="Technical6">
    <w:name w:val="Technical 6"/>
    <w:rsid w:val="00282EB1"/>
  </w:style>
  <w:style w:type="character" w:customStyle="1" w:styleId="Technical2">
    <w:name w:val="Technical 2"/>
    <w:rsid w:val="00282EB1"/>
    <w:rPr>
      <w:rFonts w:ascii="Courier" w:hAnsi="Courier"/>
      <w:noProof w:val="0"/>
      <w:sz w:val="24"/>
      <w:lang w:val="fr-FR"/>
    </w:rPr>
  </w:style>
  <w:style w:type="character" w:customStyle="1" w:styleId="Technical3">
    <w:name w:val="Technical 3"/>
    <w:rsid w:val="00282EB1"/>
    <w:rPr>
      <w:rFonts w:ascii="Courier" w:hAnsi="Courier"/>
      <w:noProof w:val="0"/>
      <w:sz w:val="24"/>
      <w:lang w:val="fr-FR"/>
    </w:rPr>
  </w:style>
  <w:style w:type="character" w:customStyle="1" w:styleId="Technical4">
    <w:name w:val="Technical 4"/>
    <w:rsid w:val="00282EB1"/>
  </w:style>
  <w:style w:type="character" w:customStyle="1" w:styleId="Technical1">
    <w:name w:val="Technical 1"/>
    <w:rsid w:val="00282EB1"/>
    <w:rPr>
      <w:rFonts w:ascii="Courier" w:hAnsi="Courier"/>
      <w:noProof w:val="0"/>
      <w:sz w:val="24"/>
      <w:lang w:val="fr-FR"/>
    </w:rPr>
  </w:style>
  <w:style w:type="character" w:customStyle="1" w:styleId="Technical7">
    <w:name w:val="Technical 7"/>
    <w:rsid w:val="00282EB1"/>
  </w:style>
  <w:style w:type="character" w:customStyle="1" w:styleId="Technical8">
    <w:name w:val="Technical 8"/>
    <w:rsid w:val="00282EB1"/>
  </w:style>
  <w:style w:type="paragraph" w:styleId="Index1">
    <w:name w:val="index 1"/>
    <w:basedOn w:val="Normal"/>
    <w:next w:val="Normal"/>
    <w:rsid w:val="00282EB1"/>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rPr>
  </w:style>
  <w:style w:type="paragraph" w:styleId="Index2">
    <w:name w:val="index 2"/>
    <w:basedOn w:val="Normal"/>
    <w:next w:val="Normal"/>
    <w:rsid w:val="00282EB1"/>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rPr>
  </w:style>
  <w:style w:type="paragraph" w:styleId="TOAHeading">
    <w:name w:val="toa heading"/>
    <w:basedOn w:val="Normal"/>
    <w:next w:val="Normal"/>
    <w:rsid w:val="00282EB1"/>
    <w:pPr>
      <w:widowControl w:val="0"/>
      <w:tabs>
        <w:tab w:val="right" w:pos="9360"/>
      </w:tabs>
      <w:suppressAutoHyphens/>
      <w:overflowPunct w:val="0"/>
      <w:autoSpaceDE w:val="0"/>
      <w:autoSpaceDN w:val="0"/>
      <w:adjustRightInd w:val="0"/>
      <w:jc w:val="left"/>
      <w:textAlignment w:val="baseline"/>
    </w:pPr>
    <w:rPr>
      <w:rFonts w:ascii="Courier" w:hAnsi="Courier"/>
      <w:sz w:val="24"/>
      <w:szCs w:val="20"/>
    </w:rPr>
  </w:style>
  <w:style w:type="paragraph" w:styleId="Caption">
    <w:name w:val="caption"/>
    <w:basedOn w:val="Normal"/>
    <w:next w:val="Normal"/>
    <w:qFormat/>
    <w:rsid w:val="00282EB1"/>
    <w:pPr>
      <w:widowControl w:val="0"/>
      <w:overflowPunct w:val="0"/>
      <w:autoSpaceDE w:val="0"/>
      <w:autoSpaceDN w:val="0"/>
      <w:adjustRightInd w:val="0"/>
      <w:jc w:val="left"/>
      <w:textAlignment w:val="baseline"/>
    </w:pPr>
    <w:rPr>
      <w:rFonts w:ascii="Courier" w:hAnsi="Courier"/>
      <w:sz w:val="24"/>
      <w:szCs w:val="20"/>
    </w:rPr>
  </w:style>
  <w:style w:type="character" w:customStyle="1" w:styleId="EquationCaption">
    <w:name w:val="_Equation Caption"/>
    <w:rsid w:val="00282EB1"/>
  </w:style>
  <w:style w:type="paragraph" w:styleId="Revision">
    <w:name w:val="Revision"/>
    <w:hidden/>
    <w:uiPriority w:val="99"/>
    <w:semiHidden/>
    <w:rsid w:val="00282EB1"/>
    <w:rPr>
      <w:rFonts w:ascii="Courier" w:hAnsi="Courier"/>
      <w:sz w:val="24"/>
    </w:rPr>
  </w:style>
  <w:style w:type="paragraph" w:customStyle="1" w:styleId="font0">
    <w:name w:val="font0"/>
    <w:basedOn w:val="Normal"/>
    <w:rsid w:val="00282EB1"/>
    <w:pPr>
      <w:spacing w:before="100" w:beforeAutospacing="1" w:after="100" w:afterAutospacing="1"/>
      <w:jc w:val="left"/>
    </w:pPr>
    <w:rPr>
      <w:rFonts w:ascii="Arial" w:hAnsi="Arial" w:cs="Arial"/>
      <w:sz w:val="18"/>
      <w:szCs w:val="18"/>
      <w:lang w:eastAsia="zh-CN"/>
    </w:rPr>
  </w:style>
  <w:style w:type="paragraph" w:customStyle="1" w:styleId="font5">
    <w:name w:val="font5"/>
    <w:basedOn w:val="Normal"/>
    <w:rsid w:val="00282EB1"/>
    <w:pPr>
      <w:spacing w:before="100" w:beforeAutospacing="1" w:after="100" w:afterAutospacing="1"/>
      <w:jc w:val="left"/>
    </w:pPr>
    <w:rPr>
      <w:rFonts w:ascii="Arial" w:hAnsi="Arial" w:cs="Arial"/>
      <w:b/>
      <w:bCs/>
      <w:sz w:val="18"/>
      <w:szCs w:val="18"/>
      <w:lang w:eastAsia="zh-CN"/>
    </w:rPr>
  </w:style>
  <w:style w:type="paragraph" w:customStyle="1" w:styleId="font6">
    <w:name w:val="font6"/>
    <w:basedOn w:val="Normal"/>
    <w:rsid w:val="00282EB1"/>
    <w:pPr>
      <w:spacing w:before="100" w:beforeAutospacing="1" w:after="100" w:afterAutospacing="1"/>
      <w:jc w:val="left"/>
    </w:pPr>
    <w:rPr>
      <w:rFonts w:ascii="Arial" w:hAnsi="Arial" w:cs="Arial"/>
      <w:sz w:val="18"/>
      <w:szCs w:val="18"/>
      <w:lang w:eastAsia="zh-CN"/>
    </w:rPr>
  </w:style>
  <w:style w:type="paragraph" w:customStyle="1" w:styleId="font7">
    <w:name w:val="font7"/>
    <w:basedOn w:val="Normal"/>
    <w:rsid w:val="00282EB1"/>
    <w:pPr>
      <w:spacing w:before="100" w:beforeAutospacing="1" w:after="100" w:afterAutospacing="1"/>
      <w:jc w:val="left"/>
    </w:pPr>
    <w:rPr>
      <w:rFonts w:ascii="Arial" w:hAnsi="Arial" w:cs="Arial"/>
      <w:sz w:val="18"/>
      <w:szCs w:val="18"/>
      <w:u w:val="single"/>
      <w:lang w:eastAsia="zh-CN"/>
    </w:rPr>
  </w:style>
  <w:style w:type="paragraph" w:customStyle="1" w:styleId="font8">
    <w:name w:val="font8"/>
    <w:basedOn w:val="Normal"/>
    <w:rsid w:val="00282EB1"/>
    <w:pPr>
      <w:spacing w:before="100" w:beforeAutospacing="1" w:after="100" w:afterAutospacing="1"/>
      <w:jc w:val="left"/>
    </w:pPr>
    <w:rPr>
      <w:rFonts w:ascii="Arial" w:hAnsi="Arial" w:cs="Arial"/>
      <w:b/>
      <w:bCs/>
      <w:sz w:val="18"/>
      <w:szCs w:val="18"/>
      <w:u w:val="single"/>
      <w:lang w:eastAsia="zh-CN"/>
    </w:rPr>
  </w:style>
  <w:style w:type="paragraph" w:customStyle="1" w:styleId="font9">
    <w:name w:val="font9"/>
    <w:basedOn w:val="Normal"/>
    <w:rsid w:val="00282EB1"/>
    <w:pPr>
      <w:spacing w:before="100" w:beforeAutospacing="1" w:after="100" w:afterAutospacing="1"/>
      <w:jc w:val="left"/>
    </w:pPr>
    <w:rPr>
      <w:rFonts w:ascii="Arial" w:hAnsi="Arial" w:cs="Arial"/>
      <w:b/>
      <w:bCs/>
      <w:color w:val="FF0000"/>
      <w:sz w:val="18"/>
      <w:szCs w:val="18"/>
      <w:lang w:eastAsia="zh-CN"/>
    </w:rPr>
  </w:style>
  <w:style w:type="paragraph" w:customStyle="1" w:styleId="font10">
    <w:name w:val="font10"/>
    <w:basedOn w:val="Normal"/>
    <w:rsid w:val="00282EB1"/>
    <w:pPr>
      <w:spacing w:before="100" w:beforeAutospacing="1" w:after="100" w:afterAutospacing="1"/>
      <w:jc w:val="left"/>
    </w:pPr>
    <w:rPr>
      <w:rFonts w:ascii="Arial" w:hAnsi="Arial" w:cs="Arial"/>
      <w:b/>
      <w:bCs/>
      <w:color w:val="FF0000"/>
      <w:sz w:val="18"/>
      <w:szCs w:val="18"/>
      <w:u w:val="single"/>
      <w:lang w:eastAsia="zh-CN"/>
    </w:rPr>
  </w:style>
  <w:style w:type="paragraph" w:customStyle="1" w:styleId="font11">
    <w:name w:val="font11"/>
    <w:basedOn w:val="Normal"/>
    <w:rsid w:val="00282EB1"/>
    <w:pPr>
      <w:spacing w:before="100" w:beforeAutospacing="1" w:after="100" w:afterAutospacing="1"/>
      <w:jc w:val="left"/>
    </w:pPr>
    <w:rPr>
      <w:rFonts w:ascii="Arial" w:hAnsi="Arial" w:cs="Arial"/>
      <w:color w:val="FF0000"/>
      <w:sz w:val="20"/>
      <w:szCs w:val="20"/>
      <w:lang w:eastAsia="zh-CN"/>
    </w:rPr>
  </w:style>
  <w:style w:type="paragraph" w:customStyle="1" w:styleId="font12">
    <w:name w:val="font12"/>
    <w:basedOn w:val="Normal"/>
    <w:rsid w:val="00282EB1"/>
    <w:pPr>
      <w:spacing w:before="100" w:beforeAutospacing="1" w:after="100" w:afterAutospacing="1"/>
      <w:jc w:val="left"/>
    </w:pPr>
    <w:rPr>
      <w:rFonts w:ascii="Arial" w:hAnsi="Arial" w:cs="Arial"/>
      <w:color w:val="FF0000"/>
      <w:sz w:val="20"/>
      <w:szCs w:val="20"/>
      <w:lang w:eastAsia="zh-CN"/>
    </w:rPr>
  </w:style>
  <w:style w:type="paragraph" w:customStyle="1" w:styleId="xl76">
    <w:name w:val="xl76"/>
    <w:basedOn w:val="Normal"/>
    <w:rsid w:val="00282EB1"/>
    <w:pPr>
      <w:pBdr>
        <w:bottom w:val="single" w:sz="8" w:space="0" w:color="auto"/>
        <w:right w:val="single" w:sz="4" w:space="0" w:color="auto"/>
      </w:pBdr>
      <w:spacing w:before="100" w:beforeAutospacing="1" w:after="100" w:afterAutospacing="1"/>
      <w:jc w:val="left"/>
    </w:pPr>
    <w:rPr>
      <w:sz w:val="24"/>
      <w:szCs w:val="24"/>
      <w:lang w:eastAsia="zh-CN"/>
    </w:rPr>
  </w:style>
  <w:style w:type="paragraph" w:customStyle="1" w:styleId="xl77">
    <w:name w:val="xl77"/>
    <w:basedOn w:val="Normal"/>
    <w:rsid w:val="00282EB1"/>
    <w:pPr>
      <w:pBdr>
        <w:left w:val="single" w:sz="4" w:space="0" w:color="auto"/>
        <w:right w:val="single" w:sz="4" w:space="0" w:color="auto"/>
      </w:pBdr>
      <w:spacing w:before="100" w:beforeAutospacing="1" w:after="100" w:afterAutospacing="1"/>
      <w:jc w:val="left"/>
    </w:pPr>
    <w:rPr>
      <w:sz w:val="24"/>
      <w:szCs w:val="24"/>
      <w:lang w:eastAsia="zh-CN"/>
    </w:rPr>
  </w:style>
  <w:style w:type="paragraph" w:customStyle="1" w:styleId="xl78">
    <w:name w:val="xl78"/>
    <w:basedOn w:val="Normal"/>
    <w:rsid w:val="00282EB1"/>
    <w:pPr>
      <w:pBdr>
        <w:left w:val="single" w:sz="4" w:space="0" w:color="auto"/>
      </w:pBdr>
      <w:spacing w:before="100" w:beforeAutospacing="1" w:after="100" w:afterAutospacing="1"/>
      <w:jc w:val="left"/>
    </w:pPr>
    <w:rPr>
      <w:sz w:val="24"/>
      <w:szCs w:val="24"/>
      <w:lang w:eastAsia="zh-CN"/>
    </w:rPr>
  </w:style>
  <w:style w:type="table" w:customStyle="1" w:styleId="AATable">
    <w:name w:val="AA_Table"/>
    <w:basedOn w:val="TableNormal"/>
    <w:rsid w:val="00282EB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282EB1"/>
    <w:pPr>
      <w:keepNext/>
      <w:keepLines/>
      <w:suppressAutoHyphens/>
      <w:ind w:right="5103"/>
    </w:pPr>
    <w:rPr>
      <w:b/>
    </w:rPr>
  </w:style>
  <w:style w:type="paragraph" w:customStyle="1" w:styleId="AATitle2">
    <w:name w:val="AA_Title2"/>
    <w:basedOn w:val="AATitle"/>
    <w:rsid w:val="00282EB1"/>
    <w:pPr>
      <w:tabs>
        <w:tab w:val="clear" w:pos="4082"/>
      </w:tabs>
      <w:spacing w:before="120" w:after="120"/>
      <w:ind w:right="4536"/>
    </w:pPr>
  </w:style>
  <w:style w:type="paragraph" w:customStyle="1" w:styleId="BBTitle">
    <w:name w:val="BB_Title"/>
    <w:basedOn w:val="Normalpool"/>
    <w:link w:val="BBTitleChar"/>
    <w:qFormat/>
    <w:rsid w:val="00282EB1"/>
    <w:pPr>
      <w:keepNext/>
      <w:keepLines/>
      <w:suppressAutoHyphens/>
      <w:spacing w:before="320" w:after="240"/>
      <w:ind w:left="1247" w:right="567"/>
    </w:pPr>
    <w:rPr>
      <w:b/>
      <w:sz w:val="28"/>
      <w:szCs w:val="28"/>
    </w:rPr>
  </w:style>
  <w:style w:type="character" w:customStyle="1" w:styleId="FooterChar1">
    <w:name w:val="Footer Char1"/>
    <w:basedOn w:val="DefaultParagraphFont"/>
    <w:uiPriority w:val="99"/>
    <w:semiHidden/>
    <w:rsid w:val="00282EB1"/>
    <w:rPr>
      <w:lang w:val="fr-FR"/>
    </w:rPr>
  </w:style>
  <w:style w:type="character" w:customStyle="1" w:styleId="HeaderChar1">
    <w:name w:val="Header Char1"/>
    <w:basedOn w:val="DefaultParagraphFont"/>
    <w:uiPriority w:val="99"/>
    <w:semiHidden/>
    <w:rsid w:val="00282EB1"/>
    <w:rPr>
      <w:lang w:val="fr-FR"/>
    </w:rPr>
  </w:style>
  <w:style w:type="character" w:styleId="Hyperlink">
    <w:name w:val="Hyperlink"/>
    <w:basedOn w:val="DefaultParagraphFont"/>
    <w:uiPriority w:val="99"/>
    <w:rsid w:val="00282EB1"/>
    <w:rPr>
      <w:rFonts w:ascii="Times New Roman" w:hAnsi="Times New Roman"/>
      <w:color w:val="auto"/>
      <w:sz w:val="20"/>
      <w:szCs w:val="20"/>
      <w:u w:val="none"/>
      <w:lang w:val="fr-FR"/>
    </w:rPr>
  </w:style>
  <w:style w:type="numbering" w:customStyle="1" w:styleId="Normallist">
    <w:name w:val="Normal_list"/>
    <w:basedOn w:val="NoList"/>
    <w:rsid w:val="00282EB1"/>
    <w:pPr>
      <w:numPr>
        <w:numId w:val="12"/>
      </w:numPr>
    </w:pPr>
  </w:style>
  <w:style w:type="paragraph" w:customStyle="1" w:styleId="NormalNonumber">
    <w:name w:val="Normal_No_number"/>
    <w:basedOn w:val="Normalpool"/>
    <w:rsid w:val="00282EB1"/>
    <w:pPr>
      <w:spacing w:after="120"/>
      <w:ind w:left="1247"/>
    </w:pPr>
  </w:style>
  <w:style w:type="paragraph" w:customStyle="1" w:styleId="Normalnumber">
    <w:name w:val="Normal_number"/>
    <w:basedOn w:val="Normalpool"/>
    <w:link w:val="NormalnumberChar"/>
    <w:qFormat/>
    <w:rsid w:val="00282EB1"/>
    <w:pPr>
      <w:spacing w:after="120"/>
    </w:pPr>
  </w:style>
  <w:style w:type="paragraph" w:customStyle="1" w:styleId="Titletable">
    <w:name w:val="Title_table"/>
    <w:basedOn w:val="Normalpool"/>
    <w:rsid w:val="00282EB1"/>
    <w:pPr>
      <w:keepNext/>
      <w:keepLines/>
      <w:suppressAutoHyphens/>
      <w:spacing w:after="60"/>
      <w:ind w:left="1247"/>
    </w:pPr>
    <w:rPr>
      <w:b/>
      <w:bCs/>
    </w:rPr>
  </w:style>
  <w:style w:type="paragraph" w:styleId="TOC1">
    <w:name w:val="toc 1"/>
    <w:basedOn w:val="Normalpool"/>
    <w:next w:val="Normalpool"/>
    <w:rsid w:val="00282EB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282EB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282EB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282EB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282EB1"/>
    <w:pPr>
      <w:tabs>
        <w:tab w:val="left" w:pos="1247"/>
      </w:tabs>
      <w:ind w:left="800"/>
      <w:jc w:val="left"/>
    </w:pPr>
    <w:rPr>
      <w:sz w:val="18"/>
      <w:szCs w:val="18"/>
    </w:rPr>
  </w:style>
  <w:style w:type="paragraph" w:customStyle="1" w:styleId="ZZAnxheader">
    <w:name w:val="ZZ_Anx_header"/>
    <w:basedOn w:val="Normalpool"/>
    <w:rsid w:val="00282EB1"/>
    <w:rPr>
      <w:b/>
      <w:bCs/>
      <w:sz w:val="28"/>
      <w:szCs w:val="22"/>
    </w:rPr>
  </w:style>
  <w:style w:type="paragraph" w:customStyle="1" w:styleId="ZZAnxtitle">
    <w:name w:val="ZZ_Anx_title"/>
    <w:basedOn w:val="Normalpool"/>
    <w:rsid w:val="00282EB1"/>
    <w:pPr>
      <w:spacing w:before="360" w:after="120"/>
      <w:ind w:left="1247"/>
    </w:pPr>
    <w:rPr>
      <w:b/>
      <w:bCs/>
      <w:sz w:val="28"/>
      <w:szCs w:val="26"/>
    </w:rPr>
  </w:style>
  <w:style w:type="paragraph" w:customStyle="1" w:styleId="xl79">
    <w:name w:val="xl79"/>
    <w:basedOn w:val="Normal"/>
    <w:rsid w:val="00282EB1"/>
    <w:pPr>
      <w:pBdr>
        <w:top w:val="double" w:sz="6" w:space="0" w:color="auto"/>
        <w:left w:val="double" w:sz="6" w:space="0" w:color="auto"/>
        <w:right w:val="single" w:sz="4" w:space="0" w:color="auto"/>
      </w:pBdr>
      <w:spacing w:before="100" w:beforeAutospacing="1" w:after="100" w:afterAutospacing="1"/>
      <w:jc w:val="left"/>
    </w:pPr>
    <w:rPr>
      <w:sz w:val="24"/>
      <w:szCs w:val="24"/>
      <w:lang w:eastAsia="zh-CN"/>
    </w:rPr>
  </w:style>
  <w:style w:type="paragraph" w:customStyle="1" w:styleId="xl80">
    <w:name w:val="xl80"/>
    <w:basedOn w:val="Normal"/>
    <w:rsid w:val="00282EB1"/>
    <w:pPr>
      <w:pBdr>
        <w:top w:val="double" w:sz="6" w:space="0" w:color="auto"/>
      </w:pBdr>
      <w:spacing w:before="100" w:beforeAutospacing="1" w:after="100" w:afterAutospacing="1"/>
      <w:jc w:val="left"/>
    </w:pPr>
    <w:rPr>
      <w:sz w:val="24"/>
      <w:szCs w:val="24"/>
      <w:lang w:eastAsia="zh-CN"/>
    </w:rPr>
  </w:style>
  <w:style w:type="paragraph" w:customStyle="1" w:styleId="xl81">
    <w:name w:val="xl81"/>
    <w:basedOn w:val="Normal"/>
    <w:rsid w:val="00282EB1"/>
    <w:pPr>
      <w:pBdr>
        <w:top w:val="double" w:sz="6" w:space="0" w:color="auto"/>
        <w:left w:val="single" w:sz="4" w:space="0" w:color="auto"/>
        <w:right w:val="single" w:sz="4" w:space="0" w:color="auto"/>
      </w:pBdr>
      <w:spacing w:before="100" w:beforeAutospacing="1" w:after="100" w:afterAutospacing="1"/>
      <w:jc w:val="left"/>
    </w:pPr>
    <w:rPr>
      <w:sz w:val="24"/>
      <w:szCs w:val="24"/>
      <w:lang w:eastAsia="zh-CN"/>
    </w:rPr>
  </w:style>
  <w:style w:type="paragraph" w:customStyle="1" w:styleId="xl82">
    <w:name w:val="xl82"/>
    <w:basedOn w:val="Normal"/>
    <w:rsid w:val="00282EB1"/>
    <w:pPr>
      <w:pBdr>
        <w:top w:val="double" w:sz="6" w:space="0" w:color="auto"/>
        <w:left w:val="single" w:sz="4" w:space="0" w:color="auto"/>
      </w:pBdr>
      <w:spacing w:before="100" w:beforeAutospacing="1" w:after="100" w:afterAutospacing="1"/>
      <w:jc w:val="left"/>
    </w:pPr>
    <w:rPr>
      <w:sz w:val="24"/>
      <w:szCs w:val="24"/>
      <w:lang w:eastAsia="zh-CN"/>
    </w:rPr>
  </w:style>
  <w:style w:type="paragraph" w:customStyle="1" w:styleId="xl83">
    <w:name w:val="xl83"/>
    <w:basedOn w:val="Normal"/>
    <w:rsid w:val="00282EB1"/>
    <w:pPr>
      <w:pBdr>
        <w:left w:val="double" w:sz="6" w:space="0" w:color="auto"/>
        <w:bottom w:val="double" w:sz="6" w:space="0" w:color="auto"/>
      </w:pBdr>
      <w:spacing w:before="100" w:beforeAutospacing="1" w:after="100" w:afterAutospacing="1"/>
      <w:jc w:val="left"/>
    </w:pPr>
    <w:rPr>
      <w:sz w:val="24"/>
      <w:szCs w:val="24"/>
      <w:lang w:eastAsia="zh-CN"/>
    </w:rPr>
  </w:style>
  <w:style w:type="paragraph" w:customStyle="1" w:styleId="xl84">
    <w:name w:val="xl84"/>
    <w:basedOn w:val="Normal"/>
    <w:rsid w:val="00282EB1"/>
    <w:pPr>
      <w:pBdr>
        <w:left w:val="single" w:sz="4" w:space="0" w:color="auto"/>
        <w:bottom w:val="double" w:sz="6" w:space="0" w:color="auto"/>
      </w:pBdr>
      <w:spacing w:before="100" w:beforeAutospacing="1" w:after="100" w:afterAutospacing="1"/>
      <w:jc w:val="left"/>
    </w:pPr>
    <w:rPr>
      <w:sz w:val="24"/>
      <w:szCs w:val="24"/>
      <w:lang w:eastAsia="zh-CN"/>
    </w:rPr>
  </w:style>
  <w:style w:type="paragraph" w:customStyle="1" w:styleId="xl85">
    <w:name w:val="xl85"/>
    <w:basedOn w:val="Normal"/>
    <w:rsid w:val="00282EB1"/>
    <w:pPr>
      <w:spacing w:before="100" w:beforeAutospacing="1" w:after="100" w:afterAutospacing="1"/>
      <w:jc w:val="left"/>
    </w:pPr>
    <w:rPr>
      <w:b/>
      <w:bCs/>
      <w:sz w:val="24"/>
      <w:szCs w:val="24"/>
      <w:lang w:eastAsia="zh-CN"/>
    </w:rPr>
  </w:style>
  <w:style w:type="paragraph" w:customStyle="1" w:styleId="xl86">
    <w:name w:val="xl86"/>
    <w:basedOn w:val="Normal"/>
    <w:rsid w:val="00282EB1"/>
    <w:pPr>
      <w:pBdr>
        <w:left w:val="double" w:sz="6" w:space="0" w:color="auto"/>
        <w:bottom w:val="single" w:sz="4" w:space="0" w:color="auto"/>
      </w:pBdr>
      <w:spacing w:before="100" w:beforeAutospacing="1" w:after="100" w:afterAutospacing="1"/>
      <w:jc w:val="left"/>
    </w:pPr>
    <w:rPr>
      <w:sz w:val="24"/>
      <w:szCs w:val="24"/>
      <w:lang w:eastAsia="zh-CN"/>
    </w:rPr>
  </w:style>
  <w:style w:type="paragraph" w:customStyle="1" w:styleId="xl87">
    <w:name w:val="xl87"/>
    <w:basedOn w:val="Normal"/>
    <w:rsid w:val="00282EB1"/>
    <w:pPr>
      <w:pBdr>
        <w:left w:val="double" w:sz="6" w:space="0" w:color="auto"/>
      </w:pBdr>
      <w:spacing w:before="100" w:beforeAutospacing="1" w:after="100" w:afterAutospacing="1"/>
      <w:jc w:val="left"/>
    </w:pPr>
    <w:rPr>
      <w:sz w:val="24"/>
      <w:szCs w:val="24"/>
      <w:lang w:eastAsia="zh-CN"/>
    </w:rPr>
  </w:style>
  <w:style w:type="paragraph" w:customStyle="1" w:styleId="xl88">
    <w:name w:val="xl88"/>
    <w:basedOn w:val="Normal"/>
    <w:rsid w:val="00282EB1"/>
    <w:pPr>
      <w:spacing w:before="100" w:beforeAutospacing="1" w:after="100" w:afterAutospacing="1"/>
      <w:jc w:val="center"/>
    </w:pPr>
    <w:rPr>
      <w:sz w:val="24"/>
      <w:szCs w:val="24"/>
      <w:lang w:eastAsia="zh-CN"/>
    </w:rPr>
  </w:style>
  <w:style w:type="paragraph" w:customStyle="1" w:styleId="xl89">
    <w:name w:val="xl89"/>
    <w:basedOn w:val="Normal"/>
    <w:rsid w:val="00282EB1"/>
    <w:pPr>
      <w:spacing w:before="100" w:beforeAutospacing="1" w:after="100" w:afterAutospacing="1"/>
      <w:jc w:val="center"/>
    </w:pPr>
    <w:rPr>
      <w:sz w:val="24"/>
      <w:szCs w:val="24"/>
      <w:u w:val="single"/>
      <w:lang w:eastAsia="zh-CN"/>
    </w:rPr>
  </w:style>
  <w:style w:type="paragraph" w:customStyle="1" w:styleId="xl90">
    <w:name w:val="xl90"/>
    <w:basedOn w:val="Normal"/>
    <w:rsid w:val="00282EB1"/>
    <w:pPr>
      <w:pBdr>
        <w:right w:val="double" w:sz="6" w:space="0" w:color="auto"/>
      </w:pBdr>
      <w:spacing w:before="100" w:beforeAutospacing="1" w:after="100" w:afterAutospacing="1"/>
      <w:jc w:val="left"/>
    </w:pPr>
    <w:rPr>
      <w:sz w:val="24"/>
      <w:szCs w:val="24"/>
      <w:lang w:eastAsia="zh-CN"/>
    </w:rPr>
  </w:style>
  <w:style w:type="paragraph" w:customStyle="1" w:styleId="xl91">
    <w:name w:val="xl91"/>
    <w:basedOn w:val="Normal"/>
    <w:rsid w:val="00282EB1"/>
    <w:pPr>
      <w:pBdr>
        <w:bottom w:val="double" w:sz="6" w:space="0" w:color="auto"/>
      </w:pBdr>
      <w:spacing w:before="100" w:beforeAutospacing="1" w:after="100" w:afterAutospacing="1"/>
      <w:jc w:val="left"/>
    </w:pPr>
    <w:rPr>
      <w:sz w:val="24"/>
      <w:szCs w:val="24"/>
      <w:lang w:eastAsia="zh-CN"/>
    </w:rPr>
  </w:style>
  <w:style w:type="paragraph" w:customStyle="1" w:styleId="xl92">
    <w:name w:val="xl92"/>
    <w:basedOn w:val="Normal"/>
    <w:rsid w:val="00282EB1"/>
    <w:pPr>
      <w:pBdr>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93">
    <w:name w:val="xl93"/>
    <w:basedOn w:val="Normal"/>
    <w:rsid w:val="00282EB1"/>
    <w:pPr>
      <w:pBdr>
        <w:left w:val="single" w:sz="4" w:space="0" w:color="auto"/>
        <w:bottom w:val="single" w:sz="8" w:space="0" w:color="auto"/>
        <w:right w:val="single" w:sz="4" w:space="0" w:color="auto"/>
      </w:pBdr>
      <w:spacing w:before="100" w:beforeAutospacing="1" w:after="100" w:afterAutospacing="1"/>
      <w:jc w:val="left"/>
    </w:pPr>
    <w:rPr>
      <w:sz w:val="24"/>
      <w:szCs w:val="24"/>
      <w:lang w:eastAsia="zh-CN"/>
    </w:rPr>
  </w:style>
  <w:style w:type="paragraph" w:customStyle="1" w:styleId="xl94">
    <w:name w:val="xl94"/>
    <w:basedOn w:val="Normal"/>
    <w:rsid w:val="00282EB1"/>
    <w:pPr>
      <w:pBdr>
        <w:left w:val="single" w:sz="4" w:space="0" w:color="auto"/>
        <w:bottom w:val="single" w:sz="8" w:space="0" w:color="auto"/>
        <w:right w:val="double" w:sz="6" w:space="0" w:color="auto"/>
      </w:pBdr>
      <w:spacing w:before="100" w:beforeAutospacing="1" w:after="100" w:afterAutospacing="1"/>
      <w:jc w:val="left"/>
    </w:pPr>
    <w:rPr>
      <w:sz w:val="24"/>
      <w:szCs w:val="24"/>
      <w:lang w:eastAsia="zh-CN"/>
    </w:rPr>
  </w:style>
  <w:style w:type="paragraph" w:customStyle="1" w:styleId="xl95">
    <w:name w:val="xl95"/>
    <w:basedOn w:val="Normal"/>
    <w:rsid w:val="00282EB1"/>
    <w:pPr>
      <w:pBdr>
        <w:top w:val="single" w:sz="8" w:space="0" w:color="auto"/>
        <w:left w:val="double" w:sz="6" w:space="0" w:color="auto"/>
        <w:bottom w:val="single" w:sz="4" w:space="0" w:color="auto"/>
      </w:pBdr>
      <w:spacing w:before="100" w:beforeAutospacing="1" w:after="100" w:afterAutospacing="1"/>
      <w:jc w:val="left"/>
    </w:pPr>
    <w:rPr>
      <w:sz w:val="24"/>
      <w:szCs w:val="24"/>
      <w:lang w:eastAsia="zh-CN"/>
    </w:rPr>
  </w:style>
  <w:style w:type="paragraph" w:customStyle="1" w:styleId="xl96">
    <w:name w:val="xl96"/>
    <w:basedOn w:val="Normal"/>
    <w:rsid w:val="00282EB1"/>
    <w:pPr>
      <w:pBdr>
        <w:top w:val="single" w:sz="4" w:space="0" w:color="auto"/>
        <w:left w:val="double" w:sz="6" w:space="0" w:color="auto"/>
      </w:pBdr>
      <w:spacing w:before="100" w:beforeAutospacing="1" w:after="100" w:afterAutospacing="1"/>
      <w:jc w:val="left"/>
    </w:pPr>
    <w:rPr>
      <w:sz w:val="24"/>
      <w:szCs w:val="24"/>
      <w:lang w:eastAsia="zh-CN"/>
    </w:rPr>
  </w:style>
  <w:style w:type="paragraph" w:customStyle="1" w:styleId="xl97">
    <w:name w:val="xl97"/>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98">
    <w:name w:val="xl98"/>
    <w:basedOn w:val="Normal"/>
    <w:rsid w:val="00282EB1"/>
    <w:pPr>
      <w:pBdr>
        <w:top w:val="double" w:sz="6" w:space="0" w:color="auto"/>
        <w:right w:val="single" w:sz="4" w:space="0" w:color="auto"/>
      </w:pBdr>
      <w:spacing w:before="100" w:beforeAutospacing="1" w:after="100" w:afterAutospacing="1"/>
      <w:jc w:val="left"/>
    </w:pPr>
    <w:rPr>
      <w:sz w:val="24"/>
      <w:szCs w:val="24"/>
      <w:lang w:eastAsia="zh-CN"/>
    </w:rPr>
  </w:style>
  <w:style w:type="paragraph" w:customStyle="1" w:styleId="xl99">
    <w:name w:val="xl99"/>
    <w:basedOn w:val="Normal"/>
    <w:rsid w:val="00282EB1"/>
    <w:pPr>
      <w:pBdr>
        <w:top w:val="double" w:sz="6" w:space="0" w:color="auto"/>
        <w:right w:val="double" w:sz="6" w:space="0" w:color="auto"/>
      </w:pBdr>
      <w:spacing w:before="100" w:beforeAutospacing="1" w:after="100" w:afterAutospacing="1"/>
      <w:jc w:val="left"/>
    </w:pPr>
    <w:rPr>
      <w:sz w:val="24"/>
      <w:szCs w:val="24"/>
      <w:lang w:eastAsia="zh-CN"/>
    </w:rPr>
  </w:style>
  <w:style w:type="paragraph" w:customStyle="1" w:styleId="xl100">
    <w:name w:val="xl100"/>
    <w:basedOn w:val="Normal"/>
    <w:rsid w:val="00282EB1"/>
    <w:pPr>
      <w:pBdr>
        <w:top w:val="double" w:sz="6" w:space="0" w:color="auto"/>
        <w:left w:val="double" w:sz="6" w:space="0" w:color="auto"/>
      </w:pBdr>
      <w:spacing w:before="100" w:beforeAutospacing="1" w:after="100" w:afterAutospacing="1"/>
      <w:jc w:val="left"/>
    </w:pPr>
    <w:rPr>
      <w:sz w:val="24"/>
      <w:szCs w:val="24"/>
      <w:lang w:eastAsia="zh-CN"/>
    </w:rPr>
  </w:style>
  <w:style w:type="paragraph" w:customStyle="1" w:styleId="xl101">
    <w:name w:val="xl101"/>
    <w:basedOn w:val="Normal"/>
    <w:rsid w:val="00282EB1"/>
    <w:pPr>
      <w:pBdr>
        <w:left w:val="single" w:sz="4" w:space="0" w:color="auto"/>
        <w:bottom w:val="single" w:sz="4" w:space="0" w:color="auto"/>
      </w:pBdr>
      <w:spacing w:before="100" w:beforeAutospacing="1" w:after="100" w:afterAutospacing="1"/>
      <w:jc w:val="left"/>
    </w:pPr>
    <w:rPr>
      <w:sz w:val="24"/>
      <w:szCs w:val="24"/>
      <w:lang w:eastAsia="zh-CN"/>
    </w:rPr>
  </w:style>
  <w:style w:type="paragraph" w:customStyle="1" w:styleId="xl102">
    <w:name w:val="xl102"/>
    <w:basedOn w:val="Normal"/>
    <w:rsid w:val="00282EB1"/>
    <w:pPr>
      <w:pBdr>
        <w:top w:val="double" w:sz="6" w:space="0" w:color="auto"/>
        <w:bottom w:val="single" w:sz="4" w:space="0" w:color="auto"/>
      </w:pBdr>
      <w:spacing w:before="100" w:beforeAutospacing="1" w:after="100" w:afterAutospacing="1"/>
      <w:jc w:val="left"/>
    </w:pPr>
    <w:rPr>
      <w:sz w:val="24"/>
      <w:szCs w:val="24"/>
      <w:lang w:eastAsia="zh-CN"/>
    </w:rPr>
  </w:style>
  <w:style w:type="paragraph" w:customStyle="1" w:styleId="xl103">
    <w:name w:val="xl103"/>
    <w:basedOn w:val="Normal"/>
    <w:rsid w:val="00282EB1"/>
    <w:pPr>
      <w:spacing w:before="100" w:beforeAutospacing="1" w:after="100" w:afterAutospacing="1"/>
      <w:jc w:val="center"/>
    </w:pPr>
    <w:rPr>
      <w:b/>
      <w:bCs/>
      <w:sz w:val="24"/>
      <w:szCs w:val="24"/>
      <w:lang w:eastAsia="zh-CN"/>
    </w:rPr>
  </w:style>
  <w:style w:type="paragraph" w:customStyle="1" w:styleId="xl104">
    <w:name w:val="xl104"/>
    <w:basedOn w:val="Normal"/>
    <w:rsid w:val="00282EB1"/>
    <w:pPr>
      <w:pBdr>
        <w:top w:val="double" w:sz="6" w:space="0" w:color="auto"/>
        <w:bottom w:val="double" w:sz="6" w:space="0" w:color="auto"/>
      </w:pBdr>
      <w:spacing w:before="100" w:beforeAutospacing="1" w:after="100" w:afterAutospacing="1"/>
      <w:jc w:val="left"/>
    </w:pPr>
    <w:rPr>
      <w:sz w:val="24"/>
      <w:szCs w:val="24"/>
      <w:lang w:eastAsia="zh-CN"/>
    </w:rPr>
  </w:style>
  <w:style w:type="paragraph" w:customStyle="1" w:styleId="xl105">
    <w:name w:val="xl105"/>
    <w:basedOn w:val="Normal"/>
    <w:rsid w:val="00282EB1"/>
    <w:pPr>
      <w:pBdr>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06">
    <w:name w:val="xl106"/>
    <w:basedOn w:val="Normal"/>
    <w:rsid w:val="00282EB1"/>
    <w:pPr>
      <w:pBdr>
        <w:top w:val="single" w:sz="4" w:space="0" w:color="auto"/>
        <w:left w:val="single" w:sz="4" w:space="0" w:color="auto"/>
      </w:pBdr>
      <w:spacing w:before="100" w:beforeAutospacing="1" w:after="100" w:afterAutospacing="1"/>
      <w:jc w:val="left"/>
    </w:pPr>
    <w:rPr>
      <w:sz w:val="24"/>
      <w:szCs w:val="24"/>
      <w:lang w:eastAsia="zh-CN"/>
    </w:rPr>
  </w:style>
  <w:style w:type="paragraph" w:customStyle="1" w:styleId="xl107">
    <w:name w:val="xl107"/>
    <w:basedOn w:val="Normal"/>
    <w:rsid w:val="00282EB1"/>
    <w:pPr>
      <w:pBdr>
        <w:top w:val="double" w:sz="6" w:space="0" w:color="auto"/>
        <w:left w:val="double" w:sz="6" w:space="0" w:color="auto"/>
        <w:bottom w:val="double" w:sz="6" w:space="0" w:color="auto"/>
      </w:pBdr>
      <w:spacing w:before="100" w:beforeAutospacing="1" w:after="100" w:afterAutospacing="1"/>
      <w:jc w:val="left"/>
    </w:pPr>
    <w:rPr>
      <w:sz w:val="24"/>
      <w:szCs w:val="24"/>
      <w:lang w:eastAsia="zh-CN"/>
    </w:rPr>
  </w:style>
  <w:style w:type="paragraph" w:customStyle="1" w:styleId="xl108">
    <w:name w:val="xl108"/>
    <w:basedOn w:val="Normal"/>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eastAsia="zh-CN"/>
    </w:rPr>
  </w:style>
  <w:style w:type="paragraph" w:customStyle="1" w:styleId="xl109">
    <w:name w:val="xl109"/>
    <w:basedOn w:val="Normal"/>
    <w:rsid w:val="00282EB1"/>
    <w:pPr>
      <w:pBdr>
        <w:left w:val="single" w:sz="4" w:space="0" w:color="auto"/>
        <w:right w:val="double" w:sz="6" w:space="0" w:color="auto"/>
      </w:pBdr>
      <w:spacing w:before="100" w:beforeAutospacing="1" w:after="100" w:afterAutospacing="1"/>
      <w:jc w:val="left"/>
    </w:pPr>
    <w:rPr>
      <w:sz w:val="24"/>
      <w:szCs w:val="24"/>
      <w:lang w:eastAsia="zh-CN"/>
    </w:rPr>
  </w:style>
  <w:style w:type="paragraph" w:customStyle="1" w:styleId="xl110">
    <w:name w:val="xl110"/>
    <w:basedOn w:val="Normal"/>
    <w:rsid w:val="00282EB1"/>
    <w:pPr>
      <w:pBdr>
        <w:left w:val="single" w:sz="4" w:space="0" w:color="auto"/>
        <w:right w:val="double" w:sz="6" w:space="0" w:color="auto"/>
      </w:pBdr>
      <w:spacing w:before="100" w:beforeAutospacing="1" w:after="100" w:afterAutospacing="1"/>
      <w:jc w:val="left"/>
    </w:pPr>
    <w:rPr>
      <w:sz w:val="24"/>
      <w:szCs w:val="24"/>
      <w:lang w:eastAsia="zh-CN"/>
    </w:rPr>
  </w:style>
  <w:style w:type="paragraph" w:customStyle="1" w:styleId="xl111">
    <w:name w:val="xl111"/>
    <w:basedOn w:val="Normal"/>
    <w:rsid w:val="00282EB1"/>
    <w:pPr>
      <w:pBdr>
        <w:left w:val="double" w:sz="6" w:space="0" w:color="auto"/>
        <w:bottom w:val="double" w:sz="6" w:space="0" w:color="auto"/>
        <w:right w:val="single" w:sz="4" w:space="0" w:color="auto"/>
      </w:pBdr>
      <w:spacing w:before="100" w:beforeAutospacing="1" w:after="100" w:afterAutospacing="1"/>
      <w:jc w:val="left"/>
    </w:pPr>
    <w:rPr>
      <w:sz w:val="24"/>
      <w:szCs w:val="24"/>
      <w:lang w:eastAsia="zh-CN"/>
    </w:rPr>
  </w:style>
  <w:style w:type="paragraph" w:customStyle="1" w:styleId="xl112">
    <w:name w:val="xl112"/>
    <w:basedOn w:val="Normal"/>
    <w:rsid w:val="00282EB1"/>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eastAsia="zh-CN"/>
    </w:rPr>
  </w:style>
  <w:style w:type="paragraph" w:customStyle="1" w:styleId="xl113">
    <w:name w:val="xl113"/>
    <w:basedOn w:val="Normal"/>
    <w:rsid w:val="00282EB1"/>
    <w:pPr>
      <w:pBdr>
        <w:left w:val="double" w:sz="6" w:space="0" w:color="auto"/>
        <w:bottom w:val="double" w:sz="6" w:space="0" w:color="auto"/>
        <w:right w:val="single" w:sz="4" w:space="0" w:color="auto"/>
      </w:pBdr>
      <w:spacing w:before="100" w:beforeAutospacing="1" w:after="100" w:afterAutospacing="1"/>
      <w:jc w:val="center"/>
    </w:pPr>
    <w:rPr>
      <w:sz w:val="24"/>
      <w:szCs w:val="24"/>
      <w:lang w:eastAsia="zh-CN"/>
    </w:rPr>
  </w:style>
  <w:style w:type="paragraph" w:customStyle="1" w:styleId="xl114">
    <w:name w:val="xl114"/>
    <w:basedOn w:val="Normal"/>
    <w:rsid w:val="00282EB1"/>
    <w:pPr>
      <w:spacing w:before="100" w:beforeAutospacing="1" w:after="100" w:afterAutospacing="1"/>
      <w:jc w:val="right"/>
    </w:pPr>
    <w:rPr>
      <w:color w:val="FF0000"/>
      <w:sz w:val="24"/>
      <w:szCs w:val="24"/>
      <w:lang w:eastAsia="zh-CN"/>
    </w:rPr>
  </w:style>
  <w:style w:type="paragraph" w:customStyle="1" w:styleId="xl115">
    <w:name w:val="xl115"/>
    <w:basedOn w:val="Normal"/>
    <w:rsid w:val="00282EB1"/>
    <w:pPr>
      <w:pBdr>
        <w:left w:val="single" w:sz="4"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116">
    <w:name w:val="xl116"/>
    <w:basedOn w:val="Normal"/>
    <w:rsid w:val="00282EB1"/>
    <w:pPr>
      <w:spacing w:before="100" w:beforeAutospacing="1" w:after="100" w:afterAutospacing="1"/>
      <w:jc w:val="left"/>
    </w:pPr>
    <w:rPr>
      <w:b/>
      <w:bCs/>
      <w:color w:val="FF0000"/>
      <w:sz w:val="24"/>
      <w:szCs w:val="24"/>
      <w:lang w:eastAsia="zh-CN"/>
    </w:rPr>
  </w:style>
  <w:style w:type="paragraph" w:customStyle="1" w:styleId="xl117">
    <w:name w:val="xl117"/>
    <w:basedOn w:val="Normal"/>
    <w:rsid w:val="00282EB1"/>
    <w:pPr>
      <w:spacing w:before="100" w:beforeAutospacing="1" w:after="100" w:afterAutospacing="1"/>
      <w:jc w:val="left"/>
    </w:pPr>
    <w:rPr>
      <w:color w:val="FF0000"/>
      <w:sz w:val="24"/>
      <w:szCs w:val="24"/>
      <w:lang w:eastAsia="zh-CN"/>
    </w:rPr>
  </w:style>
  <w:style w:type="paragraph" w:customStyle="1" w:styleId="xl118">
    <w:name w:val="xl118"/>
    <w:basedOn w:val="Normal"/>
    <w:rsid w:val="00282EB1"/>
    <w:pPr>
      <w:pBdr>
        <w:top w:val="double" w:sz="6" w:space="0" w:color="auto"/>
        <w:left w:val="double" w:sz="6" w:space="0" w:color="auto"/>
      </w:pBdr>
      <w:spacing w:before="100" w:beforeAutospacing="1" w:after="100" w:afterAutospacing="1"/>
      <w:jc w:val="left"/>
    </w:pPr>
    <w:rPr>
      <w:color w:val="FF0000"/>
      <w:sz w:val="24"/>
      <w:szCs w:val="24"/>
      <w:lang w:eastAsia="zh-CN"/>
    </w:rPr>
  </w:style>
  <w:style w:type="paragraph" w:customStyle="1" w:styleId="xl119">
    <w:name w:val="xl119"/>
    <w:basedOn w:val="Normal"/>
    <w:rsid w:val="00282EB1"/>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20">
    <w:name w:val="xl120"/>
    <w:basedOn w:val="Normal"/>
    <w:rsid w:val="00282EB1"/>
    <w:pPr>
      <w:pBdr>
        <w:top w:val="double" w:sz="6" w:space="0" w:color="auto"/>
      </w:pBdr>
      <w:spacing w:before="100" w:beforeAutospacing="1" w:after="100" w:afterAutospacing="1"/>
      <w:jc w:val="left"/>
    </w:pPr>
    <w:rPr>
      <w:color w:val="FF0000"/>
      <w:sz w:val="24"/>
      <w:szCs w:val="24"/>
      <w:lang w:eastAsia="zh-CN"/>
    </w:rPr>
  </w:style>
  <w:style w:type="paragraph" w:customStyle="1" w:styleId="xl121">
    <w:name w:val="xl121"/>
    <w:basedOn w:val="Normal"/>
    <w:rsid w:val="00282EB1"/>
    <w:pPr>
      <w:pBdr>
        <w:top w:val="double" w:sz="6"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22">
    <w:name w:val="xl122"/>
    <w:basedOn w:val="Normal"/>
    <w:rsid w:val="00282EB1"/>
    <w:pPr>
      <w:pBdr>
        <w:top w:val="double" w:sz="6"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23">
    <w:name w:val="xl123"/>
    <w:basedOn w:val="Normal"/>
    <w:rsid w:val="00282EB1"/>
    <w:pPr>
      <w:pBdr>
        <w:left w:val="double" w:sz="6"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24">
    <w:name w:val="xl124"/>
    <w:basedOn w:val="Normal"/>
    <w:rsid w:val="00282EB1"/>
    <w:pPr>
      <w:pBdr>
        <w:right w:val="single" w:sz="4" w:space="0" w:color="auto"/>
      </w:pBdr>
      <w:spacing w:before="100" w:beforeAutospacing="1" w:after="100" w:afterAutospacing="1"/>
      <w:jc w:val="center"/>
    </w:pPr>
    <w:rPr>
      <w:color w:val="FF0000"/>
      <w:sz w:val="24"/>
      <w:szCs w:val="24"/>
      <w:lang w:eastAsia="zh-CN"/>
    </w:rPr>
  </w:style>
  <w:style w:type="paragraph" w:customStyle="1" w:styleId="xl125">
    <w:name w:val="xl125"/>
    <w:basedOn w:val="Normal"/>
    <w:rsid w:val="00282EB1"/>
    <w:pPr>
      <w:pBdr>
        <w:right w:val="single" w:sz="4" w:space="0" w:color="auto"/>
      </w:pBdr>
      <w:spacing w:before="100" w:beforeAutospacing="1" w:after="100" w:afterAutospacing="1"/>
      <w:jc w:val="left"/>
    </w:pPr>
    <w:rPr>
      <w:color w:val="FF0000"/>
      <w:sz w:val="24"/>
      <w:szCs w:val="24"/>
      <w:lang w:eastAsia="zh-CN"/>
    </w:rPr>
  </w:style>
  <w:style w:type="paragraph" w:customStyle="1" w:styleId="xl126">
    <w:name w:val="xl126"/>
    <w:basedOn w:val="Normal"/>
    <w:rsid w:val="00282EB1"/>
    <w:pPr>
      <w:pBdr>
        <w:left w:val="double" w:sz="6"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27">
    <w:name w:val="xl127"/>
    <w:basedOn w:val="Normal"/>
    <w:rsid w:val="00282EB1"/>
    <w:pPr>
      <w:pBdr>
        <w:right w:val="single" w:sz="4" w:space="0" w:color="auto"/>
      </w:pBdr>
      <w:spacing w:before="100" w:beforeAutospacing="1" w:after="100" w:afterAutospacing="1"/>
      <w:jc w:val="left"/>
    </w:pPr>
    <w:rPr>
      <w:color w:val="FF0000"/>
      <w:sz w:val="24"/>
      <w:szCs w:val="24"/>
      <w:lang w:eastAsia="zh-CN"/>
    </w:rPr>
  </w:style>
  <w:style w:type="paragraph" w:customStyle="1" w:styleId="xl128">
    <w:name w:val="xl128"/>
    <w:basedOn w:val="Normal"/>
    <w:rsid w:val="00282EB1"/>
    <w:pPr>
      <w:pBdr>
        <w:left w:val="single" w:sz="4"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29">
    <w:name w:val="xl129"/>
    <w:basedOn w:val="Normal"/>
    <w:rsid w:val="00282EB1"/>
    <w:pPr>
      <w:pBdr>
        <w:left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30">
    <w:name w:val="xl130"/>
    <w:basedOn w:val="Normal"/>
    <w:rsid w:val="00282EB1"/>
    <w:pPr>
      <w:pBdr>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31">
    <w:name w:val="xl131"/>
    <w:basedOn w:val="Normal"/>
    <w:rsid w:val="00282EB1"/>
    <w:pPr>
      <w:pBdr>
        <w:left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32">
    <w:name w:val="xl132"/>
    <w:basedOn w:val="Normal"/>
    <w:rsid w:val="00282EB1"/>
    <w:pPr>
      <w:pBdr>
        <w:left w:val="double" w:sz="6" w:space="0" w:color="auto"/>
      </w:pBdr>
      <w:spacing w:before="100" w:beforeAutospacing="1" w:after="100" w:afterAutospacing="1"/>
      <w:jc w:val="left"/>
    </w:pPr>
    <w:rPr>
      <w:color w:val="FF0000"/>
      <w:sz w:val="24"/>
      <w:szCs w:val="24"/>
      <w:lang w:eastAsia="zh-CN"/>
    </w:rPr>
  </w:style>
  <w:style w:type="paragraph" w:customStyle="1" w:styleId="xl133">
    <w:name w:val="xl133"/>
    <w:basedOn w:val="Normal"/>
    <w:rsid w:val="00282EB1"/>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34">
    <w:name w:val="xl134"/>
    <w:basedOn w:val="Normal"/>
    <w:rsid w:val="00282EB1"/>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35">
    <w:name w:val="xl135"/>
    <w:basedOn w:val="Normal"/>
    <w:rsid w:val="00282EB1"/>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136">
    <w:name w:val="xl136"/>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37">
    <w:name w:val="xl137"/>
    <w:basedOn w:val="Normal"/>
    <w:rsid w:val="00282EB1"/>
    <w:pPr>
      <w:pBdr>
        <w:left w:val="double" w:sz="6"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138">
    <w:name w:val="xl138"/>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39">
    <w:name w:val="xl139"/>
    <w:basedOn w:val="Normal"/>
    <w:rsid w:val="00282EB1"/>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140">
    <w:name w:val="xl140"/>
    <w:basedOn w:val="Normal"/>
    <w:rsid w:val="00282EB1"/>
    <w:pPr>
      <w:pBdr>
        <w:top w:val="single" w:sz="4" w:space="0" w:color="auto"/>
        <w:left w:val="double" w:sz="6" w:space="0" w:color="auto"/>
      </w:pBdr>
      <w:spacing w:before="100" w:beforeAutospacing="1" w:after="100" w:afterAutospacing="1"/>
      <w:jc w:val="left"/>
    </w:pPr>
    <w:rPr>
      <w:color w:val="FF0000"/>
      <w:sz w:val="24"/>
      <w:szCs w:val="24"/>
      <w:lang w:eastAsia="zh-CN"/>
    </w:rPr>
  </w:style>
  <w:style w:type="paragraph" w:customStyle="1" w:styleId="xl141">
    <w:name w:val="xl141"/>
    <w:basedOn w:val="Normal"/>
    <w:rsid w:val="00282EB1"/>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2">
    <w:name w:val="xl142"/>
    <w:basedOn w:val="Normal"/>
    <w:rsid w:val="00282EB1"/>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3">
    <w:name w:val="xl143"/>
    <w:basedOn w:val="Normal"/>
    <w:rsid w:val="00282EB1"/>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44">
    <w:name w:val="xl144"/>
    <w:basedOn w:val="Normal"/>
    <w:rsid w:val="00282EB1"/>
    <w:pPr>
      <w:pBdr>
        <w:right w:val="double" w:sz="6" w:space="0" w:color="auto"/>
      </w:pBdr>
      <w:spacing w:before="100" w:beforeAutospacing="1" w:after="100" w:afterAutospacing="1"/>
      <w:jc w:val="left"/>
    </w:pPr>
    <w:rPr>
      <w:color w:val="FF0000"/>
      <w:sz w:val="24"/>
      <w:szCs w:val="24"/>
      <w:lang w:eastAsia="zh-CN"/>
    </w:rPr>
  </w:style>
  <w:style w:type="paragraph" w:customStyle="1" w:styleId="xl145">
    <w:name w:val="xl145"/>
    <w:basedOn w:val="Normal"/>
    <w:rsid w:val="00282EB1"/>
    <w:pPr>
      <w:pBdr>
        <w:left w:val="double" w:sz="6"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6">
    <w:name w:val="xl146"/>
    <w:basedOn w:val="Normal"/>
    <w:rsid w:val="00282EB1"/>
    <w:pPr>
      <w:pBdr>
        <w:left w:val="single" w:sz="4"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7">
    <w:name w:val="xl147"/>
    <w:basedOn w:val="Normal"/>
    <w:rsid w:val="00282EB1"/>
    <w:pPr>
      <w:pBdr>
        <w:bottom w:val="double" w:sz="6"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48">
    <w:name w:val="xl148"/>
    <w:basedOn w:val="Normal"/>
    <w:rsid w:val="00282EB1"/>
    <w:pPr>
      <w:pBdr>
        <w:top w:val="double" w:sz="6"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9">
    <w:name w:val="xl149"/>
    <w:basedOn w:val="Normal"/>
    <w:rsid w:val="00282EB1"/>
    <w:pPr>
      <w:pBdr>
        <w:bottom w:val="double" w:sz="6" w:space="0" w:color="auto"/>
      </w:pBdr>
      <w:spacing w:before="100" w:beforeAutospacing="1" w:after="100" w:afterAutospacing="1"/>
      <w:jc w:val="left"/>
    </w:pPr>
    <w:rPr>
      <w:color w:val="FF0000"/>
      <w:sz w:val="24"/>
      <w:szCs w:val="24"/>
      <w:lang w:eastAsia="zh-CN"/>
    </w:rPr>
  </w:style>
  <w:style w:type="paragraph" w:customStyle="1" w:styleId="xl150">
    <w:name w:val="xl150"/>
    <w:basedOn w:val="Normal"/>
    <w:rsid w:val="00282EB1"/>
    <w:pPr>
      <w:spacing w:before="100" w:beforeAutospacing="1" w:after="100" w:afterAutospacing="1"/>
      <w:jc w:val="right"/>
    </w:pPr>
    <w:rPr>
      <w:b/>
      <w:bCs/>
      <w:color w:val="FF0000"/>
      <w:sz w:val="24"/>
      <w:szCs w:val="24"/>
      <w:lang w:eastAsia="zh-CN"/>
    </w:rPr>
  </w:style>
  <w:style w:type="paragraph" w:customStyle="1" w:styleId="xl151">
    <w:name w:val="xl151"/>
    <w:basedOn w:val="Normal"/>
    <w:rsid w:val="00282EB1"/>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52">
    <w:name w:val="xl152"/>
    <w:basedOn w:val="Normal"/>
    <w:rsid w:val="00282EB1"/>
    <w:pPr>
      <w:pBdr>
        <w:top w:val="double" w:sz="6" w:space="0" w:color="auto"/>
      </w:pBdr>
      <w:spacing w:before="100" w:beforeAutospacing="1" w:after="100" w:afterAutospacing="1"/>
      <w:jc w:val="center"/>
    </w:pPr>
    <w:rPr>
      <w:color w:val="FF0000"/>
      <w:sz w:val="24"/>
      <w:szCs w:val="24"/>
      <w:lang w:eastAsia="zh-CN"/>
    </w:rPr>
  </w:style>
  <w:style w:type="paragraph" w:customStyle="1" w:styleId="xl153">
    <w:name w:val="xl153"/>
    <w:basedOn w:val="Normal"/>
    <w:rsid w:val="00282EB1"/>
    <w:pPr>
      <w:pBdr>
        <w:top w:val="single" w:sz="4" w:space="0" w:color="auto"/>
        <w:left w:val="single" w:sz="4" w:space="0" w:color="auto"/>
        <w:bottom w:val="single" w:sz="4" w:space="0" w:color="auto"/>
      </w:pBdr>
      <w:spacing w:before="100" w:beforeAutospacing="1" w:after="100" w:afterAutospacing="1"/>
      <w:jc w:val="center"/>
    </w:pPr>
    <w:rPr>
      <w:sz w:val="24"/>
      <w:szCs w:val="24"/>
      <w:lang w:eastAsia="zh-CN"/>
    </w:rPr>
  </w:style>
  <w:style w:type="paragraph" w:customStyle="1" w:styleId="xl154">
    <w:name w:val="xl154"/>
    <w:basedOn w:val="Normal"/>
    <w:rsid w:val="00282EB1"/>
    <w:pPr>
      <w:pBdr>
        <w:top w:val="single" w:sz="4" w:space="0" w:color="auto"/>
        <w:left w:val="single" w:sz="4" w:space="0" w:color="auto"/>
        <w:bottom w:val="double" w:sz="6" w:space="0" w:color="auto"/>
      </w:pBdr>
      <w:spacing w:before="100" w:beforeAutospacing="1" w:after="100" w:afterAutospacing="1"/>
      <w:jc w:val="center"/>
    </w:pPr>
    <w:rPr>
      <w:sz w:val="24"/>
      <w:szCs w:val="24"/>
      <w:lang w:eastAsia="zh-CN"/>
    </w:rPr>
  </w:style>
  <w:style w:type="paragraph" w:customStyle="1" w:styleId="xl155">
    <w:name w:val="xl155"/>
    <w:basedOn w:val="Normal"/>
    <w:rsid w:val="00282EB1"/>
    <w:pPr>
      <w:pBdr>
        <w:top w:val="double" w:sz="6" w:space="0" w:color="auto"/>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56">
    <w:name w:val="xl156"/>
    <w:basedOn w:val="Normal"/>
    <w:rsid w:val="00282EB1"/>
    <w:pPr>
      <w:pBdr>
        <w:left w:val="single" w:sz="4" w:space="0" w:color="auto"/>
      </w:pBdr>
      <w:spacing w:before="100" w:beforeAutospacing="1" w:after="100" w:afterAutospacing="1"/>
      <w:jc w:val="center"/>
    </w:pPr>
    <w:rPr>
      <w:sz w:val="24"/>
      <w:szCs w:val="24"/>
      <w:lang w:eastAsia="zh-CN"/>
    </w:rPr>
  </w:style>
  <w:style w:type="paragraph" w:customStyle="1" w:styleId="xl157">
    <w:name w:val="xl157"/>
    <w:basedOn w:val="Normal"/>
    <w:rsid w:val="00282EB1"/>
    <w:pPr>
      <w:pBdr>
        <w:top w:val="double" w:sz="6" w:space="0" w:color="auto"/>
        <w:left w:val="single" w:sz="4" w:space="0" w:color="auto"/>
      </w:pBdr>
      <w:spacing w:before="100" w:beforeAutospacing="1" w:after="100" w:afterAutospacing="1"/>
      <w:jc w:val="center"/>
    </w:pPr>
    <w:rPr>
      <w:sz w:val="24"/>
      <w:szCs w:val="24"/>
      <w:lang w:eastAsia="zh-CN"/>
    </w:rPr>
  </w:style>
  <w:style w:type="paragraph" w:customStyle="1" w:styleId="xl158">
    <w:name w:val="xl158"/>
    <w:basedOn w:val="Normal"/>
    <w:rsid w:val="00282EB1"/>
    <w:pPr>
      <w:pBdr>
        <w:top w:val="single" w:sz="4" w:space="0" w:color="auto"/>
        <w:left w:val="single" w:sz="4" w:space="0" w:color="auto"/>
      </w:pBdr>
      <w:spacing w:before="100" w:beforeAutospacing="1" w:after="100" w:afterAutospacing="1"/>
      <w:jc w:val="center"/>
    </w:pPr>
    <w:rPr>
      <w:sz w:val="24"/>
      <w:szCs w:val="24"/>
      <w:lang w:eastAsia="zh-CN"/>
    </w:rPr>
  </w:style>
  <w:style w:type="paragraph" w:customStyle="1" w:styleId="xl159">
    <w:name w:val="xl159"/>
    <w:basedOn w:val="Normal"/>
    <w:rsid w:val="00282EB1"/>
    <w:pPr>
      <w:pBdr>
        <w:left w:val="single" w:sz="4" w:space="0" w:color="auto"/>
        <w:bottom w:val="double" w:sz="6" w:space="0" w:color="auto"/>
      </w:pBdr>
      <w:spacing w:before="100" w:beforeAutospacing="1" w:after="100" w:afterAutospacing="1"/>
      <w:jc w:val="center"/>
    </w:pPr>
    <w:rPr>
      <w:sz w:val="24"/>
      <w:szCs w:val="24"/>
      <w:lang w:eastAsia="zh-CN"/>
    </w:rPr>
  </w:style>
  <w:style w:type="paragraph" w:customStyle="1" w:styleId="xl160">
    <w:name w:val="xl160"/>
    <w:basedOn w:val="Normal"/>
    <w:rsid w:val="00282EB1"/>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eastAsia="zh-CN"/>
    </w:rPr>
  </w:style>
  <w:style w:type="paragraph" w:customStyle="1" w:styleId="xl161">
    <w:name w:val="xl161"/>
    <w:basedOn w:val="Normal"/>
    <w:rsid w:val="00282EB1"/>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eastAsia="zh-CN"/>
    </w:rPr>
  </w:style>
  <w:style w:type="paragraph" w:customStyle="1" w:styleId="xl162">
    <w:name w:val="xl162"/>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63">
    <w:name w:val="xl16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64">
    <w:name w:val="xl164"/>
    <w:basedOn w:val="Normal"/>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eastAsia="zh-CN"/>
    </w:rPr>
  </w:style>
  <w:style w:type="paragraph" w:customStyle="1" w:styleId="xl165">
    <w:name w:val="xl165"/>
    <w:basedOn w:val="Normal"/>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66">
    <w:name w:val="xl166"/>
    <w:basedOn w:val="Normal"/>
    <w:rsid w:val="00282EB1"/>
    <w:pPr>
      <w:pBdr>
        <w:top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67">
    <w:name w:val="xl167"/>
    <w:basedOn w:val="Normal"/>
    <w:rsid w:val="00282EB1"/>
    <w:pPr>
      <w:pBdr>
        <w:top w:val="single" w:sz="4" w:space="0" w:color="auto"/>
        <w:right w:val="double" w:sz="6" w:space="0" w:color="auto"/>
      </w:pBdr>
      <w:spacing w:before="100" w:beforeAutospacing="1" w:after="100" w:afterAutospacing="1"/>
      <w:jc w:val="left"/>
    </w:pPr>
    <w:rPr>
      <w:sz w:val="24"/>
      <w:szCs w:val="24"/>
      <w:lang w:eastAsia="zh-CN"/>
    </w:rPr>
  </w:style>
  <w:style w:type="paragraph" w:customStyle="1" w:styleId="xl168">
    <w:name w:val="xl168"/>
    <w:basedOn w:val="Normal"/>
    <w:rsid w:val="00282EB1"/>
    <w:pPr>
      <w:pBdr>
        <w:top w:val="double" w:sz="6"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69">
    <w:name w:val="xl169"/>
    <w:basedOn w:val="Normal"/>
    <w:rsid w:val="00282EB1"/>
    <w:pPr>
      <w:pBdr>
        <w:top w:val="single" w:sz="4" w:space="0" w:color="auto"/>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170">
    <w:name w:val="xl170"/>
    <w:basedOn w:val="Normal"/>
    <w:rsid w:val="00282EB1"/>
    <w:pPr>
      <w:pBdr>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71">
    <w:name w:val="xl171"/>
    <w:basedOn w:val="Normal"/>
    <w:rsid w:val="00282EB1"/>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172">
    <w:name w:val="xl172"/>
    <w:basedOn w:val="Normal"/>
    <w:rsid w:val="00282EB1"/>
    <w:pPr>
      <w:pBdr>
        <w:top w:val="single" w:sz="8"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73">
    <w:name w:val="xl173"/>
    <w:basedOn w:val="Normal"/>
    <w:rsid w:val="00282EB1"/>
    <w:pPr>
      <w:pBdr>
        <w:top w:val="single" w:sz="4"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74">
    <w:name w:val="xl174"/>
    <w:basedOn w:val="Normal"/>
    <w:rsid w:val="00282EB1"/>
    <w:pPr>
      <w:pBdr>
        <w:left w:val="single" w:sz="4" w:space="0" w:color="auto"/>
        <w:bottom w:val="single" w:sz="4" w:space="0" w:color="auto"/>
      </w:pBdr>
      <w:spacing w:before="100" w:beforeAutospacing="1" w:after="100" w:afterAutospacing="1"/>
      <w:jc w:val="center"/>
    </w:pPr>
    <w:rPr>
      <w:sz w:val="24"/>
      <w:szCs w:val="24"/>
      <w:lang w:eastAsia="zh-CN"/>
    </w:rPr>
  </w:style>
  <w:style w:type="paragraph" w:customStyle="1" w:styleId="xl175">
    <w:name w:val="xl175"/>
    <w:basedOn w:val="Normal"/>
    <w:rsid w:val="00282EB1"/>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eastAsia="zh-CN"/>
    </w:rPr>
  </w:style>
  <w:style w:type="paragraph" w:customStyle="1" w:styleId="xl176">
    <w:name w:val="xl176"/>
    <w:basedOn w:val="Normal"/>
    <w:rsid w:val="00282EB1"/>
    <w:pPr>
      <w:pBdr>
        <w:top w:val="double" w:sz="6" w:space="0" w:color="auto"/>
        <w:left w:val="single" w:sz="4" w:space="0" w:color="auto"/>
        <w:bottom w:val="double" w:sz="6" w:space="0" w:color="auto"/>
      </w:pBdr>
      <w:spacing w:before="100" w:beforeAutospacing="1" w:after="100" w:afterAutospacing="1"/>
      <w:jc w:val="center"/>
    </w:pPr>
    <w:rPr>
      <w:sz w:val="16"/>
      <w:szCs w:val="16"/>
      <w:lang w:eastAsia="zh-CN"/>
    </w:rPr>
  </w:style>
  <w:style w:type="paragraph" w:customStyle="1" w:styleId="xl177">
    <w:name w:val="xl177"/>
    <w:basedOn w:val="Normal"/>
    <w:rsid w:val="00282EB1"/>
    <w:pPr>
      <w:pBdr>
        <w:top w:val="double" w:sz="6" w:space="0" w:color="auto"/>
      </w:pBdr>
      <w:spacing w:before="100" w:beforeAutospacing="1" w:after="100" w:afterAutospacing="1"/>
      <w:jc w:val="center"/>
    </w:pPr>
    <w:rPr>
      <w:sz w:val="24"/>
      <w:szCs w:val="24"/>
      <w:lang w:eastAsia="zh-CN"/>
    </w:rPr>
  </w:style>
  <w:style w:type="paragraph" w:customStyle="1" w:styleId="xl178">
    <w:name w:val="xl178"/>
    <w:basedOn w:val="Normal"/>
    <w:rsid w:val="00282EB1"/>
    <w:pPr>
      <w:pBdr>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179">
    <w:name w:val="xl179"/>
    <w:basedOn w:val="Normal"/>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80">
    <w:name w:val="xl180"/>
    <w:basedOn w:val="Normal"/>
    <w:rsid w:val="00282EB1"/>
    <w:pPr>
      <w:pBdr>
        <w:top w:val="single" w:sz="4" w:space="0" w:color="auto"/>
        <w:left w:val="single" w:sz="4" w:space="0" w:color="auto"/>
        <w:right w:val="double" w:sz="6" w:space="0" w:color="auto"/>
      </w:pBdr>
      <w:spacing w:before="100" w:beforeAutospacing="1" w:after="100" w:afterAutospacing="1"/>
      <w:jc w:val="left"/>
    </w:pPr>
    <w:rPr>
      <w:sz w:val="24"/>
      <w:szCs w:val="24"/>
      <w:lang w:eastAsia="zh-CN"/>
    </w:rPr>
  </w:style>
  <w:style w:type="paragraph" w:customStyle="1" w:styleId="xl181">
    <w:name w:val="xl181"/>
    <w:basedOn w:val="Normal"/>
    <w:rsid w:val="00282EB1"/>
    <w:pPr>
      <w:pBdr>
        <w:top w:val="double" w:sz="6" w:space="0" w:color="auto"/>
        <w:left w:val="single" w:sz="4" w:space="0" w:color="auto"/>
        <w:right w:val="double" w:sz="6" w:space="0" w:color="auto"/>
      </w:pBdr>
      <w:spacing w:before="100" w:beforeAutospacing="1" w:after="100" w:afterAutospacing="1"/>
      <w:jc w:val="left"/>
    </w:pPr>
    <w:rPr>
      <w:sz w:val="24"/>
      <w:szCs w:val="24"/>
      <w:lang w:eastAsia="zh-CN"/>
    </w:rPr>
  </w:style>
  <w:style w:type="paragraph" w:customStyle="1" w:styleId="xl182">
    <w:name w:val="xl182"/>
    <w:basedOn w:val="Normal"/>
    <w:rsid w:val="00282EB1"/>
    <w:pPr>
      <w:pBdr>
        <w:left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83">
    <w:name w:val="xl183"/>
    <w:basedOn w:val="Normal"/>
    <w:rsid w:val="00282EB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184">
    <w:name w:val="xl184"/>
    <w:basedOn w:val="Normal"/>
    <w:rsid w:val="00282EB1"/>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185">
    <w:name w:val="xl185"/>
    <w:basedOn w:val="Normal"/>
    <w:rsid w:val="00282EB1"/>
    <w:pPr>
      <w:pBdr>
        <w:right w:val="double" w:sz="6" w:space="0" w:color="auto"/>
      </w:pBdr>
      <w:spacing w:before="100" w:beforeAutospacing="1" w:after="100" w:afterAutospacing="1"/>
      <w:jc w:val="left"/>
    </w:pPr>
    <w:rPr>
      <w:sz w:val="24"/>
      <w:szCs w:val="24"/>
      <w:lang w:eastAsia="zh-CN"/>
    </w:rPr>
  </w:style>
  <w:style w:type="paragraph" w:customStyle="1" w:styleId="xl186">
    <w:name w:val="xl186"/>
    <w:basedOn w:val="Normal"/>
    <w:rsid w:val="00282EB1"/>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eastAsia="zh-CN"/>
    </w:rPr>
  </w:style>
  <w:style w:type="paragraph" w:customStyle="1" w:styleId="xl187">
    <w:name w:val="xl187"/>
    <w:basedOn w:val="Normal"/>
    <w:rsid w:val="00282EB1"/>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88">
    <w:name w:val="xl188"/>
    <w:basedOn w:val="Normal"/>
    <w:rsid w:val="00282EB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89">
    <w:name w:val="xl189"/>
    <w:basedOn w:val="Normal"/>
    <w:rsid w:val="00282EB1"/>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90">
    <w:name w:val="xl190"/>
    <w:basedOn w:val="Normal"/>
    <w:rsid w:val="00282EB1"/>
    <w:pPr>
      <w:pBdr>
        <w:top w:val="single" w:sz="4" w:space="0" w:color="auto"/>
        <w:left w:val="single" w:sz="4" w:space="0" w:color="auto"/>
      </w:pBdr>
      <w:spacing w:before="100" w:beforeAutospacing="1" w:after="100" w:afterAutospacing="1"/>
      <w:jc w:val="center"/>
    </w:pPr>
    <w:rPr>
      <w:color w:val="FF0000"/>
      <w:sz w:val="24"/>
      <w:szCs w:val="24"/>
      <w:lang w:eastAsia="zh-CN"/>
    </w:rPr>
  </w:style>
  <w:style w:type="paragraph" w:customStyle="1" w:styleId="xl191">
    <w:name w:val="xl191"/>
    <w:basedOn w:val="Normal"/>
    <w:rsid w:val="00282EB1"/>
    <w:pPr>
      <w:pBdr>
        <w:top w:val="double" w:sz="6" w:space="0" w:color="auto"/>
        <w:left w:val="single" w:sz="4" w:space="0" w:color="auto"/>
      </w:pBdr>
      <w:spacing w:before="100" w:beforeAutospacing="1" w:after="100" w:afterAutospacing="1"/>
      <w:jc w:val="center"/>
    </w:pPr>
    <w:rPr>
      <w:color w:val="FF0000"/>
      <w:sz w:val="24"/>
      <w:szCs w:val="24"/>
      <w:lang w:eastAsia="zh-CN"/>
    </w:rPr>
  </w:style>
  <w:style w:type="paragraph" w:customStyle="1" w:styleId="xl192">
    <w:name w:val="xl192"/>
    <w:basedOn w:val="Normal"/>
    <w:rsid w:val="00282EB1"/>
    <w:pPr>
      <w:pBdr>
        <w:left w:val="single" w:sz="4" w:space="0" w:color="auto"/>
        <w:bottom w:val="double" w:sz="6" w:space="0" w:color="auto"/>
      </w:pBdr>
      <w:spacing w:before="100" w:beforeAutospacing="1" w:after="100" w:afterAutospacing="1"/>
      <w:jc w:val="center"/>
    </w:pPr>
    <w:rPr>
      <w:color w:val="FF0000"/>
      <w:sz w:val="24"/>
      <w:szCs w:val="24"/>
      <w:lang w:eastAsia="zh-CN"/>
    </w:rPr>
  </w:style>
  <w:style w:type="paragraph" w:customStyle="1" w:styleId="xl193">
    <w:name w:val="xl193"/>
    <w:basedOn w:val="Normal"/>
    <w:rsid w:val="00282EB1"/>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4">
    <w:name w:val="xl194"/>
    <w:basedOn w:val="Normal"/>
    <w:rsid w:val="00282EB1"/>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5">
    <w:name w:val="xl195"/>
    <w:basedOn w:val="Normal"/>
    <w:rsid w:val="00282EB1"/>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6">
    <w:name w:val="xl196"/>
    <w:basedOn w:val="Normal"/>
    <w:rsid w:val="00282EB1"/>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7">
    <w:name w:val="xl197"/>
    <w:basedOn w:val="Normal"/>
    <w:rsid w:val="00282EB1"/>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8">
    <w:name w:val="xl198"/>
    <w:basedOn w:val="Normal"/>
    <w:rsid w:val="00282EB1"/>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199">
    <w:name w:val="xl199"/>
    <w:basedOn w:val="Normal"/>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200">
    <w:name w:val="xl200"/>
    <w:basedOn w:val="Normal"/>
    <w:rsid w:val="00282EB1"/>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201">
    <w:name w:val="xl201"/>
    <w:basedOn w:val="Normal"/>
    <w:rsid w:val="00282EB1"/>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eastAsia="zh-CN"/>
    </w:rPr>
  </w:style>
  <w:style w:type="paragraph" w:customStyle="1" w:styleId="xl202">
    <w:name w:val="xl202"/>
    <w:basedOn w:val="Normal"/>
    <w:rsid w:val="00282EB1"/>
    <w:pPr>
      <w:pBdr>
        <w:top w:val="single" w:sz="4" w:space="0" w:color="auto"/>
        <w:left w:val="single" w:sz="4" w:space="0" w:color="auto"/>
        <w:right w:val="single" w:sz="4" w:space="0" w:color="auto"/>
      </w:pBdr>
      <w:spacing w:before="100" w:beforeAutospacing="1" w:after="100" w:afterAutospacing="1"/>
      <w:jc w:val="left"/>
    </w:pPr>
    <w:rPr>
      <w:sz w:val="24"/>
      <w:szCs w:val="24"/>
      <w:lang w:eastAsia="zh-CN"/>
    </w:rPr>
  </w:style>
  <w:style w:type="paragraph" w:customStyle="1" w:styleId="xl203">
    <w:name w:val="xl203"/>
    <w:basedOn w:val="Normal"/>
    <w:rsid w:val="00282EB1"/>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204">
    <w:name w:val="xl204"/>
    <w:basedOn w:val="Normal"/>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205">
    <w:name w:val="xl205"/>
    <w:basedOn w:val="Normal"/>
    <w:rsid w:val="00282EB1"/>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206">
    <w:name w:val="xl206"/>
    <w:basedOn w:val="Normal"/>
    <w:rsid w:val="00282EB1"/>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207">
    <w:name w:val="xl207"/>
    <w:basedOn w:val="Normal"/>
    <w:rsid w:val="00282EB1"/>
    <w:pPr>
      <w:pBdr>
        <w:bottom w:val="single" w:sz="4" w:space="0" w:color="auto"/>
      </w:pBdr>
      <w:spacing w:before="100" w:beforeAutospacing="1" w:after="100" w:afterAutospacing="1"/>
      <w:jc w:val="left"/>
    </w:pPr>
    <w:rPr>
      <w:color w:val="FF0000"/>
      <w:sz w:val="24"/>
      <w:szCs w:val="24"/>
      <w:lang w:eastAsia="zh-CN"/>
    </w:rPr>
  </w:style>
  <w:style w:type="paragraph" w:customStyle="1" w:styleId="xl208">
    <w:name w:val="xl208"/>
    <w:basedOn w:val="Normal"/>
    <w:rsid w:val="00282EB1"/>
    <w:pPr>
      <w:pBdr>
        <w:top w:val="single" w:sz="4"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209">
    <w:name w:val="xl209"/>
    <w:basedOn w:val="Normal"/>
    <w:rsid w:val="00282EB1"/>
    <w:pPr>
      <w:pBdr>
        <w:top w:val="single" w:sz="4" w:space="0" w:color="auto"/>
      </w:pBdr>
      <w:spacing w:before="100" w:beforeAutospacing="1" w:after="100" w:afterAutospacing="1"/>
      <w:jc w:val="left"/>
    </w:pPr>
    <w:rPr>
      <w:color w:val="FF0000"/>
      <w:sz w:val="24"/>
      <w:szCs w:val="24"/>
      <w:lang w:eastAsia="zh-CN"/>
    </w:rPr>
  </w:style>
  <w:style w:type="paragraph" w:customStyle="1" w:styleId="xl210">
    <w:name w:val="xl210"/>
    <w:basedOn w:val="Normal"/>
    <w:rsid w:val="00282EB1"/>
    <w:pPr>
      <w:pBdr>
        <w:left w:val="single" w:sz="4" w:space="0" w:color="auto"/>
      </w:pBdr>
      <w:spacing w:before="100" w:beforeAutospacing="1" w:after="100" w:afterAutospacing="1"/>
      <w:jc w:val="center"/>
      <w:textAlignment w:val="center"/>
    </w:pPr>
    <w:rPr>
      <w:sz w:val="24"/>
      <w:szCs w:val="24"/>
      <w:lang w:eastAsia="zh-CN"/>
    </w:rPr>
  </w:style>
  <w:style w:type="paragraph" w:customStyle="1" w:styleId="xl211">
    <w:name w:val="xl211"/>
    <w:basedOn w:val="Normal"/>
    <w:rsid w:val="00282EB1"/>
    <w:pPr>
      <w:pBdr>
        <w:right w:val="single" w:sz="4" w:space="0" w:color="auto"/>
      </w:pBdr>
      <w:spacing w:before="100" w:beforeAutospacing="1" w:after="100" w:afterAutospacing="1"/>
      <w:jc w:val="center"/>
      <w:textAlignment w:val="center"/>
    </w:pPr>
    <w:rPr>
      <w:sz w:val="24"/>
      <w:szCs w:val="24"/>
      <w:lang w:eastAsia="zh-CN"/>
    </w:rPr>
  </w:style>
  <w:style w:type="paragraph" w:customStyle="1" w:styleId="xl212">
    <w:name w:val="xl212"/>
    <w:basedOn w:val="Normal"/>
    <w:rsid w:val="00282EB1"/>
    <w:pPr>
      <w:pBdr>
        <w:left w:val="single" w:sz="4" w:space="0" w:color="auto"/>
        <w:bottom w:val="single" w:sz="4" w:space="0" w:color="auto"/>
      </w:pBdr>
      <w:spacing w:before="100" w:beforeAutospacing="1" w:after="100" w:afterAutospacing="1"/>
      <w:jc w:val="center"/>
      <w:textAlignment w:val="center"/>
    </w:pPr>
    <w:rPr>
      <w:sz w:val="24"/>
      <w:szCs w:val="24"/>
      <w:lang w:eastAsia="zh-CN"/>
    </w:rPr>
  </w:style>
  <w:style w:type="paragraph" w:customStyle="1" w:styleId="xl213">
    <w:name w:val="xl213"/>
    <w:basedOn w:val="Normal"/>
    <w:rsid w:val="00282EB1"/>
    <w:pPr>
      <w:pBdr>
        <w:bottom w:val="single" w:sz="4"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xl214">
    <w:name w:val="xl214"/>
    <w:basedOn w:val="Normal"/>
    <w:rsid w:val="00282EB1"/>
    <w:pPr>
      <w:pBdr>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215">
    <w:name w:val="xl215"/>
    <w:basedOn w:val="Normal"/>
    <w:rsid w:val="00282EB1"/>
    <w:pPr>
      <w:pBdr>
        <w:top w:val="double" w:sz="6" w:space="0" w:color="auto"/>
      </w:pBdr>
      <w:spacing w:before="100" w:beforeAutospacing="1" w:after="100" w:afterAutospacing="1"/>
      <w:jc w:val="left"/>
    </w:pPr>
    <w:rPr>
      <w:b/>
      <w:bCs/>
      <w:color w:val="FF0000"/>
      <w:sz w:val="24"/>
      <w:szCs w:val="24"/>
      <w:lang w:eastAsia="zh-CN"/>
    </w:rPr>
  </w:style>
  <w:style w:type="paragraph" w:customStyle="1" w:styleId="xl216">
    <w:name w:val="xl216"/>
    <w:basedOn w:val="Normal"/>
    <w:rsid w:val="00282EB1"/>
    <w:pPr>
      <w:pBdr>
        <w:top w:val="single" w:sz="4" w:space="0" w:color="auto"/>
        <w:left w:val="single" w:sz="4" w:space="0" w:color="auto"/>
        <w:right w:val="double" w:sz="6" w:space="0" w:color="auto"/>
      </w:pBdr>
      <w:spacing w:before="100" w:beforeAutospacing="1" w:after="100" w:afterAutospacing="1"/>
      <w:jc w:val="center"/>
    </w:pPr>
    <w:rPr>
      <w:sz w:val="24"/>
      <w:szCs w:val="24"/>
      <w:lang w:eastAsia="zh-CN"/>
    </w:rPr>
  </w:style>
  <w:style w:type="paragraph" w:customStyle="1" w:styleId="xl217">
    <w:name w:val="xl217"/>
    <w:basedOn w:val="Normal"/>
    <w:rsid w:val="00282EB1"/>
    <w:pPr>
      <w:pBdr>
        <w:left w:val="single" w:sz="4" w:space="0" w:color="auto"/>
        <w:right w:val="double" w:sz="6" w:space="0" w:color="auto"/>
      </w:pBdr>
      <w:spacing w:before="100" w:beforeAutospacing="1" w:after="100" w:afterAutospacing="1"/>
      <w:jc w:val="center"/>
    </w:pPr>
    <w:rPr>
      <w:sz w:val="24"/>
      <w:szCs w:val="24"/>
      <w:lang w:eastAsia="zh-CN"/>
    </w:rPr>
  </w:style>
  <w:style w:type="paragraph" w:customStyle="1" w:styleId="xl218">
    <w:name w:val="xl218"/>
    <w:basedOn w:val="Normal"/>
    <w:rsid w:val="00282EB1"/>
    <w:pPr>
      <w:pBdr>
        <w:top w:val="single" w:sz="4" w:space="0" w:color="auto"/>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219">
    <w:name w:val="xl219"/>
    <w:basedOn w:val="Normal"/>
    <w:rsid w:val="00282EB1"/>
    <w:pPr>
      <w:pBdr>
        <w:right w:val="double" w:sz="6" w:space="0" w:color="auto"/>
      </w:pBdr>
      <w:spacing w:before="100" w:beforeAutospacing="1" w:after="100" w:afterAutospacing="1"/>
      <w:jc w:val="center"/>
      <w:textAlignment w:val="center"/>
    </w:pPr>
    <w:rPr>
      <w:sz w:val="24"/>
      <w:szCs w:val="24"/>
      <w:lang w:eastAsia="zh-CN"/>
    </w:rPr>
  </w:style>
  <w:style w:type="paragraph" w:customStyle="1" w:styleId="xl220">
    <w:name w:val="xl220"/>
    <w:basedOn w:val="Normal"/>
    <w:rsid w:val="00282EB1"/>
    <w:pPr>
      <w:pBdr>
        <w:bottom w:val="single" w:sz="4" w:space="0" w:color="auto"/>
        <w:right w:val="double" w:sz="6" w:space="0" w:color="auto"/>
      </w:pBdr>
      <w:spacing w:before="100" w:beforeAutospacing="1" w:after="100" w:afterAutospacing="1"/>
      <w:jc w:val="center"/>
      <w:textAlignment w:val="center"/>
    </w:pPr>
    <w:rPr>
      <w:sz w:val="24"/>
      <w:szCs w:val="24"/>
      <w:lang w:eastAsia="zh-CN"/>
    </w:rPr>
  </w:style>
  <w:style w:type="paragraph" w:customStyle="1" w:styleId="xl221">
    <w:name w:val="xl221"/>
    <w:basedOn w:val="Normal"/>
    <w:rsid w:val="00282EB1"/>
    <w:pPr>
      <w:pBdr>
        <w:left w:val="double" w:sz="6"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xl222">
    <w:name w:val="xl222"/>
    <w:basedOn w:val="Normal"/>
    <w:rsid w:val="00282EB1"/>
    <w:pPr>
      <w:pBdr>
        <w:left w:val="single" w:sz="4"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xl223">
    <w:name w:val="xl223"/>
    <w:basedOn w:val="Normal"/>
    <w:rsid w:val="00282EB1"/>
    <w:pPr>
      <w:pBdr>
        <w:left w:val="single" w:sz="4" w:space="0" w:color="auto"/>
        <w:righ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24">
    <w:name w:val="xl224"/>
    <w:basedOn w:val="Normal"/>
    <w:rsid w:val="00282EB1"/>
    <w:pPr>
      <w:pBdr>
        <w:left w:val="double" w:sz="6" w:space="0" w:color="auto"/>
        <w:righ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25">
    <w:name w:val="xl225"/>
    <w:basedOn w:val="Normal"/>
    <w:rsid w:val="00282EB1"/>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eastAsia="zh-CN"/>
    </w:rPr>
  </w:style>
  <w:style w:type="paragraph" w:customStyle="1" w:styleId="xl226">
    <w:name w:val="xl226"/>
    <w:basedOn w:val="Normal"/>
    <w:rsid w:val="00282EB1"/>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paragraph" w:customStyle="1" w:styleId="xl227">
    <w:name w:val="xl227"/>
    <w:basedOn w:val="Normal"/>
    <w:rsid w:val="00282EB1"/>
    <w:pPr>
      <w:pBdr>
        <w:top w:val="double" w:sz="6" w:space="0" w:color="auto"/>
      </w:pBdr>
      <w:spacing w:before="100" w:beforeAutospacing="1" w:after="100" w:afterAutospacing="1"/>
      <w:jc w:val="left"/>
    </w:pPr>
    <w:rPr>
      <w:sz w:val="24"/>
      <w:szCs w:val="24"/>
      <w:lang w:eastAsia="zh-CN"/>
    </w:rPr>
  </w:style>
  <w:style w:type="paragraph" w:customStyle="1" w:styleId="xl228">
    <w:name w:val="xl228"/>
    <w:basedOn w:val="Normal"/>
    <w:rsid w:val="00282EB1"/>
    <w:pPr>
      <w:spacing w:before="100" w:beforeAutospacing="1" w:after="100" w:afterAutospacing="1"/>
      <w:jc w:val="left"/>
    </w:pPr>
    <w:rPr>
      <w:sz w:val="24"/>
      <w:szCs w:val="24"/>
      <w:lang w:eastAsia="zh-CN"/>
    </w:rPr>
  </w:style>
  <w:style w:type="paragraph" w:customStyle="1" w:styleId="xl229">
    <w:name w:val="xl229"/>
    <w:basedOn w:val="Normal"/>
    <w:rsid w:val="00282EB1"/>
    <w:pPr>
      <w:pBdr>
        <w:lef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30">
    <w:name w:val="xl230"/>
    <w:basedOn w:val="Normal"/>
    <w:rsid w:val="00282EB1"/>
    <w:pPr>
      <w:pBdr>
        <w:righ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31">
    <w:name w:val="xl231"/>
    <w:basedOn w:val="Normal"/>
    <w:rsid w:val="00282EB1"/>
    <w:pPr>
      <w:pBdr>
        <w:left w:val="single" w:sz="4" w:space="0" w:color="auto"/>
        <w:bottom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32">
    <w:name w:val="xl232"/>
    <w:basedOn w:val="Normal"/>
    <w:rsid w:val="00282EB1"/>
    <w:pPr>
      <w:pBdr>
        <w:bottom w:val="single" w:sz="4" w:space="0" w:color="auto"/>
        <w:righ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33">
    <w:name w:val="xl233"/>
    <w:basedOn w:val="Normal"/>
    <w:rsid w:val="00282EB1"/>
    <w:pPr>
      <w:pBdr>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234">
    <w:name w:val="xl234"/>
    <w:basedOn w:val="Normal"/>
    <w:rsid w:val="00282EB1"/>
    <w:pPr>
      <w:pBdr>
        <w:right w:val="double" w:sz="6" w:space="0" w:color="auto"/>
      </w:pBdr>
      <w:spacing w:before="100" w:beforeAutospacing="1" w:after="100" w:afterAutospacing="1"/>
      <w:jc w:val="center"/>
      <w:textAlignment w:val="center"/>
    </w:pPr>
    <w:rPr>
      <w:color w:val="FF0000"/>
      <w:sz w:val="24"/>
      <w:szCs w:val="24"/>
      <w:lang w:eastAsia="zh-CN"/>
    </w:rPr>
  </w:style>
  <w:style w:type="paragraph" w:customStyle="1" w:styleId="xl235">
    <w:name w:val="xl235"/>
    <w:basedOn w:val="Normal"/>
    <w:rsid w:val="00282EB1"/>
    <w:pPr>
      <w:pBdr>
        <w:bottom w:val="single" w:sz="4" w:space="0" w:color="auto"/>
        <w:right w:val="double" w:sz="6" w:space="0" w:color="auto"/>
      </w:pBdr>
      <w:spacing w:before="100" w:beforeAutospacing="1" w:after="100" w:afterAutospacing="1"/>
      <w:jc w:val="center"/>
      <w:textAlignment w:val="center"/>
    </w:pPr>
    <w:rPr>
      <w:color w:val="FF0000"/>
      <w:sz w:val="24"/>
      <w:szCs w:val="24"/>
      <w:lang w:eastAsia="zh-CN"/>
    </w:rPr>
  </w:style>
  <w:style w:type="paragraph" w:customStyle="1" w:styleId="xl236">
    <w:name w:val="xl236"/>
    <w:basedOn w:val="Normal"/>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237">
    <w:name w:val="xl237"/>
    <w:basedOn w:val="Normal"/>
    <w:rsid w:val="00282EB1"/>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238">
    <w:name w:val="xl238"/>
    <w:basedOn w:val="Normal"/>
    <w:rsid w:val="00282EB1"/>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eastAsia="zh-CN"/>
    </w:rPr>
  </w:style>
  <w:style w:type="paragraph" w:customStyle="1" w:styleId="xl239">
    <w:name w:val="xl239"/>
    <w:basedOn w:val="Normal"/>
    <w:rsid w:val="00282EB1"/>
    <w:pPr>
      <w:pBdr>
        <w:left w:val="single" w:sz="4" w:space="0" w:color="auto"/>
        <w:right w:val="double" w:sz="6" w:space="0" w:color="auto"/>
      </w:pBdr>
      <w:spacing w:before="100" w:beforeAutospacing="1" w:after="100" w:afterAutospacing="1"/>
      <w:jc w:val="center"/>
    </w:pPr>
    <w:rPr>
      <w:color w:val="FF0000"/>
      <w:sz w:val="24"/>
      <w:szCs w:val="24"/>
      <w:lang w:eastAsia="zh-CN"/>
    </w:rPr>
  </w:style>
  <w:style w:type="paragraph" w:customStyle="1" w:styleId="xl240">
    <w:name w:val="xl240"/>
    <w:basedOn w:val="Normal"/>
    <w:rsid w:val="00282EB1"/>
    <w:pPr>
      <w:pBdr>
        <w:top w:val="double" w:sz="6" w:space="0" w:color="auto"/>
      </w:pBdr>
      <w:spacing w:before="100" w:beforeAutospacing="1" w:after="100" w:afterAutospacing="1"/>
      <w:jc w:val="left"/>
    </w:pPr>
    <w:rPr>
      <w:color w:val="FF0000"/>
      <w:sz w:val="24"/>
      <w:szCs w:val="24"/>
      <w:lang w:eastAsia="zh-CN"/>
    </w:rPr>
  </w:style>
  <w:style w:type="paragraph" w:customStyle="1" w:styleId="xl241">
    <w:name w:val="xl241"/>
    <w:basedOn w:val="Normal"/>
    <w:rsid w:val="00282EB1"/>
    <w:pPr>
      <w:spacing w:before="100" w:beforeAutospacing="1" w:after="100" w:afterAutospacing="1"/>
      <w:jc w:val="left"/>
    </w:pPr>
    <w:rPr>
      <w:color w:val="FF0000"/>
      <w:sz w:val="24"/>
      <w:szCs w:val="24"/>
      <w:lang w:eastAsia="zh-CN"/>
    </w:rPr>
  </w:style>
  <w:style w:type="paragraph" w:customStyle="1" w:styleId="xl242">
    <w:name w:val="xl242"/>
    <w:basedOn w:val="Normal"/>
    <w:rsid w:val="00282EB1"/>
    <w:pPr>
      <w:pBdr>
        <w:top w:val="single" w:sz="4" w:space="0" w:color="auto"/>
        <w:left w:val="single" w:sz="4" w:space="0" w:color="auto"/>
      </w:pBdr>
      <w:spacing w:before="100" w:beforeAutospacing="1" w:after="100" w:afterAutospacing="1"/>
      <w:jc w:val="left"/>
    </w:pPr>
    <w:rPr>
      <w:sz w:val="24"/>
      <w:szCs w:val="24"/>
      <w:lang w:eastAsia="zh-CN"/>
    </w:rPr>
  </w:style>
  <w:style w:type="paragraph" w:customStyle="1" w:styleId="xl243">
    <w:name w:val="xl243"/>
    <w:basedOn w:val="Normal"/>
    <w:rsid w:val="00282EB1"/>
    <w:pPr>
      <w:pBdr>
        <w:top w:val="single" w:sz="4" w:space="0" w:color="auto"/>
        <w:right w:val="double" w:sz="6" w:space="0" w:color="auto"/>
      </w:pBdr>
      <w:spacing w:before="100" w:beforeAutospacing="1" w:after="100" w:afterAutospacing="1"/>
      <w:jc w:val="left"/>
    </w:pPr>
    <w:rPr>
      <w:sz w:val="24"/>
      <w:szCs w:val="24"/>
      <w:lang w:eastAsia="zh-CN"/>
    </w:rPr>
  </w:style>
  <w:style w:type="paragraph" w:customStyle="1" w:styleId="xl244">
    <w:name w:val="xl244"/>
    <w:basedOn w:val="Normal"/>
    <w:rsid w:val="00282EB1"/>
    <w:pPr>
      <w:pBdr>
        <w:left w:val="single" w:sz="4" w:space="0" w:color="auto"/>
      </w:pBdr>
      <w:spacing w:before="100" w:beforeAutospacing="1" w:after="100" w:afterAutospacing="1"/>
      <w:jc w:val="left"/>
    </w:pPr>
    <w:rPr>
      <w:sz w:val="24"/>
      <w:szCs w:val="24"/>
      <w:lang w:eastAsia="zh-CN"/>
    </w:rPr>
  </w:style>
  <w:style w:type="paragraph" w:customStyle="1" w:styleId="xl245">
    <w:name w:val="xl245"/>
    <w:basedOn w:val="Normal"/>
    <w:rsid w:val="00282EB1"/>
    <w:pPr>
      <w:pBdr>
        <w:right w:val="double" w:sz="6" w:space="0" w:color="auto"/>
      </w:pBdr>
      <w:spacing w:before="100" w:beforeAutospacing="1" w:after="100" w:afterAutospacing="1"/>
      <w:jc w:val="left"/>
    </w:pPr>
    <w:rPr>
      <w:sz w:val="24"/>
      <w:szCs w:val="24"/>
      <w:lang w:eastAsia="zh-CN"/>
    </w:rPr>
  </w:style>
  <w:style w:type="paragraph" w:customStyle="1" w:styleId="xl246">
    <w:name w:val="xl246"/>
    <w:basedOn w:val="Normal"/>
    <w:rsid w:val="00282EB1"/>
    <w:pPr>
      <w:pBdr>
        <w:left w:val="single" w:sz="4" w:space="0" w:color="auto"/>
        <w:bottom w:val="single" w:sz="4" w:space="0" w:color="auto"/>
      </w:pBdr>
      <w:spacing w:before="100" w:beforeAutospacing="1" w:after="100" w:afterAutospacing="1"/>
      <w:jc w:val="left"/>
    </w:pPr>
    <w:rPr>
      <w:sz w:val="24"/>
      <w:szCs w:val="24"/>
      <w:lang w:eastAsia="zh-CN"/>
    </w:rPr>
  </w:style>
  <w:style w:type="paragraph" w:customStyle="1" w:styleId="xl247">
    <w:name w:val="xl247"/>
    <w:basedOn w:val="Normal"/>
    <w:rsid w:val="00282EB1"/>
    <w:pPr>
      <w:pBdr>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248">
    <w:name w:val="xl248"/>
    <w:basedOn w:val="Normal"/>
    <w:rsid w:val="00282EB1"/>
    <w:pPr>
      <w:pBdr>
        <w:left w:val="double" w:sz="6"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xl249">
    <w:name w:val="xl249"/>
    <w:basedOn w:val="Normal"/>
    <w:rsid w:val="00282EB1"/>
    <w:pPr>
      <w:pBdr>
        <w:left w:val="single" w:sz="4"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font13">
    <w:name w:val="font13"/>
    <w:basedOn w:val="Normal"/>
    <w:rsid w:val="00282EB1"/>
    <w:pPr>
      <w:spacing w:before="100" w:beforeAutospacing="1" w:after="100" w:afterAutospacing="1"/>
      <w:jc w:val="left"/>
    </w:pPr>
    <w:rPr>
      <w:rFonts w:ascii="Arial" w:hAnsi="Arial" w:cs="Arial"/>
      <w:color w:val="FF0000"/>
      <w:sz w:val="20"/>
      <w:szCs w:val="20"/>
      <w:lang w:eastAsia="zh-CN"/>
    </w:rPr>
  </w:style>
  <w:style w:type="paragraph" w:customStyle="1" w:styleId="font14">
    <w:name w:val="font14"/>
    <w:basedOn w:val="Normal"/>
    <w:rsid w:val="00282EB1"/>
    <w:pPr>
      <w:spacing w:before="100" w:beforeAutospacing="1" w:after="100" w:afterAutospacing="1"/>
      <w:jc w:val="left"/>
    </w:pPr>
    <w:rPr>
      <w:rFonts w:ascii="Arial" w:hAnsi="Arial" w:cs="Arial"/>
      <w:b/>
      <w:bCs/>
      <w:color w:val="FF0000"/>
      <w:sz w:val="18"/>
      <w:szCs w:val="18"/>
      <w:lang w:eastAsia="zh-CN"/>
    </w:rPr>
  </w:style>
  <w:style w:type="character" w:customStyle="1" w:styleId="BodyText3Char">
    <w:name w:val="Body Text 3 Char"/>
    <w:basedOn w:val="DefaultParagraphFont"/>
    <w:link w:val="BodyText3"/>
    <w:semiHidden/>
    <w:rsid w:val="00282EB1"/>
    <w:rPr>
      <w:sz w:val="16"/>
      <w:szCs w:val="16"/>
      <w:lang w:val="fr-FR"/>
    </w:rPr>
  </w:style>
  <w:style w:type="character" w:customStyle="1" w:styleId="BodyTextIndent3Char">
    <w:name w:val="Body Text Indent 3 Char"/>
    <w:basedOn w:val="DefaultParagraphFont"/>
    <w:link w:val="BodyTextIndent3"/>
    <w:semiHidden/>
    <w:rsid w:val="00282EB1"/>
    <w:rPr>
      <w:sz w:val="16"/>
      <w:szCs w:val="16"/>
      <w:lang w:val="fr-FR"/>
    </w:rPr>
  </w:style>
  <w:style w:type="character" w:customStyle="1" w:styleId="PlainTextChar">
    <w:name w:val="Plain Text Char"/>
    <w:basedOn w:val="DefaultParagraphFont"/>
    <w:link w:val="PlainText"/>
    <w:semiHidden/>
    <w:rsid w:val="00282EB1"/>
    <w:rPr>
      <w:rFonts w:ascii="Courier New" w:hAnsi="Courier New" w:cs="Courier New"/>
      <w:szCs w:val="22"/>
      <w:lang w:val="fr-FR"/>
    </w:rPr>
  </w:style>
  <w:style w:type="character" w:customStyle="1" w:styleId="SubtitleChar">
    <w:name w:val="Subtitle Char"/>
    <w:basedOn w:val="DefaultParagraphFont"/>
    <w:link w:val="Subtitle"/>
    <w:rsid w:val="00282EB1"/>
    <w:rPr>
      <w:rFonts w:ascii="Arial" w:hAnsi="Arial" w:cs="Arial"/>
      <w:sz w:val="22"/>
      <w:szCs w:val="22"/>
      <w:lang w:val="fr-FR"/>
    </w:rPr>
  </w:style>
  <w:style w:type="character" w:customStyle="1" w:styleId="TitleChar">
    <w:name w:val="Title Char"/>
    <w:basedOn w:val="DefaultParagraphFont"/>
    <w:link w:val="Title"/>
    <w:rsid w:val="00282EB1"/>
    <w:rPr>
      <w:rFonts w:ascii="Arial" w:hAnsi="Arial" w:cs="Arial"/>
      <w:b/>
      <w:bCs/>
      <w:kern w:val="28"/>
      <w:sz w:val="22"/>
      <w:szCs w:val="22"/>
      <w:lang w:val="fr-FR"/>
    </w:rPr>
  </w:style>
  <w:style w:type="character" w:customStyle="1" w:styleId="DateChar">
    <w:name w:val="Date Char"/>
    <w:basedOn w:val="DefaultParagraphFont"/>
    <w:link w:val="Date"/>
    <w:rsid w:val="00282EB1"/>
    <w:rPr>
      <w:sz w:val="22"/>
      <w:szCs w:val="22"/>
      <w:lang w:val="fr-FR"/>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82EB1"/>
    <w:rPr>
      <w:sz w:val="22"/>
      <w:szCs w:val="22"/>
      <w:lang w:val="fr-FR"/>
    </w:rPr>
  </w:style>
  <w:style w:type="paragraph" w:customStyle="1" w:styleId="Default">
    <w:name w:val="Default"/>
    <w:rsid w:val="00282EB1"/>
    <w:pPr>
      <w:widowControl w:val="0"/>
      <w:autoSpaceDE w:val="0"/>
      <w:autoSpaceDN w:val="0"/>
      <w:adjustRightInd w:val="0"/>
    </w:pPr>
    <w:rPr>
      <w:color w:val="000000"/>
      <w:sz w:val="24"/>
      <w:szCs w:val="24"/>
    </w:rPr>
  </w:style>
  <w:style w:type="paragraph" w:customStyle="1" w:styleId="CM30">
    <w:name w:val="CM30"/>
    <w:basedOn w:val="Default"/>
    <w:next w:val="Default"/>
    <w:rsid w:val="00282EB1"/>
    <w:pPr>
      <w:spacing w:after="320"/>
    </w:pPr>
    <w:rPr>
      <w:color w:val="auto"/>
    </w:rPr>
  </w:style>
  <w:style w:type="paragraph" w:customStyle="1" w:styleId="CM33">
    <w:name w:val="CM33"/>
    <w:basedOn w:val="Default"/>
    <w:next w:val="Default"/>
    <w:rsid w:val="00282EB1"/>
    <w:pPr>
      <w:spacing w:after="435"/>
    </w:pPr>
    <w:rPr>
      <w:color w:val="auto"/>
    </w:rPr>
  </w:style>
  <w:style w:type="paragraph" w:customStyle="1" w:styleId="Anxhead">
    <w:name w:val="Anx head"/>
    <w:basedOn w:val="Normal"/>
    <w:link w:val="AnxheadChar"/>
    <w:rsid w:val="00282EB1"/>
    <w:pPr>
      <w:jc w:val="left"/>
    </w:pPr>
    <w:rPr>
      <w:b/>
      <w:bCs/>
      <w:sz w:val="28"/>
    </w:rPr>
  </w:style>
  <w:style w:type="character" w:customStyle="1" w:styleId="AnxheadChar">
    <w:name w:val="Anx head Char"/>
    <w:link w:val="Anxhead"/>
    <w:rsid w:val="00282EB1"/>
    <w:rPr>
      <w:b/>
      <w:bCs/>
      <w:sz w:val="28"/>
      <w:szCs w:val="22"/>
      <w:lang w:val="fr-FR"/>
    </w:rPr>
  </w:style>
  <w:style w:type="paragraph" w:styleId="ListBullet5">
    <w:name w:val="List Bullet 5"/>
    <w:basedOn w:val="Normal"/>
    <w:autoRedefine/>
    <w:semiHidden/>
    <w:rsid w:val="00282EB1"/>
    <w:pPr>
      <w:tabs>
        <w:tab w:val="num" w:pos="1800"/>
      </w:tabs>
      <w:ind w:left="1800" w:hanging="360"/>
    </w:pPr>
  </w:style>
  <w:style w:type="paragraph" w:customStyle="1" w:styleId="Subtitle0">
    <w:name w:val="Sub title"/>
    <w:basedOn w:val="Heading2"/>
    <w:rsid w:val="00282EB1"/>
    <w:pPr>
      <w:keepNext/>
      <w:widowControl/>
      <w:numPr>
        <w:ilvl w:val="0"/>
        <w:numId w:val="0"/>
      </w:numPr>
      <w:tabs>
        <w:tab w:val="num" w:pos="0"/>
      </w:tabs>
      <w:spacing w:before="240" w:after="60"/>
    </w:pPr>
    <w:rPr>
      <w:rFonts w:ascii="Arial" w:hAnsi="Arial" w:cs="Arial"/>
      <w:b/>
      <w:bCs/>
      <w:i/>
      <w:iCs/>
      <w:sz w:val="28"/>
      <w:szCs w:val="28"/>
    </w:rPr>
  </w:style>
  <w:style w:type="numbering" w:customStyle="1" w:styleId="CurrentList1">
    <w:name w:val="Current List1"/>
    <w:rsid w:val="00282EB1"/>
    <w:pPr>
      <w:numPr>
        <w:numId w:val="13"/>
      </w:numPr>
    </w:pPr>
  </w:style>
  <w:style w:type="paragraph" w:customStyle="1" w:styleId="Title2">
    <w:name w:val="Title2"/>
    <w:rsid w:val="00282EB1"/>
    <w:pPr>
      <w:jc w:val="center"/>
      <w:outlineLvl w:val="0"/>
    </w:pPr>
    <w:rPr>
      <w:b/>
      <w:caps/>
      <w:sz w:val="22"/>
      <w:szCs w:val="22"/>
    </w:rPr>
  </w:style>
  <w:style w:type="paragraph" w:styleId="BodyText">
    <w:name w:val="Body Text"/>
    <w:basedOn w:val="Normal"/>
    <w:link w:val="BodyTextChar"/>
    <w:semiHidden/>
    <w:rsid w:val="00282EB1"/>
    <w:pPr>
      <w:spacing w:after="120"/>
    </w:pPr>
  </w:style>
  <w:style w:type="character" w:customStyle="1" w:styleId="BodyTextChar">
    <w:name w:val="Body Text Char"/>
    <w:basedOn w:val="DefaultParagraphFont"/>
    <w:link w:val="BodyText"/>
    <w:semiHidden/>
    <w:rsid w:val="00282EB1"/>
    <w:rPr>
      <w:sz w:val="22"/>
      <w:szCs w:val="22"/>
      <w:lang w:val="fr-FR"/>
    </w:rPr>
  </w:style>
  <w:style w:type="paragraph" w:styleId="BodyText2">
    <w:name w:val="Body Text 2"/>
    <w:basedOn w:val="Normal"/>
    <w:link w:val="BodyText2Char"/>
    <w:semiHidden/>
    <w:rsid w:val="00282EB1"/>
    <w:pPr>
      <w:spacing w:after="120" w:line="480" w:lineRule="auto"/>
    </w:pPr>
  </w:style>
  <w:style w:type="character" w:customStyle="1" w:styleId="BodyText2Char">
    <w:name w:val="Body Text 2 Char"/>
    <w:basedOn w:val="DefaultParagraphFont"/>
    <w:link w:val="BodyText2"/>
    <w:semiHidden/>
    <w:rsid w:val="00282EB1"/>
    <w:rPr>
      <w:sz w:val="22"/>
      <w:szCs w:val="22"/>
      <w:lang w:val="fr-FR"/>
    </w:rPr>
  </w:style>
  <w:style w:type="paragraph" w:styleId="BodyTextFirstIndent">
    <w:name w:val="Body Text First Indent"/>
    <w:basedOn w:val="BodyText"/>
    <w:link w:val="BodyTextFirstIndentChar"/>
    <w:rsid w:val="00282EB1"/>
    <w:pPr>
      <w:ind w:firstLine="210"/>
    </w:pPr>
  </w:style>
  <w:style w:type="character" w:customStyle="1" w:styleId="BodyTextFirstIndentChar">
    <w:name w:val="Body Text First Indent Char"/>
    <w:basedOn w:val="BodyTextChar"/>
    <w:link w:val="BodyTextFirstIndent"/>
    <w:rsid w:val="00282EB1"/>
    <w:rPr>
      <w:sz w:val="22"/>
      <w:szCs w:val="22"/>
      <w:lang w:val="fr-FR"/>
    </w:rPr>
  </w:style>
  <w:style w:type="paragraph" w:styleId="BodyTextIndent">
    <w:name w:val="Body Text Indent"/>
    <w:basedOn w:val="Normal"/>
    <w:link w:val="BodyTextIndentChar"/>
    <w:semiHidden/>
    <w:rsid w:val="00282EB1"/>
    <w:pPr>
      <w:spacing w:after="120"/>
      <w:ind w:left="360"/>
    </w:pPr>
  </w:style>
  <w:style w:type="character" w:customStyle="1" w:styleId="BodyTextIndentChar">
    <w:name w:val="Body Text Indent Char"/>
    <w:basedOn w:val="DefaultParagraphFont"/>
    <w:link w:val="BodyTextIndent"/>
    <w:semiHidden/>
    <w:rsid w:val="00282EB1"/>
    <w:rPr>
      <w:sz w:val="22"/>
      <w:szCs w:val="22"/>
      <w:lang w:val="fr-FR"/>
    </w:rPr>
  </w:style>
  <w:style w:type="paragraph" w:styleId="BodyTextFirstIndent2">
    <w:name w:val="Body Text First Indent 2"/>
    <w:basedOn w:val="BodyTextIndent"/>
    <w:link w:val="BodyTextFirstIndent2Char"/>
    <w:semiHidden/>
    <w:rsid w:val="00282EB1"/>
    <w:pPr>
      <w:ind w:firstLine="210"/>
    </w:pPr>
  </w:style>
  <w:style w:type="character" w:customStyle="1" w:styleId="BodyTextFirstIndent2Char">
    <w:name w:val="Body Text First Indent 2 Char"/>
    <w:basedOn w:val="BodyTextIndentChar"/>
    <w:link w:val="BodyTextFirstIndent2"/>
    <w:semiHidden/>
    <w:rsid w:val="00282EB1"/>
    <w:rPr>
      <w:sz w:val="22"/>
      <w:szCs w:val="22"/>
      <w:lang w:val="fr-FR"/>
    </w:rPr>
  </w:style>
  <w:style w:type="paragraph" w:styleId="BodyTextIndent2">
    <w:name w:val="Body Text Indent 2"/>
    <w:basedOn w:val="Normal"/>
    <w:link w:val="BodyTextIndent2Char"/>
    <w:semiHidden/>
    <w:rsid w:val="00282EB1"/>
    <w:pPr>
      <w:spacing w:after="120" w:line="480" w:lineRule="auto"/>
      <w:ind w:left="360"/>
    </w:pPr>
  </w:style>
  <w:style w:type="character" w:customStyle="1" w:styleId="BodyTextIndent2Char">
    <w:name w:val="Body Text Indent 2 Char"/>
    <w:basedOn w:val="DefaultParagraphFont"/>
    <w:link w:val="BodyTextIndent2"/>
    <w:semiHidden/>
    <w:rsid w:val="00282EB1"/>
    <w:rPr>
      <w:sz w:val="22"/>
      <w:szCs w:val="22"/>
      <w:lang w:val="fr-FR"/>
    </w:rPr>
  </w:style>
  <w:style w:type="paragraph" w:styleId="Closing">
    <w:name w:val="Closing"/>
    <w:basedOn w:val="Normal"/>
    <w:link w:val="ClosingChar"/>
    <w:semiHidden/>
    <w:rsid w:val="00282EB1"/>
    <w:pPr>
      <w:ind w:left="4320"/>
    </w:pPr>
  </w:style>
  <w:style w:type="character" w:customStyle="1" w:styleId="ClosingChar">
    <w:name w:val="Closing Char"/>
    <w:basedOn w:val="DefaultParagraphFont"/>
    <w:link w:val="Closing"/>
    <w:semiHidden/>
    <w:rsid w:val="00282EB1"/>
    <w:rPr>
      <w:sz w:val="22"/>
      <w:szCs w:val="22"/>
      <w:lang w:val="fr-FR"/>
    </w:rPr>
  </w:style>
  <w:style w:type="paragraph" w:styleId="E-mailSignature">
    <w:name w:val="E-mail Signature"/>
    <w:basedOn w:val="Normal"/>
    <w:link w:val="E-mailSignatureChar"/>
    <w:semiHidden/>
    <w:rsid w:val="00282EB1"/>
  </w:style>
  <w:style w:type="character" w:customStyle="1" w:styleId="E-mailSignatureChar">
    <w:name w:val="E-mail Signature Char"/>
    <w:basedOn w:val="DefaultParagraphFont"/>
    <w:link w:val="E-mailSignature"/>
    <w:semiHidden/>
    <w:rsid w:val="00282EB1"/>
    <w:rPr>
      <w:sz w:val="22"/>
      <w:szCs w:val="22"/>
      <w:lang w:val="fr-FR"/>
    </w:rPr>
  </w:style>
  <w:style w:type="paragraph" w:styleId="EnvelopeAddress">
    <w:name w:val="envelope address"/>
    <w:basedOn w:val="Normal"/>
    <w:semiHidden/>
    <w:rsid w:val="00282EB1"/>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282EB1"/>
    <w:rPr>
      <w:rFonts w:ascii="Arial" w:hAnsi="Arial" w:cs="Arial"/>
      <w:sz w:val="20"/>
    </w:rPr>
  </w:style>
  <w:style w:type="character" w:styleId="HTMLAcronym">
    <w:name w:val="HTML Acronym"/>
    <w:basedOn w:val="DefaultParagraphFont"/>
    <w:semiHidden/>
    <w:rsid w:val="00282EB1"/>
  </w:style>
  <w:style w:type="paragraph" w:styleId="HTMLAddress">
    <w:name w:val="HTML Address"/>
    <w:basedOn w:val="Normal"/>
    <w:link w:val="HTMLAddressChar"/>
    <w:semiHidden/>
    <w:rsid w:val="00282EB1"/>
    <w:rPr>
      <w:i/>
      <w:iCs/>
    </w:rPr>
  </w:style>
  <w:style w:type="character" w:customStyle="1" w:styleId="HTMLAddressChar">
    <w:name w:val="HTML Address Char"/>
    <w:basedOn w:val="DefaultParagraphFont"/>
    <w:link w:val="HTMLAddress"/>
    <w:semiHidden/>
    <w:rsid w:val="00282EB1"/>
    <w:rPr>
      <w:i/>
      <w:iCs/>
      <w:sz w:val="22"/>
      <w:szCs w:val="22"/>
      <w:lang w:val="fr-FR"/>
    </w:rPr>
  </w:style>
  <w:style w:type="character" w:styleId="HTMLCite">
    <w:name w:val="HTML Cite"/>
    <w:semiHidden/>
    <w:rsid w:val="00282EB1"/>
    <w:rPr>
      <w:i/>
      <w:iCs/>
    </w:rPr>
  </w:style>
  <w:style w:type="character" w:styleId="HTMLCode">
    <w:name w:val="HTML Code"/>
    <w:semiHidden/>
    <w:rsid w:val="00282EB1"/>
    <w:rPr>
      <w:rFonts w:ascii="Courier New" w:hAnsi="Courier New" w:cs="Courier New"/>
      <w:sz w:val="20"/>
      <w:szCs w:val="20"/>
    </w:rPr>
  </w:style>
  <w:style w:type="character" w:styleId="HTMLDefinition">
    <w:name w:val="HTML Definition"/>
    <w:semiHidden/>
    <w:rsid w:val="00282EB1"/>
    <w:rPr>
      <w:i/>
      <w:iCs/>
    </w:rPr>
  </w:style>
  <w:style w:type="character" w:styleId="HTMLKeyboard">
    <w:name w:val="HTML Keyboard"/>
    <w:semiHidden/>
    <w:rsid w:val="00282EB1"/>
    <w:rPr>
      <w:rFonts w:ascii="Courier New" w:hAnsi="Courier New" w:cs="Courier New"/>
      <w:sz w:val="20"/>
      <w:szCs w:val="20"/>
    </w:rPr>
  </w:style>
  <w:style w:type="paragraph" w:styleId="HTMLPreformatted">
    <w:name w:val="HTML Preformatted"/>
    <w:basedOn w:val="Normal"/>
    <w:link w:val="HTMLPreformattedChar"/>
    <w:semiHidden/>
    <w:rsid w:val="00282EB1"/>
    <w:rPr>
      <w:rFonts w:ascii="Courier New" w:hAnsi="Courier New" w:cs="Courier New"/>
      <w:sz w:val="20"/>
    </w:rPr>
  </w:style>
  <w:style w:type="character" w:customStyle="1" w:styleId="HTMLPreformattedChar">
    <w:name w:val="HTML Preformatted Char"/>
    <w:basedOn w:val="DefaultParagraphFont"/>
    <w:link w:val="HTMLPreformatted"/>
    <w:semiHidden/>
    <w:rsid w:val="00282EB1"/>
    <w:rPr>
      <w:rFonts w:ascii="Courier New" w:hAnsi="Courier New" w:cs="Courier New"/>
      <w:szCs w:val="22"/>
      <w:lang w:val="fr-FR"/>
    </w:rPr>
  </w:style>
  <w:style w:type="character" w:styleId="HTMLSample">
    <w:name w:val="HTML Sample"/>
    <w:semiHidden/>
    <w:rsid w:val="00282EB1"/>
    <w:rPr>
      <w:rFonts w:ascii="Courier New" w:hAnsi="Courier New" w:cs="Courier New"/>
    </w:rPr>
  </w:style>
  <w:style w:type="character" w:styleId="HTMLTypewriter">
    <w:name w:val="HTML Typewriter"/>
    <w:semiHidden/>
    <w:rsid w:val="00282EB1"/>
    <w:rPr>
      <w:rFonts w:ascii="Courier New" w:hAnsi="Courier New" w:cs="Courier New"/>
      <w:sz w:val="20"/>
      <w:szCs w:val="20"/>
    </w:rPr>
  </w:style>
  <w:style w:type="character" w:styleId="HTMLVariable">
    <w:name w:val="HTML Variable"/>
    <w:semiHidden/>
    <w:rsid w:val="00282EB1"/>
    <w:rPr>
      <w:i/>
      <w:iCs/>
    </w:rPr>
  </w:style>
  <w:style w:type="character" w:styleId="LineNumber">
    <w:name w:val="line number"/>
    <w:basedOn w:val="DefaultParagraphFont"/>
    <w:semiHidden/>
    <w:rsid w:val="00282EB1"/>
  </w:style>
  <w:style w:type="paragraph" w:styleId="List">
    <w:name w:val="List"/>
    <w:basedOn w:val="Normal"/>
    <w:semiHidden/>
    <w:rsid w:val="00282EB1"/>
    <w:pPr>
      <w:ind w:left="360" w:hanging="360"/>
    </w:pPr>
  </w:style>
  <w:style w:type="paragraph" w:styleId="List2">
    <w:name w:val="List 2"/>
    <w:basedOn w:val="Normal"/>
    <w:semiHidden/>
    <w:rsid w:val="00282EB1"/>
    <w:pPr>
      <w:ind w:left="720" w:hanging="360"/>
    </w:pPr>
  </w:style>
  <w:style w:type="paragraph" w:styleId="List3">
    <w:name w:val="List 3"/>
    <w:basedOn w:val="Normal"/>
    <w:semiHidden/>
    <w:rsid w:val="00282EB1"/>
    <w:pPr>
      <w:ind w:left="1080" w:hanging="360"/>
    </w:pPr>
  </w:style>
  <w:style w:type="paragraph" w:styleId="List4">
    <w:name w:val="List 4"/>
    <w:basedOn w:val="Normal"/>
    <w:rsid w:val="00282EB1"/>
    <w:pPr>
      <w:ind w:left="1440" w:hanging="360"/>
    </w:pPr>
  </w:style>
  <w:style w:type="paragraph" w:styleId="List5">
    <w:name w:val="List 5"/>
    <w:basedOn w:val="Normal"/>
    <w:rsid w:val="00282EB1"/>
    <w:pPr>
      <w:ind w:left="1800" w:hanging="360"/>
    </w:pPr>
  </w:style>
  <w:style w:type="paragraph" w:styleId="ListBullet">
    <w:name w:val="List Bullet"/>
    <w:basedOn w:val="Normal"/>
    <w:autoRedefine/>
    <w:semiHidden/>
    <w:rsid w:val="00282EB1"/>
    <w:pPr>
      <w:tabs>
        <w:tab w:val="num" w:pos="360"/>
      </w:tabs>
      <w:ind w:left="360" w:hanging="360"/>
    </w:pPr>
  </w:style>
  <w:style w:type="paragraph" w:styleId="ListBullet2">
    <w:name w:val="List Bullet 2"/>
    <w:basedOn w:val="Normal"/>
    <w:autoRedefine/>
    <w:semiHidden/>
    <w:rsid w:val="00282EB1"/>
    <w:pPr>
      <w:tabs>
        <w:tab w:val="num" w:pos="720"/>
      </w:tabs>
      <w:ind w:left="720" w:hanging="360"/>
    </w:pPr>
  </w:style>
  <w:style w:type="paragraph" w:styleId="ListBullet3">
    <w:name w:val="List Bullet 3"/>
    <w:basedOn w:val="Normal"/>
    <w:autoRedefine/>
    <w:semiHidden/>
    <w:rsid w:val="00282EB1"/>
    <w:pPr>
      <w:tabs>
        <w:tab w:val="num" w:pos="1080"/>
      </w:tabs>
      <w:ind w:left="1080" w:hanging="360"/>
    </w:pPr>
  </w:style>
  <w:style w:type="paragraph" w:styleId="ListBullet4">
    <w:name w:val="List Bullet 4"/>
    <w:basedOn w:val="Normal"/>
    <w:autoRedefine/>
    <w:semiHidden/>
    <w:rsid w:val="00282EB1"/>
    <w:pPr>
      <w:tabs>
        <w:tab w:val="num" w:pos="1440"/>
      </w:tabs>
      <w:ind w:left="1440" w:hanging="360"/>
    </w:pPr>
  </w:style>
  <w:style w:type="paragraph" w:styleId="ListContinue">
    <w:name w:val="List Continue"/>
    <w:basedOn w:val="Normal"/>
    <w:semiHidden/>
    <w:rsid w:val="00282EB1"/>
    <w:pPr>
      <w:spacing w:after="120"/>
      <w:ind w:left="360"/>
    </w:pPr>
  </w:style>
  <w:style w:type="paragraph" w:styleId="ListContinue2">
    <w:name w:val="List Continue 2"/>
    <w:basedOn w:val="Normal"/>
    <w:semiHidden/>
    <w:rsid w:val="00282EB1"/>
    <w:pPr>
      <w:spacing w:after="120"/>
      <w:ind w:left="720"/>
    </w:pPr>
  </w:style>
  <w:style w:type="paragraph" w:styleId="ListContinue3">
    <w:name w:val="List Continue 3"/>
    <w:basedOn w:val="Normal"/>
    <w:semiHidden/>
    <w:rsid w:val="00282EB1"/>
    <w:pPr>
      <w:spacing w:after="120"/>
      <w:ind w:left="1080"/>
    </w:pPr>
  </w:style>
  <w:style w:type="paragraph" w:styleId="ListContinue4">
    <w:name w:val="List Continue 4"/>
    <w:basedOn w:val="Normal"/>
    <w:semiHidden/>
    <w:rsid w:val="00282EB1"/>
    <w:pPr>
      <w:spacing w:after="120"/>
      <w:ind w:left="1440"/>
    </w:pPr>
  </w:style>
  <w:style w:type="paragraph" w:styleId="ListContinue5">
    <w:name w:val="List Continue 5"/>
    <w:basedOn w:val="Normal"/>
    <w:semiHidden/>
    <w:rsid w:val="00282EB1"/>
    <w:pPr>
      <w:spacing w:after="120"/>
      <w:ind w:left="1800"/>
    </w:pPr>
  </w:style>
  <w:style w:type="paragraph" w:styleId="ListNumber">
    <w:name w:val="List Number"/>
    <w:basedOn w:val="Normal"/>
    <w:rsid w:val="00282EB1"/>
    <w:pPr>
      <w:tabs>
        <w:tab w:val="num" w:pos="360"/>
      </w:tabs>
      <w:ind w:left="360" w:hanging="360"/>
    </w:pPr>
  </w:style>
  <w:style w:type="paragraph" w:styleId="ListNumber2">
    <w:name w:val="List Number 2"/>
    <w:basedOn w:val="Normal"/>
    <w:semiHidden/>
    <w:rsid w:val="00282EB1"/>
    <w:pPr>
      <w:tabs>
        <w:tab w:val="num" w:pos="720"/>
      </w:tabs>
      <w:ind w:left="720" w:hanging="360"/>
    </w:pPr>
  </w:style>
  <w:style w:type="paragraph" w:styleId="ListNumber3">
    <w:name w:val="List Number 3"/>
    <w:basedOn w:val="Normal"/>
    <w:semiHidden/>
    <w:rsid w:val="00282EB1"/>
    <w:pPr>
      <w:tabs>
        <w:tab w:val="num" w:pos="1080"/>
      </w:tabs>
      <w:ind w:left="1080" w:hanging="360"/>
    </w:pPr>
  </w:style>
  <w:style w:type="paragraph" w:styleId="ListNumber4">
    <w:name w:val="List Number 4"/>
    <w:basedOn w:val="Normal"/>
    <w:semiHidden/>
    <w:rsid w:val="00282EB1"/>
    <w:pPr>
      <w:tabs>
        <w:tab w:val="num" w:pos="1440"/>
      </w:tabs>
      <w:ind w:left="1440" w:hanging="360"/>
    </w:pPr>
  </w:style>
  <w:style w:type="paragraph" w:styleId="ListNumber5">
    <w:name w:val="List Number 5"/>
    <w:basedOn w:val="Normal"/>
    <w:semiHidden/>
    <w:rsid w:val="00282EB1"/>
    <w:pPr>
      <w:tabs>
        <w:tab w:val="num" w:pos="1800"/>
      </w:tabs>
      <w:ind w:left="1800" w:hanging="360"/>
    </w:pPr>
  </w:style>
  <w:style w:type="paragraph" w:styleId="MessageHeader">
    <w:name w:val="Message Header"/>
    <w:basedOn w:val="Normal"/>
    <w:link w:val="MessageHeaderChar"/>
    <w:semiHidden/>
    <w:rsid w:val="00282EB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282EB1"/>
    <w:rPr>
      <w:rFonts w:ascii="Arial" w:hAnsi="Arial" w:cs="Arial"/>
      <w:sz w:val="22"/>
      <w:szCs w:val="24"/>
      <w:shd w:val="pct20" w:color="auto" w:fill="auto"/>
      <w:lang w:val="fr-FR"/>
    </w:rPr>
  </w:style>
  <w:style w:type="paragraph" w:styleId="NormalIndent">
    <w:name w:val="Normal Indent"/>
    <w:basedOn w:val="Normal"/>
    <w:semiHidden/>
    <w:rsid w:val="00282EB1"/>
    <w:pPr>
      <w:ind w:left="720"/>
    </w:pPr>
  </w:style>
  <w:style w:type="paragraph" w:styleId="NoteHeading">
    <w:name w:val="Note Heading"/>
    <w:basedOn w:val="Normal"/>
    <w:next w:val="Normal"/>
    <w:link w:val="NoteHeadingChar"/>
    <w:semiHidden/>
    <w:rsid w:val="00282EB1"/>
  </w:style>
  <w:style w:type="character" w:customStyle="1" w:styleId="NoteHeadingChar">
    <w:name w:val="Note Heading Char"/>
    <w:basedOn w:val="DefaultParagraphFont"/>
    <w:link w:val="NoteHeading"/>
    <w:semiHidden/>
    <w:rsid w:val="00282EB1"/>
    <w:rPr>
      <w:sz w:val="22"/>
      <w:szCs w:val="22"/>
      <w:lang w:val="fr-FR"/>
    </w:rPr>
  </w:style>
  <w:style w:type="paragraph" w:styleId="Salutation">
    <w:name w:val="Salutation"/>
    <w:basedOn w:val="Normal"/>
    <w:next w:val="Normal"/>
    <w:link w:val="SalutationChar"/>
    <w:rsid w:val="00282EB1"/>
  </w:style>
  <w:style w:type="character" w:customStyle="1" w:styleId="SalutationChar">
    <w:name w:val="Salutation Char"/>
    <w:basedOn w:val="DefaultParagraphFont"/>
    <w:link w:val="Salutation"/>
    <w:rsid w:val="00282EB1"/>
    <w:rPr>
      <w:sz w:val="22"/>
      <w:szCs w:val="22"/>
      <w:lang w:val="fr-FR"/>
    </w:rPr>
  </w:style>
  <w:style w:type="paragraph" w:styleId="Signature">
    <w:name w:val="Signature"/>
    <w:basedOn w:val="Normal"/>
    <w:link w:val="SignatureChar"/>
    <w:semiHidden/>
    <w:rsid w:val="00282EB1"/>
    <w:pPr>
      <w:ind w:left="4320"/>
    </w:pPr>
  </w:style>
  <w:style w:type="character" w:customStyle="1" w:styleId="SignatureChar">
    <w:name w:val="Signature Char"/>
    <w:basedOn w:val="DefaultParagraphFont"/>
    <w:link w:val="Signature"/>
    <w:semiHidden/>
    <w:rsid w:val="00282EB1"/>
    <w:rPr>
      <w:sz w:val="22"/>
      <w:szCs w:val="22"/>
      <w:lang w:val="fr-FR"/>
    </w:rPr>
  </w:style>
  <w:style w:type="character" w:styleId="Strong">
    <w:name w:val="Strong"/>
    <w:qFormat/>
    <w:rsid w:val="00282EB1"/>
    <w:rPr>
      <w:b/>
      <w:bCs/>
    </w:rPr>
  </w:style>
  <w:style w:type="paragraph" w:customStyle="1" w:styleId="Level3">
    <w:name w:val="Level3"/>
    <w:basedOn w:val="Normal"/>
    <w:autoRedefine/>
    <w:rsid w:val="00282EB1"/>
    <w:pPr>
      <w:numPr>
        <w:numId w:val="14"/>
      </w:numPr>
      <w:tabs>
        <w:tab w:val="left" w:pos="578"/>
      </w:tabs>
      <w:spacing w:after="240" w:line="288" w:lineRule="auto"/>
      <w:jc w:val="left"/>
    </w:pPr>
    <w:rPr>
      <w:szCs w:val="20"/>
    </w:rPr>
  </w:style>
  <w:style w:type="paragraph" w:customStyle="1" w:styleId="Paralevel1">
    <w:name w:val="Para level1"/>
    <w:basedOn w:val="Normal"/>
    <w:link w:val="Paralevel1Char"/>
    <w:autoRedefine/>
    <w:uiPriority w:val="99"/>
    <w:rsid w:val="00282EB1"/>
    <w:pPr>
      <w:suppressAutoHyphens/>
      <w:spacing w:after="240"/>
      <w:jc w:val="right"/>
    </w:pPr>
    <w:rPr>
      <w:b/>
      <w:bCs/>
    </w:rPr>
  </w:style>
  <w:style w:type="character" w:customStyle="1" w:styleId="Paralevel1Char">
    <w:name w:val="Para level1 Char"/>
    <w:link w:val="Paralevel1"/>
    <w:uiPriority w:val="99"/>
    <w:rsid w:val="00282EB1"/>
    <w:rPr>
      <w:b/>
      <w:bCs/>
      <w:sz w:val="22"/>
      <w:szCs w:val="22"/>
      <w:lang w:val="fr-FR"/>
    </w:rPr>
  </w:style>
  <w:style w:type="character" w:customStyle="1" w:styleId="Heading3Char3CharCharChar">
    <w:name w:val="Heading 3 Char3 Char Char Char"/>
    <w:rsid w:val="00282EB1"/>
    <w:rPr>
      <w:sz w:val="22"/>
      <w:szCs w:val="22"/>
      <w:lang w:val="fr-FR" w:eastAsia="en-US" w:bidi="ar-SA"/>
    </w:rPr>
  </w:style>
  <w:style w:type="character" w:customStyle="1" w:styleId="Normal-poolChar">
    <w:name w:val="Normal-pool Char"/>
    <w:link w:val="Normal-pool"/>
    <w:locked/>
    <w:rsid w:val="00282EB1"/>
    <w:rPr>
      <w:lang w:val="fr-FR"/>
    </w:rPr>
  </w:style>
  <w:style w:type="character" w:customStyle="1" w:styleId="bumpedfont15">
    <w:name w:val="bumpedfont15"/>
    <w:basedOn w:val="DefaultParagraphFont"/>
    <w:rsid w:val="00282EB1"/>
  </w:style>
  <w:style w:type="table" w:customStyle="1" w:styleId="Table3Deffects11">
    <w:name w:val="Table 3D effects 11"/>
    <w:basedOn w:val="TableNormal"/>
    <w:next w:val="Table3Deffects1"/>
    <w:semiHidden/>
    <w:rsid w:val="00282EB1"/>
    <w:pPr>
      <w:jc w:val="both"/>
    </w:pPr>
    <w:rPr>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282EB1"/>
    <w:pPr>
      <w:jc w:val="both"/>
    </w:pPr>
    <w:rPr>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282EB1"/>
    <w:pPr>
      <w:jc w:val="both"/>
    </w:pPr>
    <w:rPr>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282EB1"/>
    <w:pPr>
      <w:jc w:val="both"/>
    </w:pPr>
    <w:rPr>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282EB1"/>
    <w:pPr>
      <w:jc w:val="both"/>
    </w:pPr>
    <w:rPr>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282EB1"/>
    <w:pPr>
      <w:jc w:val="both"/>
    </w:pPr>
    <w:rPr>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282EB1"/>
    <w:pPr>
      <w:jc w:val="both"/>
    </w:pPr>
    <w:rPr>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282EB1"/>
    <w:pPr>
      <w:jc w:val="both"/>
    </w:pPr>
    <w:rPr>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282EB1"/>
    <w:pPr>
      <w:jc w:val="both"/>
    </w:pPr>
    <w:rPr>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282EB1"/>
    <w:pPr>
      <w:jc w:val="both"/>
    </w:pPr>
    <w:rPr>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282EB1"/>
    <w:pPr>
      <w:jc w:val="both"/>
    </w:pPr>
    <w:rPr>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282EB1"/>
    <w:pPr>
      <w:jc w:val="both"/>
    </w:pPr>
    <w:rPr>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282EB1"/>
    <w:pPr>
      <w:jc w:val="both"/>
    </w:pPr>
    <w:rPr>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282EB1"/>
    <w:pPr>
      <w:jc w:val="both"/>
    </w:pPr>
    <w:rPr>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282EB1"/>
    <w:pPr>
      <w:jc w:val="both"/>
    </w:pPr>
    <w:rPr>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282EB1"/>
    <w:pPr>
      <w:jc w:val="both"/>
    </w:pPr>
    <w:rPr>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282EB1"/>
    <w:pPr>
      <w:jc w:val="both"/>
    </w:pPr>
    <w:rPr>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282EB1"/>
    <w:pPr>
      <w:jc w:val="both"/>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282EB1"/>
    <w:pPr>
      <w:jc w:val="both"/>
    </w:pPr>
    <w:rPr>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282EB1"/>
    <w:pPr>
      <w:jc w:val="both"/>
    </w:pPr>
    <w:rPr>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282EB1"/>
    <w:pPr>
      <w:jc w:val="both"/>
    </w:pPr>
    <w:rPr>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282EB1"/>
    <w:pPr>
      <w:jc w:val="both"/>
    </w:pPr>
    <w:rPr>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282EB1"/>
    <w:pPr>
      <w:jc w:val="both"/>
    </w:pPr>
    <w:rPr>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282EB1"/>
    <w:pPr>
      <w:jc w:val="both"/>
    </w:pPr>
    <w:rPr>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282EB1"/>
    <w:pPr>
      <w:jc w:val="both"/>
    </w:pPr>
    <w:rPr>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282EB1"/>
    <w:pPr>
      <w:jc w:val="both"/>
    </w:pPr>
    <w:rPr>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282EB1"/>
    <w:pPr>
      <w:jc w:val="both"/>
    </w:pPr>
    <w:rPr>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282EB1"/>
    <w:pPr>
      <w:jc w:val="both"/>
    </w:pPr>
    <w:rPr>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282EB1"/>
    <w:pPr>
      <w:jc w:val="both"/>
    </w:pPr>
    <w:rPr>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282EB1"/>
    <w:pPr>
      <w:jc w:val="both"/>
    </w:pPr>
    <w:rPr>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282EB1"/>
    <w:pPr>
      <w:jc w:val="both"/>
    </w:pPr>
    <w:rPr>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282EB1"/>
    <w:pPr>
      <w:jc w:val="both"/>
    </w:pPr>
    <w:rPr>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282EB1"/>
    <w:pPr>
      <w:jc w:val="both"/>
    </w:pPr>
    <w:rPr>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282EB1"/>
    <w:pPr>
      <w:jc w:val="both"/>
    </w:pPr>
    <w:rPr>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282EB1"/>
    <w:pPr>
      <w:jc w:val="both"/>
    </w:pPr>
    <w:rPr>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282EB1"/>
    <w:pPr>
      <w:jc w:val="both"/>
    </w:pPr>
    <w:rPr>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282EB1"/>
    <w:pPr>
      <w:jc w:val="both"/>
    </w:pPr>
    <w:rPr>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282EB1"/>
    <w:pPr>
      <w:jc w:val="both"/>
    </w:pPr>
    <w:rPr>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282EB1"/>
    <w:pPr>
      <w:jc w:val="both"/>
    </w:pPr>
    <w:rPr>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282EB1"/>
    <w:pPr>
      <w:jc w:val="both"/>
    </w:pPr>
    <w:rPr>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282EB1"/>
    <w:pPr>
      <w:jc w:val="both"/>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282EB1"/>
    <w:pPr>
      <w:jc w:val="both"/>
    </w:pPr>
    <w:rPr>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282EB1"/>
    <w:pPr>
      <w:jc w:val="both"/>
    </w:pPr>
    <w:rPr>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282EB1"/>
    <w:pPr>
      <w:jc w:val="both"/>
    </w:pPr>
    <w:rPr>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282EB1"/>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282EB1"/>
    <w:pPr>
      <w:numPr>
        <w:ilvl w:val="0"/>
        <w:numId w:val="0"/>
      </w:numPr>
      <w:tabs>
        <w:tab w:val="num" w:pos="0"/>
        <w:tab w:val="num" w:pos="1080"/>
      </w:tabs>
      <w:ind w:left="1080" w:hanging="360"/>
    </w:pPr>
    <w:rPr>
      <w:b/>
      <w:bCs/>
    </w:rPr>
  </w:style>
  <w:style w:type="character" w:customStyle="1" w:styleId="0Heading0Char">
    <w:name w:val="0 Heading 0 Char"/>
    <w:link w:val="0Heading0"/>
    <w:rsid w:val="00282EB1"/>
    <w:rPr>
      <w:sz w:val="22"/>
      <w:szCs w:val="22"/>
      <w:lang w:val="fr-FR"/>
    </w:rPr>
  </w:style>
  <w:style w:type="paragraph" w:customStyle="1" w:styleId="Indent1">
    <w:name w:val="Indent 1"/>
    <w:basedOn w:val="Normal"/>
    <w:qFormat/>
    <w:rsid w:val="00282EB1"/>
    <w:pPr>
      <w:spacing w:after="240" w:line="360" w:lineRule="auto"/>
      <w:ind w:left="1440" w:hanging="720"/>
      <w:jc w:val="left"/>
    </w:pPr>
    <w:rPr>
      <w:sz w:val="24"/>
      <w:szCs w:val="24"/>
    </w:rPr>
  </w:style>
  <w:style w:type="paragraph" w:customStyle="1" w:styleId="msonormal0">
    <w:name w:val="msonormal"/>
    <w:basedOn w:val="Normal"/>
    <w:rsid w:val="00282EB1"/>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282EB1"/>
    <w:pPr>
      <w:numPr>
        <w:numId w:val="0"/>
      </w:numPr>
      <w:ind w:firstLine="720"/>
    </w:pPr>
    <w:rPr>
      <w:rFonts w:eastAsiaTheme="minorEastAsia"/>
      <w:b/>
      <w:lang w:eastAsia="zh-CN"/>
    </w:rPr>
  </w:style>
  <w:style w:type="character" w:customStyle="1" w:styleId="Style3Char">
    <w:name w:val="Style3 Char"/>
    <w:basedOn w:val="Heading1Char1"/>
    <w:link w:val="Style3"/>
    <w:rsid w:val="00282EB1"/>
    <w:rPr>
      <w:rFonts w:eastAsiaTheme="minorEastAsia"/>
      <w:b/>
      <w:sz w:val="22"/>
      <w:szCs w:val="22"/>
      <w:lang w:val="fr-FR" w:eastAsia="zh-CN"/>
    </w:rPr>
  </w:style>
  <w:style w:type="paragraph" w:customStyle="1" w:styleId="Style2">
    <w:name w:val="Style2"/>
    <w:basedOn w:val="Heading1"/>
    <w:link w:val="Style2Char"/>
    <w:qFormat/>
    <w:rsid w:val="00282EB1"/>
    <w:pPr>
      <w:numPr>
        <w:numId w:val="0"/>
      </w:numPr>
    </w:pPr>
    <w:rPr>
      <w:rFonts w:eastAsiaTheme="minorEastAsia"/>
      <w:b/>
      <w:lang w:eastAsia="zh-CN"/>
    </w:rPr>
  </w:style>
  <w:style w:type="character" w:customStyle="1" w:styleId="Style2Char">
    <w:name w:val="Style2 Char"/>
    <w:basedOn w:val="Heading1Char1"/>
    <w:link w:val="Style2"/>
    <w:rsid w:val="00282EB1"/>
    <w:rPr>
      <w:rFonts w:eastAsiaTheme="minorEastAsia"/>
      <w:b/>
      <w:sz w:val="22"/>
      <w:szCs w:val="22"/>
      <w:lang w:val="fr-FR" w:eastAsia="zh-CN"/>
    </w:rPr>
  </w:style>
  <w:style w:type="paragraph" w:customStyle="1" w:styleId="Style1">
    <w:name w:val="Style1"/>
    <w:basedOn w:val="Heading1"/>
    <w:link w:val="Style1Char"/>
    <w:qFormat/>
    <w:rsid w:val="00282EB1"/>
    <w:pPr>
      <w:numPr>
        <w:numId w:val="0"/>
      </w:numPr>
    </w:pPr>
    <w:rPr>
      <w:rFonts w:eastAsiaTheme="minorEastAsia"/>
      <w:b/>
      <w:lang w:eastAsia="zh-CN"/>
    </w:rPr>
  </w:style>
  <w:style w:type="character" w:customStyle="1" w:styleId="Style1Char">
    <w:name w:val="Style1 Char"/>
    <w:basedOn w:val="Heading1Char1"/>
    <w:link w:val="Style1"/>
    <w:rsid w:val="00282EB1"/>
    <w:rPr>
      <w:rFonts w:eastAsiaTheme="minorEastAsia"/>
      <w:b/>
      <w:sz w:val="22"/>
      <w:szCs w:val="22"/>
      <w:lang w:val="fr-FR"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1"/>
    <w:rsid w:val="00282EB1"/>
    <w:rPr>
      <w:sz w:val="22"/>
      <w:szCs w:val="22"/>
      <w:lang w:val="fr-FR"/>
    </w:rPr>
  </w:style>
  <w:style w:type="numbering" w:customStyle="1" w:styleId="ArticleSection11">
    <w:name w:val="Article / Section11"/>
    <w:basedOn w:val="NoList"/>
    <w:next w:val="ArticleSection"/>
    <w:rsid w:val="00282EB1"/>
    <w:pPr>
      <w:numPr>
        <w:numId w:val="15"/>
      </w:numPr>
    </w:pPr>
  </w:style>
  <w:style w:type="character" w:customStyle="1" w:styleId="CH1Char">
    <w:name w:val="CH1 Char"/>
    <w:link w:val="CH1"/>
    <w:locked/>
    <w:rsid w:val="00282EB1"/>
    <w:rPr>
      <w:b/>
      <w:sz w:val="28"/>
      <w:szCs w:val="28"/>
      <w:lang w:val="fr-FR"/>
    </w:rPr>
  </w:style>
  <w:style w:type="paragraph" w:customStyle="1" w:styleId="Listparagraph2">
    <w:name w:val="List paragraph 2"/>
    <w:basedOn w:val="Normal"/>
    <w:qFormat/>
    <w:rsid w:val="00282EB1"/>
    <w:pPr>
      <w:numPr>
        <w:numId w:val="16"/>
      </w:numPr>
      <w:spacing w:after="240" w:line="360" w:lineRule="auto"/>
      <w:jc w:val="left"/>
    </w:pPr>
    <w:rPr>
      <w:sz w:val="24"/>
      <w:szCs w:val="24"/>
    </w:rPr>
  </w:style>
  <w:style w:type="character" w:customStyle="1" w:styleId="spellingerror">
    <w:name w:val="spellingerror"/>
    <w:basedOn w:val="DefaultParagraphFont"/>
    <w:rsid w:val="00282EB1"/>
  </w:style>
  <w:style w:type="paragraph" w:customStyle="1" w:styleId="Projecthead">
    <w:name w:val="Project head"/>
    <w:basedOn w:val="Normal"/>
    <w:qFormat/>
    <w:rsid w:val="00282EB1"/>
    <w:pPr>
      <w:spacing w:after="240" w:line="360" w:lineRule="auto"/>
      <w:jc w:val="left"/>
    </w:pPr>
    <w:rPr>
      <w:i/>
      <w:sz w:val="24"/>
      <w:szCs w:val="24"/>
    </w:rPr>
  </w:style>
  <w:style w:type="paragraph" w:customStyle="1" w:styleId="letteredhead1">
    <w:name w:val="lettered head1"/>
    <w:basedOn w:val="Normal"/>
    <w:qFormat/>
    <w:rsid w:val="00282EB1"/>
    <w:pPr>
      <w:numPr>
        <w:numId w:val="17"/>
      </w:numPr>
      <w:spacing w:after="240" w:line="360" w:lineRule="auto"/>
    </w:pPr>
    <w:rPr>
      <w:sz w:val="24"/>
      <w:szCs w:val="24"/>
    </w:rPr>
  </w:style>
  <w:style w:type="paragraph" w:customStyle="1" w:styleId="font24">
    <w:name w:val="font24"/>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282EB1"/>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282EB1"/>
    <w:rPr>
      <w:color w:val="605E5C"/>
      <w:shd w:val="clear" w:color="auto" w:fill="E1DFDD"/>
    </w:rPr>
  </w:style>
  <w:style w:type="character" w:customStyle="1" w:styleId="NormalpoolChar">
    <w:name w:val="Normal_pool Char"/>
    <w:link w:val="Normalpool"/>
    <w:locked/>
    <w:rsid w:val="00282EB1"/>
    <w:rPr>
      <w:lang w:val="fr-FR"/>
    </w:rPr>
  </w:style>
  <w:style w:type="paragraph" w:customStyle="1" w:styleId="font26">
    <w:name w:val="font26"/>
    <w:basedOn w:val="Normal"/>
    <w:rsid w:val="00282EB1"/>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282EB1"/>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282EB1"/>
  </w:style>
  <w:style w:type="numbering" w:customStyle="1" w:styleId="ArticleSection12">
    <w:name w:val="Article / Section12"/>
    <w:basedOn w:val="NoList"/>
    <w:next w:val="ArticleSection"/>
    <w:semiHidden/>
    <w:rsid w:val="00282EB1"/>
  </w:style>
  <w:style w:type="character" w:customStyle="1" w:styleId="BBTitleChar">
    <w:name w:val="BB_Title Char"/>
    <w:link w:val="BBTitle"/>
    <w:rsid w:val="00282EB1"/>
    <w:rPr>
      <w:b/>
      <w:sz w:val="28"/>
      <w:szCs w:val="28"/>
      <w:lang w:val="fr-FR"/>
    </w:rPr>
  </w:style>
  <w:style w:type="paragraph" w:customStyle="1" w:styleId="paragraph">
    <w:name w:val="paragraph"/>
    <w:basedOn w:val="Normal"/>
    <w:rsid w:val="00282EB1"/>
    <w:pPr>
      <w:spacing w:before="100" w:beforeAutospacing="1" w:after="100" w:afterAutospacing="1"/>
      <w:jc w:val="left"/>
    </w:pPr>
    <w:rPr>
      <w:sz w:val="24"/>
      <w:szCs w:val="24"/>
      <w:lang w:eastAsia="fr-FR"/>
    </w:rPr>
  </w:style>
  <w:style w:type="character" w:customStyle="1" w:styleId="eop">
    <w:name w:val="eop"/>
    <w:basedOn w:val="DefaultParagraphFont"/>
    <w:rsid w:val="00282EB1"/>
  </w:style>
  <w:style w:type="character" w:customStyle="1" w:styleId="tabchar">
    <w:name w:val="tabchar"/>
    <w:basedOn w:val="DefaultParagraphFont"/>
    <w:rsid w:val="00282EB1"/>
  </w:style>
  <w:style w:type="character" w:styleId="UnresolvedMention">
    <w:name w:val="Unresolved Mention"/>
    <w:basedOn w:val="DefaultParagraphFont"/>
    <w:uiPriority w:val="99"/>
    <w:semiHidden/>
    <w:unhideWhenUsed/>
    <w:rsid w:val="00282EB1"/>
    <w:rPr>
      <w:color w:val="605E5C"/>
      <w:shd w:val="clear" w:color="auto" w:fill="E1DFDD"/>
    </w:rPr>
  </w:style>
  <w:style w:type="paragraph" w:customStyle="1" w:styleId="Underlinedheader">
    <w:name w:val="Underlined header"/>
    <w:basedOn w:val="Heading1"/>
    <w:qFormat/>
    <w:rsid w:val="00AC0411"/>
    <w:pPr>
      <w:numPr>
        <w:numId w:val="0"/>
      </w:numPr>
      <w:spacing w:before="240"/>
      <w:ind w:firstLine="720"/>
    </w:pPr>
    <w:rPr>
      <w:u w:val="single"/>
    </w:rPr>
  </w:style>
  <w:style w:type="character" w:styleId="Mention">
    <w:name w:val="Mention"/>
    <w:basedOn w:val="DefaultParagraphFont"/>
    <w:uiPriority w:val="99"/>
    <w:unhideWhenUsed/>
    <w:rsid w:val="0063780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7612278">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682154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OneDrive\Desktop\ExCom\Report%20to%20MOP%2036\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808B5FF8B6E66479FB0E6B2D060B694" ma:contentTypeVersion="5" ma:contentTypeDescription="Create a new document." ma:contentTypeScope="" ma:versionID="e544808a39f65383bf49b54e37bf093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CE865B7C-0008-4C67-B4B1-1F5349E6856E}"/>
</file>

<file path=docProps/app.xml><?xml version="1.0" encoding="utf-8"?>
<Properties xmlns="http://schemas.openxmlformats.org/officeDocument/2006/extended-properties" xmlns:vt="http://schemas.openxmlformats.org/officeDocument/2006/docPropsVTypes">
  <Template>Eec94G</Template>
  <TotalTime>4</TotalTime>
  <Pages>16</Pages>
  <Words>7684</Words>
  <Characters>39239</Characters>
  <Application>Microsoft Office Word</Application>
  <DocSecurity>0</DocSecurity>
  <Lines>326</Lines>
  <Paragraphs>93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Projet de rapport du comité exécutif du fonds multilatéral aux fins d’application du protocole de Montréal à la trente sixième réunion des parties</vt:lpstr>
      <vt:lpstr>Draft report of the Executive Committee of the Multilateral Fund for the Implementation of the Montreal Protocol to the Thirty-Sixth Meeting of the Parties</vt:lpstr>
    </vt:vector>
  </TitlesOfParts>
  <Company>UNMFS</Company>
  <LinksUpToDate>false</LinksUpToDate>
  <CharactersWithSpaces>46830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 du comité exécutif du fonds multilatéral aux fins d’application du protocole de Montréal à la trente sixième réunion des parties                     .</dc:title>
  <dc:subject/>
  <dc:creator>Natalie Barker</dc:creator>
  <cp:lastModifiedBy>Angela Xue He Yan</cp:lastModifiedBy>
  <cp:revision>6</cp:revision>
  <cp:lastPrinted>2024-04-30T13:15:00Z</cp:lastPrinted>
  <dcterms:created xsi:type="dcterms:W3CDTF">2024-04-29T21:00:00Z</dcterms:created>
  <dcterms:modified xsi:type="dcterms:W3CDTF">2024-04-30T13:16:00Z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UNEP/OzL.Pro/ExCom/94/64</vt:lpwstr>
  </property>
  <property fmtid="{D5CDD505-2E9C-101B-9397-08002B2CF9AE}" pid="3" name="Revision date">
    <vt:lpwstr>4/24/2024</vt:lpwstr>
  </property>
  <property fmtid="{D5CDD505-2E9C-101B-9397-08002B2CF9AE}" pid="4" name="ContentTypeId">
    <vt:lpwstr>0x010100B808B5FF8B6E66479FB0E6B2D060B694</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