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3420"/>
        <w:gridCol w:w="1004"/>
        <w:gridCol w:w="3586"/>
        <w:gridCol w:w="270"/>
      </w:tblGrid>
      <w:tr w:rsidR="00C15867" w:rsidRPr="003C1788" w14:paraId="0A1A0D62" w14:textId="77777777" w:rsidTr="0080530B">
        <w:trPr>
          <w:gridAfter w:val="1"/>
          <w:wAfter w:w="270" w:type="dxa"/>
          <w:trHeight w:val="720"/>
        </w:trPr>
        <w:tc>
          <w:tcPr>
            <w:tcW w:w="5490" w:type="dxa"/>
            <w:gridSpan w:val="2"/>
            <w:tcBorders>
              <w:bottom w:val="single" w:sz="18" w:space="0" w:color="auto"/>
            </w:tcBorders>
          </w:tcPr>
          <w:p w14:paraId="46238734" w14:textId="78A18A69" w:rsidR="00C15867" w:rsidRPr="003C1788" w:rsidRDefault="00C15867" w:rsidP="00F027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C1788">
              <w:rPr>
                <w:rFonts w:ascii="Univers" w:hAnsi="Univers"/>
                <w:b/>
                <w:sz w:val="28"/>
                <w:szCs w:val="28"/>
              </w:rPr>
              <w:t xml:space="preserve">NACIONES </w:t>
            </w:r>
            <w:r w:rsidR="0080530B" w:rsidRPr="003C1788">
              <w:rPr>
                <w:rFonts w:ascii="Univers" w:hAnsi="Univers"/>
                <w:b/>
                <w:sz w:val="28"/>
                <w:szCs w:val="28"/>
              </w:rPr>
              <w:br/>
            </w:r>
            <w:r w:rsidRPr="003C1788">
              <w:rPr>
                <w:rFonts w:ascii="Univers" w:hAnsi="Univers"/>
                <w:b/>
                <w:sz w:val="28"/>
                <w:szCs w:val="28"/>
              </w:rPr>
              <w:t>UNIDAS</w:t>
            </w:r>
          </w:p>
        </w:tc>
        <w:tc>
          <w:tcPr>
            <w:tcW w:w="4590" w:type="dxa"/>
            <w:gridSpan w:val="2"/>
            <w:tcBorders>
              <w:bottom w:val="single" w:sz="18" w:space="0" w:color="auto"/>
            </w:tcBorders>
          </w:tcPr>
          <w:p w14:paraId="5C06C0A9" w14:textId="77777777" w:rsidR="00C15867" w:rsidRPr="003C1788" w:rsidRDefault="00C15867" w:rsidP="00F02708">
            <w:pPr>
              <w:jc w:val="right"/>
              <w:rPr>
                <w:sz w:val="52"/>
                <w:szCs w:val="52"/>
              </w:rPr>
            </w:pPr>
            <w:r w:rsidRPr="003C1788">
              <w:rPr>
                <w:rFonts w:ascii="Univers Bold" w:hAnsi="Univers Bold"/>
                <w:b/>
                <w:sz w:val="72"/>
              </w:rPr>
              <w:t>EP</w:t>
            </w:r>
          </w:p>
        </w:tc>
      </w:tr>
      <w:tr w:rsidR="0080530B" w:rsidRPr="003C1788" w14:paraId="5AC5C30D" w14:textId="77777777" w:rsidTr="008053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3E5CA24B" w14:textId="77777777" w:rsidR="0080530B" w:rsidRPr="003C1788" w:rsidRDefault="0080530B" w:rsidP="0080530B">
            <w:pPr>
              <w:spacing w:before="120"/>
            </w:pPr>
            <w:r w:rsidRPr="003C1788">
              <w:rPr>
                <w:noProof/>
                <w:lang w:val="en-US"/>
              </w:rPr>
              <w:drawing>
                <wp:anchor distT="0" distB="0" distL="114300" distR="114300" simplePos="0" relativeHeight="251659264" behindDoc="0" locked="0" layoutInCell="1" allowOverlap="1" wp14:anchorId="2D52EAB9" wp14:editId="049741AF">
                  <wp:simplePos x="0" y="0"/>
                  <wp:positionH relativeFrom="column">
                    <wp:posOffset>91440</wp:posOffset>
                  </wp:positionH>
                  <wp:positionV relativeFrom="paragraph">
                    <wp:posOffset>862330</wp:posOffset>
                  </wp:positionV>
                  <wp:extent cx="732790" cy="705274"/>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33450" cy="705909"/>
                          </a:xfrm>
                          <a:prstGeom prst="rect">
                            <a:avLst/>
                          </a:prstGeom>
                          <a:noFill/>
                        </pic:spPr>
                      </pic:pic>
                    </a:graphicData>
                  </a:graphic>
                  <wp14:sizeRelH relativeFrom="margin">
                    <wp14:pctWidth>0</wp14:pctWidth>
                  </wp14:sizeRelH>
                </wp:anchor>
              </w:drawing>
            </w:r>
            <w:r w:rsidRPr="003C1788">
              <w:rPr>
                <w:noProof/>
                <w:lang w:val="en-US"/>
              </w:rPr>
              <w:drawing>
                <wp:anchor distT="0" distB="0" distL="114300" distR="114300" simplePos="0" relativeHeight="251660288" behindDoc="1" locked="0" layoutInCell="0" allowOverlap="1" wp14:anchorId="5EB69ED8" wp14:editId="1EF8AE32">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3"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gridSpan w:val="2"/>
            <w:tcBorders>
              <w:top w:val="nil"/>
              <w:left w:val="nil"/>
              <w:bottom w:val="single" w:sz="36" w:space="0" w:color="auto"/>
              <w:right w:val="nil"/>
            </w:tcBorders>
          </w:tcPr>
          <w:p w14:paraId="02CAEED7" w14:textId="77777777" w:rsidR="0080530B" w:rsidRPr="003C1788" w:rsidRDefault="0080530B" w:rsidP="008053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3E396E8B" w14:textId="77777777" w:rsidR="0080530B" w:rsidRPr="003C1788" w:rsidRDefault="0080530B" w:rsidP="008053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C1788">
              <w:rPr>
                <w:rFonts w:ascii="Univers" w:hAnsi="Univers"/>
                <w:b/>
                <w:sz w:val="32"/>
              </w:rPr>
              <w:t>Programa de las</w:t>
            </w:r>
          </w:p>
          <w:p w14:paraId="3C52AC6E" w14:textId="77777777" w:rsidR="0080530B" w:rsidRPr="003C1788" w:rsidRDefault="0080530B" w:rsidP="008053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C1788">
              <w:rPr>
                <w:rFonts w:ascii="Univers" w:hAnsi="Univers"/>
                <w:b/>
                <w:sz w:val="32"/>
              </w:rPr>
              <w:t>Naciones Unidas</w:t>
            </w:r>
          </w:p>
          <w:p w14:paraId="4AADD1F3" w14:textId="77777777" w:rsidR="0080530B" w:rsidRPr="003C1788" w:rsidRDefault="0080530B" w:rsidP="008053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C1788">
              <w:rPr>
                <w:rFonts w:ascii="Univers" w:hAnsi="Univers"/>
                <w:b/>
                <w:sz w:val="32"/>
              </w:rPr>
              <w:t>para el Medio Ambiente</w:t>
            </w:r>
          </w:p>
          <w:p w14:paraId="095C36E4" w14:textId="77777777" w:rsidR="0080530B" w:rsidRPr="003C1788" w:rsidRDefault="0080530B" w:rsidP="0080530B">
            <w:pPr>
              <w:spacing w:before="720"/>
            </w:pPr>
          </w:p>
        </w:tc>
        <w:tc>
          <w:tcPr>
            <w:tcW w:w="3856" w:type="dxa"/>
            <w:gridSpan w:val="2"/>
            <w:tcBorders>
              <w:top w:val="nil"/>
              <w:left w:val="nil"/>
              <w:bottom w:val="single" w:sz="36" w:space="0" w:color="auto"/>
              <w:right w:val="nil"/>
            </w:tcBorders>
          </w:tcPr>
          <w:p w14:paraId="31B2739D" w14:textId="77777777" w:rsidR="0080530B" w:rsidRPr="003C1788" w:rsidRDefault="0080530B" w:rsidP="0080530B"/>
          <w:p w14:paraId="260A1D03" w14:textId="77777777" w:rsidR="0080530B" w:rsidRPr="003C1788" w:rsidRDefault="0080530B" w:rsidP="0080530B">
            <w:proofErr w:type="spellStart"/>
            <w:r w:rsidRPr="003C1788">
              <w:t>Distr</w:t>
            </w:r>
            <w:proofErr w:type="spellEnd"/>
            <w:r w:rsidRPr="003C1788">
              <w:t>.</w:t>
            </w:r>
          </w:p>
          <w:p w14:paraId="6D07C0CC" w14:textId="77777777" w:rsidR="0080530B" w:rsidRPr="003C1788" w:rsidRDefault="0080530B" w:rsidP="0080530B">
            <w:r w:rsidRPr="003C1788">
              <w:t>GENERAL</w:t>
            </w:r>
          </w:p>
          <w:p w14:paraId="5D7C419A" w14:textId="77777777" w:rsidR="0080530B" w:rsidRPr="003C1788" w:rsidRDefault="0080530B" w:rsidP="0080530B"/>
          <w:p w14:paraId="02ED9594" w14:textId="6E85BB41" w:rsidR="0080530B" w:rsidRPr="003C1788" w:rsidRDefault="0080530B" w:rsidP="0080530B">
            <w:r w:rsidRPr="003C1788">
              <w:fldChar w:fldCharType="begin"/>
            </w:r>
            <w:r w:rsidRPr="003C1788">
              <w:instrText xml:space="preserve"> DOCPROPERTY "Document number"  \* MERGEFORMAT </w:instrText>
            </w:r>
            <w:r w:rsidRPr="003C1788">
              <w:fldChar w:fldCharType="separate"/>
            </w:r>
            <w:r w:rsidR="00786042">
              <w:t>UNEP/</w:t>
            </w:r>
            <w:proofErr w:type="spellStart"/>
            <w:r w:rsidR="00786042">
              <w:t>OzL.Pro</w:t>
            </w:r>
            <w:proofErr w:type="spellEnd"/>
            <w:r w:rsidR="00786042">
              <w:t>/</w:t>
            </w:r>
            <w:proofErr w:type="spellStart"/>
            <w:r w:rsidR="00786042">
              <w:t>ExCom</w:t>
            </w:r>
            <w:proofErr w:type="spellEnd"/>
            <w:r w:rsidR="00786042">
              <w:t>/95/20</w:t>
            </w:r>
            <w:r w:rsidRPr="003C1788">
              <w:fldChar w:fldCharType="end"/>
            </w:r>
          </w:p>
          <w:p w14:paraId="6F900011" w14:textId="581DE7BF" w:rsidR="0080530B" w:rsidRPr="003C1788" w:rsidRDefault="00995ADF" w:rsidP="0080530B">
            <w:r>
              <w:t>20 de noviembre</w:t>
            </w:r>
            <w:r w:rsidR="0080530B" w:rsidRPr="003C1788">
              <w:t xml:space="preserve"> de 2024</w:t>
            </w:r>
          </w:p>
          <w:p w14:paraId="025F79F4" w14:textId="77777777" w:rsidR="0080530B" w:rsidRPr="003C1788" w:rsidRDefault="0080530B" w:rsidP="0080530B">
            <w:pPr>
              <w:rPr>
                <w:caps/>
              </w:rPr>
            </w:pPr>
          </w:p>
          <w:p w14:paraId="23D62DBB" w14:textId="77777777" w:rsidR="0080530B" w:rsidRPr="003C1788" w:rsidRDefault="0080530B" w:rsidP="0080530B">
            <w:r w:rsidRPr="003C1788">
              <w:t xml:space="preserve">ESPAÑOL </w:t>
            </w:r>
          </w:p>
          <w:p w14:paraId="6AA5193A" w14:textId="77777777" w:rsidR="0080530B" w:rsidRPr="003C1788" w:rsidRDefault="0080530B" w:rsidP="0080530B">
            <w:r w:rsidRPr="003C1788">
              <w:t>ORIGINAL: INGLÉS</w:t>
            </w:r>
          </w:p>
        </w:tc>
      </w:tr>
    </w:tbl>
    <w:p w14:paraId="6FD8A2A9" w14:textId="77777777" w:rsidR="0080530B" w:rsidRPr="003C1788" w:rsidRDefault="0080530B" w:rsidP="0080530B">
      <w:pPr>
        <w:jc w:val="left"/>
      </w:pPr>
      <w:r w:rsidRPr="003C1788">
        <w:t>COMITÉ EJECUTIVO DEL FONDO MULTILATERAL</w:t>
      </w:r>
      <w:r w:rsidRPr="003C1788">
        <w:br/>
        <w:t xml:space="preserve"> PARA LA APLICACIÓN DEL</w:t>
      </w:r>
      <w:r w:rsidRPr="003C1788">
        <w:br/>
        <w:t xml:space="preserve"> PROTOCOLO DE MONTREAL</w:t>
      </w:r>
      <w:r w:rsidRPr="003C1788">
        <w:br/>
        <w:t>Nonagésima quinta reunión</w:t>
      </w:r>
    </w:p>
    <w:p w14:paraId="64E51E89" w14:textId="77777777" w:rsidR="0080530B" w:rsidRPr="003C1788" w:rsidRDefault="0080530B" w:rsidP="0080530B">
      <w:pPr>
        <w:jc w:val="left"/>
      </w:pPr>
      <w:r w:rsidRPr="003C1788">
        <w:t>Montreal, 4 - 8 de diciembre de 2024</w:t>
      </w:r>
    </w:p>
    <w:p w14:paraId="242EA379" w14:textId="64D374A8" w:rsidR="00C15867" w:rsidRPr="003C1788" w:rsidRDefault="0080530B" w:rsidP="0080530B">
      <w:pPr>
        <w:jc w:val="left"/>
      </w:pPr>
      <w:r w:rsidRPr="003C1788">
        <w:t xml:space="preserve">Punto </w:t>
      </w:r>
      <w:r w:rsidR="00B44427" w:rsidRPr="003C1788">
        <w:t>7 b) i)</w:t>
      </w:r>
      <w:r w:rsidRPr="003C1788">
        <w:t xml:space="preserve"> del orden del día provisional</w:t>
      </w:r>
      <w:r w:rsidRPr="003C1788">
        <w:rPr>
          <w:vertAlign w:val="superscript"/>
        </w:rPr>
        <w:footnoteReference w:id="1"/>
      </w:r>
    </w:p>
    <w:p w14:paraId="6EEC9F04" w14:textId="77777777" w:rsidR="009145E4" w:rsidRPr="003C1788" w:rsidRDefault="009145E4" w:rsidP="009145E4">
      <w:pPr>
        <w:pStyle w:val="Heading1"/>
        <w:numPr>
          <w:ilvl w:val="0"/>
          <w:numId w:val="0"/>
        </w:numPr>
      </w:pPr>
    </w:p>
    <w:p w14:paraId="001CCAE2" w14:textId="77777777" w:rsidR="00066CE8" w:rsidRPr="003C1788" w:rsidRDefault="00066CE8" w:rsidP="00857077">
      <w:pPr>
        <w:jc w:val="left"/>
      </w:pPr>
    </w:p>
    <w:p w14:paraId="2F3F1AFC" w14:textId="086761CA" w:rsidR="00CA2C53" w:rsidRDefault="00786042" w:rsidP="00217D4B">
      <w:pPr>
        <w:pStyle w:val="paragraph"/>
        <w:spacing w:before="0" w:beforeAutospacing="0" w:after="0" w:afterAutospacing="0"/>
        <w:jc w:val="center"/>
        <w:textAlignment w:val="baseline"/>
        <w:rPr>
          <w:rStyle w:val="normaltextrun"/>
          <w:b/>
          <w:bCs/>
          <w:sz w:val="22"/>
          <w:szCs w:val="22"/>
        </w:rPr>
      </w:pPr>
      <w:r w:rsidRPr="003C1788">
        <w:rPr>
          <w:rStyle w:val="normaltextrun"/>
          <w:b/>
          <w:bCs/>
          <w:sz w:val="22"/>
          <w:szCs w:val="22"/>
        </w:rPr>
        <w:t xml:space="preserve">INFORMES SOBRE PROYECTOS CON REQUISITOS ESPECÍFICOS DE </w:t>
      </w:r>
      <w:r w:rsidRPr="003C1788">
        <w:rPr>
          <w:rStyle w:val="normaltextrun"/>
          <w:b/>
          <w:bCs/>
          <w:sz w:val="22"/>
          <w:szCs w:val="22"/>
        </w:rPr>
        <w:br/>
        <w:t>PRESENTACIÓN DE INFORME</w:t>
      </w:r>
      <w:r>
        <w:rPr>
          <w:rStyle w:val="normaltextrun"/>
          <w:b/>
          <w:bCs/>
          <w:sz w:val="22"/>
          <w:szCs w:val="22"/>
        </w:rPr>
        <w:t>S:</w:t>
      </w:r>
    </w:p>
    <w:p w14:paraId="6862D9A8" w14:textId="403544FA" w:rsidR="00217D4B" w:rsidRPr="003C1788" w:rsidRDefault="00786042" w:rsidP="00217D4B">
      <w:pPr>
        <w:pStyle w:val="paragraph"/>
        <w:spacing w:before="0" w:beforeAutospacing="0" w:after="0" w:afterAutospacing="0"/>
        <w:jc w:val="center"/>
        <w:textAlignment w:val="baseline"/>
        <w:rPr>
          <w:sz w:val="22"/>
          <w:szCs w:val="22"/>
        </w:rPr>
      </w:pPr>
      <w:r>
        <w:rPr>
          <w:rStyle w:val="normaltextrun"/>
          <w:b/>
          <w:bCs/>
          <w:sz w:val="22"/>
          <w:szCs w:val="22"/>
        </w:rPr>
        <w:t>INFORMES SOBRE PROYECTOS</w:t>
      </w:r>
      <w:r w:rsidRPr="003C1788">
        <w:rPr>
          <w:rStyle w:val="normaltextrun"/>
          <w:b/>
          <w:bCs/>
          <w:sz w:val="22"/>
          <w:szCs w:val="22"/>
        </w:rPr>
        <w:t xml:space="preserve"> SIN ASUNTOS PENDIENTES</w:t>
      </w:r>
      <w:r w:rsidRPr="003C1788">
        <w:rPr>
          <w:rStyle w:val="eop"/>
          <w:sz w:val="22"/>
          <w:szCs w:val="22"/>
        </w:rPr>
        <w:t> </w:t>
      </w:r>
    </w:p>
    <w:p w14:paraId="3344EE4E" w14:textId="77777777" w:rsidR="00217D4B" w:rsidRPr="003C1788" w:rsidRDefault="00217D4B" w:rsidP="00217D4B">
      <w:pPr>
        <w:pStyle w:val="paragraph"/>
        <w:spacing w:before="0" w:beforeAutospacing="0" w:after="0" w:afterAutospacing="0"/>
        <w:jc w:val="both"/>
        <w:textAlignment w:val="baseline"/>
        <w:rPr>
          <w:sz w:val="22"/>
          <w:szCs w:val="22"/>
        </w:rPr>
      </w:pPr>
      <w:r w:rsidRPr="003C1788">
        <w:rPr>
          <w:rStyle w:val="eop"/>
          <w:sz w:val="22"/>
          <w:szCs w:val="22"/>
        </w:rPr>
        <w:t> </w:t>
      </w:r>
    </w:p>
    <w:p w14:paraId="7676EBDE" w14:textId="77777777" w:rsidR="00217D4B" w:rsidRPr="003C1788" w:rsidRDefault="00217D4B" w:rsidP="00217D4B">
      <w:pPr>
        <w:pStyle w:val="paragraph"/>
        <w:spacing w:before="0" w:beforeAutospacing="0" w:after="0" w:afterAutospacing="0"/>
        <w:ind w:left="720" w:hanging="720"/>
        <w:jc w:val="both"/>
        <w:textAlignment w:val="baseline"/>
        <w:rPr>
          <w:sz w:val="22"/>
          <w:szCs w:val="22"/>
        </w:rPr>
      </w:pPr>
      <w:r w:rsidRPr="003C1788">
        <w:rPr>
          <w:rStyle w:val="normaltextrun"/>
          <w:b/>
          <w:bCs/>
        </w:rPr>
        <w:t>Panorama general</w:t>
      </w:r>
      <w:r w:rsidRPr="003C1788">
        <w:rPr>
          <w:rStyle w:val="eop"/>
        </w:rPr>
        <w:t> </w:t>
      </w:r>
    </w:p>
    <w:p w14:paraId="4B439311" w14:textId="77777777" w:rsidR="00217D4B" w:rsidRPr="003C1788" w:rsidRDefault="00217D4B" w:rsidP="00217D4B">
      <w:pPr>
        <w:pStyle w:val="paragraph"/>
        <w:spacing w:before="0" w:beforeAutospacing="0" w:after="0" w:afterAutospacing="0"/>
        <w:ind w:left="720" w:hanging="720"/>
        <w:jc w:val="both"/>
        <w:textAlignment w:val="baseline"/>
        <w:rPr>
          <w:sz w:val="22"/>
          <w:szCs w:val="22"/>
        </w:rPr>
      </w:pPr>
      <w:r w:rsidRPr="003C1788">
        <w:rPr>
          <w:rStyle w:val="eop"/>
          <w:sz w:val="22"/>
          <w:szCs w:val="22"/>
        </w:rPr>
        <w:t> </w:t>
      </w:r>
    </w:p>
    <w:p w14:paraId="005DA0A6" w14:textId="61F2AD10" w:rsidR="007A3BC3" w:rsidRPr="003C1788" w:rsidRDefault="00B00788" w:rsidP="001E5321">
      <w:pPr>
        <w:pStyle w:val="Heading1"/>
      </w:pPr>
      <w:r w:rsidRPr="003C1788">
        <w:t>Este documento incluye informes sobre proyectos relacionados con planes de gestión para la eliminación de HCFC</w:t>
      </w:r>
      <w:r w:rsidR="00CB65AB" w:rsidRPr="003C1788">
        <w:rPr>
          <w:rStyle w:val="FootnoteReference"/>
        </w:rPr>
        <w:footnoteReference w:id="2"/>
      </w:r>
      <w:r w:rsidRPr="003C1788">
        <w:t xml:space="preserve">, planes de ejecución de la Enmienda de Kigali relativa a los HFC y actividades adicionales para mantener la eficiencia energética en el sector servicio técnico de </w:t>
      </w:r>
      <w:r w:rsidR="00F94FA7">
        <w:t xml:space="preserve">equipos de </w:t>
      </w:r>
      <w:r w:rsidRPr="003C1788">
        <w:t xml:space="preserve">refrigeración (decisión 89/6). En el Cuadro 1 </w:t>
      </w:r>
      <w:r w:rsidR="00401D5B">
        <w:t>figuran</w:t>
      </w:r>
      <w:r w:rsidRPr="003C1788">
        <w:t xml:space="preserve"> los informes sobre proyectos con requisitos específicos de presentación de informes presentados en la 95ª reunión que, tras el examen de la Secretaría, </w:t>
      </w:r>
      <w:r w:rsidR="00B14211">
        <w:t>no tienen</w:t>
      </w:r>
      <w:r w:rsidRPr="003C1788">
        <w:t xml:space="preserve"> asuntos pendientes y, por lo tanto, no requieren que el Comité Ejecutivo los examine individualmente.</w:t>
      </w:r>
    </w:p>
    <w:p w14:paraId="60CAA63E" w14:textId="77777777" w:rsidR="007A3BC3" w:rsidRPr="003C1788" w:rsidRDefault="007A3BC3" w:rsidP="007A3BC3">
      <w:pPr>
        <w:keepNext/>
        <w:keepLines/>
        <w:rPr>
          <w:b/>
          <w:sz w:val="19"/>
          <w:szCs w:val="19"/>
        </w:rPr>
      </w:pPr>
      <w:r w:rsidRPr="003C1788">
        <w:rPr>
          <w:b/>
          <w:sz w:val="20"/>
          <w:szCs w:val="20"/>
        </w:rPr>
        <w:t xml:space="preserve">Cuadro 1. </w:t>
      </w:r>
      <w:r w:rsidRPr="003C1788">
        <w:rPr>
          <w:b/>
          <w:sz w:val="19"/>
          <w:szCs w:val="19"/>
        </w:rPr>
        <w:t>Informes sobre proyectos con requisitos específicos de presentación de informes sin asuntos pendientes</w:t>
      </w:r>
    </w:p>
    <w:tbl>
      <w:tblPr>
        <w:tblStyle w:val="TableGrid"/>
        <w:tblW w:w="0" w:type="auto"/>
        <w:tblLook w:val="04A0" w:firstRow="1" w:lastRow="0" w:firstColumn="1" w:lastColumn="0" w:noHBand="0" w:noVBand="1"/>
      </w:tblPr>
      <w:tblGrid>
        <w:gridCol w:w="1555"/>
        <w:gridCol w:w="6630"/>
        <w:gridCol w:w="1165"/>
      </w:tblGrid>
      <w:tr w:rsidR="007A3BC3" w:rsidRPr="003C1788" w14:paraId="765B8992" w14:textId="77777777" w:rsidTr="00E8522B">
        <w:trPr>
          <w:tblHeader/>
        </w:trPr>
        <w:tc>
          <w:tcPr>
            <w:tcW w:w="1555" w:type="dxa"/>
            <w:tcBorders>
              <w:top w:val="single" w:sz="4" w:space="0" w:color="auto"/>
              <w:left w:val="single" w:sz="4" w:space="0" w:color="auto"/>
              <w:bottom w:val="single" w:sz="4" w:space="0" w:color="auto"/>
              <w:right w:val="single" w:sz="4" w:space="0" w:color="auto"/>
            </w:tcBorders>
            <w:hideMark/>
          </w:tcPr>
          <w:p w14:paraId="59587C07" w14:textId="77777777" w:rsidR="007A3BC3" w:rsidRPr="003C1788" w:rsidRDefault="007A3BC3" w:rsidP="00F02708">
            <w:pPr>
              <w:keepNext/>
              <w:keepLines/>
              <w:jc w:val="center"/>
              <w:rPr>
                <w:b/>
                <w:sz w:val="20"/>
                <w:szCs w:val="20"/>
              </w:rPr>
            </w:pPr>
            <w:r w:rsidRPr="003C1788">
              <w:rPr>
                <w:b/>
                <w:sz w:val="20"/>
                <w:szCs w:val="20"/>
              </w:rPr>
              <w:t>País</w:t>
            </w:r>
          </w:p>
        </w:tc>
        <w:tc>
          <w:tcPr>
            <w:tcW w:w="6630" w:type="dxa"/>
            <w:tcBorders>
              <w:top w:val="single" w:sz="4" w:space="0" w:color="auto"/>
              <w:left w:val="single" w:sz="4" w:space="0" w:color="auto"/>
              <w:bottom w:val="single" w:sz="4" w:space="0" w:color="auto"/>
              <w:right w:val="single" w:sz="4" w:space="0" w:color="auto"/>
            </w:tcBorders>
            <w:hideMark/>
          </w:tcPr>
          <w:p w14:paraId="329AFAC6" w14:textId="77777777" w:rsidR="007A3BC3" w:rsidRPr="003C1788" w:rsidRDefault="007A3BC3" w:rsidP="00F02708">
            <w:pPr>
              <w:keepNext/>
              <w:keepLines/>
              <w:jc w:val="center"/>
              <w:rPr>
                <w:b/>
                <w:sz w:val="20"/>
                <w:szCs w:val="20"/>
              </w:rPr>
            </w:pPr>
            <w:r w:rsidRPr="003C1788">
              <w:rPr>
                <w:b/>
                <w:sz w:val="20"/>
                <w:szCs w:val="20"/>
              </w:rPr>
              <w:t>Título del proyecto</w:t>
            </w:r>
          </w:p>
        </w:tc>
        <w:tc>
          <w:tcPr>
            <w:tcW w:w="1165" w:type="dxa"/>
            <w:tcBorders>
              <w:top w:val="single" w:sz="4" w:space="0" w:color="auto"/>
              <w:left w:val="single" w:sz="4" w:space="0" w:color="auto"/>
              <w:bottom w:val="single" w:sz="4" w:space="0" w:color="auto"/>
              <w:right w:val="single" w:sz="4" w:space="0" w:color="auto"/>
            </w:tcBorders>
            <w:hideMark/>
          </w:tcPr>
          <w:p w14:paraId="7E935CC9" w14:textId="77777777" w:rsidR="007A3BC3" w:rsidRPr="003C1788" w:rsidRDefault="007A3BC3" w:rsidP="00F02708">
            <w:pPr>
              <w:keepNext/>
              <w:keepLines/>
              <w:jc w:val="center"/>
              <w:rPr>
                <w:b/>
                <w:sz w:val="20"/>
                <w:szCs w:val="20"/>
              </w:rPr>
            </w:pPr>
            <w:r w:rsidRPr="003C1788">
              <w:rPr>
                <w:b/>
                <w:sz w:val="20"/>
                <w:szCs w:val="20"/>
              </w:rPr>
              <w:t>Párrafos</w:t>
            </w:r>
          </w:p>
        </w:tc>
      </w:tr>
      <w:tr w:rsidR="007A3BC3" w:rsidRPr="003C1788" w14:paraId="5BFAB7FA" w14:textId="77777777" w:rsidTr="00F02708">
        <w:tc>
          <w:tcPr>
            <w:tcW w:w="9350" w:type="dxa"/>
            <w:gridSpan w:val="3"/>
            <w:tcBorders>
              <w:top w:val="single" w:sz="4" w:space="0" w:color="auto"/>
              <w:left w:val="single" w:sz="4" w:space="0" w:color="auto"/>
              <w:bottom w:val="single" w:sz="4" w:space="0" w:color="auto"/>
              <w:right w:val="single" w:sz="4" w:space="0" w:color="auto"/>
            </w:tcBorders>
            <w:hideMark/>
          </w:tcPr>
          <w:p w14:paraId="30B99E4D" w14:textId="77777777" w:rsidR="007A3BC3" w:rsidRPr="003C1788" w:rsidRDefault="007A3BC3" w:rsidP="007A3BC3">
            <w:pPr>
              <w:pStyle w:val="ListParagraph"/>
              <w:numPr>
                <w:ilvl w:val="0"/>
                <w:numId w:val="29"/>
              </w:numPr>
              <w:ind w:left="339"/>
              <w:jc w:val="left"/>
              <w:rPr>
                <w:b/>
                <w:sz w:val="20"/>
                <w:szCs w:val="20"/>
              </w:rPr>
            </w:pPr>
            <w:r w:rsidRPr="003C1788">
              <w:rPr>
                <w:b/>
                <w:sz w:val="20"/>
                <w:szCs w:val="20"/>
              </w:rPr>
              <w:t>Informes relacionados con los planes de gestión para la eliminación de HCFC (PGEH)</w:t>
            </w:r>
          </w:p>
        </w:tc>
      </w:tr>
      <w:tr w:rsidR="007A3BC3" w:rsidRPr="003C1788" w14:paraId="17BD87B1" w14:textId="77777777" w:rsidTr="00E8522B">
        <w:tc>
          <w:tcPr>
            <w:tcW w:w="1555" w:type="dxa"/>
            <w:tcBorders>
              <w:top w:val="single" w:sz="4" w:space="0" w:color="auto"/>
              <w:left w:val="single" w:sz="4" w:space="0" w:color="auto"/>
              <w:bottom w:val="single" w:sz="4" w:space="0" w:color="auto"/>
              <w:right w:val="single" w:sz="4" w:space="0" w:color="auto"/>
            </w:tcBorders>
          </w:tcPr>
          <w:p w14:paraId="3C70E104" w14:textId="0A95CE1D" w:rsidR="007A3BC3" w:rsidRPr="003C1788" w:rsidRDefault="00D25253" w:rsidP="00F02708">
            <w:pPr>
              <w:rPr>
                <w:sz w:val="20"/>
                <w:szCs w:val="20"/>
                <w:highlight w:val="yellow"/>
              </w:rPr>
            </w:pPr>
            <w:r w:rsidRPr="003C1788">
              <w:rPr>
                <w:sz w:val="20"/>
                <w:szCs w:val="20"/>
              </w:rPr>
              <w:t>Afganistán</w:t>
            </w:r>
          </w:p>
        </w:tc>
        <w:tc>
          <w:tcPr>
            <w:tcW w:w="6630" w:type="dxa"/>
            <w:tcBorders>
              <w:top w:val="single" w:sz="4" w:space="0" w:color="auto"/>
              <w:left w:val="single" w:sz="4" w:space="0" w:color="auto"/>
              <w:bottom w:val="single" w:sz="4" w:space="0" w:color="auto"/>
              <w:right w:val="single" w:sz="4" w:space="0" w:color="auto"/>
            </w:tcBorders>
          </w:tcPr>
          <w:p w14:paraId="51751F35" w14:textId="5D066A8D" w:rsidR="007A3BC3" w:rsidRPr="003C1788" w:rsidRDefault="00891C0E" w:rsidP="00280816">
            <w:pPr>
              <w:rPr>
                <w:sz w:val="20"/>
                <w:szCs w:val="20"/>
                <w:highlight w:val="yellow"/>
              </w:rPr>
            </w:pPr>
            <w:r w:rsidRPr="003C1788">
              <w:rPr>
                <w:sz w:val="20"/>
                <w:szCs w:val="20"/>
              </w:rPr>
              <w:t>Plan de gestión para la eliminación de HCFC (etapas I y II</w:t>
            </w:r>
            <w:r w:rsidR="00F84F0D">
              <w:rPr>
                <w:sz w:val="20"/>
                <w:szCs w:val="20"/>
              </w:rPr>
              <w:t xml:space="preserve"> </w:t>
            </w:r>
            <w:r w:rsidR="00F84F0D" w:rsidRPr="003C1788">
              <w:rPr>
                <w:sz w:val="20"/>
                <w:szCs w:val="20"/>
              </w:rPr>
              <w:t xml:space="preserve">- </w:t>
            </w:r>
            <w:r w:rsidRPr="003C1788">
              <w:rPr>
                <w:sz w:val="20"/>
                <w:szCs w:val="20"/>
              </w:rPr>
              <w:t>transferencia de la ejecución de los componentes del PNUMA a la ONUDI)</w:t>
            </w:r>
          </w:p>
        </w:tc>
        <w:tc>
          <w:tcPr>
            <w:tcW w:w="1165" w:type="dxa"/>
            <w:tcBorders>
              <w:top w:val="single" w:sz="4" w:space="0" w:color="auto"/>
              <w:left w:val="single" w:sz="4" w:space="0" w:color="auto"/>
              <w:bottom w:val="single" w:sz="4" w:space="0" w:color="auto"/>
              <w:right w:val="single" w:sz="4" w:space="0" w:color="auto"/>
            </w:tcBorders>
          </w:tcPr>
          <w:p w14:paraId="153B1C68" w14:textId="57C4E27D" w:rsidR="007A3BC3" w:rsidRPr="003C1788" w:rsidRDefault="005A6A82" w:rsidP="00F02708">
            <w:pPr>
              <w:jc w:val="center"/>
              <w:rPr>
                <w:sz w:val="20"/>
                <w:szCs w:val="20"/>
                <w:highlight w:val="yellow"/>
              </w:rPr>
            </w:pPr>
            <w:r w:rsidRPr="003C1788">
              <w:rPr>
                <w:sz w:val="20"/>
                <w:szCs w:val="20"/>
              </w:rPr>
              <w:t>2 - 15</w:t>
            </w:r>
          </w:p>
        </w:tc>
      </w:tr>
      <w:tr w:rsidR="00D25253" w:rsidRPr="003C1788" w14:paraId="13FD8C5B" w14:textId="77777777" w:rsidTr="00E8522B">
        <w:tc>
          <w:tcPr>
            <w:tcW w:w="1555" w:type="dxa"/>
            <w:tcBorders>
              <w:top w:val="single" w:sz="4" w:space="0" w:color="auto"/>
              <w:left w:val="single" w:sz="4" w:space="0" w:color="auto"/>
              <w:bottom w:val="single" w:sz="4" w:space="0" w:color="auto"/>
              <w:right w:val="single" w:sz="4" w:space="0" w:color="auto"/>
            </w:tcBorders>
          </w:tcPr>
          <w:p w14:paraId="5D0B56D5" w14:textId="0C50CDD0" w:rsidR="00D25253" w:rsidRPr="003C1788" w:rsidRDefault="00D25253" w:rsidP="00D25253">
            <w:pPr>
              <w:rPr>
                <w:sz w:val="20"/>
                <w:szCs w:val="20"/>
              </w:rPr>
            </w:pPr>
            <w:r w:rsidRPr="003C1788">
              <w:rPr>
                <w:sz w:val="20"/>
                <w:szCs w:val="20"/>
              </w:rPr>
              <w:t>Argentina</w:t>
            </w:r>
          </w:p>
        </w:tc>
        <w:tc>
          <w:tcPr>
            <w:tcW w:w="6630" w:type="dxa"/>
            <w:tcBorders>
              <w:top w:val="single" w:sz="4" w:space="0" w:color="auto"/>
              <w:left w:val="single" w:sz="4" w:space="0" w:color="auto"/>
              <w:bottom w:val="single" w:sz="4" w:space="0" w:color="auto"/>
              <w:right w:val="single" w:sz="4" w:space="0" w:color="auto"/>
            </w:tcBorders>
          </w:tcPr>
          <w:p w14:paraId="170F18CD" w14:textId="0588F8B9" w:rsidR="00D25253" w:rsidRPr="003C1788" w:rsidRDefault="00D25253" w:rsidP="00D25253">
            <w:pPr>
              <w:rPr>
                <w:sz w:val="20"/>
                <w:szCs w:val="20"/>
              </w:rPr>
            </w:pPr>
            <w:r w:rsidRPr="003C1788">
              <w:rPr>
                <w:sz w:val="20"/>
                <w:szCs w:val="20"/>
              </w:rPr>
              <w:t xml:space="preserve">Plan de gestión para la eliminación de HCFC (etapa II - disponibilidad de alternativas de bajo potencial de calentamiento atmosférico al HCFC 141b en el sector de las espumas y uso transitorio de alternativas de alto potencial de calentamiento atmosférico) </w:t>
            </w:r>
          </w:p>
        </w:tc>
        <w:tc>
          <w:tcPr>
            <w:tcW w:w="1165" w:type="dxa"/>
            <w:tcBorders>
              <w:top w:val="single" w:sz="4" w:space="0" w:color="auto"/>
              <w:left w:val="single" w:sz="4" w:space="0" w:color="auto"/>
              <w:bottom w:val="single" w:sz="4" w:space="0" w:color="auto"/>
              <w:right w:val="single" w:sz="4" w:space="0" w:color="auto"/>
            </w:tcBorders>
          </w:tcPr>
          <w:p w14:paraId="393727C5" w14:textId="6E2D1CF2" w:rsidR="00D25253" w:rsidRPr="003C1788" w:rsidRDefault="005A6A82" w:rsidP="00D25253">
            <w:pPr>
              <w:jc w:val="center"/>
              <w:rPr>
                <w:sz w:val="20"/>
                <w:szCs w:val="20"/>
              </w:rPr>
            </w:pPr>
            <w:r w:rsidRPr="003C1788">
              <w:rPr>
                <w:sz w:val="20"/>
                <w:szCs w:val="20"/>
              </w:rPr>
              <w:t>16 - 28</w:t>
            </w:r>
          </w:p>
        </w:tc>
      </w:tr>
      <w:tr w:rsidR="00D25253" w:rsidRPr="003C1788" w14:paraId="625810A9" w14:textId="77777777" w:rsidTr="00E8522B">
        <w:tc>
          <w:tcPr>
            <w:tcW w:w="1555" w:type="dxa"/>
            <w:tcBorders>
              <w:top w:val="single" w:sz="4" w:space="0" w:color="auto"/>
              <w:left w:val="single" w:sz="4" w:space="0" w:color="auto"/>
              <w:bottom w:val="single" w:sz="4" w:space="0" w:color="auto"/>
              <w:right w:val="single" w:sz="4" w:space="0" w:color="auto"/>
            </w:tcBorders>
          </w:tcPr>
          <w:p w14:paraId="00FE4618" w14:textId="7514A3FB" w:rsidR="00D25253" w:rsidRPr="003C1788" w:rsidRDefault="00D25253" w:rsidP="00D25253">
            <w:pPr>
              <w:rPr>
                <w:sz w:val="20"/>
                <w:szCs w:val="20"/>
                <w:highlight w:val="yellow"/>
              </w:rPr>
            </w:pPr>
            <w:r w:rsidRPr="003C1788">
              <w:rPr>
                <w:sz w:val="20"/>
                <w:szCs w:val="20"/>
              </w:rPr>
              <w:t>Bolivia (Estado Plurinacional de)</w:t>
            </w:r>
          </w:p>
        </w:tc>
        <w:tc>
          <w:tcPr>
            <w:tcW w:w="6630" w:type="dxa"/>
            <w:tcBorders>
              <w:top w:val="single" w:sz="4" w:space="0" w:color="auto"/>
              <w:left w:val="single" w:sz="4" w:space="0" w:color="auto"/>
              <w:bottom w:val="single" w:sz="4" w:space="0" w:color="auto"/>
              <w:right w:val="single" w:sz="4" w:space="0" w:color="auto"/>
            </w:tcBorders>
          </w:tcPr>
          <w:p w14:paraId="35D3C1B0" w14:textId="74D0F043" w:rsidR="00D25253" w:rsidRPr="003C1788" w:rsidRDefault="00D25253" w:rsidP="00D25253">
            <w:pPr>
              <w:rPr>
                <w:sz w:val="20"/>
                <w:szCs w:val="20"/>
              </w:rPr>
            </w:pPr>
            <w:r w:rsidRPr="003C1788">
              <w:rPr>
                <w:rStyle w:val="normaltextrun"/>
                <w:color w:val="000000"/>
                <w:sz w:val="20"/>
                <w:szCs w:val="20"/>
                <w:shd w:val="clear" w:color="auto" w:fill="FFFFFF"/>
              </w:rPr>
              <w:t xml:space="preserve">Plan de gestión para la eliminación de HCFC (etapa II - informe sobre los avances logrados en el establecimiento de una prohibición de los equipos a base de HCFC) </w:t>
            </w:r>
          </w:p>
        </w:tc>
        <w:tc>
          <w:tcPr>
            <w:tcW w:w="1165" w:type="dxa"/>
            <w:tcBorders>
              <w:top w:val="single" w:sz="4" w:space="0" w:color="auto"/>
              <w:left w:val="single" w:sz="4" w:space="0" w:color="auto"/>
              <w:bottom w:val="single" w:sz="4" w:space="0" w:color="auto"/>
              <w:right w:val="single" w:sz="4" w:space="0" w:color="auto"/>
            </w:tcBorders>
          </w:tcPr>
          <w:p w14:paraId="17BA54E8" w14:textId="08678422" w:rsidR="00D25253" w:rsidRPr="003C1788" w:rsidRDefault="005A6A82" w:rsidP="00D25253">
            <w:pPr>
              <w:jc w:val="center"/>
              <w:rPr>
                <w:sz w:val="20"/>
                <w:szCs w:val="20"/>
              </w:rPr>
            </w:pPr>
            <w:r w:rsidRPr="003C1788">
              <w:rPr>
                <w:sz w:val="20"/>
                <w:szCs w:val="20"/>
              </w:rPr>
              <w:t>29 - 34</w:t>
            </w:r>
          </w:p>
        </w:tc>
      </w:tr>
      <w:tr w:rsidR="00D25253" w:rsidRPr="003C1788" w14:paraId="157C3B07" w14:textId="77777777" w:rsidTr="00E8522B">
        <w:tc>
          <w:tcPr>
            <w:tcW w:w="1555" w:type="dxa"/>
            <w:tcBorders>
              <w:top w:val="single" w:sz="4" w:space="0" w:color="auto"/>
              <w:left w:val="single" w:sz="4" w:space="0" w:color="auto"/>
              <w:bottom w:val="single" w:sz="4" w:space="0" w:color="auto"/>
              <w:right w:val="single" w:sz="4" w:space="0" w:color="auto"/>
            </w:tcBorders>
          </w:tcPr>
          <w:p w14:paraId="4D016A81" w14:textId="56DDBCBB" w:rsidR="00D25253" w:rsidRPr="003C1788" w:rsidRDefault="00D25253" w:rsidP="00D25253">
            <w:pPr>
              <w:rPr>
                <w:sz w:val="20"/>
                <w:szCs w:val="20"/>
              </w:rPr>
            </w:pPr>
            <w:r w:rsidRPr="003C1788">
              <w:rPr>
                <w:sz w:val="20"/>
                <w:szCs w:val="20"/>
              </w:rPr>
              <w:t>Honduras</w:t>
            </w:r>
          </w:p>
        </w:tc>
        <w:tc>
          <w:tcPr>
            <w:tcW w:w="6630" w:type="dxa"/>
            <w:tcBorders>
              <w:top w:val="single" w:sz="4" w:space="0" w:color="auto"/>
              <w:left w:val="single" w:sz="4" w:space="0" w:color="auto"/>
              <w:bottom w:val="single" w:sz="4" w:space="0" w:color="auto"/>
              <w:right w:val="single" w:sz="4" w:space="0" w:color="auto"/>
            </w:tcBorders>
          </w:tcPr>
          <w:p w14:paraId="4A5FA949" w14:textId="32E6D761" w:rsidR="00D25253" w:rsidRPr="003C1788" w:rsidRDefault="00D25253" w:rsidP="007E640E">
            <w:pPr>
              <w:rPr>
                <w:color w:val="000000"/>
                <w:sz w:val="20"/>
                <w:szCs w:val="20"/>
                <w:shd w:val="clear" w:color="auto" w:fill="FFFFFF"/>
              </w:rPr>
            </w:pPr>
            <w:r w:rsidRPr="003C1788">
              <w:rPr>
                <w:rStyle w:val="normaltextrun"/>
                <w:color w:val="000000"/>
                <w:sz w:val="20"/>
                <w:szCs w:val="20"/>
                <w:shd w:val="clear" w:color="auto" w:fill="FFFFFF"/>
              </w:rPr>
              <w:t xml:space="preserve">Plan de gestión para la eliminación de HCFC (etapa II - actualización de los avances en la aplicación de las recomendaciones del informe de verificación) </w:t>
            </w:r>
          </w:p>
        </w:tc>
        <w:tc>
          <w:tcPr>
            <w:tcW w:w="1165" w:type="dxa"/>
            <w:tcBorders>
              <w:top w:val="single" w:sz="4" w:space="0" w:color="auto"/>
              <w:left w:val="single" w:sz="4" w:space="0" w:color="auto"/>
              <w:bottom w:val="single" w:sz="4" w:space="0" w:color="auto"/>
              <w:right w:val="single" w:sz="4" w:space="0" w:color="auto"/>
            </w:tcBorders>
          </w:tcPr>
          <w:p w14:paraId="52EE27DD" w14:textId="485827C8" w:rsidR="00D25253" w:rsidRPr="003C1788" w:rsidRDefault="005A6A82" w:rsidP="00D25253">
            <w:pPr>
              <w:jc w:val="center"/>
              <w:rPr>
                <w:sz w:val="20"/>
                <w:szCs w:val="20"/>
              </w:rPr>
            </w:pPr>
            <w:r w:rsidRPr="003C1788">
              <w:rPr>
                <w:sz w:val="20"/>
                <w:szCs w:val="20"/>
              </w:rPr>
              <w:t>35 - 39</w:t>
            </w:r>
          </w:p>
        </w:tc>
      </w:tr>
      <w:tr w:rsidR="00D25253" w:rsidRPr="003C1788" w14:paraId="7DC6B724" w14:textId="77777777" w:rsidTr="00E8522B">
        <w:tc>
          <w:tcPr>
            <w:tcW w:w="1555" w:type="dxa"/>
            <w:tcBorders>
              <w:top w:val="single" w:sz="4" w:space="0" w:color="auto"/>
              <w:left w:val="single" w:sz="4" w:space="0" w:color="auto"/>
              <w:bottom w:val="single" w:sz="4" w:space="0" w:color="auto"/>
              <w:right w:val="single" w:sz="4" w:space="0" w:color="auto"/>
            </w:tcBorders>
          </w:tcPr>
          <w:p w14:paraId="3AD2173D" w14:textId="4B591281" w:rsidR="00D25253" w:rsidRPr="003C1788" w:rsidRDefault="00D25253" w:rsidP="00D25253">
            <w:pPr>
              <w:rPr>
                <w:sz w:val="20"/>
                <w:szCs w:val="20"/>
              </w:rPr>
            </w:pPr>
            <w:r w:rsidRPr="003C1788">
              <w:rPr>
                <w:sz w:val="20"/>
                <w:szCs w:val="20"/>
              </w:rPr>
              <w:lastRenderedPageBreak/>
              <w:t>Mauritania</w:t>
            </w:r>
          </w:p>
        </w:tc>
        <w:tc>
          <w:tcPr>
            <w:tcW w:w="6630" w:type="dxa"/>
            <w:tcBorders>
              <w:top w:val="single" w:sz="4" w:space="0" w:color="auto"/>
              <w:left w:val="single" w:sz="4" w:space="0" w:color="auto"/>
              <w:bottom w:val="single" w:sz="4" w:space="0" w:color="auto"/>
              <w:right w:val="single" w:sz="4" w:space="0" w:color="auto"/>
            </w:tcBorders>
          </w:tcPr>
          <w:p w14:paraId="28D26477" w14:textId="1FEB7A8B" w:rsidR="00D25253" w:rsidRPr="003C1788" w:rsidRDefault="003479EB" w:rsidP="00D25253">
            <w:pPr>
              <w:rPr>
                <w:rStyle w:val="normaltextrun"/>
                <w:color w:val="000000"/>
                <w:sz w:val="20"/>
                <w:szCs w:val="20"/>
                <w:shd w:val="clear" w:color="auto" w:fill="FFFFFF"/>
              </w:rPr>
            </w:pPr>
            <w:r w:rsidRPr="003C1788">
              <w:rPr>
                <w:rStyle w:val="normaltextrun"/>
                <w:color w:val="000000"/>
                <w:sz w:val="20"/>
                <w:szCs w:val="20"/>
                <w:shd w:val="clear" w:color="auto" w:fill="FFFFFF"/>
              </w:rPr>
              <w:t>Plan de gestión para la eliminación de HCFC (etapa I - medidas adoptadas para reforzar los sistemas de licencias y cuotas de importación y exportación de HCFC)</w:t>
            </w:r>
          </w:p>
        </w:tc>
        <w:tc>
          <w:tcPr>
            <w:tcW w:w="1165" w:type="dxa"/>
            <w:tcBorders>
              <w:top w:val="single" w:sz="4" w:space="0" w:color="auto"/>
              <w:left w:val="single" w:sz="4" w:space="0" w:color="auto"/>
              <w:bottom w:val="single" w:sz="4" w:space="0" w:color="auto"/>
              <w:right w:val="single" w:sz="4" w:space="0" w:color="auto"/>
            </w:tcBorders>
          </w:tcPr>
          <w:p w14:paraId="2A64F2E3" w14:textId="3E1C6BD7" w:rsidR="00D25253" w:rsidRPr="003C1788" w:rsidRDefault="005A6A82" w:rsidP="00D25253">
            <w:pPr>
              <w:jc w:val="center"/>
              <w:rPr>
                <w:sz w:val="20"/>
                <w:szCs w:val="20"/>
              </w:rPr>
            </w:pPr>
            <w:r w:rsidRPr="003C1788">
              <w:rPr>
                <w:sz w:val="20"/>
                <w:szCs w:val="20"/>
              </w:rPr>
              <w:t>40 - 44</w:t>
            </w:r>
          </w:p>
        </w:tc>
      </w:tr>
      <w:tr w:rsidR="00D25253" w:rsidRPr="003C1788" w14:paraId="0179CD28" w14:textId="77777777" w:rsidTr="00E8522B">
        <w:tc>
          <w:tcPr>
            <w:tcW w:w="1555" w:type="dxa"/>
            <w:tcBorders>
              <w:top w:val="single" w:sz="4" w:space="0" w:color="auto"/>
              <w:left w:val="single" w:sz="4" w:space="0" w:color="auto"/>
              <w:bottom w:val="single" w:sz="4" w:space="0" w:color="auto"/>
              <w:right w:val="single" w:sz="4" w:space="0" w:color="auto"/>
            </w:tcBorders>
          </w:tcPr>
          <w:p w14:paraId="7FA7CB48" w14:textId="492A4F76" w:rsidR="00D25253" w:rsidRPr="003C1788" w:rsidRDefault="00D25253" w:rsidP="00D25253">
            <w:pPr>
              <w:rPr>
                <w:sz w:val="20"/>
                <w:szCs w:val="20"/>
              </w:rPr>
            </w:pPr>
            <w:proofErr w:type="spellStart"/>
            <w:r w:rsidRPr="003C1788">
              <w:rPr>
                <w:sz w:val="20"/>
                <w:szCs w:val="20"/>
              </w:rPr>
              <w:t>Viet</w:t>
            </w:r>
            <w:proofErr w:type="spellEnd"/>
            <w:r w:rsidRPr="003C1788">
              <w:rPr>
                <w:sz w:val="20"/>
                <w:szCs w:val="20"/>
              </w:rPr>
              <w:t xml:space="preserve"> </w:t>
            </w:r>
            <w:proofErr w:type="spellStart"/>
            <w:r w:rsidRPr="003C1788">
              <w:rPr>
                <w:sz w:val="20"/>
                <w:szCs w:val="20"/>
              </w:rPr>
              <w:t>Nam</w:t>
            </w:r>
            <w:proofErr w:type="spellEnd"/>
          </w:p>
        </w:tc>
        <w:tc>
          <w:tcPr>
            <w:tcW w:w="6630" w:type="dxa"/>
            <w:tcBorders>
              <w:top w:val="single" w:sz="4" w:space="0" w:color="auto"/>
              <w:left w:val="single" w:sz="4" w:space="0" w:color="auto"/>
              <w:bottom w:val="single" w:sz="4" w:space="0" w:color="auto"/>
              <w:right w:val="single" w:sz="4" w:space="0" w:color="auto"/>
            </w:tcBorders>
          </w:tcPr>
          <w:p w14:paraId="632E962B" w14:textId="0A5BB12B" w:rsidR="00D25253" w:rsidRPr="003C1788" w:rsidRDefault="00D25253" w:rsidP="00DD23E7">
            <w:pPr>
              <w:rPr>
                <w:rStyle w:val="normaltextrun"/>
                <w:color w:val="000000"/>
                <w:sz w:val="20"/>
                <w:szCs w:val="20"/>
                <w:shd w:val="clear" w:color="auto" w:fill="FFFFFF"/>
              </w:rPr>
            </w:pPr>
            <w:r w:rsidRPr="003C1788">
              <w:rPr>
                <w:rStyle w:val="normaltextrun"/>
                <w:color w:val="000000"/>
                <w:sz w:val="20"/>
                <w:szCs w:val="20"/>
                <w:shd w:val="clear" w:color="auto" w:fill="FFFFFF"/>
              </w:rPr>
              <w:t>Plan de gestión para la eliminación de HCFC (etapa II - informe final</w:t>
            </w:r>
            <w:r w:rsidR="00DD23E7">
              <w:rPr>
                <w:rStyle w:val="normaltextrun"/>
                <w:color w:val="000000"/>
                <w:sz w:val="20"/>
                <w:szCs w:val="20"/>
                <w:shd w:val="clear" w:color="auto" w:fill="FFFFFF"/>
              </w:rPr>
              <w:t xml:space="preserve"> sobre la marcha de las actividades</w:t>
            </w:r>
            <w:r w:rsidRPr="003C1788">
              <w:rPr>
                <w:rStyle w:val="normaltextrun"/>
                <w:color w:val="000000"/>
                <w:sz w:val="20"/>
                <w:szCs w:val="20"/>
                <w:shd w:val="clear" w:color="auto" w:fill="FFFFFF"/>
              </w:rPr>
              <w:t xml:space="preserve">) </w:t>
            </w:r>
          </w:p>
        </w:tc>
        <w:tc>
          <w:tcPr>
            <w:tcW w:w="1165" w:type="dxa"/>
            <w:tcBorders>
              <w:top w:val="single" w:sz="4" w:space="0" w:color="auto"/>
              <w:left w:val="single" w:sz="4" w:space="0" w:color="auto"/>
              <w:bottom w:val="single" w:sz="4" w:space="0" w:color="auto"/>
              <w:right w:val="single" w:sz="4" w:space="0" w:color="auto"/>
            </w:tcBorders>
          </w:tcPr>
          <w:p w14:paraId="0D43EA22" w14:textId="57B038CE" w:rsidR="00D25253" w:rsidRPr="003C1788" w:rsidRDefault="00F81A98" w:rsidP="00D25253">
            <w:pPr>
              <w:jc w:val="center"/>
              <w:rPr>
                <w:sz w:val="20"/>
                <w:szCs w:val="20"/>
              </w:rPr>
            </w:pPr>
            <w:r w:rsidRPr="003C1788">
              <w:rPr>
                <w:sz w:val="20"/>
                <w:szCs w:val="20"/>
              </w:rPr>
              <w:t>45 - 61</w:t>
            </w:r>
          </w:p>
        </w:tc>
      </w:tr>
      <w:tr w:rsidR="00136F54" w:rsidRPr="003C1788" w14:paraId="67F4F99E" w14:textId="77777777" w:rsidTr="00F02708">
        <w:tc>
          <w:tcPr>
            <w:tcW w:w="9350" w:type="dxa"/>
            <w:gridSpan w:val="3"/>
            <w:tcBorders>
              <w:top w:val="single" w:sz="4" w:space="0" w:color="auto"/>
              <w:left w:val="single" w:sz="4" w:space="0" w:color="auto"/>
              <w:bottom w:val="single" w:sz="4" w:space="0" w:color="auto"/>
              <w:right w:val="single" w:sz="4" w:space="0" w:color="auto"/>
            </w:tcBorders>
          </w:tcPr>
          <w:p w14:paraId="29B38B55" w14:textId="0B26D2F0" w:rsidR="00136F54" w:rsidRPr="003C1788" w:rsidRDefault="00136F54" w:rsidP="00E03D73">
            <w:pPr>
              <w:pStyle w:val="ListParagraph"/>
              <w:keepNext/>
              <w:numPr>
                <w:ilvl w:val="0"/>
                <w:numId w:val="29"/>
              </w:numPr>
              <w:ind w:left="306" w:hanging="306"/>
              <w:jc w:val="left"/>
              <w:rPr>
                <w:b/>
                <w:bCs/>
                <w:sz w:val="20"/>
                <w:szCs w:val="20"/>
              </w:rPr>
            </w:pPr>
            <w:bookmarkStart w:id="0" w:name="_Hlk182927260"/>
            <w:r w:rsidRPr="003C1788">
              <w:rPr>
                <w:b/>
                <w:bCs/>
                <w:sz w:val="20"/>
                <w:szCs w:val="20"/>
              </w:rPr>
              <w:t>Informe sobre los planes de aplicación de la Enmienda de Kigali relativa a los HFC (PAK)</w:t>
            </w:r>
            <w:bookmarkEnd w:id="0"/>
          </w:p>
        </w:tc>
      </w:tr>
      <w:tr w:rsidR="00136F54" w:rsidRPr="003C1788" w14:paraId="53CD8809" w14:textId="77777777" w:rsidTr="00E8522B">
        <w:tc>
          <w:tcPr>
            <w:tcW w:w="1555" w:type="dxa"/>
            <w:tcBorders>
              <w:top w:val="single" w:sz="4" w:space="0" w:color="auto"/>
              <w:left w:val="single" w:sz="4" w:space="0" w:color="auto"/>
              <w:bottom w:val="single" w:sz="4" w:space="0" w:color="auto"/>
              <w:right w:val="single" w:sz="4" w:space="0" w:color="auto"/>
            </w:tcBorders>
          </w:tcPr>
          <w:p w14:paraId="3D250C9C" w14:textId="69F1DE8D" w:rsidR="00136F54" w:rsidRPr="003C1788" w:rsidRDefault="00136F54" w:rsidP="00136F54">
            <w:pPr>
              <w:pStyle w:val="ListParagraph"/>
              <w:ind w:left="166" w:hanging="166"/>
              <w:rPr>
                <w:sz w:val="20"/>
                <w:szCs w:val="20"/>
              </w:rPr>
            </w:pPr>
            <w:r w:rsidRPr="003C1788">
              <w:rPr>
                <w:sz w:val="20"/>
                <w:szCs w:val="20"/>
              </w:rPr>
              <w:t>Burkina Faso</w:t>
            </w:r>
          </w:p>
        </w:tc>
        <w:tc>
          <w:tcPr>
            <w:tcW w:w="6630" w:type="dxa"/>
            <w:tcBorders>
              <w:top w:val="single" w:sz="4" w:space="0" w:color="auto"/>
              <w:left w:val="single" w:sz="4" w:space="0" w:color="auto"/>
              <w:bottom w:val="single" w:sz="4" w:space="0" w:color="auto"/>
              <w:right w:val="single" w:sz="4" w:space="0" w:color="auto"/>
            </w:tcBorders>
          </w:tcPr>
          <w:p w14:paraId="51618C05" w14:textId="5A6C5FB2" w:rsidR="00136F54" w:rsidRPr="003C1788" w:rsidRDefault="001A2F97" w:rsidP="00136F54">
            <w:pPr>
              <w:rPr>
                <w:rStyle w:val="normaltextrun"/>
                <w:color w:val="000000"/>
                <w:sz w:val="20"/>
                <w:szCs w:val="20"/>
                <w:shd w:val="clear" w:color="auto" w:fill="FFFFFF"/>
              </w:rPr>
            </w:pPr>
            <w:r w:rsidRPr="003C1788">
              <w:rPr>
                <w:sz w:val="20"/>
                <w:szCs w:val="20"/>
              </w:rPr>
              <w:t>Plan de aplicación de la Enmienda de Kigali relativa a los HFC (etapa I - primer tramo - estudio de viabilidad sobre el establecimiento de un centro de distribución de hidrocarburos)</w:t>
            </w:r>
          </w:p>
        </w:tc>
        <w:tc>
          <w:tcPr>
            <w:tcW w:w="1165" w:type="dxa"/>
            <w:tcBorders>
              <w:top w:val="single" w:sz="4" w:space="0" w:color="auto"/>
              <w:left w:val="single" w:sz="4" w:space="0" w:color="auto"/>
              <w:bottom w:val="single" w:sz="4" w:space="0" w:color="auto"/>
              <w:right w:val="single" w:sz="4" w:space="0" w:color="auto"/>
            </w:tcBorders>
          </w:tcPr>
          <w:p w14:paraId="2645835F" w14:textId="2D1AE5F7" w:rsidR="00136F54" w:rsidRPr="003C1788" w:rsidRDefault="00F81A98" w:rsidP="00136F54">
            <w:pPr>
              <w:jc w:val="center"/>
              <w:rPr>
                <w:sz w:val="20"/>
                <w:szCs w:val="20"/>
              </w:rPr>
            </w:pPr>
            <w:r w:rsidRPr="003C1788">
              <w:rPr>
                <w:sz w:val="20"/>
                <w:szCs w:val="20"/>
              </w:rPr>
              <w:t>62 - 71</w:t>
            </w:r>
          </w:p>
        </w:tc>
      </w:tr>
      <w:tr w:rsidR="00D25253" w:rsidRPr="003C1788" w14:paraId="3FF7E7A5" w14:textId="77777777" w:rsidTr="00F02708">
        <w:tc>
          <w:tcPr>
            <w:tcW w:w="9350" w:type="dxa"/>
            <w:gridSpan w:val="3"/>
            <w:tcBorders>
              <w:top w:val="single" w:sz="4" w:space="0" w:color="auto"/>
              <w:left w:val="single" w:sz="4" w:space="0" w:color="auto"/>
              <w:bottom w:val="single" w:sz="4" w:space="0" w:color="auto"/>
              <w:right w:val="single" w:sz="4" w:space="0" w:color="auto"/>
            </w:tcBorders>
          </w:tcPr>
          <w:p w14:paraId="224158C9" w14:textId="5691B873" w:rsidR="00D25253" w:rsidRPr="003C1788" w:rsidRDefault="00D25253" w:rsidP="006235F7">
            <w:pPr>
              <w:pStyle w:val="ListParagraph"/>
              <w:numPr>
                <w:ilvl w:val="0"/>
                <w:numId w:val="29"/>
              </w:numPr>
              <w:ind w:left="339"/>
              <w:jc w:val="left"/>
              <w:rPr>
                <w:b/>
                <w:bCs/>
                <w:sz w:val="20"/>
                <w:szCs w:val="20"/>
              </w:rPr>
            </w:pPr>
            <w:bookmarkStart w:id="1" w:name="_Hlk182927302"/>
            <w:r w:rsidRPr="003C1788">
              <w:rPr>
                <w:b/>
                <w:bCs/>
                <w:sz w:val="20"/>
                <w:szCs w:val="20"/>
              </w:rPr>
              <w:t>Informe sobre actividades adicionales para mantener la eficiencia energética en el sector servicio técnico de refrigeración (decisión 89/6)</w:t>
            </w:r>
            <w:bookmarkEnd w:id="1"/>
          </w:p>
        </w:tc>
      </w:tr>
      <w:tr w:rsidR="00D25253" w:rsidRPr="003C1788" w14:paraId="20148934" w14:textId="77777777" w:rsidTr="00E8522B">
        <w:tc>
          <w:tcPr>
            <w:tcW w:w="1555" w:type="dxa"/>
            <w:tcBorders>
              <w:top w:val="single" w:sz="4" w:space="0" w:color="auto"/>
              <w:left w:val="single" w:sz="4" w:space="0" w:color="auto"/>
              <w:bottom w:val="single" w:sz="4" w:space="0" w:color="auto"/>
              <w:right w:val="single" w:sz="4" w:space="0" w:color="auto"/>
            </w:tcBorders>
          </w:tcPr>
          <w:p w14:paraId="7CE6309C" w14:textId="3BB5313F" w:rsidR="00D25253" w:rsidRPr="003C1788" w:rsidRDefault="00D25253" w:rsidP="00D25253">
            <w:pPr>
              <w:rPr>
                <w:sz w:val="20"/>
                <w:szCs w:val="20"/>
              </w:rPr>
            </w:pPr>
            <w:r w:rsidRPr="003C1788">
              <w:rPr>
                <w:sz w:val="20"/>
                <w:szCs w:val="20"/>
              </w:rPr>
              <w:t>Maldivas</w:t>
            </w:r>
          </w:p>
        </w:tc>
        <w:tc>
          <w:tcPr>
            <w:tcW w:w="6630" w:type="dxa"/>
            <w:tcBorders>
              <w:top w:val="single" w:sz="4" w:space="0" w:color="auto"/>
              <w:left w:val="single" w:sz="4" w:space="0" w:color="auto"/>
              <w:bottom w:val="single" w:sz="4" w:space="0" w:color="auto"/>
              <w:right w:val="single" w:sz="4" w:space="0" w:color="auto"/>
            </w:tcBorders>
          </w:tcPr>
          <w:p w14:paraId="25E3BA8C" w14:textId="4C6B7E95" w:rsidR="00D25253" w:rsidRPr="003C1788" w:rsidRDefault="00792803" w:rsidP="006235F7">
            <w:pPr>
              <w:rPr>
                <w:sz w:val="20"/>
                <w:szCs w:val="20"/>
              </w:rPr>
            </w:pPr>
            <w:r w:rsidRPr="003C1788">
              <w:rPr>
                <w:sz w:val="20"/>
                <w:szCs w:val="20"/>
              </w:rPr>
              <w:t xml:space="preserve">Actividades adicionales para mantener la eficiencia energética en el sector servicio técnico de </w:t>
            </w:r>
            <w:r w:rsidR="000D4422">
              <w:rPr>
                <w:sz w:val="20"/>
                <w:szCs w:val="20"/>
              </w:rPr>
              <w:t xml:space="preserve">equipos de </w:t>
            </w:r>
            <w:r w:rsidRPr="003C1788">
              <w:rPr>
                <w:sz w:val="20"/>
                <w:szCs w:val="20"/>
              </w:rPr>
              <w:t>refrigeración conforme a la decisión 89/6 b) (informe sobre la marcha de las actividades)</w:t>
            </w:r>
          </w:p>
        </w:tc>
        <w:tc>
          <w:tcPr>
            <w:tcW w:w="1165" w:type="dxa"/>
            <w:tcBorders>
              <w:top w:val="single" w:sz="4" w:space="0" w:color="auto"/>
              <w:left w:val="single" w:sz="4" w:space="0" w:color="auto"/>
              <w:bottom w:val="single" w:sz="4" w:space="0" w:color="auto"/>
              <w:right w:val="single" w:sz="4" w:space="0" w:color="auto"/>
            </w:tcBorders>
          </w:tcPr>
          <w:p w14:paraId="2C7859AA" w14:textId="7C51B75C" w:rsidR="00D25253" w:rsidRPr="003C1788" w:rsidRDefault="00F81A98" w:rsidP="00D25253">
            <w:pPr>
              <w:jc w:val="center"/>
              <w:rPr>
                <w:sz w:val="20"/>
                <w:szCs w:val="20"/>
                <w:highlight w:val="lightGray"/>
              </w:rPr>
            </w:pPr>
            <w:r w:rsidRPr="003C1788">
              <w:rPr>
                <w:sz w:val="20"/>
                <w:szCs w:val="20"/>
              </w:rPr>
              <w:t>72 - 80</w:t>
            </w:r>
          </w:p>
        </w:tc>
      </w:tr>
    </w:tbl>
    <w:p w14:paraId="268C8643" w14:textId="77777777" w:rsidR="007A3BC3" w:rsidRPr="003C1788" w:rsidRDefault="007A3BC3" w:rsidP="007A3BC3">
      <w:pPr>
        <w:rPr>
          <w:highlight w:val="green"/>
        </w:rPr>
      </w:pPr>
    </w:p>
    <w:p w14:paraId="78078177" w14:textId="77777777" w:rsidR="007A3BC3" w:rsidRPr="003C1788" w:rsidRDefault="007A3BC3" w:rsidP="00891C0E">
      <w:pPr>
        <w:pStyle w:val="Style4"/>
      </w:pPr>
      <w:r w:rsidRPr="003C1788">
        <w:t>Informes relacionados con los PGEH</w:t>
      </w:r>
    </w:p>
    <w:p w14:paraId="15740AA6" w14:textId="71A0C745" w:rsidR="00891C0E" w:rsidRPr="003C1788" w:rsidRDefault="00891C0E" w:rsidP="00891C0E">
      <w:pPr>
        <w:spacing w:after="240"/>
        <w:ind w:left="709"/>
        <w:outlineLvl w:val="0"/>
        <w:rPr>
          <w:rFonts w:eastAsiaTheme="minorEastAsia"/>
        </w:rPr>
      </w:pPr>
      <w:r w:rsidRPr="003C1788">
        <w:rPr>
          <w:b/>
          <w:bCs/>
          <w:u w:val="single"/>
        </w:rPr>
        <w:t>Afganistán</w:t>
      </w:r>
      <w:r w:rsidR="00A57943">
        <w:rPr>
          <w:b/>
          <w:bCs/>
          <w:u w:val="single"/>
        </w:rPr>
        <w:t>:</w:t>
      </w:r>
      <w:r w:rsidRPr="003C1788">
        <w:rPr>
          <w:b/>
          <w:bCs/>
          <w:u w:val="single"/>
        </w:rPr>
        <w:t xml:space="preserve"> Plan de gestión para la eliminación de HCFC (etapas I y II – transferencia de la ejecución de los componentes del PNUMA a la ONUDI)</w:t>
      </w:r>
      <w:r w:rsidRPr="003C1788">
        <w:rPr>
          <w:b/>
          <w:bCs/>
        </w:rPr>
        <w:t xml:space="preserve"> (ONUDI)</w:t>
      </w:r>
    </w:p>
    <w:p w14:paraId="1FC92F7D" w14:textId="77777777" w:rsidR="00891C0E" w:rsidRPr="003C1788" w:rsidRDefault="00891C0E" w:rsidP="00891C0E">
      <w:pPr>
        <w:spacing w:after="240"/>
        <w:outlineLvl w:val="0"/>
        <w:rPr>
          <w:rFonts w:eastAsiaTheme="minorEastAsia"/>
          <w:b/>
        </w:rPr>
      </w:pPr>
      <w:r w:rsidRPr="003C1788">
        <w:rPr>
          <w:b/>
        </w:rPr>
        <w:t>Antecedentes</w:t>
      </w:r>
    </w:p>
    <w:p w14:paraId="042F9632" w14:textId="2D5006B9" w:rsidR="00891C0E" w:rsidRPr="003C1788" w:rsidRDefault="00891C0E" w:rsidP="005A6A82">
      <w:pPr>
        <w:numPr>
          <w:ilvl w:val="0"/>
          <w:numId w:val="1"/>
        </w:numPr>
        <w:autoSpaceDE w:val="0"/>
        <w:autoSpaceDN w:val="0"/>
        <w:adjustRightInd w:val="0"/>
        <w:spacing w:after="240"/>
        <w:outlineLvl w:val="0"/>
        <w:rPr>
          <w:rFonts w:eastAsiaTheme="minorEastAsia"/>
        </w:rPr>
      </w:pPr>
      <w:r w:rsidRPr="003C1788">
        <w:t>La etapa I del plan de gestión para la eliminación de HCFC (PGEH) se aprobó originalmente en la 63ª reunión</w:t>
      </w:r>
      <w:r w:rsidRPr="003C1788">
        <w:rPr>
          <w:rFonts w:eastAsiaTheme="minorEastAsia"/>
          <w:vertAlign w:val="superscript"/>
          <w:lang w:eastAsia="zh-CN"/>
        </w:rPr>
        <w:footnoteReference w:id="3"/>
      </w:r>
      <w:r w:rsidRPr="003C1788">
        <w:t xml:space="preserve"> y se revisó en la 79ª reunión</w:t>
      </w:r>
      <w:r w:rsidRPr="003C1788">
        <w:rPr>
          <w:rFonts w:eastAsiaTheme="minorEastAsia"/>
          <w:vertAlign w:val="superscript"/>
          <w:lang w:eastAsia="zh-CN"/>
        </w:rPr>
        <w:footnoteReference w:id="4"/>
      </w:r>
      <w:r w:rsidRPr="003C1788">
        <w:t xml:space="preserve"> para cumplir con la reducción del 35</w:t>
      </w:r>
      <w:r w:rsidR="00F318CD">
        <w:t xml:space="preserve"> </w:t>
      </w:r>
      <w:r w:rsidRPr="003C1788">
        <w:t>% con respecto a la base de comparación para 2020 con un nivel de financiamiento total de USD 679.101, más gastos de apoyo al organismo de USD 78.554, para eliminar 8,26 toneladas PAO de HCFC. Se han aprobado los cuatro tramos previstos en la etapa I, y el último tramo se aprobó en la 85ª reunión. La finalización del proyecto estaba prevista para finales de 2021, de conformidad con el párrafo 14 del Acuerdo entre el Gobierno y el Comité Ejecutivo.</w:t>
      </w:r>
    </w:p>
    <w:p w14:paraId="30A1B017" w14:textId="5EF073DC" w:rsidR="00891C0E" w:rsidRPr="003C1788" w:rsidRDefault="00891C0E" w:rsidP="00891C0E">
      <w:pPr>
        <w:numPr>
          <w:ilvl w:val="0"/>
          <w:numId w:val="1"/>
        </w:numPr>
        <w:autoSpaceDE w:val="0"/>
        <w:autoSpaceDN w:val="0"/>
        <w:adjustRightInd w:val="0"/>
        <w:spacing w:after="240"/>
        <w:outlineLvl w:val="0"/>
        <w:rPr>
          <w:rFonts w:eastAsiaTheme="minorEastAsia"/>
        </w:rPr>
      </w:pPr>
      <w:r w:rsidRPr="003C1788">
        <w:t>La etapa II del PGEH se aprobó en la 85ª reunión</w:t>
      </w:r>
      <w:r w:rsidRPr="003C1788">
        <w:rPr>
          <w:rFonts w:eastAsiaTheme="minorEastAsia"/>
          <w:vertAlign w:val="superscript"/>
          <w:lang w:eastAsia="zh-CN"/>
        </w:rPr>
        <w:footnoteReference w:id="5"/>
      </w:r>
      <w:r w:rsidRPr="003C1788">
        <w:t xml:space="preserve"> para lograr una reducción del 67,5</w:t>
      </w:r>
      <w:r w:rsidR="00780779">
        <w:t xml:space="preserve"> </w:t>
      </w:r>
      <w:r w:rsidRPr="003C1788">
        <w:t>% en el consumo de HCFC para 2025. Debido al brote del Covid-19 y la agitación política posterior, se retrasó la ejecución del cuarto tramo de la etapa I y del primer tramo de la etapa II. En la 93ª reunión, el Comité Ejecutivo tomó nota de la solicitud de</w:t>
      </w:r>
      <w:r w:rsidR="000D3197">
        <w:t>l</w:t>
      </w:r>
      <w:r w:rsidRPr="003C1788">
        <w:t xml:space="preserve"> Afganistán de transferir a la ONUDI la ejecución de los componentes del PNUMA en las etapas I y II del PGEH, incluidos los saldos remanentes de los proyectos aprobados; y de que la ONUDI presentaría a la 94ª reunión los Acuerdos actualizados para las etapas I y II del PGEH para Afganistán, junto con los planes de ejecución revisados (decisión 93/14 c)).</w:t>
      </w:r>
    </w:p>
    <w:p w14:paraId="45ED3779" w14:textId="77777777" w:rsidR="00891C0E" w:rsidRPr="003C1788" w:rsidRDefault="00891C0E" w:rsidP="00891C0E">
      <w:pPr>
        <w:numPr>
          <w:ilvl w:val="0"/>
          <w:numId w:val="1"/>
        </w:numPr>
        <w:autoSpaceDE w:val="0"/>
        <w:autoSpaceDN w:val="0"/>
        <w:adjustRightInd w:val="0"/>
        <w:spacing w:after="240"/>
        <w:outlineLvl w:val="0"/>
        <w:rPr>
          <w:rFonts w:eastAsiaTheme="minorEastAsia"/>
        </w:rPr>
      </w:pPr>
      <w:r w:rsidRPr="003C1788">
        <w:t>De conformidad con la decisión 93/14 c), la ONUDI ha presentado un informe sobre la marcha de las actividades, que incluye los saldos de financiamiento remanentes del cuarto tramo de la etapa I y del primer tramo de la etapa II del PGEH, que serán transferidos del PNUMA a la ONUDI</w:t>
      </w:r>
      <w:r w:rsidRPr="003C1788">
        <w:rPr>
          <w:rFonts w:eastAsiaTheme="minorEastAsia"/>
          <w:vertAlign w:val="superscript"/>
          <w:lang w:eastAsia="zh-CN"/>
        </w:rPr>
        <w:footnoteReference w:id="6"/>
      </w:r>
      <w:r w:rsidRPr="003C1788">
        <w:t xml:space="preserve">. La presentación también incluye planes de ejecución relacionados con los fondos transferidos. </w:t>
      </w:r>
    </w:p>
    <w:p w14:paraId="387603FC" w14:textId="75247B15" w:rsidR="00891C0E" w:rsidRPr="003C1788" w:rsidRDefault="00891C0E" w:rsidP="00891C0E">
      <w:pPr>
        <w:rPr>
          <w:rFonts w:eastAsiaTheme="minorEastAsia"/>
          <w:b/>
          <w:bCs/>
        </w:rPr>
      </w:pPr>
      <w:r w:rsidRPr="003C1788">
        <w:rPr>
          <w:b/>
          <w:bCs/>
        </w:rPr>
        <w:t>Informe sobre el avance de la ejecución de las etapas I y II</w:t>
      </w:r>
    </w:p>
    <w:p w14:paraId="2283AB06" w14:textId="77777777" w:rsidR="00891C0E" w:rsidRPr="003C1788" w:rsidRDefault="00891C0E" w:rsidP="00891C0E">
      <w:pPr>
        <w:rPr>
          <w:rFonts w:eastAsiaTheme="minorEastAsia"/>
          <w:lang w:eastAsia="zh-CN"/>
        </w:rPr>
      </w:pPr>
    </w:p>
    <w:p w14:paraId="3044BBCE" w14:textId="77777777" w:rsidR="00891C0E" w:rsidRPr="003C1788" w:rsidRDefault="00891C0E" w:rsidP="00891C0E">
      <w:pPr>
        <w:numPr>
          <w:ilvl w:val="0"/>
          <w:numId w:val="1"/>
        </w:numPr>
        <w:autoSpaceDE w:val="0"/>
        <w:autoSpaceDN w:val="0"/>
        <w:adjustRightInd w:val="0"/>
        <w:spacing w:after="240"/>
        <w:outlineLvl w:val="0"/>
        <w:rPr>
          <w:rFonts w:eastAsiaTheme="minorEastAsia"/>
        </w:rPr>
      </w:pPr>
      <w:r w:rsidRPr="003C1788">
        <w:t xml:space="preserve">La ejecución del cuarto tramo de la etapa I y del primer tramo de la etapa II se retrasó debido a la agitación política en el país. La oficina nacional del ozono (ONO), dependiente de la Agencia Nacional de Protección del Medio Ambiente, sigue aplicando programas para la eliminación de los HCFC. Se está </w:t>
      </w:r>
      <w:r w:rsidRPr="003C1788">
        <w:lastRenderedPageBreak/>
        <w:t>aplicando un sistema de licencias y cuotas y se ha redactado un reglamento para prohibir los equipos basados en HCFC con el fin de controlar la importación de HCFC.</w:t>
      </w:r>
    </w:p>
    <w:p w14:paraId="57E59145" w14:textId="2AEBC878" w:rsidR="00891C0E" w:rsidRPr="003C1788" w:rsidRDefault="00891C0E" w:rsidP="00891C0E">
      <w:pPr>
        <w:numPr>
          <w:ilvl w:val="0"/>
          <w:numId w:val="1"/>
        </w:numPr>
        <w:autoSpaceDE w:val="0"/>
        <w:autoSpaceDN w:val="0"/>
        <w:adjustRightInd w:val="0"/>
        <w:spacing w:after="240"/>
        <w:outlineLvl w:val="0"/>
        <w:rPr>
          <w:rFonts w:eastAsiaTheme="minorEastAsia"/>
        </w:rPr>
      </w:pPr>
      <w:r w:rsidRPr="003C1788">
        <w:t xml:space="preserve">Se ha creado un comité nacional del ozono compuesto por las principales partes intervinientes, y el comité celebró tres reuniones de coordinación para fijar las cuotas nacionales de HCFC para </w:t>
      </w:r>
      <w:r w:rsidR="00F318CD">
        <w:t>2023 y 2024. Se revisaron las c</w:t>
      </w:r>
      <w:r w:rsidRPr="003C1788">
        <w:t>alificaciones de las empresas importadoras y se distribuyeron licencias y cuotas a 12 importadores. La ONO sigue coordinando con las aduanas y otras partes intervinientes clave la fiscalización del sistema de licencias y cuotas, la sensibilización sobre el control de HCFC, la supervisión de las importaciones y los suministros del mercado y la lucha contra las importaciones ilegales.</w:t>
      </w:r>
    </w:p>
    <w:p w14:paraId="1D02F031" w14:textId="5DBEB31E" w:rsidR="00891C0E" w:rsidRPr="003C1788" w:rsidRDefault="00891C0E" w:rsidP="00891C0E">
      <w:pPr>
        <w:numPr>
          <w:ilvl w:val="0"/>
          <w:numId w:val="1"/>
        </w:numPr>
        <w:autoSpaceDE w:val="0"/>
        <w:autoSpaceDN w:val="0"/>
        <w:adjustRightInd w:val="0"/>
        <w:spacing w:after="240"/>
        <w:outlineLvl w:val="0"/>
        <w:rPr>
          <w:rFonts w:eastAsiaTheme="minorEastAsia"/>
        </w:rPr>
      </w:pPr>
      <w:r w:rsidRPr="003C1788">
        <w:t>El Ministerio de Justicia está revisando la normativa para el control de las SAO. La ONO ha preparado aportaciones para estas enmiendas y ha participado en el proceso de consulta pública. Además, la ONO está trabajando con el Instituto Afgano-</w:t>
      </w:r>
      <w:proofErr w:type="gramStart"/>
      <w:r w:rsidRPr="003C1788">
        <w:t>Coreano</w:t>
      </w:r>
      <w:proofErr w:type="gramEnd"/>
      <w:r w:rsidRPr="003C1788">
        <w:t xml:space="preserve"> para planificar más actividades de capacitación para técnicos de refrigeración y climatización. </w:t>
      </w:r>
    </w:p>
    <w:p w14:paraId="14C53F67" w14:textId="5EDAA908" w:rsidR="00891C0E" w:rsidRPr="003C1788" w:rsidRDefault="00891C0E" w:rsidP="00891C0E">
      <w:pPr>
        <w:numPr>
          <w:ilvl w:val="0"/>
          <w:numId w:val="1"/>
        </w:numPr>
        <w:autoSpaceDE w:val="0"/>
        <w:autoSpaceDN w:val="0"/>
        <w:adjustRightInd w:val="0"/>
        <w:spacing w:after="240"/>
        <w:outlineLvl w:val="0"/>
        <w:rPr>
          <w:rFonts w:eastAsiaTheme="minorEastAsia"/>
        </w:rPr>
      </w:pPr>
      <w:r w:rsidRPr="003C1788">
        <w:t xml:space="preserve">Se recopilaron datos y se realizó un estudio para analizar el impacto económico de la Enmienda de Kigali. Se ha elaborado una lista de </w:t>
      </w:r>
      <w:r w:rsidR="00D72D2A">
        <w:t>verificación</w:t>
      </w:r>
      <w:r w:rsidRPr="003C1788">
        <w:t xml:space="preserve"> de HFC, que incluye sus nombres químicos, nombres comerciales, valores de PCA y códigos del sistema armonizado (SA), y se ha facilitado al departamento de aduanas para controlar las importaciones.</w:t>
      </w:r>
    </w:p>
    <w:p w14:paraId="6E1DFD59" w14:textId="77777777" w:rsidR="00891C0E" w:rsidRPr="003C1788" w:rsidRDefault="00891C0E" w:rsidP="00891C0E">
      <w:pPr>
        <w:spacing w:after="240"/>
        <w:outlineLvl w:val="0"/>
        <w:rPr>
          <w:rFonts w:eastAsiaTheme="minorEastAsia"/>
          <w:i/>
          <w:iCs/>
        </w:rPr>
      </w:pPr>
      <w:r w:rsidRPr="003C1788">
        <w:rPr>
          <w:i/>
          <w:iCs/>
        </w:rPr>
        <w:t>Informe financiero</w:t>
      </w:r>
    </w:p>
    <w:p w14:paraId="0F8D429C" w14:textId="06D7F280" w:rsidR="00891C0E" w:rsidRPr="003C1788" w:rsidRDefault="00891C0E" w:rsidP="00891C0E">
      <w:pPr>
        <w:numPr>
          <w:ilvl w:val="0"/>
          <w:numId w:val="1"/>
        </w:numPr>
        <w:autoSpaceDE w:val="0"/>
        <w:autoSpaceDN w:val="0"/>
        <w:adjustRightInd w:val="0"/>
        <w:spacing w:after="240"/>
        <w:outlineLvl w:val="0"/>
        <w:rPr>
          <w:rFonts w:eastAsiaTheme="minorEastAsia"/>
        </w:rPr>
      </w:pPr>
      <w:r w:rsidRPr="003C1788">
        <w:t>Del total de USD 69.101 aprobados para el cuarto tramo de la etapa I del PGEH (USD 40.825 para el PNUMA y USD 28.276 para la ONUDI),</w:t>
      </w:r>
      <w:r w:rsidR="00C528A2" w:rsidRPr="003C1788">
        <w:t xml:space="preserve"> el PNUMA</w:t>
      </w:r>
      <w:r w:rsidRPr="003C1788">
        <w:t xml:space="preserve"> </w:t>
      </w:r>
      <w:r w:rsidR="00C528A2" w:rsidRPr="003C1788">
        <w:t xml:space="preserve">ha desembolsado </w:t>
      </w:r>
      <w:r w:rsidRPr="003C1788">
        <w:t>USD 12.372, mientras que la ONUDI no ha efectuado ningún desembolso. Los USD 28.453 restantes del PNUMA se transferirán a la ONUDI a petición de</w:t>
      </w:r>
      <w:r w:rsidR="000D3197">
        <w:t>l</w:t>
      </w:r>
      <w:r w:rsidRPr="003C1788">
        <w:t xml:space="preserve"> Afganistán. </w:t>
      </w:r>
    </w:p>
    <w:p w14:paraId="39411724" w14:textId="45C0B5D5" w:rsidR="00891C0E" w:rsidRPr="003C1788" w:rsidRDefault="00891C0E" w:rsidP="00891C0E">
      <w:pPr>
        <w:numPr>
          <w:ilvl w:val="0"/>
          <w:numId w:val="1"/>
        </w:numPr>
        <w:autoSpaceDE w:val="0"/>
        <w:autoSpaceDN w:val="0"/>
        <w:adjustRightInd w:val="0"/>
        <w:spacing w:after="240"/>
        <w:outlineLvl w:val="0"/>
        <w:rPr>
          <w:rFonts w:eastAsiaTheme="minorEastAsia"/>
        </w:rPr>
      </w:pPr>
      <w:r w:rsidRPr="003C1788">
        <w:t xml:space="preserve">Del total de USD 319.567 aprobados para el primer tramo de la etapa II del PGEH (USD 229.567 para el PNUMA y USD 90.000 para la ONUDI), </w:t>
      </w:r>
      <w:r w:rsidR="00A55ABD" w:rsidRPr="003C1788">
        <w:t xml:space="preserve">el PNUMA ha desembolsado </w:t>
      </w:r>
      <w:r w:rsidRPr="003C1788">
        <w:t>USD 48.659 y</w:t>
      </w:r>
      <w:r w:rsidR="00A55ABD" w:rsidRPr="003C1788">
        <w:t xml:space="preserve"> la ONUDI</w:t>
      </w:r>
      <w:r w:rsidRPr="003C1788">
        <w:t xml:space="preserve"> </w:t>
      </w:r>
      <w:r w:rsidR="00A55ABD">
        <w:t xml:space="preserve">ha desembolsado </w:t>
      </w:r>
      <w:r w:rsidRPr="003C1788">
        <w:t xml:space="preserve">USD 23.011. El saldo remanente de USD 180.908 para el PNUMA también se transferirá a la ONUDI. </w:t>
      </w:r>
    </w:p>
    <w:p w14:paraId="112189F6" w14:textId="77777777" w:rsidR="00891C0E" w:rsidRPr="003C1788" w:rsidRDefault="00891C0E" w:rsidP="00891C0E">
      <w:pPr>
        <w:rPr>
          <w:rFonts w:eastAsiaTheme="minorEastAsia"/>
          <w:b/>
          <w:bCs/>
        </w:rPr>
      </w:pPr>
      <w:r w:rsidRPr="003C1788">
        <w:rPr>
          <w:b/>
          <w:bCs/>
        </w:rPr>
        <w:t>Planes de ejecución</w:t>
      </w:r>
    </w:p>
    <w:p w14:paraId="4EB65997" w14:textId="77777777" w:rsidR="00891C0E" w:rsidRPr="003C1788" w:rsidRDefault="00891C0E" w:rsidP="00891C0E">
      <w:pPr>
        <w:rPr>
          <w:rFonts w:eastAsiaTheme="minorEastAsia"/>
          <w:lang w:eastAsia="zh-CN"/>
        </w:rPr>
      </w:pPr>
    </w:p>
    <w:p w14:paraId="4497CAAD" w14:textId="77777777" w:rsidR="00891C0E" w:rsidRPr="003C1788" w:rsidRDefault="00891C0E" w:rsidP="00891C0E">
      <w:pPr>
        <w:spacing w:after="240"/>
        <w:outlineLvl w:val="0"/>
        <w:rPr>
          <w:rFonts w:eastAsiaTheme="minorEastAsia"/>
          <w:i/>
          <w:iCs/>
        </w:rPr>
      </w:pPr>
      <w:r w:rsidRPr="003C1788">
        <w:rPr>
          <w:i/>
          <w:iCs/>
        </w:rPr>
        <w:t>Cuarto tramo de la etapa I</w:t>
      </w:r>
    </w:p>
    <w:p w14:paraId="0E471A01" w14:textId="77777777" w:rsidR="00891C0E" w:rsidRPr="003C1788" w:rsidRDefault="00891C0E" w:rsidP="00891C0E">
      <w:pPr>
        <w:numPr>
          <w:ilvl w:val="0"/>
          <w:numId w:val="1"/>
        </w:numPr>
        <w:autoSpaceDE w:val="0"/>
        <w:autoSpaceDN w:val="0"/>
        <w:adjustRightInd w:val="0"/>
        <w:spacing w:after="240"/>
        <w:outlineLvl w:val="0"/>
        <w:rPr>
          <w:rFonts w:eastAsiaTheme="minorEastAsia"/>
        </w:rPr>
      </w:pPr>
      <w:r w:rsidRPr="003C1788">
        <w:t xml:space="preserve">Los USD 28.453 transferidos del PNUMA a la ONUDI se utilizarán para las siguientes actividades: </w:t>
      </w:r>
    </w:p>
    <w:p w14:paraId="58BD52F5" w14:textId="77777777" w:rsidR="00891C0E" w:rsidRPr="003C1788" w:rsidRDefault="00891C0E" w:rsidP="00891C0E">
      <w:pPr>
        <w:widowControl w:val="0"/>
        <w:numPr>
          <w:ilvl w:val="1"/>
          <w:numId w:val="35"/>
        </w:numPr>
        <w:spacing w:after="240"/>
        <w:outlineLvl w:val="1"/>
        <w:rPr>
          <w:rFonts w:eastAsiaTheme="minorEastAsia"/>
        </w:rPr>
      </w:pPr>
      <w:r w:rsidRPr="003C1788">
        <w:t>Marco jurídico y normativa: Llevar a cabo un análisis de las deficiencias y redactar las normas propuestas (USD 3.000);</w:t>
      </w:r>
    </w:p>
    <w:p w14:paraId="72245C7D" w14:textId="77777777" w:rsidR="00891C0E" w:rsidRPr="003C1788" w:rsidRDefault="00891C0E" w:rsidP="00891C0E">
      <w:pPr>
        <w:widowControl w:val="0"/>
        <w:numPr>
          <w:ilvl w:val="1"/>
          <w:numId w:val="1"/>
        </w:numPr>
        <w:spacing w:after="240"/>
        <w:outlineLvl w:val="1"/>
        <w:rPr>
          <w:rFonts w:eastAsiaTheme="minorEastAsia"/>
        </w:rPr>
      </w:pPr>
      <w:r w:rsidRPr="003C1788">
        <w:t>Traducir las normas enmendadas al inglés y a otros idiomas locales, junto con la sensibilización del público y la difusión de las normas (USD 13.453); y</w:t>
      </w:r>
    </w:p>
    <w:p w14:paraId="77FD1F4B" w14:textId="77777777" w:rsidR="00891C0E" w:rsidRPr="003C1788" w:rsidRDefault="00891C0E" w:rsidP="00891C0E">
      <w:pPr>
        <w:widowControl w:val="0"/>
        <w:numPr>
          <w:ilvl w:val="1"/>
          <w:numId w:val="1"/>
        </w:numPr>
        <w:spacing w:after="240"/>
        <w:outlineLvl w:val="1"/>
        <w:rPr>
          <w:rFonts w:eastAsiaTheme="minorEastAsia"/>
        </w:rPr>
      </w:pPr>
      <w:r w:rsidRPr="003C1788">
        <w:t>Elaborar directrices técnicas para funcionarios de aduanas y técnicos de refrigeración y climatización sobre la identificación y manipulación de refrigerantes mediante el uso de identificadores de refrigerantes (USD 12.000).</w:t>
      </w:r>
    </w:p>
    <w:p w14:paraId="44A67210" w14:textId="77777777" w:rsidR="00891C0E" w:rsidRPr="003C1788" w:rsidRDefault="00891C0E" w:rsidP="00891C0E">
      <w:pPr>
        <w:spacing w:after="240"/>
        <w:outlineLvl w:val="0"/>
        <w:rPr>
          <w:rFonts w:eastAsiaTheme="minorEastAsia"/>
          <w:i/>
          <w:iCs/>
        </w:rPr>
      </w:pPr>
      <w:r w:rsidRPr="003C1788">
        <w:rPr>
          <w:i/>
          <w:iCs/>
        </w:rPr>
        <w:t>Primer tramo de la etapa II</w:t>
      </w:r>
    </w:p>
    <w:p w14:paraId="4072A65B" w14:textId="77777777" w:rsidR="00891C0E" w:rsidRPr="003C1788" w:rsidRDefault="00891C0E" w:rsidP="00891C0E">
      <w:pPr>
        <w:numPr>
          <w:ilvl w:val="0"/>
          <w:numId w:val="1"/>
        </w:numPr>
        <w:autoSpaceDE w:val="0"/>
        <w:autoSpaceDN w:val="0"/>
        <w:adjustRightInd w:val="0"/>
        <w:spacing w:after="240"/>
        <w:outlineLvl w:val="0"/>
        <w:rPr>
          <w:rFonts w:eastAsiaTheme="minorEastAsia"/>
        </w:rPr>
      </w:pPr>
      <w:r w:rsidRPr="003C1788">
        <w:t>El financiamiento de USD $180.908 transferido del PNUMA a la ONUDI se utilizará para las siguientes actividades:</w:t>
      </w:r>
    </w:p>
    <w:p w14:paraId="0964C309" w14:textId="77777777" w:rsidR="00891C0E" w:rsidRPr="003C1788" w:rsidRDefault="00891C0E" w:rsidP="00891C0E">
      <w:pPr>
        <w:widowControl w:val="0"/>
        <w:numPr>
          <w:ilvl w:val="1"/>
          <w:numId w:val="36"/>
        </w:numPr>
        <w:spacing w:after="240"/>
        <w:outlineLvl w:val="1"/>
        <w:rPr>
          <w:rFonts w:eastAsiaTheme="minorEastAsia"/>
        </w:rPr>
      </w:pPr>
      <w:r w:rsidRPr="003C1788">
        <w:t xml:space="preserve">Fortalecer la fiscalización del sistema de licencias y cuotas, finalizar y aplicar la </w:t>
      </w:r>
      <w:r w:rsidRPr="003C1788">
        <w:lastRenderedPageBreak/>
        <w:t>prohibición de equipos basados en HCFC, y preparar materiales de capacitación con el fin de realizar cuatro talleres para 60 funcionarios de aduanas sobre el control de las importaciones de SAO (USD 25.000);</w:t>
      </w:r>
    </w:p>
    <w:p w14:paraId="799AD8CD" w14:textId="7F85EC03" w:rsidR="00891C0E" w:rsidRPr="003C1788" w:rsidRDefault="00891C0E" w:rsidP="00891C0E">
      <w:pPr>
        <w:widowControl w:val="0"/>
        <w:numPr>
          <w:ilvl w:val="1"/>
          <w:numId w:val="1"/>
        </w:numPr>
        <w:spacing w:after="240"/>
        <w:outlineLvl w:val="1"/>
        <w:rPr>
          <w:rFonts w:eastAsiaTheme="minorEastAsia"/>
        </w:rPr>
      </w:pPr>
      <w:r w:rsidRPr="003C1788">
        <w:t>Elaborar material de sensibilización para el departamento de aduanas en el idioma local, e imprimir y distribuir 300 copias entre los funcionarios de aduanas y de inspección (USD</w:t>
      </w:r>
      <w:r w:rsidR="00786042">
        <w:t> </w:t>
      </w:r>
      <w:r w:rsidRPr="003C1788">
        <w:t>$20.000);</w:t>
      </w:r>
    </w:p>
    <w:p w14:paraId="447C3AF1" w14:textId="77777777" w:rsidR="00891C0E" w:rsidRPr="003C1788" w:rsidRDefault="00891C0E" w:rsidP="009953B5">
      <w:pPr>
        <w:numPr>
          <w:ilvl w:val="1"/>
          <w:numId w:val="1"/>
        </w:numPr>
        <w:spacing w:after="240"/>
        <w:outlineLvl w:val="1"/>
        <w:rPr>
          <w:rFonts w:eastAsiaTheme="minorEastAsia"/>
        </w:rPr>
      </w:pPr>
      <w:r w:rsidRPr="003C1788">
        <w:t>Organizar tres talleres para capacitar a 60 técnicos de refrigeración y climatización sobre buenas prácticas de servicio técnico, seguridad en el manejo de refrigerantes inflamables y mejora de la eficiencia energética de las unidades de refrigeración y climatización, en colaboración con el Instituto Afgano-</w:t>
      </w:r>
      <w:proofErr w:type="gramStart"/>
      <w:r w:rsidRPr="003C1788">
        <w:t>Coreano</w:t>
      </w:r>
      <w:proofErr w:type="gramEnd"/>
      <w:r w:rsidRPr="003C1788">
        <w:t xml:space="preserve"> (USD 25.000);</w:t>
      </w:r>
    </w:p>
    <w:p w14:paraId="6CEDFCCD" w14:textId="74C64A9C" w:rsidR="00891C0E" w:rsidRPr="003C1788" w:rsidRDefault="00891C0E" w:rsidP="00891C0E">
      <w:pPr>
        <w:numPr>
          <w:ilvl w:val="1"/>
          <w:numId w:val="1"/>
        </w:numPr>
        <w:spacing w:after="240"/>
        <w:outlineLvl w:val="1"/>
        <w:rPr>
          <w:rFonts w:eastAsiaTheme="minorEastAsia"/>
        </w:rPr>
      </w:pPr>
      <w:r w:rsidRPr="003C1788">
        <w:t xml:space="preserve">Llevar a cabo actividades de sensibilización a través de la televisión, periódicos, carteles y redes sociales para difundir información sobre las políticas </w:t>
      </w:r>
      <w:r w:rsidR="001A2301">
        <w:t>sobre</w:t>
      </w:r>
      <w:r w:rsidRPr="003C1788">
        <w:t xml:space="preserve"> SAO y las tecnologías alternativas (USD 15.000);</w:t>
      </w:r>
    </w:p>
    <w:p w14:paraId="010828BB" w14:textId="77777777" w:rsidR="00891C0E" w:rsidRPr="003C1788" w:rsidRDefault="00891C0E" w:rsidP="00891C0E">
      <w:pPr>
        <w:numPr>
          <w:ilvl w:val="1"/>
          <w:numId w:val="1"/>
        </w:numPr>
        <w:spacing w:after="240"/>
        <w:outlineLvl w:val="1"/>
        <w:rPr>
          <w:rFonts w:eastAsiaTheme="minorEastAsia"/>
        </w:rPr>
      </w:pPr>
      <w:r w:rsidRPr="003C1788">
        <w:t>Proporcionar capacitación a 60 empleados de 10 importadores sobre mantenimiento de registros y presentación de datos, e introducir normas de seguridad y códigos de buenas prácticas para la manipulación de refrigerantes inflamables (USD 25.000);</w:t>
      </w:r>
    </w:p>
    <w:p w14:paraId="310F42E9" w14:textId="0713CDEE" w:rsidR="00891C0E" w:rsidRPr="003C1788" w:rsidRDefault="00891C0E" w:rsidP="00891C0E">
      <w:pPr>
        <w:widowControl w:val="0"/>
        <w:numPr>
          <w:ilvl w:val="1"/>
          <w:numId w:val="1"/>
        </w:numPr>
        <w:spacing w:after="240"/>
        <w:outlineLvl w:val="1"/>
        <w:rPr>
          <w:rFonts w:eastAsiaTheme="minorEastAsia"/>
        </w:rPr>
      </w:pPr>
      <w:r w:rsidRPr="003C1788">
        <w:t xml:space="preserve">Demostrar la tecnología R-290 de bajo PCA mediante la identificación de un proveedor de equipos de refrigeración comercial basados en R290, la compra de equipos, la selección de instaladores de equipos para la instalación piloto y la realización del mantenimiento posterior de los equipos </w:t>
      </w:r>
      <w:r w:rsidR="002F2B23">
        <w:t>basados en</w:t>
      </w:r>
      <w:r w:rsidRPr="003C1788">
        <w:t xml:space="preserve"> R-290 (USD 30.908); y</w:t>
      </w:r>
    </w:p>
    <w:p w14:paraId="3186A83B" w14:textId="77777777" w:rsidR="00891C0E" w:rsidRPr="003C1788" w:rsidRDefault="00891C0E" w:rsidP="00891C0E">
      <w:pPr>
        <w:widowControl w:val="0"/>
        <w:numPr>
          <w:ilvl w:val="1"/>
          <w:numId w:val="1"/>
        </w:numPr>
        <w:spacing w:after="240"/>
        <w:outlineLvl w:val="1"/>
        <w:rPr>
          <w:rFonts w:eastAsiaTheme="minorEastAsia"/>
        </w:rPr>
      </w:pPr>
      <w:r w:rsidRPr="003C1788">
        <w:t>La coordinación, supervisión y presentación de informes del proyecto implicará la contratación de un coordinador de proyecto a tiempo completo para gestionar las actividades de las etapas I y II del PGEH. Esto incluye actividades de divulgación y colaboración con las partes intervinientes, el apoyo al proceso de concesión de licencias y cuotas, el suministro de información sobre cuestiones relacionadas con el mercado de refrigeración y climatización, la organización de actividades de capacitación, la asistencia en la adquisición de equipos, la mejora de los institutos de capacitación, la vigilancia de los procesos de verificación, y la supervisión y presentación de informes sobre los avances realizados (USD 40.000).</w:t>
      </w:r>
    </w:p>
    <w:p w14:paraId="15F0BEA2" w14:textId="77777777" w:rsidR="00891C0E" w:rsidRPr="003C1788" w:rsidRDefault="00891C0E" w:rsidP="00891C0E">
      <w:pPr>
        <w:spacing w:after="240"/>
        <w:outlineLvl w:val="0"/>
        <w:rPr>
          <w:rFonts w:eastAsiaTheme="minorEastAsia"/>
          <w:b/>
        </w:rPr>
      </w:pPr>
      <w:r w:rsidRPr="003C1788">
        <w:rPr>
          <w:b/>
        </w:rPr>
        <w:t>Observaciones de la Secretaría</w:t>
      </w:r>
    </w:p>
    <w:p w14:paraId="4FCE0ADB" w14:textId="77777777" w:rsidR="00891C0E" w:rsidRPr="003C1788" w:rsidRDefault="00891C0E" w:rsidP="00891C0E">
      <w:pPr>
        <w:numPr>
          <w:ilvl w:val="0"/>
          <w:numId w:val="1"/>
        </w:numPr>
        <w:autoSpaceDE w:val="0"/>
        <w:autoSpaceDN w:val="0"/>
        <w:adjustRightInd w:val="0"/>
        <w:spacing w:after="240"/>
        <w:outlineLvl w:val="0"/>
        <w:rPr>
          <w:rFonts w:eastAsiaTheme="minorEastAsia"/>
        </w:rPr>
      </w:pPr>
      <w:r w:rsidRPr="003C1788">
        <w:t>La Secretaría toma nota de que el país continuó la ejecución de las etapas del PGEH y ha seguido cumpliendo el calendario de eliminación del Protocolo de Montreal. Dados los retrasos en la ejecución, la Secretaría recomienda extender el período de ejecución para el cuarto tramo de la etapa I hasta finales de 2026 y para el primer tramo de la etapa II hasta finales de 2028.</w:t>
      </w:r>
    </w:p>
    <w:p w14:paraId="2E834605" w14:textId="77777777" w:rsidR="00891C0E" w:rsidRPr="003C1788" w:rsidRDefault="00891C0E" w:rsidP="00891C0E">
      <w:pPr>
        <w:spacing w:after="240"/>
        <w:outlineLvl w:val="0"/>
        <w:rPr>
          <w:rFonts w:eastAsiaTheme="minorEastAsia"/>
          <w:b/>
        </w:rPr>
      </w:pPr>
      <w:r w:rsidRPr="003C1788">
        <w:rPr>
          <w:b/>
        </w:rPr>
        <w:t>Acuerdo actualizado</w:t>
      </w:r>
    </w:p>
    <w:p w14:paraId="7D21F080" w14:textId="67F73E11" w:rsidR="00891C0E" w:rsidRPr="003C1788" w:rsidRDefault="00891C0E" w:rsidP="00891C0E">
      <w:pPr>
        <w:numPr>
          <w:ilvl w:val="0"/>
          <w:numId w:val="1"/>
        </w:numPr>
        <w:autoSpaceDE w:val="0"/>
        <w:autoSpaceDN w:val="0"/>
        <w:adjustRightInd w:val="0"/>
        <w:spacing w:after="240"/>
        <w:outlineLvl w:val="0"/>
        <w:rPr>
          <w:rFonts w:eastAsiaTheme="minorEastAsia"/>
        </w:rPr>
      </w:pPr>
      <w:r w:rsidRPr="003C1788">
        <w:t xml:space="preserve">A la luz de las transferencias de financiamiento del PNUMA a la ONUDI y de la prórroga de los períodos de ejecución, se han actualizado los Acuerdos entre </w:t>
      </w:r>
      <w:r w:rsidR="004564A4">
        <w:t xml:space="preserve">el </w:t>
      </w:r>
      <w:r w:rsidRPr="003C1788">
        <w:t xml:space="preserve">Afganistán y el Comité Ejecutivo para la etapa I y la etapa II del PGEH. Concretamente, se han revisado los Apéndices 2-A y se ha actualizado o añadido texto para indicar que los Acuerdos revisados sustituyen a los alcanzados en reuniones anteriores (la 79ª reunión para la etapa I y la 85ª reunión para la etapa II), </w:t>
      </w:r>
      <w:r w:rsidR="00A530B0">
        <w:t>como</w:t>
      </w:r>
      <w:r w:rsidRPr="003C1788">
        <w:t xml:space="preserve"> figuran en los anexos I y II del presente documento. Los Acuerdos revisados completos se adjuntarán al informe final de la 95ª reunión.</w:t>
      </w:r>
    </w:p>
    <w:p w14:paraId="15FD65DC" w14:textId="77777777" w:rsidR="00E8522B" w:rsidRDefault="00E8522B" w:rsidP="00891C0E">
      <w:pPr>
        <w:spacing w:after="240"/>
        <w:outlineLvl w:val="0"/>
        <w:rPr>
          <w:b/>
        </w:rPr>
      </w:pPr>
    </w:p>
    <w:p w14:paraId="1A1451AB" w14:textId="255DAE88" w:rsidR="00891C0E" w:rsidRPr="003C1788" w:rsidRDefault="00891C0E" w:rsidP="00891C0E">
      <w:pPr>
        <w:spacing w:after="240"/>
        <w:outlineLvl w:val="0"/>
        <w:rPr>
          <w:rFonts w:eastAsiaTheme="minorEastAsia"/>
          <w:b/>
        </w:rPr>
      </w:pPr>
      <w:r w:rsidRPr="003C1788">
        <w:rPr>
          <w:b/>
        </w:rPr>
        <w:lastRenderedPageBreak/>
        <w:t>Recomendación</w:t>
      </w:r>
    </w:p>
    <w:p w14:paraId="188DC7A5" w14:textId="77777777" w:rsidR="00891C0E" w:rsidRPr="003C1788" w:rsidRDefault="00891C0E" w:rsidP="00891C0E">
      <w:pPr>
        <w:numPr>
          <w:ilvl w:val="0"/>
          <w:numId w:val="1"/>
        </w:numPr>
        <w:autoSpaceDE w:val="0"/>
        <w:autoSpaceDN w:val="0"/>
        <w:adjustRightInd w:val="0"/>
        <w:spacing w:after="240"/>
        <w:outlineLvl w:val="0"/>
        <w:rPr>
          <w:rFonts w:eastAsiaTheme="minorEastAsia"/>
        </w:rPr>
      </w:pPr>
      <w:r w:rsidRPr="003C1788">
        <w:t>El Comité Ejecutivo puede estimar oportuno:</w:t>
      </w:r>
    </w:p>
    <w:p w14:paraId="1230B31A" w14:textId="27A694A2" w:rsidR="00891C0E" w:rsidRPr="003C1788" w:rsidRDefault="00891C0E" w:rsidP="00891C0E">
      <w:pPr>
        <w:widowControl w:val="0"/>
        <w:numPr>
          <w:ilvl w:val="1"/>
          <w:numId w:val="37"/>
        </w:numPr>
        <w:spacing w:after="240"/>
        <w:outlineLvl w:val="1"/>
        <w:rPr>
          <w:rFonts w:eastAsiaTheme="minorEastAsia"/>
        </w:rPr>
      </w:pPr>
      <w:r w:rsidRPr="003C1788">
        <w:t xml:space="preserve">Tomar nota del informe sobre el avance de la ejecución de las etapas I y II del plan de gestión para la eliminación de HCFC (PGEH) para </w:t>
      </w:r>
      <w:r w:rsidR="00323DDB">
        <w:t xml:space="preserve">el </w:t>
      </w:r>
      <w:r w:rsidRPr="003C1788">
        <w:t>Afganistán, presentado por la ONUDI, que figura en el documento UNEP/</w:t>
      </w:r>
      <w:proofErr w:type="spellStart"/>
      <w:r w:rsidRPr="003C1788">
        <w:t>OzL.Pro</w:t>
      </w:r>
      <w:proofErr w:type="spellEnd"/>
      <w:r w:rsidRPr="003C1788">
        <w:t>/</w:t>
      </w:r>
      <w:proofErr w:type="spellStart"/>
      <w:r w:rsidRPr="003C1788">
        <w:t>ExCom</w:t>
      </w:r>
      <w:proofErr w:type="spellEnd"/>
      <w:r w:rsidRPr="003C1788">
        <w:t>/95/20;</w:t>
      </w:r>
    </w:p>
    <w:p w14:paraId="71539BB9" w14:textId="3871852F" w:rsidR="00891C0E" w:rsidRPr="003C1788" w:rsidRDefault="00891C0E" w:rsidP="00891C0E">
      <w:pPr>
        <w:numPr>
          <w:ilvl w:val="1"/>
          <w:numId w:val="1"/>
        </w:numPr>
        <w:spacing w:after="240"/>
        <w:outlineLvl w:val="0"/>
        <w:rPr>
          <w:rFonts w:eastAsiaTheme="minorEastAsia"/>
        </w:rPr>
      </w:pPr>
      <w:r w:rsidRPr="003C1788">
        <w:t>Tomar nota del reintegro por parte del PNUMA de los saldos de USD 28.453 del cuarto tramo de la etapa I del PGEH y de USD 180.908 del primer tramo de la etapa II del PGEH</w:t>
      </w:r>
      <w:r w:rsidR="00FB1020">
        <w:t>,</w:t>
      </w:r>
      <w:r w:rsidRPr="003C1788">
        <w:t xml:space="preserve"> y aprobar la transferencia de estos fondos a la ONUDI, junto con los correspondientes planes de ejecución para los fondos transferidos; </w:t>
      </w:r>
    </w:p>
    <w:p w14:paraId="2F89F9A6" w14:textId="77777777" w:rsidR="00891C0E" w:rsidRPr="003C1788" w:rsidRDefault="00891C0E" w:rsidP="00303DE8">
      <w:pPr>
        <w:keepNext/>
        <w:numPr>
          <w:ilvl w:val="1"/>
          <w:numId w:val="1"/>
        </w:numPr>
        <w:spacing w:after="240"/>
        <w:outlineLvl w:val="1"/>
        <w:rPr>
          <w:rFonts w:eastAsiaTheme="minorEastAsia"/>
        </w:rPr>
      </w:pPr>
      <w:r w:rsidRPr="003C1788">
        <w:t>Aprobar la transferencia del PNUMA a la ONUDI del financiamiento de USD 239.000, más gastos de apoyo al organismo, aprobados en principio, asociados con el segundo y tercer tramo de la etapa II del PGEH;</w:t>
      </w:r>
    </w:p>
    <w:p w14:paraId="5B3B2F71" w14:textId="77777777" w:rsidR="00891C0E" w:rsidRPr="003C1788" w:rsidRDefault="00891C0E" w:rsidP="00891C0E">
      <w:pPr>
        <w:widowControl w:val="0"/>
        <w:numPr>
          <w:ilvl w:val="1"/>
          <w:numId w:val="1"/>
        </w:numPr>
        <w:spacing w:after="240"/>
        <w:outlineLvl w:val="1"/>
        <w:rPr>
          <w:rFonts w:eastAsiaTheme="minorEastAsia"/>
        </w:rPr>
      </w:pPr>
      <w:r w:rsidRPr="003C1788">
        <w:t xml:space="preserve">Aprobar la prórroga del período de ejecución del cuarto tramo de la etapa I del PGEH hasta el 31 de diciembre de 2026 y del primer tramo de la etapa II del PGEH hasta el 31 de diciembre de 2028; </w:t>
      </w:r>
    </w:p>
    <w:p w14:paraId="0897EF9A" w14:textId="6CFD60EC" w:rsidR="00891C0E" w:rsidRPr="003C1788" w:rsidRDefault="00891C0E" w:rsidP="00891C0E">
      <w:pPr>
        <w:numPr>
          <w:ilvl w:val="1"/>
          <w:numId w:val="1"/>
        </w:numPr>
        <w:spacing w:after="240"/>
        <w:outlineLvl w:val="0"/>
        <w:rPr>
          <w:rFonts w:eastAsiaTheme="minorEastAsia"/>
        </w:rPr>
      </w:pPr>
      <w:r w:rsidRPr="003C1788">
        <w:t>Tomar nota asimismo de que la Secretaría del Fondo ha actualizado los Acuerdos entre</w:t>
      </w:r>
      <w:r w:rsidR="00CB3E43">
        <w:t xml:space="preserve"> el</w:t>
      </w:r>
      <w:r w:rsidRPr="003C1788">
        <w:t xml:space="preserve"> Afganistán y el Comité Ejecutivo, </w:t>
      </w:r>
      <w:r w:rsidR="009F76A3">
        <w:t>como</w:t>
      </w:r>
      <w:r w:rsidRPr="003C1788">
        <w:t xml:space="preserve"> figuran en los anexos I y II del presente documento, concretamente:</w:t>
      </w:r>
    </w:p>
    <w:p w14:paraId="47CF897D" w14:textId="09CFBB23" w:rsidR="00891C0E" w:rsidRPr="003C1788" w:rsidRDefault="00891C0E" w:rsidP="00A53E24">
      <w:pPr>
        <w:numPr>
          <w:ilvl w:val="2"/>
          <w:numId w:val="1"/>
        </w:numPr>
        <w:spacing w:after="240"/>
        <w:ind w:hanging="540"/>
        <w:outlineLvl w:val="2"/>
        <w:rPr>
          <w:rFonts w:eastAsiaTheme="minorEastAsia"/>
        </w:rPr>
      </w:pPr>
      <w:r w:rsidRPr="003C1788">
        <w:t xml:space="preserve">Para la etapa I, se ha revisado el Apéndice 2-A a fin de reflejar la transferencia del saldo de financiamiento del PNUMA a la ONUDI a </w:t>
      </w:r>
      <w:r w:rsidR="00D42926">
        <w:t xml:space="preserve">la </w:t>
      </w:r>
      <w:r w:rsidRPr="003C1788">
        <w:t>que se hace referencia en el inciso b) anterior, y se ha actualizado el párrafo 16 para indicar que el Acuerdo revisado y actualizado sustituye al alcanzado en la 79ª reunión mediante la decisión 79/27; y</w:t>
      </w:r>
    </w:p>
    <w:p w14:paraId="7FDA5021" w14:textId="77777777" w:rsidR="00891C0E" w:rsidRPr="003C1788" w:rsidRDefault="00891C0E" w:rsidP="00A53E24">
      <w:pPr>
        <w:widowControl w:val="0"/>
        <w:numPr>
          <w:ilvl w:val="2"/>
          <w:numId w:val="1"/>
        </w:numPr>
        <w:spacing w:after="240"/>
        <w:ind w:hanging="450"/>
        <w:outlineLvl w:val="2"/>
        <w:rPr>
          <w:rFonts w:eastAsiaTheme="minorEastAsia"/>
        </w:rPr>
      </w:pPr>
      <w:r w:rsidRPr="003C1788">
        <w:t>Para la etapa II, se ha revisado el Apéndice 2-A con el fin de reflejar la transferencia del saldo de financiamiento del PNUMA a la ONUDI a la que se hace referencia en el inciso b) anterior, y se ha añadido el párrafo 17 para indicar que el Acuerdo actualizado sustituye al alcanzado en la 85ª reunión mediante la decisión 85/24.</w:t>
      </w:r>
    </w:p>
    <w:p w14:paraId="652AF271" w14:textId="77777777" w:rsidR="00E62175" w:rsidRPr="003C1788" w:rsidRDefault="00E62175" w:rsidP="00E62175">
      <w:pPr>
        <w:spacing w:after="240"/>
        <w:ind w:left="720"/>
        <w:rPr>
          <w:b/>
          <w:bCs/>
          <w:u w:val="single"/>
        </w:rPr>
      </w:pPr>
      <w:r w:rsidRPr="003C1788">
        <w:rPr>
          <w:b/>
          <w:bCs/>
          <w:u w:val="single"/>
        </w:rPr>
        <w:t>Argentina: Plan de gestión para la eliminación de HCFC (etapa II - disponibilidad de alternativas de bajo potencial de calentamiento atmosférico al HCFC-141b en el sector de las espumas y uso transitorio de alternativas de alto potencial de calentamiento atmosférico)</w:t>
      </w:r>
      <w:r w:rsidRPr="003C1788">
        <w:rPr>
          <w:b/>
          <w:bCs/>
        </w:rPr>
        <w:t xml:space="preserve"> (ONUDI y Gobierno de Italia)</w:t>
      </w:r>
    </w:p>
    <w:p w14:paraId="3BA3CBB1" w14:textId="77777777" w:rsidR="00E62175" w:rsidRPr="003C1788" w:rsidRDefault="00E62175" w:rsidP="00E62175">
      <w:pPr>
        <w:spacing w:after="240"/>
        <w:rPr>
          <w:b/>
        </w:rPr>
      </w:pPr>
      <w:r w:rsidRPr="003C1788">
        <w:rPr>
          <w:b/>
        </w:rPr>
        <w:t>Antecedentes</w:t>
      </w:r>
    </w:p>
    <w:p w14:paraId="15CA1BB2" w14:textId="77777777" w:rsidR="00E62175" w:rsidRPr="003C1788" w:rsidRDefault="00E62175" w:rsidP="00A14C3A">
      <w:pPr>
        <w:pStyle w:val="Heading1"/>
        <w:numPr>
          <w:ilvl w:val="0"/>
          <w:numId w:val="45"/>
        </w:numPr>
      </w:pPr>
      <w:r w:rsidRPr="003C1788">
        <w:t>En su 92ª reunión, al aprobar el tercer tramo de la etapa II del plan de gestión para la eliminación de HCFC (PGEH) para Argentina (decisión 92/31), el Comité Ejecutivo señaló</w:t>
      </w:r>
      <w:r w:rsidRPr="00A14C3A">
        <w:rPr>
          <w:i/>
          <w:iCs/>
        </w:rPr>
        <w:t xml:space="preserve">, </w:t>
      </w:r>
      <w:r w:rsidRPr="003C1788">
        <w:t>entre otras cosas:</w:t>
      </w:r>
    </w:p>
    <w:p w14:paraId="077C5E93" w14:textId="706171A6" w:rsidR="00326EDC" w:rsidRDefault="00326EDC" w:rsidP="00326EDC">
      <w:pPr>
        <w:pStyle w:val="Heading2"/>
        <w:numPr>
          <w:ilvl w:val="0"/>
          <w:numId w:val="0"/>
        </w:numPr>
        <w:ind w:left="1440" w:hanging="720"/>
      </w:pPr>
      <w:r>
        <w:t>a)</w:t>
      </w:r>
      <w:r>
        <w:tab/>
      </w:r>
      <w:r w:rsidR="00E62175" w:rsidRPr="003C1788">
        <w:t xml:space="preserve">Los problemas planteados por la escasez de suministro de alternativas de bajo potencial de calentamiento atmosférico (PCA) al HCFC-141b en el sector de las espumas, </w:t>
      </w:r>
      <w:r w:rsidR="00FB1020">
        <w:t xml:space="preserve">lo </w:t>
      </w:r>
      <w:r w:rsidR="00E62175" w:rsidRPr="003C1788">
        <w:t>que había retrasado la ejecución de las actividades de la etapa II en dicho sector que habrían permitido al Gobierno eliminar 85,92 toneladas PAO de HCFC; y</w:t>
      </w:r>
    </w:p>
    <w:p w14:paraId="49B98D2B" w14:textId="5D793D9D" w:rsidR="00E62175" w:rsidRPr="003C1788" w:rsidRDefault="00326EDC" w:rsidP="00326EDC">
      <w:pPr>
        <w:pStyle w:val="Heading2"/>
        <w:numPr>
          <w:ilvl w:val="0"/>
          <w:numId w:val="0"/>
        </w:numPr>
        <w:ind w:left="1440" w:hanging="720"/>
      </w:pPr>
      <w:r>
        <w:t>b)</w:t>
      </w:r>
      <w:r>
        <w:tab/>
      </w:r>
      <w:r w:rsidR="00E62175" w:rsidRPr="003C1788">
        <w:t xml:space="preserve">Que, en caso de que no se dispusiera de alternativas en el mercado local, se podrían utilizar alternativas de alto PCA, solo de forma transitoria, y que el Gobierno de Argentina </w:t>
      </w:r>
      <w:r w:rsidR="00E62175" w:rsidRPr="003C1788">
        <w:lastRenderedPageBreak/>
        <w:t>informaría en cada reunión del Comité Ejecutivo sobre los avances logrados para garantizar que las tecnologías seleccionadas, incluidos los componentes asociados, estuvieran disponibles comercialmente en el país, entendiéndose que los sobrecostos de operación no se financiarían hasta que se hubiera completado la transición a las alternativas acordadas.</w:t>
      </w:r>
    </w:p>
    <w:p w14:paraId="6E698DF9" w14:textId="77777777" w:rsidR="00E62175" w:rsidRPr="003C1788" w:rsidRDefault="00E62175" w:rsidP="00A14C3A">
      <w:pPr>
        <w:pStyle w:val="Heading1"/>
      </w:pPr>
      <w:r w:rsidRPr="003C1788">
        <w:t xml:space="preserve">En la 93ª reunión, la ONUDI informó que, durante el período 2022-2023, los precios de los HFO alcanzaron USD 35-40 por kg, y que, aunque los HFO habían sido probados por proveedores de sistemas locales, no disponían de existencias suficientes para la producción a escala comercial. En cuanto a otras alternativas, las empresas secundarias se mostraron reacias a utilizar otras tecnologías como el formiato de metilo o el </w:t>
      </w:r>
      <w:proofErr w:type="spellStart"/>
      <w:r w:rsidRPr="003C1788">
        <w:t>metilal</w:t>
      </w:r>
      <w:proofErr w:type="spellEnd"/>
      <w:r w:rsidRPr="003C1788">
        <w:t xml:space="preserve"> debido a sus problemas de corrosividad e inflamabilidad, detectados en pruebas anteriores. Tomando nota del informe, el Comité Ejecutivo pidió al Gobierno de Argentina y a la ONUDI que presentaran información actualizada en la 94ª reunión (decisión 93/17 b)).</w:t>
      </w:r>
    </w:p>
    <w:p w14:paraId="6278841D" w14:textId="7A041100" w:rsidR="00E62175" w:rsidRPr="003C1788" w:rsidRDefault="00E62175" w:rsidP="00A14C3A">
      <w:pPr>
        <w:pStyle w:val="Heading1"/>
      </w:pPr>
      <w:r w:rsidRPr="003C1788">
        <w:t xml:space="preserve">En la 94ª reunión, la ONUDI informó que los precios, la disponibilidad y los plazos de entrega seguían siendo los principales problemas que impedían a los proveedores de sistemas locales adoptar los HFO. Si bien los precios habían descendido en comparación con aquellos comunicados en la 93ª reunión, seguían siendo un obstáculo importante para las empresas locales. Los plazos de entrega oscilaban entre 90 y 120 días, y no se vendía HFO a proveedores de sistemas locales a escala comercial. Sin embargo, los proveedores indicaron que podrían suministrar HFO al país siempre que existieran compromisos de compra por parte de los proveedores de sistemas, lo que pone de manifiesto la necesidad de contar con un seguro que cumpla los requisitos de las oficinas centrales para introducir una nueva alternativa en el país. </w:t>
      </w:r>
    </w:p>
    <w:p w14:paraId="447133B6" w14:textId="536E9628" w:rsidR="00E62175" w:rsidRPr="003C1788" w:rsidRDefault="00E62175" w:rsidP="00A14C3A">
      <w:pPr>
        <w:pStyle w:val="Heading1"/>
      </w:pPr>
      <w:r w:rsidRPr="003C1788">
        <w:t>El informe también indicaba la necesidad de que los proveedores de sistemas locales adoptaran temporalmente los HFC, ya que sus precios y disponibilidad garantizaban la continuidad de la actividad sin aumentos significativos de costos. Sin embargo, el Gobierno aseguró que el uso de HFC en el sector de la espuma de poliuretano (PU) no era una solución a largo plazo y los proveedores de sistemas locales expresaron su intención de adoptar HFO como alternativa una vez superados los obstáculos relacionados con el precio y el suministro. Al tomar nota del informe, el Comité Ejecutivo pidió al Gobierno y a la ONUDI que proporcionaran información actualizada en la 95ª reunión sobre la disponibilidad en el mercado local de alternativas de bajo PCA al HCFC-141b en el sector de las espumas y sobre el uso transitorio de alternativas de alto PCA (decisión 94/7 b)).</w:t>
      </w:r>
    </w:p>
    <w:p w14:paraId="45D9AB87" w14:textId="77777777" w:rsidR="00E62175" w:rsidRPr="003C1788" w:rsidRDefault="00E62175" w:rsidP="00E62175">
      <w:pPr>
        <w:spacing w:after="240"/>
        <w:outlineLvl w:val="0"/>
        <w:rPr>
          <w:b/>
          <w:bCs/>
        </w:rPr>
      </w:pPr>
      <w:r w:rsidRPr="003C1788">
        <w:rPr>
          <w:b/>
          <w:bCs/>
        </w:rPr>
        <w:t>Informe sobre la marcha de las actividades</w:t>
      </w:r>
    </w:p>
    <w:p w14:paraId="4A962EC9" w14:textId="77777777" w:rsidR="00E62175" w:rsidRPr="003C1788" w:rsidRDefault="00E62175" w:rsidP="00A14C3A">
      <w:pPr>
        <w:pStyle w:val="Heading1"/>
      </w:pPr>
      <w:r w:rsidRPr="003C1788">
        <w:t xml:space="preserve">En nombre del Gobierno de Argentina, la ONUDI presentó un informe con información actualizada sobre la situación del suministro, el precio y los plazos de entrega de HFO para el sector de la espuma de poliuretano tras amplias consultas celebradas por el Gobierno de Argentina con los principales proveedores y los proveedores de sistemas locales. </w:t>
      </w:r>
    </w:p>
    <w:p w14:paraId="7E8DBF90" w14:textId="77777777" w:rsidR="00E62175" w:rsidRPr="003C1788" w:rsidRDefault="00E62175" w:rsidP="00A14C3A">
      <w:pPr>
        <w:pStyle w:val="Heading1"/>
      </w:pPr>
      <w:r w:rsidRPr="003C1788">
        <w:t xml:space="preserve">En cuanto al suministro, uno de los proveedores informó que podría suministrar su HFO al mercado local en 2026, mientras que los otros dos proveedores confirmaron que tendrán capacidad para suministrar su HFO al mercado argentino de forma inmediata. </w:t>
      </w:r>
    </w:p>
    <w:p w14:paraId="1EFB02C2" w14:textId="77777777" w:rsidR="00E62175" w:rsidRPr="003C1788" w:rsidRDefault="00E62175" w:rsidP="00A14C3A">
      <w:pPr>
        <w:pStyle w:val="Heading1"/>
      </w:pPr>
      <w:r w:rsidRPr="003C1788">
        <w:t>Con respecto al precio, algunos proveedores mencionaron la posibilidad de alcanzar acuerdos comerciales con precios significativamente inferiores a los comunicados anteriormente. Se espera que estos precios, aunque sigan siendo un obstáculo para los proveedores de sistemas locales, hagan que los HFO sean más accesibles para el mercado local. Aunque en un principio se prevé que las entregas tarden entre 90 y 120 días, los proveedores indicaron que podrían reducirse para compras posteriores.</w:t>
      </w:r>
    </w:p>
    <w:p w14:paraId="1EA5814E" w14:textId="6AC870D7" w:rsidR="00E62175" w:rsidRPr="003C1788" w:rsidRDefault="00E62175" w:rsidP="00A14C3A">
      <w:pPr>
        <w:pStyle w:val="Heading1"/>
      </w:pPr>
      <w:r w:rsidRPr="003C1788">
        <w:t>Como ya se informó en la 94ª reunión, los proveedores indicaron que podrían suministrar HFO al país tras recibir los compromisos de compra de los proveedores de sistemas, destacando la necesidad de un seguro para cumplir los requisitos de las oficinas centrales al introducir una nueva alternativa en el país.</w:t>
      </w:r>
    </w:p>
    <w:p w14:paraId="4E5E42FC" w14:textId="597415C8" w:rsidR="00E62175" w:rsidRPr="003C1788" w:rsidRDefault="00E62175" w:rsidP="00A14C3A">
      <w:pPr>
        <w:pStyle w:val="Heading1"/>
      </w:pPr>
      <w:r w:rsidRPr="003C1788">
        <w:lastRenderedPageBreak/>
        <w:t xml:space="preserve">El informe también confirmó que todos los proveedores de sistemas han realizado pruebas y ensayos con HFO y están en contacto con los proveedores </w:t>
      </w:r>
      <w:r w:rsidR="0037757A">
        <w:t xml:space="preserve">de HFO </w:t>
      </w:r>
      <w:r w:rsidRPr="003C1788">
        <w:t xml:space="preserve">para negociar las condiciones comerciales que permitan iniciar la transición. Sin embargo, </w:t>
      </w:r>
      <w:r w:rsidR="005505B6" w:rsidRPr="003C1788">
        <w:t xml:space="preserve">hasta </w:t>
      </w:r>
      <w:r w:rsidR="005505B6">
        <w:t>ahora</w:t>
      </w:r>
      <w:r w:rsidR="005505B6" w:rsidRPr="003C1788">
        <w:t xml:space="preserve"> en Argentina </w:t>
      </w:r>
      <w:r w:rsidRPr="003C1788">
        <w:t xml:space="preserve">todavía no se consume ni se utiliza </w:t>
      </w:r>
      <w:r w:rsidR="0037757A" w:rsidRPr="003C1788">
        <w:t xml:space="preserve">HFO </w:t>
      </w:r>
      <w:r w:rsidRPr="003C1788">
        <w:t xml:space="preserve">como sustituto del HCFC-141b. Algunas empresas siguen utilizando HFC de forma transitoria como alternativa al HCFC-141b, pero el Gobierno reiteró que el uso de HFC en el sector de la espuma de poliuretano no es una solución a largo plazo, y los proveedores de sistemas locales expresaron su voluntad de adoptar HFO como alternativa una vez superados los obstáculos relacionados con el precio y el suministro. El Gobierno considera que los proveedores son una parte muy importante en la adopción de la tecnología y que el país necesita el apoyo de los países productores de HFO para garantizar un suministro local </w:t>
      </w:r>
      <w:r w:rsidR="006621AB">
        <w:t>con</w:t>
      </w:r>
      <w:r w:rsidRPr="003C1788">
        <w:t>fiable.</w:t>
      </w:r>
    </w:p>
    <w:p w14:paraId="113C997D" w14:textId="77777777" w:rsidR="00E62175" w:rsidRPr="003C1788" w:rsidRDefault="00E62175" w:rsidP="00E62175">
      <w:pPr>
        <w:spacing w:after="240"/>
        <w:outlineLvl w:val="0"/>
        <w:rPr>
          <w:b/>
        </w:rPr>
      </w:pPr>
      <w:r w:rsidRPr="003C1788">
        <w:rPr>
          <w:b/>
        </w:rPr>
        <w:t>Observaciones de la Secretaría</w:t>
      </w:r>
    </w:p>
    <w:p w14:paraId="5CD8FF04" w14:textId="64B02C54" w:rsidR="00E62175" w:rsidRPr="003C1788" w:rsidRDefault="00E62175" w:rsidP="00A14C3A">
      <w:pPr>
        <w:pStyle w:val="Heading1"/>
      </w:pPr>
      <w:r w:rsidRPr="003C1788">
        <w:t xml:space="preserve">La Secretaría toma nota del informe que proporciona una actualización sobre la situación del suministro, el precio y los plazos de entrega de HFO para el sector de la espuma de poliuretano, la confirmación de que algunas empresas siguen utilizando HFC </w:t>
      </w:r>
      <w:r w:rsidR="00D749B2">
        <w:t>en</w:t>
      </w:r>
      <w:r w:rsidRPr="003C1788">
        <w:t xml:space="preserve"> forma transitoria como alternativa al HCFC-141b, y la reafirmación de la intención de los proveedores de sistemas locales de adoptar </w:t>
      </w:r>
      <w:r w:rsidR="00E22287">
        <w:t xml:space="preserve">los </w:t>
      </w:r>
      <w:r w:rsidRPr="003C1788">
        <w:t>HFO como alternativa una vez superados los obstáculos relacionados con el precio y el suministro.</w:t>
      </w:r>
    </w:p>
    <w:p w14:paraId="0BBC158C" w14:textId="77777777" w:rsidR="00E62175" w:rsidRPr="003C1788" w:rsidRDefault="00E62175" w:rsidP="00A14C3A">
      <w:pPr>
        <w:pStyle w:val="Heading1"/>
      </w:pPr>
      <w:r w:rsidRPr="003C1788">
        <w:t>La Secretaría también toma nota con reconocimiento de las dinámicas conversaciones mantenidas por el Gobierno de Argentina con los proveedores de alternativas y los proveedores de sistemas, así como de los avances logrados en esas conversaciones, tales como una mayor claridad sobre la disponibilidad del agente espumante y la consideración de precios más bajos que los comunicados anteriormente. Al tomar nota de que la cuestión de la disponibilidad de alternativas en la fabricación de espuma de poliuretano se debatirá en el marco del punto 10 del orden del día de la 95ª reunión, la Secretaría ha incluido información actualizada en relación con el proyecto de espuma de poliuretano en Argentina en el documento UNEP/</w:t>
      </w:r>
      <w:proofErr w:type="spellStart"/>
      <w:r w:rsidRPr="003C1788">
        <w:t>OzL.Pro</w:t>
      </w:r>
      <w:proofErr w:type="spellEnd"/>
      <w:r w:rsidRPr="003C1788">
        <w:t>/</w:t>
      </w:r>
      <w:proofErr w:type="spellStart"/>
      <w:r w:rsidRPr="003C1788">
        <w:t>ExCom</w:t>
      </w:r>
      <w:proofErr w:type="spellEnd"/>
      <w:r w:rsidRPr="003C1788">
        <w:t xml:space="preserve">/95/85. </w:t>
      </w:r>
    </w:p>
    <w:p w14:paraId="49934E36" w14:textId="269D4E33" w:rsidR="00E62175" w:rsidRPr="003C1788" w:rsidRDefault="00E62175" w:rsidP="00A14C3A">
      <w:pPr>
        <w:pStyle w:val="Heading1"/>
      </w:pPr>
      <w:r w:rsidRPr="003C1788">
        <w:t xml:space="preserve">A pesar de los considerables avances logrados, siguen sin resolverse los problemas de disponibilidad y precio de las alternativas de bajo PCA, y las de alto PCA se siguen utilizando </w:t>
      </w:r>
      <w:r w:rsidR="00C708D5">
        <w:t>en</w:t>
      </w:r>
      <w:r w:rsidRPr="003C1788">
        <w:t xml:space="preserve"> forma transitoria. Por lo tanto, de acuerdo con la decisión 92/31 c) ii), la Secretaría recomienda que el Gobierno de Argentina continúe informando al Comité Ejecutivo sobre este asunto. </w:t>
      </w:r>
    </w:p>
    <w:p w14:paraId="332C49DB" w14:textId="77777777" w:rsidR="00E62175" w:rsidRPr="003C1788" w:rsidRDefault="00E62175" w:rsidP="00E62175">
      <w:pPr>
        <w:keepNext/>
        <w:keepLines/>
        <w:spacing w:after="240"/>
        <w:outlineLvl w:val="0"/>
        <w:rPr>
          <w:b/>
        </w:rPr>
      </w:pPr>
      <w:r w:rsidRPr="003C1788">
        <w:rPr>
          <w:b/>
        </w:rPr>
        <w:t>Recomendación</w:t>
      </w:r>
    </w:p>
    <w:p w14:paraId="451A210A" w14:textId="77777777" w:rsidR="00E62175" w:rsidRPr="003C1788" w:rsidRDefault="00E62175" w:rsidP="00A14C3A">
      <w:pPr>
        <w:pStyle w:val="Heading1"/>
      </w:pPr>
      <w:r w:rsidRPr="003C1788">
        <w:t>El Comité Ejecutivo podría estimar oportuno:</w:t>
      </w:r>
    </w:p>
    <w:p w14:paraId="1672453E" w14:textId="53AFBC34" w:rsidR="00E62175" w:rsidRPr="003C1788" w:rsidRDefault="009122FC" w:rsidP="009122FC">
      <w:pPr>
        <w:pStyle w:val="Heading2"/>
        <w:numPr>
          <w:ilvl w:val="0"/>
          <w:numId w:val="0"/>
        </w:numPr>
        <w:ind w:left="1440" w:hanging="720"/>
      </w:pPr>
      <w:r>
        <w:t>a)</w:t>
      </w:r>
      <w:r>
        <w:tab/>
      </w:r>
      <w:r w:rsidR="00E62175" w:rsidRPr="003C1788">
        <w:t>Tomar nota del informe sobre la actualización de la disponibilidad de alternativas de bajo potencial de calentamiento atmosférico (PCA) al HCFC-141b en el sector de las espumas y sobre el uso transitorio de alternativas de alto PCA en el contexto de la etapa II del plan de gestión para la eliminación de HCFC en Argentina, proporcionado por la ONUDI e incluido en el documento UNEP/</w:t>
      </w:r>
      <w:proofErr w:type="spellStart"/>
      <w:r w:rsidR="00E62175" w:rsidRPr="003C1788">
        <w:t>OzL.Pro</w:t>
      </w:r>
      <w:proofErr w:type="spellEnd"/>
      <w:r w:rsidR="00E62175" w:rsidRPr="003C1788">
        <w:t>/</w:t>
      </w:r>
      <w:proofErr w:type="spellStart"/>
      <w:r w:rsidR="00E62175" w:rsidRPr="003C1788">
        <w:t>ExCom</w:t>
      </w:r>
      <w:proofErr w:type="spellEnd"/>
      <w:r w:rsidR="00E62175" w:rsidRPr="003C1788">
        <w:t>/95/20; y</w:t>
      </w:r>
    </w:p>
    <w:p w14:paraId="38D70F60" w14:textId="40BE3ACA" w:rsidR="00E62175" w:rsidRPr="003C1788" w:rsidRDefault="009122FC" w:rsidP="009122FC">
      <w:pPr>
        <w:pStyle w:val="Heading2"/>
        <w:numPr>
          <w:ilvl w:val="0"/>
          <w:numId w:val="0"/>
        </w:numPr>
        <w:ind w:left="1440" w:hanging="720"/>
      </w:pPr>
      <w:r>
        <w:t>b)</w:t>
      </w:r>
      <w:r>
        <w:tab/>
      </w:r>
      <w:r w:rsidR="00E62175" w:rsidRPr="003C1788">
        <w:t>Solicitar al Gobierno de Argentina y a la ONUDI que, de conformidad con la decisión 92/31 c) ii), proporcionen información actualizada en la 96ª reunión sobre la disponibilidad en el mercado local de alternativas de bajo PCA al HCFC-141b en el sector de las espumas y sobre el uso transitorio de alternativas de alto PCA.</w:t>
      </w:r>
    </w:p>
    <w:p w14:paraId="1D572BD7" w14:textId="77777777" w:rsidR="00572365" w:rsidRPr="00572365" w:rsidRDefault="00572365" w:rsidP="00572365">
      <w:pPr>
        <w:keepNext/>
        <w:keepLines/>
        <w:ind w:left="720"/>
        <w:rPr>
          <w:b/>
          <w:bCs/>
          <w:sz w:val="20"/>
          <w:szCs w:val="20"/>
          <w:u w:val="single"/>
        </w:rPr>
      </w:pPr>
    </w:p>
    <w:p w14:paraId="0625431A" w14:textId="63C87C58" w:rsidR="006C61E1" w:rsidRPr="003C1788" w:rsidRDefault="006C61E1" w:rsidP="00C415BB">
      <w:pPr>
        <w:keepNext/>
        <w:keepLines/>
        <w:widowControl w:val="0"/>
        <w:spacing w:after="240"/>
        <w:ind w:left="720"/>
        <w:rPr>
          <w:b/>
          <w:bCs/>
        </w:rPr>
      </w:pPr>
      <w:r w:rsidRPr="003C1788">
        <w:rPr>
          <w:b/>
          <w:bCs/>
          <w:u w:val="single"/>
        </w:rPr>
        <w:t>Bolivia (Estado Plurinacional de): Plan de gestión para la eliminación de HCFC (etapa II - informe sobre los avances logrados en el establecimiento de una prohibición de los equipos a base de HCFC)</w:t>
      </w:r>
      <w:r w:rsidRPr="003C1788">
        <w:rPr>
          <w:b/>
          <w:bCs/>
        </w:rPr>
        <w:t xml:space="preserve"> (ONUDI y PNUMA)</w:t>
      </w:r>
    </w:p>
    <w:p w14:paraId="5E8BEC06" w14:textId="77777777" w:rsidR="006C61E1" w:rsidRPr="003C1788" w:rsidRDefault="006C61E1" w:rsidP="006C61E1">
      <w:pPr>
        <w:spacing w:after="240"/>
        <w:jc w:val="left"/>
        <w:rPr>
          <w:rFonts w:eastAsiaTheme="minorEastAsia"/>
          <w:b/>
        </w:rPr>
      </w:pPr>
      <w:r w:rsidRPr="003C1788">
        <w:rPr>
          <w:b/>
        </w:rPr>
        <w:t>Antecedentes</w:t>
      </w:r>
    </w:p>
    <w:p w14:paraId="38EA8922" w14:textId="77777777" w:rsidR="006C61E1" w:rsidRPr="003C1788" w:rsidRDefault="006C61E1" w:rsidP="00A14C3A">
      <w:pPr>
        <w:pStyle w:val="Heading1"/>
      </w:pPr>
      <w:r w:rsidRPr="003C1788">
        <w:t>La etapa II del plan de gestión para la eliminación de HCFC (PGEH) para el Estado Plurinacional de Bolivia fue aprobada en principio en la 87ª reunión, tomando nota del compromiso del país de prohibir la importación de equipos de refrigeración y climatización a base de HCFC para el 1 de enero de 2023 (decisión 87/36 b) i)).</w:t>
      </w:r>
    </w:p>
    <w:p w14:paraId="189BA6DC" w14:textId="77777777" w:rsidR="006C61E1" w:rsidRPr="003C1788" w:rsidRDefault="006C61E1" w:rsidP="00A14C3A">
      <w:pPr>
        <w:pStyle w:val="Heading1"/>
        <w:rPr>
          <w:bCs/>
        </w:rPr>
      </w:pPr>
      <w:r w:rsidRPr="003C1788">
        <w:t>En la 93ª reunión, el país presentó su solicitud de financiamiento para el segundo tramo de la etapa II</w:t>
      </w:r>
      <w:r w:rsidRPr="003C1788">
        <w:rPr>
          <w:rStyle w:val="FootnoteReference"/>
        </w:rPr>
        <w:footnoteReference w:id="7"/>
      </w:r>
      <w:r w:rsidRPr="003C1788">
        <w:t>, en la que la ONUDI informó sobre el avance de la prohibición y la expectativa de que entrara en vigor en marzo de 2024; se había redactado el documento jurídico (Normas de gestión ambiental de sustancias que agotan la capa de ozono) para la prohibición y se esperaba que entrara en vigor en 2024. También se informó de la prohibición a los importadores y partes intervinientes, por lo que en 2023 no se importó ningún equipo a base de HCFC.</w:t>
      </w:r>
    </w:p>
    <w:p w14:paraId="265D00AB" w14:textId="77777777" w:rsidR="006C61E1" w:rsidRPr="003C1788" w:rsidRDefault="006C61E1" w:rsidP="00A14C3A">
      <w:pPr>
        <w:pStyle w:val="Heading1"/>
        <w:rPr>
          <w:bCs/>
        </w:rPr>
      </w:pPr>
      <w:r w:rsidRPr="003C1788">
        <w:t>El Comité Ejecutivo aprobó la solicitud del segundo tramo, entendiéndose que la ONUDI presentaría a la 95ª reunión un informe sobre los avances logrados en el establecimiento de la prohibición de los equipos a base de HCFC, como se solicitaba en la decisión 87/36 b) i), en caso de que dicha prohibición no se hubiera establecido en ese momento (decisión 93/36)</w:t>
      </w:r>
      <w:r w:rsidRPr="003C1788">
        <w:rPr>
          <w:rStyle w:val="FootnoteReference"/>
          <w:bCs/>
        </w:rPr>
        <w:footnoteReference w:id="8"/>
      </w:r>
      <w:r w:rsidRPr="003C1788">
        <w:t xml:space="preserve">. </w:t>
      </w:r>
    </w:p>
    <w:p w14:paraId="58EF632E" w14:textId="77777777" w:rsidR="006C61E1" w:rsidRPr="003C1788" w:rsidRDefault="006C61E1" w:rsidP="00077FD6">
      <w:pPr>
        <w:keepNext/>
        <w:spacing w:after="240"/>
        <w:rPr>
          <w:rFonts w:eastAsiaTheme="minorEastAsia"/>
          <w:b/>
        </w:rPr>
      </w:pPr>
      <w:r w:rsidRPr="003C1788">
        <w:rPr>
          <w:b/>
        </w:rPr>
        <w:t>Informe sobre la marcha de las actividades</w:t>
      </w:r>
    </w:p>
    <w:p w14:paraId="72BCCB5A" w14:textId="741E901F" w:rsidR="006C61E1" w:rsidRPr="003C1788" w:rsidRDefault="006C61E1" w:rsidP="00A14C3A">
      <w:pPr>
        <w:pStyle w:val="Heading1"/>
      </w:pPr>
      <w:r w:rsidRPr="003C1788">
        <w:t xml:space="preserve">En consonancia con la decisión 93/36, la ONUDI informó inicialmente que existían problemas para establecer la prohibición en el país, </w:t>
      </w:r>
      <w:r w:rsidR="00D808CA">
        <w:t>dado</w:t>
      </w:r>
      <w:r w:rsidRPr="003C1788">
        <w:t xml:space="preserve"> que el Gobierno del Estado Plurinacional de Bolivia carecía de la capacidad administrativa para emitir una norma que prohibiera los equipos a base de HCFC y tenía una capacidad técnica limitada para fiscalizar dicha prohibición. El proyecto de normativa se había presentado a la Dirección Jurídica del Ministerio de Medio Ambiente para que lo estudiara en 2023, pero no se avanzó de otro modo.</w:t>
      </w:r>
    </w:p>
    <w:p w14:paraId="4FD22E43" w14:textId="77777777" w:rsidR="006C61E1" w:rsidRPr="003C1788" w:rsidRDefault="006C61E1" w:rsidP="003479EB">
      <w:pPr>
        <w:keepNext/>
        <w:spacing w:after="240"/>
        <w:outlineLvl w:val="0"/>
        <w:rPr>
          <w:rFonts w:eastAsiaTheme="minorEastAsia"/>
          <w:b/>
        </w:rPr>
      </w:pPr>
      <w:r w:rsidRPr="003C1788">
        <w:rPr>
          <w:b/>
        </w:rPr>
        <w:t>Observaciones de la Secretaría</w:t>
      </w:r>
    </w:p>
    <w:p w14:paraId="4D458FD7" w14:textId="0344CCB8" w:rsidR="006C61E1" w:rsidRPr="003C1788" w:rsidRDefault="006C61E1" w:rsidP="00A14C3A">
      <w:pPr>
        <w:pStyle w:val="Heading1"/>
      </w:pPr>
      <w:r w:rsidRPr="003C1788">
        <w:t xml:space="preserve">Tras conversaciones con la Secretaría, la ONUDI informó que la institución encargada de </w:t>
      </w:r>
      <w:r w:rsidR="00B51312">
        <w:t>autorizar previamente</w:t>
      </w:r>
      <w:r w:rsidRPr="003C1788">
        <w:t xml:space="preserve"> las importaciones de equipos de refrigeración y climatización, el Instituto Boliviano de Metrología, ya no autoriza el ingreso de equipos de refrigeración y climatización a base de HCFC.</w:t>
      </w:r>
      <w:r w:rsidRPr="003C1788">
        <w:rPr>
          <w:rFonts w:ascii="Calibri" w:hAnsi="Calibri"/>
          <w:color w:val="1F497D"/>
        </w:rPr>
        <w:t xml:space="preserve"> </w:t>
      </w:r>
      <w:r w:rsidRPr="003C1788">
        <w:t>Posteriormente, la oficina nacional del ozono, a través de la ONUDI, informó que el proyecto de normativa había sido actualizado tras las observaciones del Ministerio, y el 17 de octubre de 2024 se firmó la normativa para oficializar la prohibición.</w:t>
      </w:r>
    </w:p>
    <w:p w14:paraId="00ABFA3C" w14:textId="77777777" w:rsidR="006C61E1" w:rsidRPr="003C1788" w:rsidRDefault="006C61E1" w:rsidP="006C61E1">
      <w:pPr>
        <w:spacing w:after="240"/>
        <w:rPr>
          <w:rFonts w:eastAsiaTheme="minorEastAsia"/>
          <w:b/>
        </w:rPr>
      </w:pPr>
      <w:r w:rsidRPr="003C1788">
        <w:rPr>
          <w:b/>
        </w:rPr>
        <w:t>Recomendación</w:t>
      </w:r>
    </w:p>
    <w:p w14:paraId="60AB7C14" w14:textId="77777777" w:rsidR="006C61E1" w:rsidRPr="003C1788" w:rsidRDefault="006C61E1" w:rsidP="00A14C3A">
      <w:pPr>
        <w:pStyle w:val="Heading1"/>
      </w:pPr>
      <w:r w:rsidRPr="003C1788">
        <w:t>El Comité Ejecutivo tal vez desee tomar nota del informe sobre los avances logrados en el establecimiento de la prohibición de los equipos a base de HCFC para el Estado Plurinacional de Bolivia, presentado por la ONUDI e incluido en el documento UNEP/</w:t>
      </w:r>
      <w:proofErr w:type="spellStart"/>
      <w:r w:rsidRPr="003C1788">
        <w:t>OzL.Pro</w:t>
      </w:r>
      <w:proofErr w:type="spellEnd"/>
      <w:r w:rsidRPr="003C1788">
        <w:t>/</w:t>
      </w:r>
      <w:proofErr w:type="spellStart"/>
      <w:r w:rsidRPr="003C1788">
        <w:t>ExCom</w:t>
      </w:r>
      <w:proofErr w:type="spellEnd"/>
      <w:r w:rsidRPr="003C1788">
        <w:t xml:space="preserve">/95/20. </w:t>
      </w:r>
    </w:p>
    <w:p w14:paraId="62F3F1B3" w14:textId="41559523" w:rsidR="00CA4D81" w:rsidRPr="003C1788" w:rsidRDefault="00CA4D81" w:rsidP="00CA4D81">
      <w:pPr>
        <w:spacing w:before="240" w:after="240"/>
        <w:ind w:left="720"/>
        <w:rPr>
          <w:b/>
          <w:bCs/>
          <w:u w:val="single"/>
        </w:rPr>
      </w:pPr>
      <w:r w:rsidRPr="003C1788">
        <w:rPr>
          <w:b/>
          <w:bCs/>
          <w:u w:val="single"/>
        </w:rPr>
        <w:lastRenderedPageBreak/>
        <w:t>Honduras</w:t>
      </w:r>
      <w:r w:rsidR="00400A46">
        <w:rPr>
          <w:b/>
          <w:bCs/>
          <w:u w:val="single"/>
        </w:rPr>
        <w:t>:</w:t>
      </w:r>
      <w:r w:rsidRPr="003C1788">
        <w:rPr>
          <w:b/>
          <w:bCs/>
          <w:u w:val="single"/>
        </w:rPr>
        <w:t xml:space="preserve"> Plan de gestión para la eliminación de HCFC (etapa II - actualización de los avances en la aplicación de las recomendaciones del informe de verificación)</w:t>
      </w:r>
      <w:r w:rsidRPr="003C1788">
        <w:rPr>
          <w:b/>
          <w:bCs/>
        </w:rPr>
        <w:t xml:space="preserve"> (ONUDI y PNUMA)</w:t>
      </w:r>
    </w:p>
    <w:p w14:paraId="4902CA61" w14:textId="797E35B5" w:rsidR="003548CB" w:rsidRPr="003C1788" w:rsidRDefault="00CA4D81" w:rsidP="006C61E1">
      <w:pPr>
        <w:spacing w:after="240"/>
        <w:rPr>
          <w:b/>
        </w:rPr>
      </w:pPr>
      <w:r w:rsidRPr="003C1788">
        <w:rPr>
          <w:b/>
        </w:rPr>
        <w:t>Antecedentes</w:t>
      </w:r>
    </w:p>
    <w:p w14:paraId="77762EB1" w14:textId="245A074A" w:rsidR="00CA4D81" w:rsidRPr="003C1788" w:rsidRDefault="00CA4D81" w:rsidP="00A14C3A">
      <w:pPr>
        <w:pStyle w:val="Heading1"/>
        <w:rPr>
          <w:rFonts w:eastAsiaTheme="minorHAnsi"/>
        </w:rPr>
      </w:pPr>
      <w:r w:rsidRPr="003C1788">
        <w:t xml:space="preserve">En la 92ª reunión, el informe de verificación se presentó junto con la solicitud para el segundo tramo de la etapa II del plan de gestión para la eliminación de HCFC (PGEH) para Honduras. La verificación mostró que, si bien continuaban cumpliendo lo estipulado, las cifras de consumo verificadas para 2020 y 2021 diferían de las notificadas en los informes de ejecución del programa país y datos del artículo 7. La verificación reiteró las recomendaciones sobre esta cuestión formuladas en verificaciones anteriores, que solo se habían abordado parcialmente. Las recomendaciones incluían, entre otras, la aplicación de una identificación numérica única para cada autorización de importación; la exigencia de licencias de exportación para los HCFC y otras SAO; y la mejora de los esfuerzos de capacitación en materia de aduanas para garantizar la exactitud de las declaraciones aduaneras, en particular en lo relativo al peso neto notificado. La Secretaría consideró que seguir plenamente estas recomendaciones ayudaría al Gobierno a mejorar la exactitud del registro de datos y a reducir los errores en los informes. </w:t>
      </w:r>
    </w:p>
    <w:p w14:paraId="0BEA2282" w14:textId="496DF67E" w:rsidR="00CA4D81" w:rsidRPr="003C1788" w:rsidRDefault="000B4FC7" w:rsidP="00C6485E">
      <w:pPr>
        <w:pStyle w:val="Heading1"/>
        <w:rPr>
          <w:rFonts w:eastAsiaTheme="minorHAnsi"/>
        </w:rPr>
      </w:pPr>
      <w:r>
        <w:t>Por consiguiente</w:t>
      </w:r>
      <w:r w:rsidR="00CA4D81" w:rsidRPr="003C1788">
        <w:t>, al aprobar el segundo tramo de la etapa II del PGEH para Honduras, el Comité Ejecutivo pidió a la ONUDI que presentara a la 94ª reunión una actualización de los avances logrados en la aplicación de las recomendaciones del informe de verificación, incluidas las medidas adoptadas por el Gobierno para garantizar la exactitud de los datos sobre la ejecución del programa país y del artículo 7 presentados a las Secretarías del Fondo y del Ozono, respectivamente (decisión 92/24)</w:t>
      </w:r>
      <w:r w:rsidR="00CA4D81" w:rsidRPr="003C1788">
        <w:rPr>
          <w:rFonts w:eastAsiaTheme="minorHAnsi"/>
          <w:vertAlign w:val="superscript"/>
        </w:rPr>
        <w:footnoteReference w:id="9"/>
      </w:r>
      <w:r w:rsidR="00CA4D81" w:rsidRPr="003C1788">
        <w:t xml:space="preserve">. </w:t>
      </w:r>
    </w:p>
    <w:p w14:paraId="303A7F6A" w14:textId="77777777" w:rsidR="00CA4D81" w:rsidRPr="003C1788" w:rsidRDefault="00CA4D81" w:rsidP="00483708">
      <w:pPr>
        <w:keepNext/>
        <w:spacing w:after="240"/>
        <w:outlineLvl w:val="0"/>
        <w:rPr>
          <w:rFonts w:eastAsiaTheme="minorHAnsi"/>
          <w:b/>
          <w:bCs/>
        </w:rPr>
      </w:pPr>
      <w:r w:rsidRPr="003C1788">
        <w:rPr>
          <w:b/>
          <w:bCs/>
        </w:rPr>
        <w:t>Informe sobre la marcha de las actividades</w:t>
      </w:r>
    </w:p>
    <w:p w14:paraId="4F36C319" w14:textId="77777777" w:rsidR="00CA4D81" w:rsidRPr="003C1788" w:rsidRDefault="00CA4D81" w:rsidP="00C6485E">
      <w:pPr>
        <w:pStyle w:val="Heading1"/>
        <w:rPr>
          <w:rFonts w:eastAsiaTheme="minorHAnsi"/>
        </w:rPr>
      </w:pPr>
      <w:r w:rsidRPr="003C1788">
        <w:t>En respuesta a la decisión, la ONUDI, en nombre del Gobierno de Honduras, presentó a la 95ª reunión una actualización de los avances en la aplicación de las recomendaciones del informe de verificación, destacando lo siguiente:</w:t>
      </w:r>
    </w:p>
    <w:p w14:paraId="02E77BC4" w14:textId="192875E2" w:rsidR="00CA4D81" w:rsidRPr="003C1788" w:rsidRDefault="00CA4D81" w:rsidP="00C6485E">
      <w:pPr>
        <w:pStyle w:val="Heading2"/>
        <w:rPr>
          <w:rFonts w:eastAsiaTheme="minorHAnsi"/>
        </w:rPr>
      </w:pPr>
      <w:r w:rsidRPr="003C1788">
        <w:t xml:space="preserve">Además de las licencias de importación, el Gobierno de Honduras ha establecido un requisito </w:t>
      </w:r>
      <w:r w:rsidR="00943F87">
        <w:t>para</w:t>
      </w:r>
      <w:r w:rsidRPr="003C1788">
        <w:t xml:space="preserve"> licencias de exportación para las sustancias controladas por el Protocolo de Montreal y los equipos que las contengan. Las licencias también son obligatorias para las sustancias controladas o equipos en tránsito;</w:t>
      </w:r>
    </w:p>
    <w:p w14:paraId="0583ADFA" w14:textId="08965735" w:rsidR="00CA4D81" w:rsidRPr="003C1788" w:rsidRDefault="00CA4D81" w:rsidP="00C6485E">
      <w:pPr>
        <w:pStyle w:val="Heading2"/>
        <w:rPr>
          <w:rFonts w:eastAsiaTheme="minorHAnsi"/>
        </w:rPr>
      </w:pPr>
      <w:r w:rsidRPr="003C1788">
        <w:t xml:space="preserve">Todas las licencias </w:t>
      </w:r>
      <w:r w:rsidR="00B75F88" w:rsidRPr="003C1788">
        <w:t xml:space="preserve">ahora </w:t>
      </w:r>
      <w:r w:rsidRPr="003C1788">
        <w:t>se expiden con un número único para cada tipo de sustancias y equipos importados. La Oficina Nacional del Ozono (ONO) también está desarrollando un código QR para cada licencia, que servirá como identificador único para las declaraciones de aduanas de importación. Las pruebas iniciales han sido satisfactorias, y se espera que el sistema esté en funcionamiento durante el último trimestre de 2024;</w:t>
      </w:r>
    </w:p>
    <w:p w14:paraId="27B603E6" w14:textId="77777777" w:rsidR="00CA4D81" w:rsidRPr="003C1788" w:rsidRDefault="00CA4D81" w:rsidP="00C6485E">
      <w:pPr>
        <w:pStyle w:val="Heading2"/>
        <w:rPr>
          <w:rFonts w:eastAsiaTheme="minorHAnsi"/>
        </w:rPr>
      </w:pPr>
      <w:r w:rsidRPr="003C1788">
        <w:t>La ONO tiene previsto poner en marcha un sistema de registro electrónico para importadores y licencias de importación y exportación en el primer trimestre de 2025. Este sistema pretende mejorar la gestión de datos y aumentar la precisión de los informes de consumo; y</w:t>
      </w:r>
    </w:p>
    <w:p w14:paraId="0CC0623E" w14:textId="7DEB5F16" w:rsidR="00CA4D81" w:rsidRPr="003C1788" w:rsidRDefault="00CA4D81" w:rsidP="008044E1">
      <w:pPr>
        <w:pStyle w:val="Heading2"/>
        <w:spacing w:after="120"/>
        <w:rPr>
          <w:rFonts w:eastAsiaTheme="minorHAnsi"/>
        </w:rPr>
      </w:pPr>
      <w:r w:rsidRPr="003C1788">
        <w:t xml:space="preserve">En colaboración con el departamento de aduanas, la ONO organizó tres talleres de capacitación en 2024 para 100 agentes de aduanas en los principales puntos de entrada. </w:t>
      </w:r>
      <w:r w:rsidR="007D1B9F">
        <w:t>L</w:t>
      </w:r>
      <w:r w:rsidRPr="003C1788">
        <w:t>os talleres se centraron en el control del tráfico de sustancias controladas, incluida la declaración exacta del peso neto en declaraciones de aduanas de importación y exportación.</w:t>
      </w:r>
    </w:p>
    <w:p w14:paraId="4B85AAFE" w14:textId="77777777" w:rsidR="00CA4D81" w:rsidRPr="003C1788" w:rsidRDefault="00CA4D81" w:rsidP="00CA4D81">
      <w:pPr>
        <w:keepNext/>
        <w:rPr>
          <w:rFonts w:eastAsiaTheme="minorHAnsi"/>
          <w:b/>
          <w:bCs/>
        </w:rPr>
      </w:pPr>
      <w:r w:rsidRPr="003C1788">
        <w:rPr>
          <w:b/>
          <w:bCs/>
        </w:rPr>
        <w:lastRenderedPageBreak/>
        <w:t>Observaciones de la Secretaría</w:t>
      </w:r>
    </w:p>
    <w:p w14:paraId="61FDB8E3" w14:textId="77777777" w:rsidR="00CA4D81" w:rsidRPr="003C1788" w:rsidRDefault="00CA4D81" w:rsidP="00CA4D81">
      <w:pPr>
        <w:keepNext/>
        <w:rPr>
          <w:rFonts w:eastAsiaTheme="minorHAnsi"/>
        </w:rPr>
      </w:pPr>
    </w:p>
    <w:p w14:paraId="5DAAC01E" w14:textId="137CB0F2" w:rsidR="00CA4D81" w:rsidRPr="003C1788" w:rsidRDefault="00CA4D81" w:rsidP="00C6485E">
      <w:pPr>
        <w:pStyle w:val="Heading1"/>
        <w:rPr>
          <w:rFonts w:eastAsiaTheme="minorHAnsi"/>
        </w:rPr>
      </w:pPr>
      <w:r w:rsidRPr="003C1788">
        <w:t xml:space="preserve">La Secretaría toma nota de que el Gobierno de Honduras está trabajando activamente para aplicar las recomendaciones del informe de verificación. Las mejoras que se están introduciendo en los sistemas de registro y expedición de licencias de importación/exportación y declaraciones de aduanas mejorarán el análisis de los datos y aumentarán la exactitud de los informes sobre la ejecución del programa país y los datos del artículo 7.  La Secretaría continuará supervisando esta cuestión como parte de los informes sobre el avance de los tramos que se incluirán en futuras solicitudes de tramos; el próximo informe deberá presentarse en la 96ª reunión. </w:t>
      </w:r>
    </w:p>
    <w:p w14:paraId="7A992F10" w14:textId="77777777" w:rsidR="00CA4D81" w:rsidRPr="003C1788" w:rsidRDefault="00CA4D81" w:rsidP="00CA4D81">
      <w:pPr>
        <w:rPr>
          <w:rFonts w:eastAsiaTheme="minorHAnsi"/>
          <w:b/>
          <w:bCs/>
        </w:rPr>
      </w:pPr>
      <w:r w:rsidRPr="003C1788">
        <w:rPr>
          <w:b/>
          <w:bCs/>
        </w:rPr>
        <w:t>Recomendación</w:t>
      </w:r>
    </w:p>
    <w:p w14:paraId="61AF75CB" w14:textId="77777777" w:rsidR="00CA4D81" w:rsidRPr="003C1788" w:rsidRDefault="00CA4D81" w:rsidP="00CA4D81">
      <w:pPr>
        <w:rPr>
          <w:rFonts w:eastAsiaTheme="minorHAnsi"/>
        </w:rPr>
      </w:pPr>
    </w:p>
    <w:p w14:paraId="2346C5B0" w14:textId="77777777" w:rsidR="00CA4D81" w:rsidRPr="003C1788" w:rsidRDefault="00CA4D81" w:rsidP="00C6485E">
      <w:pPr>
        <w:pStyle w:val="Heading1"/>
        <w:rPr>
          <w:rFonts w:eastAsiaTheme="minorHAnsi"/>
        </w:rPr>
      </w:pPr>
      <w:r w:rsidRPr="003C1788">
        <w:t>El Comité Ejecutivo podría considerar oportuno tomar nota de la información actualizada sobre los avances en la aplicación de las recomendaciones del informe de verificación para el segundo tramo de la etapa II del plan de gestión para la eliminación de HCFC para Honduras, presentada por la ONUDI e incluida en el documento UNEP/</w:t>
      </w:r>
      <w:proofErr w:type="spellStart"/>
      <w:r w:rsidRPr="003C1788">
        <w:t>OzL.Pro</w:t>
      </w:r>
      <w:proofErr w:type="spellEnd"/>
      <w:r w:rsidRPr="003C1788">
        <w:t>/</w:t>
      </w:r>
      <w:proofErr w:type="spellStart"/>
      <w:r w:rsidRPr="003C1788">
        <w:t>ExCom</w:t>
      </w:r>
      <w:proofErr w:type="spellEnd"/>
      <w:r w:rsidRPr="003C1788">
        <w:t>/95/20.</w:t>
      </w:r>
    </w:p>
    <w:p w14:paraId="4B98E7AC" w14:textId="77777777" w:rsidR="003479EB" w:rsidRPr="003C1788" w:rsidRDefault="003479EB" w:rsidP="001A2F97">
      <w:pPr>
        <w:ind w:left="720"/>
        <w:jc w:val="left"/>
        <w:rPr>
          <w:b/>
          <w:bCs/>
          <w:u w:val="single"/>
        </w:rPr>
      </w:pPr>
      <w:r w:rsidRPr="003C1788">
        <w:rPr>
          <w:b/>
          <w:bCs/>
          <w:u w:val="single"/>
        </w:rPr>
        <w:t>Mauritania: Plan de gestión para la eliminación de HCFC (etapa I - medidas adoptadas para fortalecer los sistemas de licencias y cuotas de importación y exportación de HCFC)</w:t>
      </w:r>
      <w:r w:rsidRPr="003C1788">
        <w:rPr>
          <w:b/>
          <w:bCs/>
        </w:rPr>
        <w:t xml:space="preserve"> (PNUMA)</w:t>
      </w:r>
    </w:p>
    <w:p w14:paraId="43FC8ED9" w14:textId="77777777" w:rsidR="003479EB" w:rsidRPr="003C1788" w:rsidRDefault="003479EB" w:rsidP="003479EB">
      <w:pPr>
        <w:ind w:left="720"/>
        <w:jc w:val="left"/>
        <w:rPr>
          <w:b/>
          <w:bCs/>
          <w:u w:val="single"/>
        </w:rPr>
      </w:pPr>
    </w:p>
    <w:p w14:paraId="4B00F1C0" w14:textId="77777777" w:rsidR="003479EB" w:rsidRPr="003C1788" w:rsidRDefault="003479EB" w:rsidP="003479EB">
      <w:pPr>
        <w:jc w:val="left"/>
        <w:rPr>
          <w:b/>
          <w:bCs/>
        </w:rPr>
      </w:pPr>
      <w:r w:rsidRPr="003C1788">
        <w:rPr>
          <w:b/>
          <w:bCs/>
        </w:rPr>
        <w:t>Antecedentes</w:t>
      </w:r>
    </w:p>
    <w:p w14:paraId="7E472132" w14:textId="77777777" w:rsidR="003479EB" w:rsidRPr="003C1788" w:rsidRDefault="003479EB" w:rsidP="003479EB">
      <w:pPr>
        <w:jc w:val="left"/>
      </w:pPr>
    </w:p>
    <w:p w14:paraId="09D18230" w14:textId="51554EAB" w:rsidR="003479EB" w:rsidRPr="003C1788" w:rsidRDefault="003479EB" w:rsidP="005A6A82">
      <w:pPr>
        <w:numPr>
          <w:ilvl w:val="0"/>
          <w:numId w:val="33"/>
        </w:numPr>
        <w:spacing w:after="240"/>
        <w:outlineLvl w:val="0"/>
      </w:pPr>
      <w:r w:rsidRPr="003C1788">
        <w:t xml:space="preserve">En su 93ª reunión, el Comité Ejecutivo tomó nota del estado de la revisión del informe </w:t>
      </w:r>
      <w:r w:rsidR="00A855AA">
        <w:t>relativo a</w:t>
      </w:r>
      <w:r w:rsidRPr="003C1788">
        <w:t>l estudio sobre HCFC, de las recomendaciones sobre el punto de partida revisado y del Acuerdo revisado entre el Gobierno de Mauritania y el Comité Ejecutivo en el contexto del plan de gestión para la eliminación de HCFC (PGEH) para Mauritania, y pidió al PNUMA que continuara ayudando al Gobierno de Mauritania a fortalecer su sistema de licencias y cuotas, así como sus sistemas de registro de importaciones y exportaciones de HCFC para que pudiera contabilizar la exportación de los HCFC utilizados por buques extranjeros a partir de 2023; mejorar el uso de los códigos aduaneros; e informar en la 95ª reunión sobre las medidas adoptadas para fortalecer los sistemas de licencias y cuotas de importación y exportación de HCFC (decisión 93/24 b)).</w:t>
      </w:r>
    </w:p>
    <w:p w14:paraId="457C2B34" w14:textId="77777777" w:rsidR="003479EB" w:rsidRPr="003C1788" w:rsidRDefault="003479EB" w:rsidP="003479EB">
      <w:pPr>
        <w:spacing w:after="240"/>
        <w:outlineLvl w:val="0"/>
      </w:pPr>
      <w:r w:rsidRPr="003C1788">
        <w:rPr>
          <w:b/>
          <w:bCs/>
        </w:rPr>
        <w:t>Informe sobre la marcha de las actividades</w:t>
      </w:r>
    </w:p>
    <w:p w14:paraId="47923378" w14:textId="4DD19A66" w:rsidR="003479EB" w:rsidRPr="003C1788" w:rsidRDefault="003479EB" w:rsidP="003479EB">
      <w:pPr>
        <w:numPr>
          <w:ilvl w:val="0"/>
          <w:numId w:val="33"/>
        </w:numPr>
        <w:spacing w:after="240"/>
        <w:outlineLvl w:val="0"/>
        <w:rPr>
          <w:b/>
          <w:bCs/>
        </w:rPr>
      </w:pPr>
      <w:r w:rsidRPr="003C1788">
        <w:t xml:space="preserve">En consonancia con la decisión 93/24 b), en nombre del Gobierno de Mauritania, el PNUMA, en calidad de organismo de ejecución designado, presentó un informe en el que se esbozan las medidas adoptadas durante 2024. Mauritania ha capacitado a 95 funcionarios de aduanas y fiscalización sobre el código del sistema armonizado y las normas de control de HCFC en el año en curso. Además, el país ha añadido medidas de fiscalización a su mecanismo de vigilancia de las importaciones y exportaciones de HCFC, fortaleciendo el control de la venta, compra, circulación y uso de refrigerantes utilizados por buques extranjeros. A partir de julio de 2024, los importadores deben proporcionar un registro de ventas de los HCFC utilizados por buques extranjeros, que es crucial para el seguimiento de la concesión de licencias y la autorización de cuotas, y las autoridades portuarias deberán presentar listas de los buques atracados detallando las cantidades de HCFC adquiridas y utilizadas en cada trimestre. </w:t>
      </w:r>
    </w:p>
    <w:p w14:paraId="4ECD6AAB" w14:textId="77777777" w:rsidR="003479EB" w:rsidRPr="003C1788" w:rsidRDefault="003479EB" w:rsidP="003479EB">
      <w:pPr>
        <w:spacing w:after="240"/>
        <w:jc w:val="left"/>
        <w:outlineLvl w:val="0"/>
        <w:rPr>
          <w:b/>
          <w:bCs/>
        </w:rPr>
      </w:pPr>
      <w:r w:rsidRPr="003C1788">
        <w:rPr>
          <w:b/>
          <w:bCs/>
        </w:rPr>
        <w:t>Observaciones de la Secretaría</w:t>
      </w:r>
    </w:p>
    <w:p w14:paraId="3982076D" w14:textId="77777777" w:rsidR="003479EB" w:rsidRPr="003C1788" w:rsidRDefault="003479EB" w:rsidP="003479EB">
      <w:pPr>
        <w:numPr>
          <w:ilvl w:val="0"/>
          <w:numId w:val="33"/>
        </w:numPr>
        <w:contextualSpacing/>
        <w:rPr>
          <w:b/>
          <w:bCs/>
        </w:rPr>
      </w:pPr>
      <w:r w:rsidRPr="003C1788">
        <w:t xml:space="preserve">La Secretaría toma nota del informe de situación que proporciona una actualización sobre el fortalecimiento del sistema de licencias y cuotas de Mauritania, incluidos los registros de importaciones y exportaciones de HCFC para que el país pueda contabilizar la exportación de HCFC utilizados por buques extranjeros a partir de 2024, y para mejorar el uso de los códigos aduaneros y la capacitación de los funcionarios de aduanas y fiscalización. El informe presentado por el PNUMA también destaca el papel de </w:t>
      </w:r>
      <w:r w:rsidRPr="003C1788">
        <w:lastRenderedPageBreak/>
        <w:t xml:space="preserve">las autoridades portuarias para cotejar los datos recibidos de los importadores. En resumen, la determinación del uso de HCFC por parte de buques extranjeros se aborda a través de la información proporcionada por estas partes intervinientes. </w:t>
      </w:r>
    </w:p>
    <w:p w14:paraId="4C63AA40" w14:textId="77777777" w:rsidR="003479EB" w:rsidRPr="003C1788" w:rsidRDefault="003479EB" w:rsidP="003479EB">
      <w:pPr>
        <w:contextualSpacing/>
        <w:rPr>
          <w:b/>
          <w:bCs/>
        </w:rPr>
      </w:pPr>
    </w:p>
    <w:p w14:paraId="2687484C" w14:textId="0E9F823C" w:rsidR="003479EB" w:rsidRPr="003C1788" w:rsidRDefault="003479EB" w:rsidP="003479EB">
      <w:pPr>
        <w:numPr>
          <w:ilvl w:val="0"/>
          <w:numId w:val="33"/>
        </w:numPr>
        <w:spacing w:after="240"/>
        <w:outlineLvl w:val="0"/>
      </w:pPr>
      <w:r w:rsidRPr="003C1788">
        <w:t>El sistema de seguimiento del uso de HCFC en buques extranjeros no se ejecutó en 2023, ya que la decisión de ponerlo en marcha se tomó en diciembre de ese año. La Secretaría señala que la información sobre el uso de HCFC en embarques para 2023 requerirá un estudio en terreno y pidió al PNUMA que lo complet</w:t>
      </w:r>
      <w:r w:rsidR="008E6C42">
        <w:t>e</w:t>
      </w:r>
      <w:r w:rsidRPr="003C1788">
        <w:t xml:space="preserve"> como parte del estudio para preparar la etapa II del PGEH.</w:t>
      </w:r>
    </w:p>
    <w:p w14:paraId="2EED466E" w14:textId="77777777" w:rsidR="003479EB" w:rsidRPr="003C1788" w:rsidRDefault="003479EB" w:rsidP="003479EB">
      <w:pPr>
        <w:spacing w:after="240"/>
        <w:outlineLvl w:val="0"/>
        <w:rPr>
          <w:b/>
          <w:bCs/>
        </w:rPr>
      </w:pPr>
      <w:r w:rsidRPr="003C1788">
        <w:rPr>
          <w:b/>
          <w:bCs/>
        </w:rPr>
        <w:t>Recomendación</w:t>
      </w:r>
    </w:p>
    <w:p w14:paraId="5FB3B3FD" w14:textId="77777777" w:rsidR="003479EB" w:rsidRPr="003C1788" w:rsidRDefault="003479EB" w:rsidP="003479EB">
      <w:pPr>
        <w:numPr>
          <w:ilvl w:val="0"/>
          <w:numId w:val="33"/>
        </w:numPr>
        <w:contextualSpacing/>
      </w:pPr>
      <w:r w:rsidRPr="003C1788">
        <w:t>El Comité Ejecutivo podría estimar oportuno:</w:t>
      </w:r>
    </w:p>
    <w:p w14:paraId="0C0CDC70" w14:textId="77777777" w:rsidR="003479EB" w:rsidRPr="003C1788" w:rsidRDefault="003479EB" w:rsidP="003479EB">
      <w:pPr>
        <w:contextualSpacing/>
      </w:pPr>
    </w:p>
    <w:p w14:paraId="64715AE6" w14:textId="77777777" w:rsidR="003479EB" w:rsidRPr="003C1788" w:rsidRDefault="003479EB" w:rsidP="00A14C3A">
      <w:pPr>
        <w:pStyle w:val="Heading2"/>
      </w:pPr>
      <w:r w:rsidRPr="003C1788">
        <w:t>Tomar nota del informe sobre las medidas adoptadas para fortalecer los sistemas de licencias y cuotas de importación y exportación de HCFC para Mauritania, en el contexto de su etapa I del plan de gestión para la eliminación de HCFC (PGEH), presentado por el PNUMA e incluido en el documento UNEP/</w:t>
      </w:r>
      <w:proofErr w:type="spellStart"/>
      <w:r w:rsidRPr="003C1788">
        <w:t>OzL.Pro</w:t>
      </w:r>
      <w:proofErr w:type="spellEnd"/>
      <w:r w:rsidRPr="003C1788">
        <w:t>/</w:t>
      </w:r>
      <w:proofErr w:type="spellStart"/>
      <w:r w:rsidRPr="003C1788">
        <w:t>ExCom</w:t>
      </w:r>
      <w:proofErr w:type="spellEnd"/>
      <w:r w:rsidRPr="003C1788">
        <w:t xml:space="preserve">/95/20; </w:t>
      </w:r>
    </w:p>
    <w:p w14:paraId="6BB91BD1" w14:textId="77777777" w:rsidR="003479EB" w:rsidRPr="003C1788" w:rsidRDefault="003479EB" w:rsidP="00A14C3A">
      <w:pPr>
        <w:pStyle w:val="Heading2"/>
      </w:pPr>
      <w:r w:rsidRPr="003C1788">
        <w:t>Pedir que:</w:t>
      </w:r>
    </w:p>
    <w:p w14:paraId="376D2134" w14:textId="77777777" w:rsidR="003479EB" w:rsidRPr="003C1788" w:rsidRDefault="003479EB" w:rsidP="00A14C3A">
      <w:pPr>
        <w:pStyle w:val="Heading3"/>
        <w:ind w:hanging="540"/>
      </w:pPr>
      <w:r w:rsidRPr="003C1788">
        <w:t>El PNUMA prepare un informe sobre los usos de HCFC por buques extranjeros en 2023 como parte de la preparación de la etapa II del PGEH para Mauritania e incluya el informe como parte de la presentación de la etapa II; y</w:t>
      </w:r>
    </w:p>
    <w:p w14:paraId="709FA087" w14:textId="77777777" w:rsidR="003479EB" w:rsidRPr="003C1788" w:rsidRDefault="003479EB" w:rsidP="00A14C3A">
      <w:pPr>
        <w:pStyle w:val="Heading3"/>
        <w:ind w:hanging="450"/>
      </w:pPr>
      <w:r w:rsidRPr="003C1788">
        <w:t>El Gobierno de Mauritania comience a informar a partir de 2024 los tipos y cantidades de HCFC utilizados por buques extranjeros en los informes de ejecución del programa país y los datos del artículo 7.</w:t>
      </w:r>
    </w:p>
    <w:p w14:paraId="37367E86" w14:textId="4DEA6164" w:rsidR="00483708" w:rsidRPr="003C1788" w:rsidRDefault="00483708" w:rsidP="00483708">
      <w:pPr>
        <w:spacing w:after="240"/>
        <w:ind w:left="709"/>
        <w:rPr>
          <w:b/>
          <w:bCs/>
          <w:u w:val="single"/>
        </w:rPr>
      </w:pPr>
      <w:proofErr w:type="spellStart"/>
      <w:r w:rsidRPr="003C1788">
        <w:rPr>
          <w:b/>
          <w:bCs/>
          <w:u w:val="single"/>
        </w:rPr>
        <w:t>Viet</w:t>
      </w:r>
      <w:proofErr w:type="spellEnd"/>
      <w:r w:rsidRPr="003C1788">
        <w:rPr>
          <w:b/>
          <w:bCs/>
          <w:u w:val="single"/>
        </w:rPr>
        <w:t xml:space="preserve"> </w:t>
      </w:r>
      <w:proofErr w:type="spellStart"/>
      <w:r w:rsidRPr="003C1788">
        <w:rPr>
          <w:b/>
          <w:bCs/>
          <w:u w:val="single"/>
        </w:rPr>
        <w:t>Nam</w:t>
      </w:r>
      <w:proofErr w:type="spellEnd"/>
      <w:r w:rsidRPr="003C1788">
        <w:rPr>
          <w:b/>
          <w:bCs/>
          <w:u w:val="single"/>
        </w:rPr>
        <w:t>: Plan de gestión para la eliminación de HCFC (etapa II - informe final sobre la marcha de las actividades)</w:t>
      </w:r>
      <w:r w:rsidRPr="003C1788">
        <w:rPr>
          <w:b/>
          <w:bCs/>
        </w:rPr>
        <w:t xml:space="preserve"> (Banco Mundial y Gobierno del Japón)</w:t>
      </w:r>
    </w:p>
    <w:p w14:paraId="40A0A10A" w14:textId="77777777" w:rsidR="00483708" w:rsidRPr="003C1788" w:rsidRDefault="00483708" w:rsidP="00483708">
      <w:pPr>
        <w:spacing w:after="240"/>
        <w:rPr>
          <w:b/>
          <w:bCs/>
        </w:rPr>
      </w:pPr>
      <w:r w:rsidRPr="003C1788">
        <w:rPr>
          <w:b/>
          <w:bCs/>
        </w:rPr>
        <w:t>Antecedentes</w:t>
      </w:r>
    </w:p>
    <w:p w14:paraId="6D4EC59C" w14:textId="77777777" w:rsidR="00483708" w:rsidRPr="003C1788" w:rsidRDefault="00483708" w:rsidP="00F81A98">
      <w:pPr>
        <w:pStyle w:val="Heading1"/>
        <w:numPr>
          <w:ilvl w:val="0"/>
          <w:numId w:val="43"/>
        </w:numPr>
      </w:pPr>
      <w:r w:rsidRPr="003C1788">
        <w:t xml:space="preserve">Al aprobar el cuarto y último tramo de la etapa II del plan de gestión para la eliminación de HCFC (PGEH) para </w:t>
      </w:r>
      <w:proofErr w:type="spellStart"/>
      <w:r w:rsidRPr="003C1788">
        <w:t>Viet</w:t>
      </w:r>
      <w:proofErr w:type="spellEnd"/>
      <w:r w:rsidRPr="003C1788">
        <w:t xml:space="preserve"> </w:t>
      </w:r>
      <w:proofErr w:type="spellStart"/>
      <w:r w:rsidRPr="003C1788">
        <w:t>Nam</w:t>
      </w:r>
      <w:proofErr w:type="spellEnd"/>
      <w:r w:rsidRPr="003C1788">
        <w:t xml:space="preserve">, el Comité Ejecutivo solicitó al Gobierno de </w:t>
      </w:r>
      <w:proofErr w:type="spellStart"/>
      <w:r w:rsidRPr="003C1788">
        <w:t>Viet</w:t>
      </w:r>
      <w:proofErr w:type="spellEnd"/>
      <w:r w:rsidRPr="003C1788">
        <w:t xml:space="preserve"> </w:t>
      </w:r>
      <w:proofErr w:type="spellStart"/>
      <w:r w:rsidRPr="003C1788">
        <w:t>Nam</w:t>
      </w:r>
      <w:proofErr w:type="spellEnd"/>
      <w:r w:rsidRPr="003C1788">
        <w:t>, al Banco Mundial y al Gobierno del Japón que presentaran, en la primera reunión de 2024, un informe sobre el avance de la ejecución del tramo final de la etapa II del PGEH (decisión 91/57 c)).</w:t>
      </w:r>
    </w:p>
    <w:p w14:paraId="01FFEEBB" w14:textId="77777777" w:rsidR="00483708" w:rsidRPr="003C1788" w:rsidRDefault="00483708" w:rsidP="00A14C3A">
      <w:pPr>
        <w:pStyle w:val="Heading1"/>
      </w:pPr>
      <w:r w:rsidRPr="003C1788">
        <w:t>En abril de 2024, el Banco Mundial presentó el informe sobre la marcha de las actividades de conformidad con la decisión 91/57 c), así como el informe de verificación sobre el consumo de HCFC para 2022</w:t>
      </w:r>
      <w:r w:rsidRPr="003C1788">
        <w:rPr>
          <w:rStyle w:val="FootnoteReference"/>
        </w:rPr>
        <w:footnoteReference w:id="10"/>
      </w:r>
      <w:r w:rsidRPr="003C1788">
        <w:t>.</w:t>
      </w:r>
    </w:p>
    <w:p w14:paraId="5276358D" w14:textId="77777777" w:rsidR="00483708" w:rsidRPr="003C1788" w:rsidRDefault="00483708" w:rsidP="00077FD6">
      <w:pPr>
        <w:keepNext/>
        <w:spacing w:after="240"/>
        <w:rPr>
          <w:b/>
          <w:bCs/>
        </w:rPr>
      </w:pPr>
      <w:r w:rsidRPr="003C1788">
        <w:rPr>
          <w:b/>
          <w:bCs/>
        </w:rPr>
        <w:t>Informe sobre la marcha de las actividades</w:t>
      </w:r>
    </w:p>
    <w:p w14:paraId="1BF15637" w14:textId="77777777" w:rsidR="00483708" w:rsidRPr="003C1788" w:rsidRDefault="00483708" w:rsidP="00483708">
      <w:pPr>
        <w:keepNext/>
        <w:spacing w:after="240"/>
        <w:rPr>
          <w:iCs/>
          <w:u w:val="single"/>
        </w:rPr>
      </w:pPr>
      <w:r w:rsidRPr="003C1788">
        <w:rPr>
          <w:iCs/>
          <w:u w:val="single"/>
        </w:rPr>
        <w:t>Consumo de HCFC y verificación</w:t>
      </w:r>
    </w:p>
    <w:p w14:paraId="14854D5B" w14:textId="77777777" w:rsidR="00483708" w:rsidRPr="003C1788" w:rsidRDefault="00483708" w:rsidP="00A14C3A">
      <w:pPr>
        <w:pStyle w:val="Heading1"/>
      </w:pPr>
      <w:r w:rsidRPr="003C1788">
        <w:t xml:space="preserve">El gobierno de </w:t>
      </w:r>
      <w:proofErr w:type="spellStart"/>
      <w:r w:rsidRPr="003C1788">
        <w:t>Viet</w:t>
      </w:r>
      <w:proofErr w:type="spellEnd"/>
      <w:r w:rsidRPr="003C1788">
        <w:t xml:space="preserve"> </w:t>
      </w:r>
      <w:proofErr w:type="spellStart"/>
      <w:r w:rsidRPr="003C1788">
        <w:t>Nam</w:t>
      </w:r>
      <w:proofErr w:type="spellEnd"/>
      <w:r w:rsidRPr="003C1788">
        <w:t xml:space="preserve"> informó un consumo de 137,46 toneladas PAO de HCFC en 2023, que es un 38 % inferior a la base de comparación para el cumplimiento del país en materia de HCFC. El informe de verificación de 2022 confirmó que el consumo de HCFC se notificó con exactitud en virtud del artículo 7 del Protocolo de Montreal para ese año. La verificación concluyó que </w:t>
      </w:r>
      <w:proofErr w:type="spellStart"/>
      <w:r w:rsidRPr="003C1788">
        <w:t>Viet</w:t>
      </w:r>
      <w:proofErr w:type="spellEnd"/>
      <w:r w:rsidRPr="003C1788">
        <w:t xml:space="preserve"> </w:t>
      </w:r>
      <w:proofErr w:type="spellStart"/>
      <w:r w:rsidRPr="003C1788">
        <w:t>Nam</w:t>
      </w:r>
      <w:proofErr w:type="spellEnd"/>
      <w:r w:rsidRPr="003C1788">
        <w:t xml:space="preserve"> cumple los umbrales </w:t>
      </w:r>
      <w:r w:rsidRPr="003C1788">
        <w:lastRenderedPageBreak/>
        <w:t>estipulados en el Acuerdo entre el Gobierno y el Comité Ejecutivo. El informe de verificación no abordó el consumo de HCFC-141b contenido en polioles premezclados importados.</w:t>
      </w:r>
    </w:p>
    <w:p w14:paraId="58F55993" w14:textId="77777777" w:rsidR="00483708" w:rsidRPr="003C1788" w:rsidRDefault="00483708" w:rsidP="00483708">
      <w:pPr>
        <w:spacing w:after="160" w:line="278" w:lineRule="auto"/>
        <w:jc w:val="left"/>
        <w:rPr>
          <w:iCs/>
          <w:u w:val="single"/>
        </w:rPr>
      </w:pPr>
      <w:r w:rsidRPr="003C1788">
        <w:rPr>
          <w:iCs/>
          <w:u w:val="single"/>
        </w:rPr>
        <w:t>Marco jurídico</w:t>
      </w:r>
    </w:p>
    <w:p w14:paraId="577A3B1C" w14:textId="75DD8E15" w:rsidR="00483708" w:rsidRPr="003C1788" w:rsidRDefault="00483708" w:rsidP="00A14C3A">
      <w:pPr>
        <w:pStyle w:val="Heading1"/>
      </w:pPr>
      <w:r w:rsidRPr="003C1788">
        <w:t xml:space="preserve">En el marco del cuarto tramo, se organizaron cuatro talleres y se </w:t>
      </w:r>
      <w:r w:rsidR="005F7F55">
        <w:t>proporcionó capacitación</w:t>
      </w:r>
      <w:r w:rsidRPr="003C1788">
        <w:t xml:space="preserve"> a 150 funcionarios de aduanas en el control y la supervisión de las importaciones y exportaciones de HCFC, </w:t>
      </w:r>
      <w:r w:rsidR="00A5180D">
        <w:t>con</w:t>
      </w:r>
      <w:r w:rsidRPr="003C1788">
        <w:t xml:space="preserve"> un total de 350 funcionarios de aduanas capacitados en la etapa II. El Gobierno prohibió la importación de HCFC-141b contenido en polioles premezclados importados el 1 de enero de 2023, de conformidad con la decisión 90/22 d) i).</w:t>
      </w:r>
    </w:p>
    <w:p w14:paraId="073A91CB" w14:textId="77777777" w:rsidR="00483708" w:rsidRPr="003C1788" w:rsidRDefault="00483708" w:rsidP="00483708">
      <w:pPr>
        <w:spacing w:after="160" w:line="278" w:lineRule="auto"/>
        <w:jc w:val="left"/>
        <w:rPr>
          <w:iCs/>
          <w:u w:val="single"/>
        </w:rPr>
      </w:pPr>
      <w:r w:rsidRPr="003C1788">
        <w:rPr>
          <w:iCs/>
          <w:u w:val="single"/>
        </w:rPr>
        <w:t>Sector fabricación</w:t>
      </w:r>
    </w:p>
    <w:p w14:paraId="6CF7CC72" w14:textId="77777777" w:rsidR="00483708" w:rsidRPr="003C1788" w:rsidRDefault="00483708" w:rsidP="00483708">
      <w:pPr>
        <w:spacing w:after="160" w:line="278" w:lineRule="auto"/>
        <w:jc w:val="left"/>
        <w:rPr>
          <w:i/>
        </w:rPr>
      </w:pPr>
      <w:r w:rsidRPr="003C1788">
        <w:rPr>
          <w:i/>
        </w:rPr>
        <w:t xml:space="preserve">Fabricación de equipos de climatización </w:t>
      </w:r>
    </w:p>
    <w:p w14:paraId="796B17FD" w14:textId="77777777" w:rsidR="00483708" w:rsidRPr="003C1788" w:rsidRDefault="00483708" w:rsidP="00A14C3A">
      <w:pPr>
        <w:pStyle w:val="Heading1"/>
      </w:pPr>
      <w:r w:rsidRPr="003C1788">
        <w:t>Dos empresas de fabricación de equipos de climatización que participaron en la etapa II del PGEH (</w:t>
      </w:r>
      <w:proofErr w:type="spellStart"/>
      <w:r w:rsidRPr="003C1788">
        <w:t>Hoa</w:t>
      </w:r>
      <w:proofErr w:type="spellEnd"/>
      <w:r w:rsidRPr="003C1788">
        <w:t xml:space="preserve"> </w:t>
      </w:r>
      <w:proofErr w:type="spellStart"/>
      <w:r w:rsidRPr="003C1788">
        <w:t>Phat</w:t>
      </w:r>
      <w:proofErr w:type="spellEnd"/>
      <w:r w:rsidRPr="003C1788">
        <w:t xml:space="preserve"> y </w:t>
      </w:r>
      <w:proofErr w:type="spellStart"/>
      <w:r w:rsidRPr="003C1788">
        <w:t>Nagakawa</w:t>
      </w:r>
      <w:proofErr w:type="spellEnd"/>
      <w:r w:rsidRPr="003C1788">
        <w:t xml:space="preserve">) recibieron los equipos restantes necesarios para la conversión a HFC-32; los nuevos equipos están en funcionamiento y los dos proyectos se han completado, con un total de 51,65 </w:t>
      </w:r>
      <w:proofErr w:type="spellStart"/>
      <w:r w:rsidRPr="003C1788">
        <w:t>tm</w:t>
      </w:r>
      <w:proofErr w:type="spellEnd"/>
      <w:r w:rsidRPr="003C1788">
        <w:t xml:space="preserve"> eliminadas en este sector.</w:t>
      </w:r>
    </w:p>
    <w:p w14:paraId="1C843861" w14:textId="69319A05" w:rsidR="00483708" w:rsidRPr="003C1788" w:rsidRDefault="00EE0AC0" w:rsidP="00483708">
      <w:pPr>
        <w:spacing w:after="160" w:line="278" w:lineRule="auto"/>
        <w:jc w:val="left"/>
        <w:rPr>
          <w:i/>
        </w:rPr>
      </w:pPr>
      <w:r>
        <w:rPr>
          <w:i/>
        </w:rPr>
        <w:t>F</w:t>
      </w:r>
      <w:r w:rsidR="00483708" w:rsidRPr="003C1788">
        <w:rPr>
          <w:i/>
        </w:rPr>
        <w:t xml:space="preserve">abricación de espuma de poliuretano </w:t>
      </w:r>
    </w:p>
    <w:p w14:paraId="17739145" w14:textId="16BF117A" w:rsidR="00483708" w:rsidRPr="003C1788" w:rsidRDefault="00483708" w:rsidP="00786042">
      <w:pPr>
        <w:pStyle w:val="Heading1"/>
        <w:spacing w:after="120"/>
      </w:pPr>
      <w:r w:rsidRPr="003C1788">
        <w:t xml:space="preserve">En el sector de la espuma de poliuretano, se ha completado la conversión </w:t>
      </w:r>
      <w:r w:rsidR="005F62F7">
        <w:t xml:space="preserve">prevista </w:t>
      </w:r>
      <w:r w:rsidRPr="003C1788">
        <w:t>de dos empresas a ciclopentano (</w:t>
      </w:r>
      <w:proofErr w:type="spellStart"/>
      <w:r w:rsidRPr="003C1788">
        <w:t>Yantai</w:t>
      </w:r>
      <w:proofErr w:type="spellEnd"/>
      <w:r w:rsidRPr="003C1788">
        <w:t xml:space="preserve"> Moon y Tran </w:t>
      </w:r>
      <w:proofErr w:type="spellStart"/>
      <w:r w:rsidRPr="003C1788">
        <w:t>Huu</w:t>
      </w:r>
      <w:proofErr w:type="spellEnd"/>
      <w:r w:rsidRPr="003C1788">
        <w:t xml:space="preserve"> Duc) y dos a ciclopentano premezclado (Darling y Tan A), con lo que se ha eliminado un consumo anual total de 140,95 </w:t>
      </w:r>
      <w:proofErr w:type="spellStart"/>
      <w:r w:rsidRPr="003C1788">
        <w:t>tm</w:t>
      </w:r>
      <w:proofErr w:type="spellEnd"/>
      <w:r w:rsidRPr="003C1788">
        <w:t xml:space="preserve"> de HCFC-141b contenido en polioles premezclados. Quince pequeñas y medianas empresas (PYME</w:t>
      </w:r>
      <w:r w:rsidR="00332AF0">
        <w:t>S</w:t>
      </w:r>
      <w:r w:rsidRPr="003C1788">
        <w:t xml:space="preserve">) realizaron la conversión a formulaciones reducidas de polioles premezclados </w:t>
      </w:r>
      <w:r w:rsidR="001E276A">
        <w:t>a base de</w:t>
      </w:r>
      <w:r w:rsidRPr="003C1788">
        <w:t xml:space="preserve"> HFO con la ayuda de </w:t>
      </w:r>
      <w:proofErr w:type="spellStart"/>
      <w:r w:rsidRPr="003C1788">
        <w:t>GreenMat</w:t>
      </w:r>
      <w:proofErr w:type="spellEnd"/>
      <w:r w:rsidRPr="003C1788">
        <w:t xml:space="preserve">, que actuó como centro de mezclas y proporcionó asistencia técnica y capacitación, eliminando otras 85,94 </w:t>
      </w:r>
      <w:proofErr w:type="spellStart"/>
      <w:r w:rsidRPr="003C1788">
        <w:t>tm</w:t>
      </w:r>
      <w:proofErr w:type="spellEnd"/>
      <w:r w:rsidRPr="003C1788">
        <w:t xml:space="preserve">. Junto con la empresa convertida en el tercer tramo, </w:t>
      </w:r>
      <w:proofErr w:type="spellStart"/>
      <w:r w:rsidRPr="003C1788">
        <w:t>Saree</w:t>
      </w:r>
      <w:proofErr w:type="spellEnd"/>
      <w:r w:rsidRPr="003C1788">
        <w:t xml:space="preserve"> (que consume 7,00 </w:t>
      </w:r>
      <w:proofErr w:type="spellStart"/>
      <w:r w:rsidRPr="003C1788">
        <w:t>tm</w:t>
      </w:r>
      <w:proofErr w:type="spellEnd"/>
      <w:r w:rsidRPr="003C1788">
        <w:t xml:space="preserve"> en la fabricación de espumas), se eliminó un total de 233,89 </w:t>
      </w:r>
      <w:proofErr w:type="spellStart"/>
      <w:r w:rsidRPr="003C1788">
        <w:t>tm</w:t>
      </w:r>
      <w:proofErr w:type="spellEnd"/>
      <w:r w:rsidRPr="003C1788">
        <w:t xml:space="preserve"> en el sector de la espuma de poliuretano en la etapa II.</w:t>
      </w:r>
    </w:p>
    <w:p w14:paraId="4798C81A" w14:textId="77777777" w:rsidR="00483708" w:rsidRPr="003C1788" w:rsidRDefault="00483708" w:rsidP="00786042">
      <w:pPr>
        <w:keepNext/>
        <w:spacing w:after="120" w:line="278" w:lineRule="auto"/>
        <w:jc w:val="left"/>
        <w:rPr>
          <w:i/>
          <w:iCs/>
        </w:rPr>
      </w:pPr>
      <w:r w:rsidRPr="003C1788">
        <w:rPr>
          <w:i/>
          <w:iCs/>
        </w:rPr>
        <w:t xml:space="preserve">Fabricación de equipos de refrigeración </w:t>
      </w:r>
    </w:p>
    <w:p w14:paraId="4B416496" w14:textId="6728AFEE" w:rsidR="00483708" w:rsidRPr="003C1788" w:rsidRDefault="00483708" w:rsidP="00786042">
      <w:pPr>
        <w:pStyle w:val="Heading1"/>
        <w:spacing w:after="120"/>
      </w:pPr>
      <w:r w:rsidRPr="003C1788">
        <w:t>En la 91ª reunión, se esperaba que dos empresas (</w:t>
      </w:r>
      <w:proofErr w:type="spellStart"/>
      <w:r w:rsidRPr="003C1788">
        <w:t>Saree</w:t>
      </w:r>
      <w:proofErr w:type="spellEnd"/>
      <w:r w:rsidRPr="003C1788">
        <w:t xml:space="preserve"> y </w:t>
      </w:r>
      <w:proofErr w:type="spellStart"/>
      <w:r w:rsidRPr="003C1788">
        <w:t>Nam</w:t>
      </w:r>
      <w:proofErr w:type="spellEnd"/>
      <w:r w:rsidRPr="003C1788">
        <w:t xml:space="preserve"> </w:t>
      </w:r>
      <w:proofErr w:type="spellStart"/>
      <w:r w:rsidRPr="003C1788">
        <w:t>Dung</w:t>
      </w:r>
      <w:proofErr w:type="spellEnd"/>
      <w:r w:rsidRPr="003C1788">
        <w:t xml:space="preserve">) realizaran la conversión de HCFC-22 a amoníaco; desde entonces, </w:t>
      </w:r>
      <w:proofErr w:type="spellStart"/>
      <w:r w:rsidRPr="003C1788">
        <w:t>Saree</w:t>
      </w:r>
      <w:proofErr w:type="spellEnd"/>
      <w:r w:rsidRPr="003C1788">
        <w:t xml:space="preserve"> (que consume 14,49 </w:t>
      </w:r>
      <w:proofErr w:type="spellStart"/>
      <w:r w:rsidRPr="003C1788">
        <w:t>tm</w:t>
      </w:r>
      <w:proofErr w:type="spellEnd"/>
      <w:r w:rsidRPr="003C1788">
        <w:t xml:space="preserve"> en la fabricación de equipos de refrigeración) ha completado su conversión, mientras que </w:t>
      </w:r>
      <w:proofErr w:type="spellStart"/>
      <w:r w:rsidRPr="003C1788">
        <w:t>Nam</w:t>
      </w:r>
      <w:proofErr w:type="spellEnd"/>
      <w:r w:rsidRPr="003C1788">
        <w:t xml:space="preserve"> </w:t>
      </w:r>
      <w:proofErr w:type="spellStart"/>
      <w:r w:rsidRPr="003C1788">
        <w:t>Dung</w:t>
      </w:r>
      <w:proofErr w:type="spellEnd"/>
      <w:r w:rsidRPr="003C1788">
        <w:t xml:space="preserve"> decidió retirarse del proyecto. El plan para que un coordinador de grupo ayudara a cuatro PYME</w:t>
      </w:r>
      <w:r w:rsidR="00C60C33">
        <w:t>S</w:t>
      </w:r>
      <w:r w:rsidRPr="003C1788">
        <w:t xml:space="preserve"> a adoptar alternativas de bajo PCA no se materializó; sin embargo, otra PYME, Hai </w:t>
      </w:r>
      <w:proofErr w:type="spellStart"/>
      <w:r w:rsidRPr="003C1788">
        <w:t>An</w:t>
      </w:r>
      <w:proofErr w:type="spellEnd"/>
      <w:r w:rsidRPr="003C1788">
        <w:t xml:space="preserve"> (que consume 1,65 </w:t>
      </w:r>
      <w:proofErr w:type="spellStart"/>
      <w:r w:rsidRPr="003C1788">
        <w:t>tm</w:t>
      </w:r>
      <w:proofErr w:type="spellEnd"/>
      <w:r w:rsidRPr="003C1788">
        <w:t xml:space="preserve">), pudo realizar la conversión con la ayuda de la oficina de gestión y supervisión del proyecto (OGP). Junto con la empresa convertida en el tercer tramo, </w:t>
      </w:r>
      <w:proofErr w:type="spellStart"/>
      <w:r w:rsidRPr="003C1788">
        <w:t>Phuong</w:t>
      </w:r>
      <w:proofErr w:type="spellEnd"/>
      <w:r w:rsidRPr="003C1788">
        <w:t xml:space="preserve"> </w:t>
      </w:r>
      <w:proofErr w:type="spellStart"/>
      <w:r w:rsidRPr="003C1788">
        <w:t>Nam</w:t>
      </w:r>
      <w:proofErr w:type="spellEnd"/>
      <w:r w:rsidRPr="003C1788">
        <w:t xml:space="preserve"> (que consume 9,82 </w:t>
      </w:r>
      <w:proofErr w:type="spellStart"/>
      <w:r w:rsidRPr="003C1788">
        <w:t>tm</w:t>
      </w:r>
      <w:proofErr w:type="spellEnd"/>
      <w:r w:rsidRPr="003C1788">
        <w:t xml:space="preserve">), se eliminó un total de 25,96 </w:t>
      </w:r>
      <w:proofErr w:type="spellStart"/>
      <w:r w:rsidRPr="003C1788">
        <w:t>tm</w:t>
      </w:r>
      <w:proofErr w:type="spellEnd"/>
      <w:r w:rsidRPr="003C1788">
        <w:t xml:space="preserve"> en el sector fabricación de equipos de refrigeración en la etapa II.</w:t>
      </w:r>
    </w:p>
    <w:p w14:paraId="26BCB1D9" w14:textId="77777777" w:rsidR="00483708" w:rsidRPr="003C1788" w:rsidRDefault="00483708" w:rsidP="00786042">
      <w:pPr>
        <w:spacing w:after="120" w:line="278" w:lineRule="auto"/>
        <w:jc w:val="left"/>
        <w:rPr>
          <w:i/>
        </w:rPr>
      </w:pPr>
      <w:r w:rsidRPr="003C1788">
        <w:rPr>
          <w:i/>
        </w:rPr>
        <w:t>Asistencia técnica</w:t>
      </w:r>
    </w:p>
    <w:p w14:paraId="2FFFA621" w14:textId="77777777" w:rsidR="00483708" w:rsidRPr="003C1788" w:rsidRDefault="00483708" w:rsidP="00786042">
      <w:pPr>
        <w:pStyle w:val="Heading1"/>
        <w:spacing w:after="120"/>
      </w:pPr>
      <w:r w:rsidRPr="003C1788">
        <w:t>La asistencia técnica se siguió ofreciendo en el cuarto tramo e incluyó orientaciones para facilitar la introducción sostenible de alternativas de bajo PCA, una evaluación de la eficacia de la tecnología en empresas convertidas seleccionadas y asistencia en la preparación de subproyectos y programas de capacitación.</w:t>
      </w:r>
    </w:p>
    <w:p w14:paraId="7D9500B9" w14:textId="77777777" w:rsidR="00483708" w:rsidRPr="003C1788" w:rsidRDefault="00483708" w:rsidP="00786042">
      <w:pPr>
        <w:keepNext/>
        <w:spacing w:after="120" w:line="278" w:lineRule="auto"/>
        <w:jc w:val="left"/>
        <w:rPr>
          <w:iCs/>
          <w:u w:val="single"/>
        </w:rPr>
      </w:pPr>
      <w:r w:rsidRPr="003C1788">
        <w:rPr>
          <w:iCs/>
          <w:u w:val="single"/>
        </w:rPr>
        <w:t>Sector servicio técnico de equipos de refrigeración</w:t>
      </w:r>
    </w:p>
    <w:p w14:paraId="5849B703" w14:textId="0DD80AB7" w:rsidR="00483708" w:rsidRPr="003C1788" w:rsidRDefault="00483708" w:rsidP="00786042">
      <w:pPr>
        <w:pStyle w:val="Heading1"/>
        <w:spacing w:after="120"/>
      </w:pPr>
      <w:r w:rsidRPr="003C1788">
        <w:t>En el sector servicio técnico se llevaron a cabo las siguientes actividades en el marco del cuarto tramo:</w:t>
      </w:r>
    </w:p>
    <w:p w14:paraId="1EFEC708" w14:textId="64134EC9" w:rsidR="00483708" w:rsidRPr="003C1788" w:rsidRDefault="00483708" w:rsidP="00786042">
      <w:pPr>
        <w:pStyle w:val="Heading2"/>
        <w:spacing w:after="120"/>
      </w:pPr>
      <w:r w:rsidRPr="003C1788">
        <w:t xml:space="preserve">Se siguió prestando asistencia técnica en </w:t>
      </w:r>
      <w:r w:rsidR="00C60C33">
        <w:t>el marco d</w:t>
      </w:r>
      <w:r w:rsidRPr="003C1788">
        <w:t>el Gobierno del Japón a un fabricante de equipos de climatización y a otras partes intervinientes;</w:t>
      </w:r>
    </w:p>
    <w:p w14:paraId="2F2648B0" w14:textId="112ADC15" w:rsidR="00483708" w:rsidRPr="003C1788" w:rsidRDefault="00483708" w:rsidP="00A14C3A">
      <w:pPr>
        <w:pStyle w:val="Heading2"/>
        <w:widowControl/>
      </w:pPr>
      <w:r w:rsidRPr="003C1788">
        <w:lastRenderedPageBreak/>
        <w:t xml:space="preserve">Se celebraron dos talleres de capacitación de instructores para 77 instructores de escuelas de formación profesional, y se capacitó a 2.000 técnicos en buenas prácticas de servicio técnico y manejo seguro de refrigerantes inflamables, </w:t>
      </w:r>
      <w:r w:rsidR="001445DC">
        <w:t>con</w:t>
      </w:r>
      <w:r w:rsidRPr="003C1788">
        <w:t xml:space="preserve"> un total de 187 instructores y 3.200 técnicos capacitados en la etapa II; </w:t>
      </w:r>
    </w:p>
    <w:p w14:paraId="6ABF460D" w14:textId="5414A401" w:rsidR="00483708" w:rsidRPr="003C1788" w:rsidRDefault="00483708" w:rsidP="00A14C3A">
      <w:pPr>
        <w:pStyle w:val="Heading2"/>
      </w:pPr>
      <w:r w:rsidRPr="003C1788">
        <w:t xml:space="preserve">Se entregaron kits de herramientas (por ejemplo, detector de fugas, manómetro, máquina de recuperación de refrigerante, depósito de refrigerante, bomba de vacío, unidad de climatización, juego de herramientas de llave dinamométrica, </w:t>
      </w:r>
      <w:proofErr w:type="spellStart"/>
      <w:r w:rsidRPr="003C1788">
        <w:t>abocardador</w:t>
      </w:r>
      <w:proofErr w:type="spellEnd"/>
      <w:r w:rsidRPr="003C1788">
        <w:t xml:space="preserve"> y cortatubos, y balanza de refrigerante) a 45 </w:t>
      </w:r>
      <w:r w:rsidR="004A265E">
        <w:t>institutos</w:t>
      </w:r>
      <w:r w:rsidRPr="003C1788">
        <w:t xml:space="preserve"> de formación profesional (110 en total), y 200 kits de herramientas (por ejemplo, bomba de vacío, juego de herramientas de llave dinamométrica, </w:t>
      </w:r>
      <w:proofErr w:type="spellStart"/>
      <w:r w:rsidRPr="003C1788">
        <w:t>abocardador</w:t>
      </w:r>
      <w:proofErr w:type="spellEnd"/>
      <w:r w:rsidRPr="003C1788">
        <w:t xml:space="preserve"> y cortatubos) a talleres de servicio técnico (300 en total); y</w:t>
      </w:r>
    </w:p>
    <w:p w14:paraId="46EF50D1" w14:textId="77777777" w:rsidR="00483708" w:rsidRPr="003C1788" w:rsidRDefault="00483708" w:rsidP="00A14C3A">
      <w:pPr>
        <w:pStyle w:val="Heading2"/>
      </w:pPr>
      <w:r w:rsidRPr="003C1788">
        <w:t>Se creó una base de datos en línea de técnicos capacitados y actividades de capacitación, se redactó una norma de certificación y evaluación para la capacitación de técnicos, y se celebraron talleres para difundir los resultados del programa de capacitación.</w:t>
      </w:r>
    </w:p>
    <w:p w14:paraId="65FC3193" w14:textId="77777777" w:rsidR="00483708" w:rsidRPr="003C1788" w:rsidRDefault="00483708" w:rsidP="00483708">
      <w:pPr>
        <w:spacing w:after="160" w:line="278" w:lineRule="auto"/>
        <w:jc w:val="left"/>
        <w:rPr>
          <w:iCs/>
          <w:u w:val="single"/>
        </w:rPr>
      </w:pPr>
      <w:r w:rsidRPr="003C1788">
        <w:rPr>
          <w:iCs/>
          <w:u w:val="single"/>
        </w:rPr>
        <w:t>Oficina de gestión y supervisión del proyecto</w:t>
      </w:r>
    </w:p>
    <w:p w14:paraId="1706B177" w14:textId="77777777" w:rsidR="00483708" w:rsidRPr="003C1788" w:rsidRDefault="00483708" w:rsidP="00A14C3A">
      <w:pPr>
        <w:pStyle w:val="Heading1"/>
      </w:pPr>
      <w:r w:rsidRPr="003C1788">
        <w:t xml:space="preserve">En el marco del cuarto tramo, la OGP encargó una auditoría financiera independiente, actualizó su software de administración y siguió prestando apoyo a cinco miembros del personal del proyecto para revisar las cuotas, ayudar a las empresas a ejecutar sus subproyectos, supervisar la ejecución de las actividades del proyecto, realizar auditorías financieras de los gastos del proyecto, elaborar informes financieros y de ejecución del proyecto y coordinar la presentación de informes. </w:t>
      </w:r>
      <w:bookmarkStart w:id="2" w:name="_Hlk117521544"/>
      <w:r w:rsidRPr="003C1788">
        <w:t>Los desembolsos acumulados para la OGP fueron de USD 624.515, incluidos los salarios del personal (USD 464.664), consultores (USD 17.021), equipos de oficina y software (USD 26.961), verificación del consumo de HCFC (USD 24.034), reuniones (USD 4.968) y costos operativos (USD 86.867).</w:t>
      </w:r>
      <w:bookmarkEnd w:id="2"/>
    </w:p>
    <w:p w14:paraId="76D2ECA2" w14:textId="77777777" w:rsidR="00483708" w:rsidRPr="003C1788" w:rsidRDefault="00483708" w:rsidP="00483708">
      <w:pPr>
        <w:keepNext/>
        <w:spacing w:after="240"/>
        <w:rPr>
          <w:u w:val="single"/>
        </w:rPr>
      </w:pPr>
      <w:r w:rsidRPr="003C1788">
        <w:rPr>
          <w:u w:val="single"/>
        </w:rPr>
        <w:t>Nivel de desembolso de fondos</w:t>
      </w:r>
    </w:p>
    <w:p w14:paraId="14CCEADB" w14:textId="6C4AA7ED" w:rsidR="00483708" w:rsidRPr="003C1788" w:rsidRDefault="00483708" w:rsidP="00A14C3A">
      <w:pPr>
        <w:pStyle w:val="Heading1"/>
      </w:pPr>
      <w:r w:rsidRPr="003C1788">
        <w:t>Al 31 de marzo de 2024, de los USD 7.208.300 aprobados en la etapa II, USD 613.568 habían sido reintegrados al Fondo Multilateral en la 87ª reunión y USD 6.016.334 habían sido desembolsados (USD</w:t>
      </w:r>
      <w:r w:rsidR="00786042">
        <w:t> </w:t>
      </w:r>
      <w:r w:rsidRPr="003C1788">
        <w:t>5.785.005 para el Banco Mundial y USD 231.329 para el Gobierno del Japón). En la 95ª reunión, el Banco Mundial y el Gobierno del Japón reintegran sus respectivos saldos de USD 576.097 y USD 2.301, más gastos de apoyo al organismo</w:t>
      </w:r>
      <w:r w:rsidRPr="003C1788">
        <w:rPr>
          <w:rStyle w:val="FootnoteReference"/>
        </w:rPr>
        <w:footnoteReference w:id="11"/>
      </w:r>
      <w:r w:rsidRPr="003C1788">
        <w:t xml:space="preserve">. </w:t>
      </w:r>
    </w:p>
    <w:p w14:paraId="145A8B88" w14:textId="77777777" w:rsidR="00483708" w:rsidRPr="003C1788" w:rsidRDefault="00483708" w:rsidP="00483708">
      <w:pPr>
        <w:keepNext/>
        <w:spacing w:after="240"/>
        <w:rPr>
          <w:b/>
          <w:bCs/>
        </w:rPr>
      </w:pPr>
      <w:r w:rsidRPr="003C1788">
        <w:rPr>
          <w:b/>
          <w:bCs/>
        </w:rPr>
        <w:t>Observaciones de la Secretaría</w:t>
      </w:r>
    </w:p>
    <w:p w14:paraId="70A7AE2E" w14:textId="77777777" w:rsidR="00483708" w:rsidRPr="003C1788" w:rsidRDefault="00483708" w:rsidP="00483708">
      <w:pPr>
        <w:keepNext/>
        <w:spacing w:after="240"/>
        <w:rPr>
          <w:u w:val="single"/>
        </w:rPr>
      </w:pPr>
      <w:r w:rsidRPr="003C1788">
        <w:rPr>
          <w:u w:val="single"/>
        </w:rPr>
        <w:t>Informe sobre la marcha de las actividades</w:t>
      </w:r>
    </w:p>
    <w:p w14:paraId="6BD20961" w14:textId="77777777" w:rsidR="00483708" w:rsidRPr="003C1788" w:rsidRDefault="00483708" w:rsidP="00483708">
      <w:pPr>
        <w:keepNext/>
        <w:spacing w:after="160" w:line="278" w:lineRule="auto"/>
        <w:jc w:val="left"/>
        <w:rPr>
          <w:i/>
        </w:rPr>
      </w:pPr>
      <w:r w:rsidRPr="003C1788">
        <w:rPr>
          <w:i/>
        </w:rPr>
        <w:t>Sector fabricación de climatizadores</w:t>
      </w:r>
    </w:p>
    <w:p w14:paraId="73BEB304" w14:textId="4D7B5217" w:rsidR="00483708" w:rsidRPr="003C1788" w:rsidRDefault="00483708" w:rsidP="00A14C3A">
      <w:pPr>
        <w:pStyle w:val="Heading1"/>
        <w:keepNext/>
        <w:rPr>
          <w:i/>
          <w:iCs/>
        </w:rPr>
      </w:pPr>
      <w:r w:rsidRPr="003C1788">
        <w:t xml:space="preserve">En la conversión de </w:t>
      </w:r>
      <w:proofErr w:type="spellStart"/>
      <w:r w:rsidRPr="003C1788">
        <w:t>Nagakawa</w:t>
      </w:r>
      <w:proofErr w:type="spellEnd"/>
      <w:r w:rsidRPr="003C1788">
        <w:t xml:space="preserve"> se ahorraron USD 158.305 gracias a la reducción de los costos de capacitación y de operación y a las licitaciones públicas, y USD 27.563 en la conversión de </w:t>
      </w:r>
      <w:proofErr w:type="spellStart"/>
      <w:r w:rsidRPr="003C1788">
        <w:t>Hoa</w:t>
      </w:r>
      <w:proofErr w:type="spellEnd"/>
      <w:r w:rsidRPr="003C1788">
        <w:t xml:space="preserve"> </w:t>
      </w:r>
      <w:proofErr w:type="spellStart"/>
      <w:r w:rsidRPr="003C1788">
        <w:t>Phat</w:t>
      </w:r>
      <w:proofErr w:type="spellEnd"/>
      <w:r w:rsidRPr="003C1788">
        <w:t xml:space="preserve">, ya que la empresa adquirió parte de los equipos con sus propios recursos. Ambas empresas completaron con éxito su conversión y no han enfrentado ningún problema a la hora de vender equipos de climatización a base de HFC-32 en el país. Sin embargo, ninguna de las dos empresas fabrica actualmente equipos de climatización porque el mercado de climatizadores en </w:t>
      </w:r>
      <w:proofErr w:type="spellStart"/>
      <w:r w:rsidRPr="003C1788">
        <w:t>Viet</w:t>
      </w:r>
      <w:proofErr w:type="spellEnd"/>
      <w:r w:rsidRPr="003C1788">
        <w:t xml:space="preserve"> </w:t>
      </w:r>
      <w:proofErr w:type="spellStart"/>
      <w:r w:rsidRPr="003C1788">
        <w:t>Nam</w:t>
      </w:r>
      <w:proofErr w:type="spellEnd"/>
      <w:r w:rsidRPr="003C1788">
        <w:t xml:space="preserve"> sigue siendo muy competitivo y las empresas han tenido dificultades para competir con las unidades de climatización </w:t>
      </w:r>
      <w:r w:rsidR="0012394C">
        <w:t>basadas en</w:t>
      </w:r>
      <w:r w:rsidRPr="003C1788">
        <w:t xml:space="preserve"> HFC-32 de bajo costo importadas de otros países de la región. </w:t>
      </w:r>
    </w:p>
    <w:p w14:paraId="75E68621" w14:textId="77777777" w:rsidR="00483708" w:rsidRPr="003C1788" w:rsidRDefault="00483708" w:rsidP="00483708">
      <w:pPr>
        <w:pStyle w:val="Heading1"/>
        <w:numPr>
          <w:ilvl w:val="0"/>
          <w:numId w:val="0"/>
        </w:numPr>
        <w:rPr>
          <w:i/>
          <w:iCs/>
        </w:rPr>
      </w:pPr>
      <w:r w:rsidRPr="003C1788">
        <w:rPr>
          <w:i/>
        </w:rPr>
        <w:t>Sector fabricación de espuma de poliuretano</w:t>
      </w:r>
    </w:p>
    <w:p w14:paraId="27B48C90" w14:textId="03DD6607" w:rsidR="00483708" w:rsidRPr="003C1788" w:rsidRDefault="00483708" w:rsidP="00A14C3A">
      <w:pPr>
        <w:pStyle w:val="Heading1"/>
      </w:pPr>
      <w:r w:rsidRPr="003C1788">
        <w:lastRenderedPageBreak/>
        <w:t xml:space="preserve">Aunque </w:t>
      </w:r>
      <w:proofErr w:type="spellStart"/>
      <w:r w:rsidRPr="003C1788">
        <w:t>GreenMat</w:t>
      </w:r>
      <w:proofErr w:type="spellEnd"/>
      <w:r w:rsidRPr="003C1788">
        <w:t xml:space="preserve"> solo pudo ayudar a 15 PYMES en lugar de las 20 previstas inicialmente, la eliminación asociada al consumo en esas 15 PYMES fue de 85,94 </w:t>
      </w:r>
      <w:proofErr w:type="spellStart"/>
      <w:r w:rsidRPr="003C1788">
        <w:t>tm</w:t>
      </w:r>
      <w:proofErr w:type="spellEnd"/>
      <w:r w:rsidRPr="003C1788">
        <w:t xml:space="preserve"> de HCFC-141b contenido en polioles premezclados importados, lo que es superior a la eliminación prevista de 75,00 </w:t>
      </w:r>
      <w:proofErr w:type="spellStart"/>
      <w:r w:rsidRPr="003C1788">
        <w:t>tm</w:t>
      </w:r>
      <w:proofErr w:type="spellEnd"/>
      <w:r w:rsidRPr="003C1788">
        <w:t xml:space="preserve">. Por consiguiente, la eliminación en el sector de las espumas es de 233,89 </w:t>
      </w:r>
      <w:proofErr w:type="spellStart"/>
      <w:r w:rsidRPr="003C1788">
        <w:t>tm</w:t>
      </w:r>
      <w:proofErr w:type="spellEnd"/>
      <w:r w:rsidRPr="003C1788">
        <w:t xml:space="preserve"> de HCFC-141b contenido en polioles premezclados importados, que es superior a la eliminación mínima de 222,95 </w:t>
      </w:r>
      <w:proofErr w:type="spellStart"/>
      <w:r w:rsidRPr="003C1788">
        <w:t>tm</w:t>
      </w:r>
      <w:proofErr w:type="spellEnd"/>
      <w:r w:rsidRPr="003C1788">
        <w:t xml:space="preserve"> especificada en la decisión 91/57 b). La lista de PYMES que recibieron asistencia en el sector fabricación de espuma de poliuretano, así como las que recibieron asistencia en el sector fabricación de equipos de refrigeración, está disponible en el informe de finalización del proyecto presentado por el Banco Mundial, de conformidad con las decisiones 90/22 c) ii) c y 90/22 c) iii) b.</w:t>
      </w:r>
    </w:p>
    <w:p w14:paraId="54812B6E" w14:textId="6BDB48A4" w:rsidR="00483708" w:rsidRPr="003C1788" w:rsidRDefault="00483708" w:rsidP="00A14C3A">
      <w:pPr>
        <w:pStyle w:val="Heading1"/>
        <w:rPr>
          <w:i/>
          <w:iCs/>
        </w:rPr>
      </w:pPr>
      <w:r w:rsidRPr="003C1788">
        <w:t xml:space="preserve">Si bien </w:t>
      </w:r>
      <w:proofErr w:type="spellStart"/>
      <w:r w:rsidRPr="003C1788">
        <w:t>GreenMat</w:t>
      </w:r>
      <w:proofErr w:type="spellEnd"/>
      <w:r w:rsidRPr="003C1788">
        <w:t xml:space="preserve"> necesitó </w:t>
      </w:r>
      <w:r w:rsidR="00064BA1">
        <w:t>algo de</w:t>
      </w:r>
      <w:r w:rsidRPr="003C1788">
        <w:t xml:space="preserve"> tiempo y esfuerzo para establecer inicialmente un suministro de HFO-1233zd, esa cadena de suministro </w:t>
      </w:r>
      <w:r w:rsidR="0063131D">
        <w:t>se encuentra</w:t>
      </w:r>
      <w:r w:rsidRPr="003C1788">
        <w:t xml:space="preserve"> establecid</w:t>
      </w:r>
      <w:r w:rsidR="0063131D">
        <w:t>a</w:t>
      </w:r>
      <w:r w:rsidRPr="003C1788">
        <w:t xml:space="preserve">, permitiendo la disponibilidad del HFO. Sin embargo, la accesibilidad del HFO-1233zd sigue siendo un reto dado el precio relativamente alto del HFO, </w:t>
      </w:r>
      <w:r w:rsidR="00F01A7D">
        <w:t>y ese reto se ve</w:t>
      </w:r>
      <w:r w:rsidRPr="003C1788">
        <w:t xml:space="preserve"> agravado por la limitada demanda y la necesidad de importar material en pequeños lotes. </w:t>
      </w:r>
      <w:proofErr w:type="spellStart"/>
      <w:r w:rsidRPr="003C1788">
        <w:t>GreenMat</w:t>
      </w:r>
      <w:proofErr w:type="spellEnd"/>
      <w:r w:rsidRPr="003C1788">
        <w:t xml:space="preserve"> ha seguido trabajando en formulaciones para desarrollar sistemas que se reduzcan (aún más) con agua </w:t>
      </w:r>
      <w:r w:rsidR="008078B4">
        <w:t>a fin de</w:t>
      </w:r>
      <w:r w:rsidRPr="003C1788">
        <w:t xml:space="preserve"> </w:t>
      </w:r>
      <w:r w:rsidR="0063131D">
        <w:t>disminuir</w:t>
      </w:r>
      <w:r w:rsidRPr="003C1788">
        <w:t xml:space="preserve"> el precio de los sistemas</w:t>
      </w:r>
      <w:r w:rsidR="00F01A7D" w:rsidRPr="003C1788">
        <w:t xml:space="preserve"> </w:t>
      </w:r>
      <w:r w:rsidR="0007145D">
        <w:t>premezclados con</w:t>
      </w:r>
      <w:r w:rsidR="00F01A7D" w:rsidRPr="003C1788">
        <w:t xml:space="preserve"> HFO-1233zd</w:t>
      </w:r>
      <w:r w:rsidRPr="003C1788">
        <w:t>.</w:t>
      </w:r>
    </w:p>
    <w:p w14:paraId="7A6C00DC" w14:textId="77777777" w:rsidR="00483708" w:rsidRPr="003C1788" w:rsidRDefault="00483708" w:rsidP="00483708">
      <w:pPr>
        <w:pStyle w:val="Heading1"/>
        <w:numPr>
          <w:ilvl w:val="0"/>
          <w:numId w:val="0"/>
        </w:numPr>
        <w:rPr>
          <w:i/>
          <w:iCs/>
        </w:rPr>
      </w:pPr>
      <w:r w:rsidRPr="003C1788">
        <w:rPr>
          <w:i/>
          <w:iCs/>
        </w:rPr>
        <w:t>Sector fabricación de equipos de refrigeración</w:t>
      </w:r>
    </w:p>
    <w:p w14:paraId="1C69F953" w14:textId="4E161FB8" w:rsidR="00483708" w:rsidRPr="003C1788" w:rsidRDefault="00483708" w:rsidP="00A14C3A">
      <w:pPr>
        <w:pStyle w:val="Heading1"/>
      </w:pPr>
      <w:r w:rsidRPr="003C1788">
        <w:t xml:space="preserve">Como ya se debatió en la 90ª reunión, garantizar la participación de las empresas del sector fabricación de equipos de refrigeración constituía un reto importante, debido a que numerosas empresas habían pasado de la fabricación al montaje, y a la reticencia de las empresas a renunciar a la flexibilidad de fabricar también con HFC. Con posterioridad a la 90ª reunión, la empresa </w:t>
      </w:r>
      <w:proofErr w:type="spellStart"/>
      <w:r w:rsidRPr="003C1788">
        <w:t>Nam</w:t>
      </w:r>
      <w:proofErr w:type="spellEnd"/>
      <w:r w:rsidRPr="003C1788">
        <w:t xml:space="preserve"> </w:t>
      </w:r>
      <w:proofErr w:type="spellStart"/>
      <w:r w:rsidRPr="003C1788">
        <w:t>Dung</w:t>
      </w:r>
      <w:proofErr w:type="spellEnd"/>
      <w:r w:rsidRPr="003C1788">
        <w:t xml:space="preserve"> se sometió a una preparación completa del subproyecto, pero decidió no participar en el proyecto dadas las dificultades que enfrentaba para demostrar un consumo suficiente de HCFC-22 que hiciera que el subproyecto fuera conveniente para la empresa, y las dudas de la empresa a la hora de comprometerse a no utilizar HFC tras la conversión. Del mismo modo, a pesar de los considerables esfuerzos realizados por el Gobierno, el Banco Mundial y el coordinador de grupo del proyecto para trabajar con cuatro PYMES del sector fabricación de equipos de refrigeración a fin de permitir su conversión a alternativas de bajo PCA, solo una PYME participó en el proyecto y se convirtió al amoníaco. Las otras tres PYMES no participaron por los siguientes motivos: el fallecimiento del director de la primera empresa; la probabilidad de que la segunda empresa </w:t>
      </w:r>
      <w:r w:rsidR="004845DE">
        <w:t>abandonara la</w:t>
      </w:r>
      <w:r w:rsidR="00E63A73">
        <w:t xml:space="preserve"> </w:t>
      </w:r>
      <w:r w:rsidR="004845DE">
        <w:t>fabricación</w:t>
      </w:r>
      <w:r w:rsidRPr="003C1788">
        <w:t>; y la limitada capacidad administrativa y financiera de la tercera empresa para proporcionar suficientes pruebas documentales del consumo y otra información de referencia.</w:t>
      </w:r>
    </w:p>
    <w:p w14:paraId="288EB34E" w14:textId="77777777" w:rsidR="00483708" w:rsidRPr="003C1788" w:rsidRDefault="00483708" w:rsidP="00483708">
      <w:pPr>
        <w:keepNext/>
        <w:spacing w:after="240"/>
      </w:pPr>
      <w:r w:rsidRPr="003C1788">
        <w:rPr>
          <w:u w:val="single"/>
        </w:rPr>
        <w:t>Conclusión</w:t>
      </w:r>
    </w:p>
    <w:p w14:paraId="05817C20" w14:textId="37E135C0" w:rsidR="00483708" w:rsidRPr="003C1788" w:rsidRDefault="00483708" w:rsidP="004D6033">
      <w:pPr>
        <w:pStyle w:val="Heading1"/>
      </w:pPr>
      <w:r w:rsidRPr="003C1788">
        <w:t xml:space="preserve">A pesar de las dificultades encontradas durante la ejecución del proyecto, se completó la etapa II del PGEH, lo que permitió al Gobierno seguir cumpliendo los objetivos acordados con el Comité Ejecutivo. Se lograron ahorros gracias a los diligentes esfuerzos del Gobierno, la </w:t>
      </w:r>
      <w:r w:rsidR="004D6033" w:rsidRPr="004D6033">
        <w:t xml:space="preserve">Oficina de Gestión del Proyecto </w:t>
      </w:r>
      <w:r w:rsidR="004D6033">
        <w:t>(</w:t>
      </w:r>
      <w:r w:rsidRPr="003C1788">
        <w:t>OGP</w:t>
      </w:r>
      <w:r w:rsidR="004D6033">
        <w:t>)</w:t>
      </w:r>
      <w:r w:rsidRPr="003C1788">
        <w:t xml:space="preserve"> y el Banco Mundial.</w:t>
      </w:r>
    </w:p>
    <w:p w14:paraId="5383815C" w14:textId="77777777" w:rsidR="00483708" w:rsidRPr="003C1788" w:rsidRDefault="00483708" w:rsidP="00483708">
      <w:pPr>
        <w:keepNext/>
        <w:spacing w:after="240"/>
        <w:rPr>
          <w:b/>
          <w:bCs/>
        </w:rPr>
      </w:pPr>
      <w:r w:rsidRPr="003C1788">
        <w:rPr>
          <w:b/>
          <w:bCs/>
        </w:rPr>
        <w:t>Recomendación</w:t>
      </w:r>
    </w:p>
    <w:p w14:paraId="770686ED" w14:textId="77777777" w:rsidR="00483708" w:rsidRPr="003C1788" w:rsidRDefault="00483708" w:rsidP="00A14C3A">
      <w:pPr>
        <w:pStyle w:val="Heading1"/>
      </w:pPr>
      <w:r w:rsidRPr="003C1788">
        <w:t xml:space="preserve">El Comité Ejecutivo tal vez desee tomar nota del informe final sobre el avance de la ejecución del tramo final de la etapa II del plan de gestión para la eliminación de HCFC para </w:t>
      </w:r>
      <w:proofErr w:type="spellStart"/>
      <w:r w:rsidRPr="003C1788">
        <w:t>Viet</w:t>
      </w:r>
      <w:proofErr w:type="spellEnd"/>
      <w:r w:rsidRPr="003C1788">
        <w:t xml:space="preserve"> </w:t>
      </w:r>
      <w:proofErr w:type="spellStart"/>
      <w:r w:rsidRPr="003C1788">
        <w:t>Nam</w:t>
      </w:r>
      <w:proofErr w:type="spellEnd"/>
      <w:r w:rsidRPr="003C1788">
        <w:t>, presentado por el Banco Mundial.</w:t>
      </w:r>
    </w:p>
    <w:p w14:paraId="71D3908E" w14:textId="46298220" w:rsidR="001A2F97" w:rsidRPr="003C1788" w:rsidRDefault="002D6935" w:rsidP="00891C0E">
      <w:pPr>
        <w:pStyle w:val="Style4"/>
      </w:pPr>
      <w:r w:rsidRPr="003C1788">
        <w:t>Informe relacionado con los PAK</w:t>
      </w:r>
    </w:p>
    <w:p w14:paraId="7329CE56" w14:textId="17357429" w:rsidR="001A2F97" w:rsidRPr="003C1788" w:rsidRDefault="001A2F97" w:rsidP="001A2F97">
      <w:pPr>
        <w:ind w:left="720"/>
        <w:jc w:val="left"/>
        <w:rPr>
          <w:b/>
          <w:bCs/>
          <w:u w:val="single"/>
        </w:rPr>
      </w:pPr>
      <w:bookmarkStart w:id="3" w:name="_Hlk182927330"/>
      <w:r w:rsidRPr="003C1788">
        <w:rPr>
          <w:b/>
          <w:bCs/>
          <w:u w:val="single"/>
        </w:rPr>
        <w:t>Burkina Faso: Plan de aplicación de la Enmienda de Kigali relativa a los HFC (etapa I - primer tramo - estudio de viabilidad sobre el establecimiento de un centro de distribución de hidrocarburos) (Gobierno de Alemania)</w:t>
      </w:r>
    </w:p>
    <w:p w14:paraId="25DDACDC" w14:textId="77777777" w:rsidR="001A2F97" w:rsidRPr="003C1788" w:rsidRDefault="001A2F97" w:rsidP="001A2F97">
      <w:pPr>
        <w:ind w:left="720"/>
        <w:jc w:val="left"/>
        <w:rPr>
          <w:b/>
          <w:bCs/>
          <w:u w:val="single"/>
        </w:rPr>
      </w:pPr>
    </w:p>
    <w:p w14:paraId="443D31E3" w14:textId="77777777" w:rsidR="001A2F97" w:rsidRPr="003C1788" w:rsidRDefault="001A2F97" w:rsidP="001A2F97">
      <w:pPr>
        <w:jc w:val="left"/>
        <w:rPr>
          <w:b/>
          <w:bCs/>
        </w:rPr>
      </w:pPr>
      <w:r w:rsidRPr="003C1788">
        <w:rPr>
          <w:b/>
          <w:bCs/>
        </w:rPr>
        <w:lastRenderedPageBreak/>
        <w:t>Antecedentes</w:t>
      </w:r>
    </w:p>
    <w:p w14:paraId="7AAFB39E" w14:textId="77777777" w:rsidR="001A2F97" w:rsidRPr="003C1788" w:rsidRDefault="001A2F97" w:rsidP="001A2F97">
      <w:pPr>
        <w:jc w:val="left"/>
      </w:pPr>
    </w:p>
    <w:p w14:paraId="418AB2A7" w14:textId="0B96435E" w:rsidR="001A2F97" w:rsidRPr="003C1788" w:rsidRDefault="001A2F97" w:rsidP="00C6485E">
      <w:pPr>
        <w:pStyle w:val="Heading1"/>
      </w:pPr>
      <w:r w:rsidRPr="003C1788">
        <w:t xml:space="preserve">En su 94ª reunión, el Comité Ejecutivo aprobó, en principio, la etapa I del plan de aplicación de la Enmienda de Kigali relativa a los HFC (PAK) para Burkina Faso para el período 2024-2029, tomando nota de que durante la ejecución de la etapa I del PAK, se permitiría </w:t>
      </w:r>
      <w:r w:rsidR="00316FE0">
        <w:t>que el</w:t>
      </w:r>
      <w:r w:rsidRPr="003C1788">
        <w:t xml:space="preserve"> Gobierno de Burkina Faso, con carácter excepcional, presentar</w:t>
      </w:r>
      <w:r w:rsidR="00316FE0">
        <w:t>a</w:t>
      </w:r>
      <w:r w:rsidRPr="003C1788">
        <w:t xml:space="preserve"> un proyecto para el sector de refrigeración comercial a fin de lograr reducciones adicionales de HFC (decisión 94/40  b) iv)), y solicitó al Gobierno de Alemania que presentara un plan detallado para el establecimiento del centro de distribución de refrigerantes, incluido un posible modelo de gestión para garantizar la viabilidad del centro (decisión 94/40 c)).</w:t>
      </w:r>
    </w:p>
    <w:p w14:paraId="00F48D0F" w14:textId="39CA6123" w:rsidR="001A2F97" w:rsidRPr="003C1788" w:rsidRDefault="001A2F97" w:rsidP="00C6485E">
      <w:pPr>
        <w:pStyle w:val="Heading1"/>
      </w:pPr>
      <w:r w:rsidRPr="003C1788">
        <w:t>De conformidad con la decisión 94/40 c), el Gobierno de Alemania y el Gobierno de Burkina Faso llevaron a cabo el estudio solicitado y llegaron a la conclusión de que la viabilidad del centro de distribución depende del volumen de refrigerantes y, en la actualidad, la sostenibilidad financiera no podría alcanzarse distribuyendo únicamente hidrocarburos. Por lo tanto, se presentó una revisión de las actividades previstas para la etapa I, como se indica a continuación.</w:t>
      </w:r>
    </w:p>
    <w:p w14:paraId="40D42A80" w14:textId="77777777" w:rsidR="001A2F97" w:rsidRPr="003C1788" w:rsidRDefault="001A2F97" w:rsidP="001A2F97">
      <w:pPr>
        <w:spacing w:after="240"/>
        <w:jc w:val="left"/>
        <w:outlineLvl w:val="0"/>
        <w:rPr>
          <w:b/>
          <w:bCs/>
        </w:rPr>
      </w:pPr>
      <w:r w:rsidRPr="003C1788">
        <w:rPr>
          <w:b/>
          <w:bCs/>
        </w:rPr>
        <w:t>Actividades propuestas</w:t>
      </w:r>
    </w:p>
    <w:p w14:paraId="266F573B" w14:textId="77777777" w:rsidR="001A2F97" w:rsidRPr="003C1788" w:rsidRDefault="001A2F97" w:rsidP="00C6485E">
      <w:pPr>
        <w:pStyle w:val="Heading1"/>
      </w:pPr>
      <w:r w:rsidRPr="003C1788">
        <w:t xml:space="preserve">La propuesta incluye comenzar con un proyecto piloto para establecer un centro de recuperación, reciclaje y regeneración (RRR) limitado a HCFC, HFC y refrigerantes mezclados, y más adelante, una vez que el volumen de estos refrigerantes alcance el umbral necesario, ampliarlo a los refrigerantes naturales. </w:t>
      </w:r>
    </w:p>
    <w:p w14:paraId="18723280" w14:textId="7587CB96" w:rsidR="001A2F97" w:rsidRPr="003C1788" w:rsidRDefault="001A2F97" w:rsidP="00C6485E">
      <w:pPr>
        <w:pStyle w:val="Heading1"/>
      </w:pPr>
      <w:r w:rsidRPr="003C1788">
        <w:t xml:space="preserve">El enfoque consiste en que los técnicos lleven los refrigerantes recuperados al centro de RRR y reciban a cambio la misma cantidad de refrigerante de calidad virgen a un precio inferior al del mercado. Para facilitar el proceso de intercambio, el centro de RRR se instalará en un importante distribuidor de refrigerantes de Uagadugú, la capital del país. El centro de RRR se encargará de la compra o importación de refrigerantes a granel, el rellenado de cilindros reutilizables y la regeneración y redistribución de refrigerantes regenerados. </w:t>
      </w:r>
    </w:p>
    <w:p w14:paraId="70081796" w14:textId="020D485B" w:rsidR="001A2F97" w:rsidRPr="003C1788" w:rsidRDefault="001A2F97" w:rsidP="00C6485E">
      <w:pPr>
        <w:pStyle w:val="Heading1"/>
      </w:pPr>
      <w:r w:rsidRPr="003C1788">
        <w:t xml:space="preserve">El proyecto incluye la compra e instalación de equipos para establecer el centro de RRR, incluido un laboratorio de identificación de refrigerantes y cilindros reutilizables. El costo total de los equipos para el centro de </w:t>
      </w:r>
      <w:proofErr w:type="spellStart"/>
      <w:r w:rsidRPr="003C1788">
        <w:t>regeneneración</w:t>
      </w:r>
      <w:proofErr w:type="spellEnd"/>
      <w:r w:rsidRPr="003C1788">
        <w:t xml:space="preserve"> y distribución es de USD 112.000, como se indica en el cuadro 2.</w:t>
      </w:r>
    </w:p>
    <w:p w14:paraId="017DD373" w14:textId="76EA9603" w:rsidR="001A2F97" w:rsidRPr="003C1788" w:rsidRDefault="001A2F97" w:rsidP="001A2F97">
      <w:pPr>
        <w:rPr>
          <w:b/>
          <w:bCs/>
        </w:rPr>
      </w:pPr>
      <w:r w:rsidRPr="003C1788">
        <w:rPr>
          <w:b/>
          <w:bCs/>
        </w:rPr>
        <w:t xml:space="preserve">Cuadro 2: Equipamiento necesario y costos </w:t>
      </w:r>
      <w:r w:rsidR="0054735D">
        <w:rPr>
          <w:b/>
          <w:bCs/>
        </w:rPr>
        <w:t xml:space="preserve">para </w:t>
      </w:r>
      <w:r w:rsidR="00CA0EFE">
        <w:rPr>
          <w:b/>
          <w:bCs/>
        </w:rPr>
        <w:t xml:space="preserve">establecer </w:t>
      </w:r>
      <w:r w:rsidRPr="003C1788">
        <w:rPr>
          <w:b/>
          <w:bCs/>
        </w:rPr>
        <w:t xml:space="preserve">el centro de RRR </w:t>
      </w:r>
    </w:p>
    <w:tbl>
      <w:tblPr>
        <w:tblStyle w:val="TableGrid"/>
        <w:tblW w:w="9440" w:type="dxa"/>
        <w:tblLayout w:type="fixed"/>
        <w:tblLook w:val="04A0" w:firstRow="1" w:lastRow="0" w:firstColumn="1" w:lastColumn="0" w:noHBand="0" w:noVBand="1"/>
      </w:tblPr>
      <w:tblGrid>
        <w:gridCol w:w="5575"/>
        <w:gridCol w:w="1530"/>
        <w:gridCol w:w="1080"/>
        <w:gridCol w:w="1255"/>
      </w:tblGrid>
      <w:tr w:rsidR="001A2F97" w:rsidRPr="003C1788" w14:paraId="0B7FCC3F" w14:textId="77777777" w:rsidTr="000D2496">
        <w:trPr>
          <w:tblHeader/>
        </w:trPr>
        <w:tc>
          <w:tcPr>
            <w:tcW w:w="5575" w:type="dxa"/>
            <w:shd w:val="clear" w:color="auto" w:fill="auto"/>
            <w:vAlign w:val="center"/>
          </w:tcPr>
          <w:p w14:paraId="5325A34A" w14:textId="77777777" w:rsidR="001A2F97" w:rsidRPr="003C1788" w:rsidRDefault="001A2F97" w:rsidP="001A2F97">
            <w:pPr>
              <w:rPr>
                <w:b/>
                <w:bCs/>
                <w:sz w:val="20"/>
                <w:szCs w:val="20"/>
              </w:rPr>
            </w:pPr>
            <w:r w:rsidRPr="003C1788">
              <w:rPr>
                <w:b/>
                <w:bCs/>
                <w:sz w:val="20"/>
                <w:szCs w:val="20"/>
              </w:rPr>
              <w:t>Ítem</w:t>
            </w:r>
          </w:p>
        </w:tc>
        <w:tc>
          <w:tcPr>
            <w:tcW w:w="1530" w:type="dxa"/>
            <w:shd w:val="clear" w:color="auto" w:fill="auto"/>
          </w:tcPr>
          <w:p w14:paraId="65F636C8" w14:textId="77777777" w:rsidR="001A2F97" w:rsidRPr="003C1788" w:rsidRDefault="001A2F97" w:rsidP="001A2F97">
            <w:pPr>
              <w:jc w:val="center"/>
              <w:rPr>
                <w:b/>
                <w:bCs/>
                <w:sz w:val="20"/>
                <w:szCs w:val="20"/>
              </w:rPr>
            </w:pPr>
            <w:r w:rsidRPr="003C1788">
              <w:rPr>
                <w:b/>
                <w:bCs/>
                <w:sz w:val="20"/>
                <w:szCs w:val="20"/>
              </w:rPr>
              <w:t>Precio unitario (USD)</w:t>
            </w:r>
          </w:p>
        </w:tc>
        <w:tc>
          <w:tcPr>
            <w:tcW w:w="1080" w:type="dxa"/>
            <w:shd w:val="clear" w:color="auto" w:fill="auto"/>
          </w:tcPr>
          <w:p w14:paraId="31A08759" w14:textId="77777777" w:rsidR="001A2F97" w:rsidRPr="003C1788" w:rsidRDefault="001A2F97" w:rsidP="001A2F97">
            <w:pPr>
              <w:rPr>
                <w:b/>
                <w:bCs/>
                <w:sz w:val="20"/>
                <w:szCs w:val="20"/>
              </w:rPr>
            </w:pPr>
            <w:r w:rsidRPr="003C1788">
              <w:rPr>
                <w:b/>
                <w:bCs/>
                <w:sz w:val="20"/>
                <w:szCs w:val="20"/>
              </w:rPr>
              <w:t>Cantidad</w:t>
            </w:r>
          </w:p>
        </w:tc>
        <w:tc>
          <w:tcPr>
            <w:tcW w:w="1255" w:type="dxa"/>
            <w:shd w:val="clear" w:color="auto" w:fill="auto"/>
          </w:tcPr>
          <w:p w14:paraId="7675425C" w14:textId="77777777" w:rsidR="001A2F97" w:rsidRPr="003C1788" w:rsidRDefault="001A2F97" w:rsidP="001A2F97">
            <w:pPr>
              <w:jc w:val="center"/>
              <w:rPr>
                <w:b/>
                <w:bCs/>
                <w:sz w:val="20"/>
                <w:szCs w:val="20"/>
              </w:rPr>
            </w:pPr>
            <w:r w:rsidRPr="003C1788">
              <w:rPr>
                <w:b/>
                <w:bCs/>
                <w:sz w:val="20"/>
                <w:szCs w:val="20"/>
              </w:rPr>
              <w:t>Precio total (USD)</w:t>
            </w:r>
          </w:p>
        </w:tc>
      </w:tr>
      <w:tr w:rsidR="001A2F97" w:rsidRPr="003C1788" w14:paraId="003F4D1D" w14:textId="77777777" w:rsidTr="000D2496">
        <w:tc>
          <w:tcPr>
            <w:tcW w:w="5575" w:type="dxa"/>
            <w:shd w:val="clear" w:color="auto" w:fill="auto"/>
          </w:tcPr>
          <w:p w14:paraId="40CB3413" w14:textId="77777777" w:rsidR="001A2F97" w:rsidRPr="003C1788" w:rsidRDefault="001A2F97" w:rsidP="001A2F97">
            <w:pPr>
              <w:rPr>
                <w:sz w:val="20"/>
                <w:szCs w:val="20"/>
              </w:rPr>
            </w:pPr>
            <w:r w:rsidRPr="003C1788">
              <w:rPr>
                <w:sz w:val="20"/>
                <w:szCs w:val="20"/>
              </w:rPr>
              <w:t>Identificador de refrigerantes</w:t>
            </w:r>
          </w:p>
        </w:tc>
        <w:tc>
          <w:tcPr>
            <w:tcW w:w="1530" w:type="dxa"/>
            <w:shd w:val="clear" w:color="auto" w:fill="auto"/>
          </w:tcPr>
          <w:p w14:paraId="4E9996AA" w14:textId="77777777" w:rsidR="001A2F97" w:rsidRPr="003C1788" w:rsidRDefault="001A2F97" w:rsidP="001A2F97">
            <w:pPr>
              <w:jc w:val="right"/>
              <w:rPr>
                <w:sz w:val="20"/>
                <w:szCs w:val="20"/>
              </w:rPr>
            </w:pPr>
            <w:r w:rsidRPr="003C1788">
              <w:rPr>
                <w:sz w:val="20"/>
                <w:szCs w:val="20"/>
              </w:rPr>
              <w:t>4.500</w:t>
            </w:r>
          </w:p>
        </w:tc>
        <w:tc>
          <w:tcPr>
            <w:tcW w:w="1080" w:type="dxa"/>
            <w:shd w:val="clear" w:color="auto" w:fill="auto"/>
          </w:tcPr>
          <w:p w14:paraId="7535E8D2" w14:textId="77777777" w:rsidR="001A2F97" w:rsidRPr="003C1788" w:rsidRDefault="001A2F97" w:rsidP="001A2F97">
            <w:pPr>
              <w:jc w:val="right"/>
              <w:rPr>
                <w:sz w:val="20"/>
                <w:szCs w:val="20"/>
              </w:rPr>
            </w:pPr>
            <w:r w:rsidRPr="003C1788">
              <w:rPr>
                <w:sz w:val="20"/>
                <w:szCs w:val="20"/>
              </w:rPr>
              <w:t>2</w:t>
            </w:r>
          </w:p>
        </w:tc>
        <w:tc>
          <w:tcPr>
            <w:tcW w:w="1255" w:type="dxa"/>
            <w:shd w:val="clear" w:color="auto" w:fill="auto"/>
          </w:tcPr>
          <w:p w14:paraId="3031C42A" w14:textId="77777777" w:rsidR="001A2F97" w:rsidRPr="003C1788" w:rsidRDefault="001A2F97" w:rsidP="001A2F97">
            <w:pPr>
              <w:jc w:val="right"/>
              <w:rPr>
                <w:sz w:val="20"/>
                <w:szCs w:val="20"/>
              </w:rPr>
            </w:pPr>
            <w:r w:rsidRPr="003C1788">
              <w:rPr>
                <w:sz w:val="20"/>
                <w:szCs w:val="20"/>
              </w:rPr>
              <w:t>9.000</w:t>
            </w:r>
          </w:p>
        </w:tc>
      </w:tr>
      <w:tr w:rsidR="001A2F97" w:rsidRPr="003C1788" w14:paraId="5EC2849F" w14:textId="77777777" w:rsidTr="000D2496">
        <w:tc>
          <w:tcPr>
            <w:tcW w:w="5575" w:type="dxa"/>
            <w:shd w:val="clear" w:color="auto" w:fill="auto"/>
          </w:tcPr>
          <w:p w14:paraId="177DFA73" w14:textId="77777777" w:rsidR="001A2F97" w:rsidRPr="003C1788" w:rsidRDefault="001A2F97" w:rsidP="001A2F97">
            <w:pPr>
              <w:rPr>
                <w:sz w:val="20"/>
                <w:szCs w:val="20"/>
              </w:rPr>
            </w:pPr>
            <w:r w:rsidRPr="003C1788">
              <w:rPr>
                <w:sz w:val="20"/>
                <w:szCs w:val="20"/>
              </w:rPr>
              <w:t>Detector de fugas de refrigerante A1/A2L</w:t>
            </w:r>
          </w:p>
        </w:tc>
        <w:tc>
          <w:tcPr>
            <w:tcW w:w="1530" w:type="dxa"/>
            <w:shd w:val="clear" w:color="auto" w:fill="auto"/>
          </w:tcPr>
          <w:p w14:paraId="56FDC7FF" w14:textId="77777777" w:rsidR="001A2F97" w:rsidRPr="003C1788" w:rsidRDefault="001A2F97" w:rsidP="001A2F97">
            <w:pPr>
              <w:jc w:val="right"/>
              <w:rPr>
                <w:sz w:val="20"/>
                <w:szCs w:val="20"/>
              </w:rPr>
            </w:pPr>
            <w:r w:rsidRPr="003C1788">
              <w:rPr>
                <w:sz w:val="20"/>
                <w:szCs w:val="20"/>
              </w:rPr>
              <w:t>170</w:t>
            </w:r>
          </w:p>
        </w:tc>
        <w:tc>
          <w:tcPr>
            <w:tcW w:w="1080" w:type="dxa"/>
            <w:shd w:val="clear" w:color="auto" w:fill="auto"/>
          </w:tcPr>
          <w:p w14:paraId="60EE6F03" w14:textId="77777777" w:rsidR="001A2F97" w:rsidRPr="003C1788" w:rsidRDefault="001A2F97" w:rsidP="001A2F97">
            <w:pPr>
              <w:jc w:val="right"/>
              <w:rPr>
                <w:sz w:val="20"/>
                <w:szCs w:val="20"/>
              </w:rPr>
            </w:pPr>
            <w:r w:rsidRPr="003C1788">
              <w:rPr>
                <w:sz w:val="20"/>
                <w:szCs w:val="20"/>
              </w:rPr>
              <w:t>2</w:t>
            </w:r>
          </w:p>
        </w:tc>
        <w:tc>
          <w:tcPr>
            <w:tcW w:w="1255" w:type="dxa"/>
            <w:shd w:val="clear" w:color="auto" w:fill="auto"/>
          </w:tcPr>
          <w:p w14:paraId="3625AF4A" w14:textId="77777777" w:rsidR="001A2F97" w:rsidRPr="003C1788" w:rsidRDefault="001A2F97" w:rsidP="001A2F97">
            <w:pPr>
              <w:jc w:val="right"/>
              <w:rPr>
                <w:sz w:val="20"/>
                <w:szCs w:val="20"/>
              </w:rPr>
            </w:pPr>
            <w:r w:rsidRPr="003C1788">
              <w:rPr>
                <w:sz w:val="20"/>
                <w:szCs w:val="20"/>
              </w:rPr>
              <w:t>340</w:t>
            </w:r>
          </w:p>
        </w:tc>
      </w:tr>
      <w:tr w:rsidR="001A2F97" w:rsidRPr="003C1788" w14:paraId="55B4E627" w14:textId="77777777" w:rsidTr="000D2496">
        <w:tc>
          <w:tcPr>
            <w:tcW w:w="5575" w:type="dxa"/>
            <w:shd w:val="clear" w:color="auto" w:fill="auto"/>
          </w:tcPr>
          <w:p w14:paraId="6766A053" w14:textId="77777777" w:rsidR="001A2F97" w:rsidRPr="003C1788" w:rsidRDefault="001A2F97" w:rsidP="001A2F97">
            <w:pPr>
              <w:rPr>
                <w:sz w:val="20"/>
                <w:szCs w:val="20"/>
              </w:rPr>
            </w:pPr>
            <w:r w:rsidRPr="003C1788">
              <w:rPr>
                <w:sz w:val="20"/>
                <w:szCs w:val="20"/>
              </w:rPr>
              <w:t xml:space="preserve">Máquina de regeneración de 50lb/h </w:t>
            </w:r>
          </w:p>
        </w:tc>
        <w:tc>
          <w:tcPr>
            <w:tcW w:w="1530" w:type="dxa"/>
            <w:shd w:val="clear" w:color="auto" w:fill="auto"/>
          </w:tcPr>
          <w:p w14:paraId="672184D0" w14:textId="77777777" w:rsidR="001A2F97" w:rsidRPr="003C1788" w:rsidRDefault="001A2F97" w:rsidP="001A2F97">
            <w:pPr>
              <w:jc w:val="right"/>
              <w:rPr>
                <w:sz w:val="20"/>
                <w:szCs w:val="20"/>
              </w:rPr>
            </w:pPr>
            <w:r w:rsidRPr="003C1788">
              <w:rPr>
                <w:sz w:val="20"/>
                <w:szCs w:val="20"/>
              </w:rPr>
              <w:t>25.000</w:t>
            </w:r>
          </w:p>
        </w:tc>
        <w:tc>
          <w:tcPr>
            <w:tcW w:w="1080" w:type="dxa"/>
            <w:shd w:val="clear" w:color="auto" w:fill="auto"/>
          </w:tcPr>
          <w:p w14:paraId="0BF118A6" w14:textId="77777777" w:rsidR="001A2F97" w:rsidRPr="003C1788" w:rsidRDefault="001A2F97" w:rsidP="001A2F97">
            <w:pPr>
              <w:jc w:val="right"/>
              <w:rPr>
                <w:sz w:val="20"/>
                <w:szCs w:val="20"/>
              </w:rPr>
            </w:pPr>
            <w:r w:rsidRPr="003C1788">
              <w:rPr>
                <w:sz w:val="20"/>
                <w:szCs w:val="20"/>
              </w:rPr>
              <w:t>1</w:t>
            </w:r>
          </w:p>
        </w:tc>
        <w:tc>
          <w:tcPr>
            <w:tcW w:w="1255" w:type="dxa"/>
            <w:shd w:val="clear" w:color="auto" w:fill="auto"/>
          </w:tcPr>
          <w:p w14:paraId="3B4B6029" w14:textId="77777777" w:rsidR="001A2F97" w:rsidRPr="003C1788" w:rsidRDefault="001A2F97" w:rsidP="001A2F97">
            <w:pPr>
              <w:jc w:val="right"/>
              <w:rPr>
                <w:sz w:val="20"/>
                <w:szCs w:val="20"/>
              </w:rPr>
            </w:pPr>
            <w:r w:rsidRPr="003C1788">
              <w:rPr>
                <w:sz w:val="20"/>
                <w:szCs w:val="20"/>
              </w:rPr>
              <w:t>25.000</w:t>
            </w:r>
          </w:p>
        </w:tc>
      </w:tr>
      <w:tr w:rsidR="001A2F97" w:rsidRPr="003C1788" w14:paraId="28B418F1" w14:textId="77777777" w:rsidTr="000D2496">
        <w:tc>
          <w:tcPr>
            <w:tcW w:w="5575" w:type="dxa"/>
            <w:shd w:val="clear" w:color="auto" w:fill="auto"/>
          </w:tcPr>
          <w:p w14:paraId="17EE372B" w14:textId="77777777" w:rsidR="001A2F97" w:rsidRPr="003C1788" w:rsidRDefault="001A2F97" w:rsidP="001A2F97">
            <w:pPr>
              <w:rPr>
                <w:sz w:val="20"/>
                <w:szCs w:val="20"/>
              </w:rPr>
            </w:pPr>
            <w:r w:rsidRPr="003C1788">
              <w:rPr>
                <w:sz w:val="20"/>
                <w:szCs w:val="20"/>
              </w:rPr>
              <w:t>Equipos de transferencia de refrigerante líquido de 200Kg/</w:t>
            </w:r>
            <w:proofErr w:type="spellStart"/>
            <w:r w:rsidRPr="003C1788">
              <w:rPr>
                <w:sz w:val="20"/>
                <w:szCs w:val="20"/>
              </w:rPr>
              <w:t>hr</w:t>
            </w:r>
            <w:proofErr w:type="spellEnd"/>
          </w:p>
        </w:tc>
        <w:tc>
          <w:tcPr>
            <w:tcW w:w="1530" w:type="dxa"/>
            <w:shd w:val="clear" w:color="auto" w:fill="auto"/>
          </w:tcPr>
          <w:p w14:paraId="28C72DA9" w14:textId="77777777" w:rsidR="001A2F97" w:rsidRPr="003C1788" w:rsidRDefault="001A2F97" w:rsidP="001A2F97">
            <w:pPr>
              <w:jc w:val="right"/>
              <w:rPr>
                <w:sz w:val="20"/>
                <w:szCs w:val="20"/>
              </w:rPr>
            </w:pPr>
            <w:r w:rsidRPr="003C1788">
              <w:rPr>
                <w:sz w:val="20"/>
                <w:szCs w:val="20"/>
              </w:rPr>
              <w:t>15.000</w:t>
            </w:r>
          </w:p>
        </w:tc>
        <w:tc>
          <w:tcPr>
            <w:tcW w:w="1080" w:type="dxa"/>
            <w:shd w:val="clear" w:color="auto" w:fill="auto"/>
          </w:tcPr>
          <w:p w14:paraId="7C2F7958" w14:textId="77777777" w:rsidR="001A2F97" w:rsidRPr="003C1788" w:rsidRDefault="001A2F97" w:rsidP="001A2F97">
            <w:pPr>
              <w:jc w:val="right"/>
              <w:rPr>
                <w:sz w:val="20"/>
                <w:szCs w:val="20"/>
              </w:rPr>
            </w:pPr>
            <w:r w:rsidRPr="003C1788">
              <w:rPr>
                <w:sz w:val="20"/>
                <w:szCs w:val="20"/>
              </w:rPr>
              <w:t>1</w:t>
            </w:r>
          </w:p>
        </w:tc>
        <w:tc>
          <w:tcPr>
            <w:tcW w:w="1255" w:type="dxa"/>
            <w:shd w:val="clear" w:color="auto" w:fill="auto"/>
          </w:tcPr>
          <w:p w14:paraId="444F13B6" w14:textId="77777777" w:rsidR="001A2F97" w:rsidRPr="003C1788" w:rsidRDefault="001A2F97" w:rsidP="001A2F97">
            <w:pPr>
              <w:jc w:val="right"/>
              <w:rPr>
                <w:sz w:val="20"/>
                <w:szCs w:val="20"/>
              </w:rPr>
            </w:pPr>
            <w:r w:rsidRPr="003C1788">
              <w:rPr>
                <w:sz w:val="20"/>
                <w:szCs w:val="20"/>
              </w:rPr>
              <w:t>15.000</w:t>
            </w:r>
          </w:p>
        </w:tc>
      </w:tr>
      <w:tr w:rsidR="001A2F97" w:rsidRPr="003C1788" w14:paraId="10870B5F" w14:textId="77777777" w:rsidTr="000D2496">
        <w:tc>
          <w:tcPr>
            <w:tcW w:w="5575" w:type="dxa"/>
            <w:shd w:val="clear" w:color="auto" w:fill="auto"/>
          </w:tcPr>
          <w:p w14:paraId="202D97A4" w14:textId="77777777" w:rsidR="001A2F97" w:rsidRPr="003C1788" w:rsidRDefault="001A2F97" w:rsidP="001A2F97">
            <w:pPr>
              <w:rPr>
                <w:sz w:val="20"/>
                <w:szCs w:val="20"/>
              </w:rPr>
            </w:pPr>
            <w:r w:rsidRPr="003C1788">
              <w:rPr>
                <w:sz w:val="20"/>
                <w:szCs w:val="20"/>
              </w:rPr>
              <w:t>Balanza para 300Kg</w:t>
            </w:r>
          </w:p>
        </w:tc>
        <w:tc>
          <w:tcPr>
            <w:tcW w:w="1530" w:type="dxa"/>
            <w:shd w:val="clear" w:color="auto" w:fill="auto"/>
          </w:tcPr>
          <w:p w14:paraId="101F2A00" w14:textId="77777777" w:rsidR="001A2F97" w:rsidRPr="003C1788" w:rsidRDefault="001A2F97" w:rsidP="001A2F97">
            <w:pPr>
              <w:jc w:val="right"/>
              <w:rPr>
                <w:sz w:val="20"/>
                <w:szCs w:val="20"/>
              </w:rPr>
            </w:pPr>
            <w:r w:rsidRPr="003C1788">
              <w:rPr>
                <w:sz w:val="20"/>
                <w:szCs w:val="20"/>
              </w:rPr>
              <w:t>5.000</w:t>
            </w:r>
          </w:p>
        </w:tc>
        <w:tc>
          <w:tcPr>
            <w:tcW w:w="1080" w:type="dxa"/>
            <w:shd w:val="clear" w:color="auto" w:fill="auto"/>
          </w:tcPr>
          <w:p w14:paraId="169AF70D" w14:textId="77777777" w:rsidR="001A2F97" w:rsidRPr="003C1788" w:rsidRDefault="001A2F97" w:rsidP="001A2F97">
            <w:pPr>
              <w:jc w:val="right"/>
              <w:rPr>
                <w:sz w:val="20"/>
                <w:szCs w:val="20"/>
              </w:rPr>
            </w:pPr>
            <w:r w:rsidRPr="003C1788">
              <w:rPr>
                <w:sz w:val="20"/>
                <w:szCs w:val="20"/>
              </w:rPr>
              <w:t>1</w:t>
            </w:r>
          </w:p>
        </w:tc>
        <w:tc>
          <w:tcPr>
            <w:tcW w:w="1255" w:type="dxa"/>
            <w:shd w:val="clear" w:color="auto" w:fill="auto"/>
          </w:tcPr>
          <w:p w14:paraId="52047847" w14:textId="77777777" w:rsidR="001A2F97" w:rsidRPr="003C1788" w:rsidRDefault="001A2F97" w:rsidP="001A2F97">
            <w:pPr>
              <w:jc w:val="right"/>
              <w:rPr>
                <w:sz w:val="20"/>
                <w:szCs w:val="20"/>
              </w:rPr>
            </w:pPr>
            <w:r w:rsidRPr="003C1788">
              <w:rPr>
                <w:sz w:val="20"/>
                <w:szCs w:val="20"/>
              </w:rPr>
              <w:t>5.000</w:t>
            </w:r>
          </w:p>
        </w:tc>
      </w:tr>
      <w:tr w:rsidR="001A2F97" w:rsidRPr="003C1788" w14:paraId="75B025CC" w14:textId="77777777" w:rsidTr="000D2496">
        <w:tc>
          <w:tcPr>
            <w:tcW w:w="5575" w:type="dxa"/>
            <w:shd w:val="clear" w:color="auto" w:fill="auto"/>
          </w:tcPr>
          <w:p w14:paraId="27CBEB3E" w14:textId="77777777" w:rsidR="001A2F97" w:rsidRPr="003C1788" w:rsidRDefault="001A2F97" w:rsidP="001A2F97">
            <w:pPr>
              <w:rPr>
                <w:sz w:val="20"/>
                <w:szCs w:val="20"/>
              </w:rPr>
            </w:pPr>
            <w:r w:rsidRPr="003C1788">
              <w:rPr>
                <w:sz w:val="20"/>
                <w:szCs w:val="20"/>
              </w:rPr>
              <w:t>Equipos de limpieza de cilindros de 30lb</w:t>
            </w:r>
          </w:p>
        </w:tc>
        <w:tc>
          <w:tcPr>
            <w:tcW w:w="1530" w:type="dxa"/>
            <w:shd w:val="clear" w:color="auto" w:fill="auto"/>
          </w:tcPr>
          <w:p w14:paraId="550C780C" w14:textId="77777777" w:rsidR="001A2F97" w:rsidRPr="003C1788" w:rsidRDefault="001A2F97" w:rsidP="001A2F97">
            <w:pPr>
              <w:jc w:val="right"/>
              <w:rPr>
                <w:sz w:val="20"/>
                <w:szCs w:val="20"/>
              </w:rPr>
            </w:pPr>
            <w:r w:rsidRPr="003C1788">
              <w:rPr>
                <w:sz w:val="20"/>
                <w:szCs w:val="20"/>
              </w:rPr>
              <w:t>4.500</w:t>
            </w:r>
          </w:p>
        </w:tc>
        <w:tc>
          <w:tcPr>
            <w:tcW w:w="1080" w:type="dxa"/>
            <w:shd w:val="clear" w:color="auto" w:fill="auto"/>
          </w:tcPr>
          <w:p w14:paraId="5A664BFC" w14:textId="77777777" w:rsidR="001A2F97" w:rsidRPr="003C1788" w:rsidRDefault="001A2F97" w:rsidP="001A2F97">
            <w:pPr>
              <w:jc w:val="right"/>
              <w:rPr>
                <w:sz w:val="20"/>
                <w:szCs w:val="20"/>
              </w:rPr>
            </w:pPr>
            <w:r w:rsidRPr="003C1788">
              <w:rPr>
                <w:sz w:val="20"/>
                <w:szCs w:val="20"/>
              </w:rPr>
              <w:t>2</w:t>
            </w:r>
          </w:p>
        </w:tc>
        <w:tc>
          <w:tcPr>
            <w:tcW w:w="1255" w:type="dxa"/>
            <w:shd w:val="clear" w:color="auto" w:fill="auto"/>
          </w:tcPr>
          <w:p w14:paraId="217DE468" w14:textId="77777777" w:rsidR="001A2F97" w:rsidRPr="003C1788" w:rsidRDefault="001A2F97" w:rsidP="001A2F97">
            <w:pPr>
              <w:jc w:val="right"/>
              <w:rPr>
                <w:sz w:val="20"/>
                <w:szCs w:val="20"/>
              </w:rPr>
            </w:pPr>
            <w:r w:rsidRPr="003C1788">
              <w:rPr>
                <w:sz w:val="20"/>
                <w:szCs w:val="20"/>
              </w:rPr>
              <w:t>9.000</w:t>
            </w:r>
          </w:p>
        </w:tc>
      </w:tr>
      <w:tr w:rsidR="001A2F97" w:rsidRPr="003C1788" w14:paraId="0B03FA87" w14:textId="77777777" w:rsidTr="000D2496">
        <w:tc>
          <w:tcPr>
            <w:tcW w:w="5575" w:type="dxa"/>
            <w:shd w:val="clear" w:color="auto" w:fill="auto"/>
          </w:tcPr>
          <w:p w14:paraId="01A6EFE9" w14:textId="77777777" w:rsidR="001A2F97" w:rsidRPr="003C1788" w:rsidRDefault="001A2F97" w:rsidP="001A2F97">
            <w:pPr>
              <w:rPr>
                <w:rFonts w:eastAsia="Arial"/>
                <w:sz w:val="20"/>
                <w:szCs w:val="20"/>
              </w:rPr>
            </w:pPr>
            <w:r w:rsidRPr="003C1788">
              <w:rPr>
                <w:sz w:val="20"/>
                <w:szCs w:val="20"/>
              </w:rPr>
              <w:t>Equipos de limpieza de cilindros de 100lb</w:t>
            </w:r>
          </w:p>
        </w:tc>
        <w:tc>
          <w:tcPr>
            <w:tcW w:w="1530" w:type="dxa"/>
            <w:shd w:val="clear" w:color="auto" w:fill="auto"/>
          </w:tcPr>
          <w:p w14:paraId="7C4E673A" w14:textId="77777777" w:rsidR="001A2F97" w:rsidRPr="003C1788" w:rsidRDefault="001A2F97" w:rsidP="001A2F97">
            <w:pPr>
              <w:jc w:val="right"/>
              <w:rPr>
                <w:rFonts w:eastAsia="Arial"/>
                <w:sz w:val="20"/>
                <w:szCs w:val="20"/>
              </w:rPr>
            </w:pPr>
            <w:r w:rsidRPr="003C1788">
              <w:rPr>
                <w:sz w:val="20"/>
                <w:szCs w:val="20"/>
              </w:rPr>
              <w:t>5.000</w:t>
            </w:r>
          </w:p>
        </w:tc>
        <w:tc>
          <w:tcPr>
            <w:tcW w:w="1080" w:type="dxa"/>
            <w:shd w:val="clear" w:color="auto" w:fill="auto"/>
          </w:tcPr>
          <w:p w14:paraId="66DB1501" w14:textId="77777777" w:rsidR="001A2F97" w:rsidRPr="003C1788" w:rsidRDefault="001A2F97" w:rsidP="001A2F97">
            <w:pPr>
              <w:jc w:val="right"/>
              <w:rPr>
                <w:rFonts w:eastAsia="Arial"/>
                <w:sz w:val="20"/>
                <w:szCs w:val="20"/>
              </w:rPr>
            </w:pPr>
            <w:r w:rsidRPr="003C1788">
              <w:rPr>
                <w:sz w:val="20"/>
                <w:szCs w:val="20"/>
              </w:rPr>
              <w:t>1</w:t>
            </w:r>
          </w:p>
        </w:tc>
        <w:tc>
          <w:tcPr>
            <w:tcW w:w="1255" w:type="dxa"/>
            <w:shd w:val="clear" w:color="auto" w:fill="auto"/>
          </w:tcPr>
          <w:p w14:paraId="7DC1B32F" w14:textId="77777777" w:rsidR="001A2F97" w:rsidRPr="003C1788" w:rsidRDefault="001A2F97" w:rsidP="001A2F97">
            <w:pPr>
              <w:jc w:val="right"/>
              <w:rPr>
                <w:rFonts w:eastAsia="Arial"/>
                <w:sz w:val="20"/>
                <w:szCs w:val="20"/>
              </w:rPr>
            </w:pPr>
            <w:r w:rsidRPr="003C1788">
              <w:rPr>
                <w:sz w:val="20"/>
                <w:szCs w:val="20"/>
              </w:rPr>
              <w:t>5.000</w:t>
            </w:r>
          </w:p>
        </w:tc>
      </w:tr>
      <w:tr w:rsidR="001A2F97" w:rsidRPr="003C1788" w14:paraId="6772BA00" w14:textId="77777777" w:rsidTr="000D2496">
        <w:tc>
          <w:tcPr>
            <w:tcW w:w="5575" w:type="dxa"/>
            <w:shd w:val="clear" w:color="auto" w:fill="auto"/>
          </w:tcPr>
          <w:p w14:paraId="32AEC89D" w14:textId="77777777" w:rsidR="001A2F97" w:rsidRPr="003C1788" w:rsidRDefault="001A2F97" w:rsidP="001A2F97">
            <w:pPr>
              <w:rPr>
                <w:rFonts w:eastAsia="Arial"/>
                <w:sz w:val="20"/>
                <w:szCs w:val="20"/>
              </w:rPr>
            </w:pPr>
            <w:r w:rsidRPr="003C1788">
              <w:rPr>
                <w:sz w:val="20"/>
                <w:szCs w:val="20"/>
              </w:rPr>
              <w:t>Instalación de equipos</w:t>
            </w:r>
          </w:p>
        </w:tc>
        <w:tc>
          <w:tcPr>
            <w:tcW w:w="1530" w:type="dxa"/>
            <w:shd w:val="clear" w:color="auto" w:fill="auto"/>
          </w:tcPr>
          <w:p w14:paraId="7652F205" w14:textId="77777777" w:rsidR="001A2F97" w:rsidRPr="003C1788" w:rsidRDefault="001A2F97" w:rsidP="001A2F97">
            <w:pPr>
              <w:jc w:val="right"/>
              <w:rPr>
                <w:rFonts w:eastAsia="Arial"/>
                <w:sz w:val="20"/>
                <w:szCs w:val="20"/>
              </w:rPr>
            </w:pPr>
            <w:r w:rsidRPr="003C1788">
              <w:rPr>
                <w:sz w:val="20"/>
                <w:szCs w:val="20"/>
              </w:rPr>
              <w:t>15.000</w:t>
            </w:r>
          </w:p>
        </w:tc>
        <w:tc>
          <w:tcPr>
            <w:tcW w:w="1080" w:type="dxa"/>
            <w:shd w:val="clear" w:color="auto" w:fill="auto"/>
          </w:tcPr>
          <w:p w14:paraId="671B927D" w14:textId="77777777" w:rsidR="001A2F97" w:rsidRPr="003C1788" w:rsidRDefault="001A2F97" w:rsidP="001A2F97">
            <w:pPr>
              <w:jc w:val="right"/>
              <w:rPr>
                <w:rFonts w:eastAsia="Arial"/>
                <w:sz w:val="20"/>
                <w:szCs w:val="20"/>
              </w:rPr>
            </w:pPr>
            <w:r w:rsidRPr="003C1788">
              <w:rPr>
                <w:sz w:val="20"/>
                <w:szCs w:val="20"/>
              </w:rPr>
              <w:t>1</w:t>
            </w:r>
          </w:p>
        </w:tc>
        <w:tc>
          <w:tcPr>
            <w:tcW w:w="1255" w:type="dxa"/>
            <w:shd w:val="clear" w:color="auto" w:fill="auto"/>
          </w:tcPr>
          <w:p w14:paraId="27CFBC2C" w14:textId="77777777" w:rsidR="001A2F97" w:rsidRPr="003C1788" w:rsidRDefault="001A2F97" w:rsidP="001A2F97">
            <w:pPr>
              <w:jc w:val="right"/>
              <w:rPr>
                <w:rFonts w:eastAsia="Arial"/>
                <w:sz w:val="20"/>
                <w:szCs w:val="20"/>
              </w:rPr>
            </w:pPr>
            <w:r w:rsidRPr="003C1788">
              <w:rPr>
                <w:sz w:val="20"/>
                <w:szCs w:val="20"/>
              </w:rPr>
              <w:t>15.000</w:t>
            </w:r>
          </w:p>
        </w:tc>
      </w:tr>
      <w:tr w:rsidR="001A2F97" w:rsidRPr="003C1788" w14:paraId="1207511E" w14:textId="77777777" w:rsidTr="000D2496">
        <w:tc>
          <w:tcPr>
            <w:tcW w:w="5575" w:type="dxa"/>
            <w:shd w:val="clear" w:color="auto" w:fill="auto"/>
          </w:tcPr>
          <w:p w14:paraId="37567FEC" w14:textId="77777777" w:rsidR="001A2F97" w:rsidRPr="003C1788" w:rsidRDefault="001A2F97" w:rsidP="001A2F97">
            <w:pPr>
              <w:rPr>
                <w:rFonts w:eastAsia="Arial"/>
                <w:sz w:val="20"/>
                <w:szCs w:val="20"/>
              </w:rPr>
            </w:pPr>
            <w:r w:rsidRPr="003C1788">
              <w:rPr>
                <w:sz w:val="20"/>
                <w:szCs w:val="20"/>
              </w:rPr>
              <w:t>Equipos de laboratorio de certificación de refrigerantes</w:t>
            </w:r>
          </w:p>
        </w:tc>
        <w:tc>
          <w:tcPr>
            <w:tcW w:w="1530" w:type="dxa"/>
            <w:shd w:val="clear" w:color="auto" w:fill="auto"/>
          </w:tcPr>
          <w:p w14:paraId="0C76461F" w14:textId="77777777" w:rsidR="001A2F97" w:rsidRPr="003C1788" w:rsidRDefault="001A2F97" w:rsidP="001A2F97">
            <w:pPr>
              <w:jc w:val="right"/>
              <w:rPr>
                <w:rFonts w:eastAsia="Arial"/>
                <w:sz w:val="20"/>
                <w:szCs w:val="20"/>
              </w:rPr>
            </w:pPr>
            <w:r w:rsidRPr="003C1788">
              <w:rPr>
                <w:sz w:val="20"/>
                <w:szCs w:val="20"/>
              </w:rPr>
              <w:t>15.000</w:t>
            </w:r>
          </w:p>
        </w:tc>
        <w:tc>
          <w:tcPr>
            <w:tcW w:w="1080" w:type="dxa"/>
            <w:shd w:val="clear" w:color="auto" w:fill="auto"/>
          </w:tcPr>
          <w:p w14:paraId="306CCE62" w14:textId="77777777" w:rsidR="001A2F97" w:rsidRPr="003C1788" w:rsidRDefault="001A2F97" w:rsidP="001A2F97">
            <w:pPr>
              <w:jc w:val="right"/>
              <w:rPr>
                <w:rFonts w:eastAsia="Arial"/>
                <w:sz w:val="20"/>
                <w:szCs w:val="20"/>
              </w:rPr>
            </w:pPr>
            <w:r w:rsidRPr="003C1788">
              <w:rPr>
                <w:sz w:val="20"/>
                <w:szCs w:val="20"/>
              </w:rPr>
              <w:t>1</w:t>
            </w:r>
          </w:p>
        </w:tc>
        <w:tc>
          <w:tcPr>
            <w:tcW w:w="1255" w:type="dxa"/>
            <w:shd w:val="clear" w:color="auto" w:fill="auto"/>
          </w:tcPr>
          <w:p w14:paraId="59364524" w14:textId="77777777" w:rsidR="001A2F97" w:rsidRPr="003C1788" w:rsidRDefault="001A2F97" w:rsidP="001A2F97">
            <w:pPr>
              <w:jc w:val="right"/>
              <w:rPr>
                <w:rFonts w:eastAsia="Arial"/>
                <w:sz w:val="20"/>
                <w:szCs w:val="20"/>
              </w:rPr>
            </w:pPr>
            <w:r w:rsidRPr="003C1788">
              <w:rPr>
                <w:sz w:val="20"/>
                <w:szCs w:val="20"/>
              </w:rPr>
              <w:t>15.000</w:t>
            </w:r>
          </w:p>
        </w:tc>
      </w:tr>
      <w:tr w:rsidR="001A2F97" w:rsidRPr="003C1788" w14:paraId="6FEFB423" w14:textId="77777777" w:rsidTr="000D2496">
        <w:tc>
          <w:tcPr>
            <w:tcW w:w="5575" w:type="dxa"/>
            <w:shd w:val="clear" w:color="auto" w:fill="auto"/>
          </w:tcPr>
          <w:p w14:paraId="3DBFB9F9" w14:textId="77777777" w:rsidR="001A2F97" w:rsidRPr="003C1788" w:rsidRDefault="001A2F97" w:rsidP="001A2F97">
            <w:pPr>
              <w:rPr>
                <w:rFonts w:eastAsia="Arial"/>
                <w:sz w:val="20"/>
                <w:szCs w:val="20"/>
              </w:rPr>
            </w:pPr>
            <w:r w:rsidRPr="003C1788">
              <w:rPr>
                <w:sz w:val="20"/>
                <w:szCs w:val="20"/>
              </w:rPr>
              <w:t>Tanque de almacenamiento de 30lb</w:t>
            </w:r>
          </w:p>
        </w:tc>
        <w:tc>
          <w:tcPr>
            <w:tcW w:w="1530" w:type="dxa"/>
            <w:shd w:val="clear" w:color="auto" w:fill="auto"/>
          </w:tcPr>
          <w:p w14:paraId="7F4E69A2" w14:textId="77777777" w:rsidR="001A2F97" w:rsidRPr="003C1788" w:rsidRDefault="001A2F97" w:rsidP="001A2F97">
            <w:pPr>
              <w:jc w:val="right"/>
              <w:rPr>
                <w:rFonts w:eastAsia="Arial"/>
                <w:sz w:val="20"/>
                <w:szCs w:val="20"/>
              </w:rPr>
            </w:pPr>
            <w:r w:rsidRPr="003C1788">
              <w:rPr>
                <w:sz w:val="20"/>
                <w:szCs w:val="20"/>
              </w:rPr>
              <w:t>80</w:t>
            </w:r>
          </w:p>
        </w:tc>
        <w:tc>
          <w:tcPr>
            <w:tcW w:w="1080" w:type="dxa"/>
            <w:shd w:val="clear" w:color="auto" w:fill="auto"/>
          </w:tcPr>
          <w:p w14:paraId="7E37666E" w14:textId="77777777" w:rsidR="001A2F97" w:rsidRPr="003C1788" w:rsidRDefault="001A2F97" w:rsidP="001A2F97">
            <w:pPr>
              <w:jc w:val="right"/>
              <w:rPr>
                <w:rFonts w:eastAsia="Arial"/>
                <w:sz w:val="20"/>
                <w:szCs w:val="20"/>
              </w:rPr>
            </w:pPr>
            <w:r w:rsidRPr="003C1788">
              <w:rPr>
                <w:sz w:val="20"/>
                <w:szCs w:val="20"/>
              </w:rPr>
              <w:t>20</w:t>
            </w:r>
          </w:p>
        </w:tc>
        <w:tc>
          <w:tcPr>
            <w:tcW w:w="1255" w:type="dxa"/>
            <w:shd w:val="clear" w:color="auto" w:fill="auto"/>
          </w:tcPr>
          <w:p w14:paraId="2E619075" w14:textId="77777777" w:rsidR="001A2F97" w:rsidRPr="003C1788" w:rsidRDefault="001A2F97" w:rsidP="001A2F97">
            <w:pPr>
              <w:jc w:val="right"/>
              <w:rPr>
                <w:rFonts w:eastAsia="Arial"/>
                <w:sz w:val="20"/>
                <w:szCs w:val="20"/>
              </w:rPr>
            </w:pPr>
            <w:r w:rsidRPr="003C1788">
              <w:rPr>
                <w:sz w:val="20"/>
                <w:szCs w:val="20"/>
              </w:rPr>
              <w:t>1.600</w:t>
            </w:r>
          </w:p>
        </w:tc>
      </w:tr>
      <w:tr w:rsidR="001A2F97" w:rsidRPr="003C1788" w14:paraId="653B96A2" w14:textId="77777777" w:rsidTr="000D2496">
        <w:tc>
          <w:tcPr>
            <w:tcW w:w="5575" w:type="dxa"/>
            <w:shd w:val="clear" w:color="auto" w:fill="auto"/>
          </w:tcPr>
          <w:p w14:paraId="59DEA889" w14:textId="77777777" w:rsidR="001A2F97" w:rsidRPr="003C1788" w:rsidRDefault="001A2F97" w:rsidP="001A2F97">
            <w:pPr>
              <w:rPr>
                <w:rFonts w:eastAsia="Arial"/>
                <w:sz w:val="20"/>
                <w:szCs w:val="20"/>
              </w:rPr>
            </w:pPr>
            <w:r w:rsidRPr="003C1788">
              <w:rPr>
                <w:sz w:val="20"/>
                <w:szCs w:val="20"/>
              </w:rPr>
              <w:t>Tanque de almacenamiento de 100lb</w:t>
            </w:r>
          </w:p>
        </w:tc>
        <w:tc>
          <w:tcPr>
            <w:tcW w:w="1530" w:type="dxa"/>
            <w:shd w:val="clear" w:color="auto" w:fill="auto"/>
          </w:tcPr>
          <w:p w14:paraId="4DF4797E" w14:textId="77777777" w:rsidR="001A2F97" w:rsidRPr="003C1788" w:rsidRDefault="001A2F97" w:rsidP="001A2F97">
            <w:pPr>
              <w:jc w:val="right"/>
              <w:rPr>
                <w:rFonts w:eastAsia="Arial"/>
                <w:sz w:val="20"/>
                <w:szCs w:val="20"/>
              </w:rPr>
            </w:pPr>
            <w:r w:rsidRPr="003C1788">
              <w:rPr>
                <w:sz w:val="20"/>
                <w:szCs w:val="20"/>
              </w:rPr>
              <w:t>150</w:t>
            </w:r>
          </w:p>
        </w:tc>
        <w:tc>
          <w:tcPr>
            <w:tcW w:w="1080" w:type="dxa"/>
            <w:shd w:val="clear" w:color="auto" w:fill="auto"/>
          </w:tcPr>
          <w:p w14:paraId="36E5BBED" w14:textId="77777777" w:rsidR="001A2F97" w:rsidRPr="003C1788" w:rsidRDefault="001A2F97" w:rsidP="001A2F97">
            <w:pPr>
              <w:jc w:val="right"/>
              <w:rPr>
                <w:rFonts w:eastAsia="Arial"/>
                <w:sz w:val="20"/>
                <w:szCs w:val="20"/>
              </w:rPr>
            </w:pPr>
            <w:r w:rsidRPr="003C1788">
              <w:rPr>
                <w:sz w:val="20"/>
                <w:szCs w:val="20"/>
              </w:rPr>
              <w:t>6</w:t>
            </w:r>
          </w:p>
        </w:tc>
        <w:tc>
          <w:tcPr>
            <w:tcW w:w="1255" w:type="dxa"/>
            <w:shd w:val="clear" w:color="auto" w:fill="auto"/>
          </w:tcPr>
          <w:p w14:paraId="2667552E" w14:textId="77777777" w:rsidR="001A2F97" w:rsidRPr="003C1788" w:rsidRDefault="001A2F97" w:rsidP="001A2F97">
            <w:pPr>
              <w:jc w:val="right"/>
              <w:rPr>
                <w:rFonts w:eastAsia="Arial"/>
                <w:sz w:val="20"/>
                <w:szCs w:val="20"/>
              </w:rPr>
            </w:pPr>
            <w:r w:rsidRPr="003C1788">
              <w:rPr>
                <w:sz w:val="20"/>
                <w:szCs w:val="20"/>
              </w:rPr>
              <w:t>900</w:t>
            </w:r>
          </w:p>
        </w:tc>
      </w:tr>
      <w:tr w:rsidR="001A2F97" w:rsidRPr="003C1788" w14:paraId="76071CAC" w14:textId="77777777" w:rsidTr="000D2496">
        <w:tc>
          <w:tcPr>
            <w:tcW w:w="5575" w:type="dxa"/>
            <w:shd w:val="clear" w:color="auto" w:fill="auto"/>
          </w:tcPr>
          <w:p w14:paraId="3A0EA549" w14:textId="77777777" w:rsidR="001A2F97" w:rsidRPr="003C1788" w:rsidRDefault="001A2F97" w:rsidP="001A2F97">
            <w:pPr>
              <w:rPr>
                <w:rFonts w:eastAsia="Arial"/>
                <w:sz w:val="20"/>
                <w:szCs w:val="20"/>
              </w:rPr>
            </w:pPr>
            <w:r w:rsidRPr="003C1788">
              <w:rPr>
                <w:sz w:val="20"/>
                <w:szCs w:val="20"/>
              </w:rPr>
              <w:t>Tanque de almacenamiento de 300lb</w:t>
            </w:r>
          </w:p>
        </w:tc>
        <w:tc>
          <w:tcPr>
            <w:tcW w:w="1530" w:type="dxa"/>
            <w:shd w:val="clear" w:color="auto" w:fill="auto"/>
          </w:tcPr>
          <w:p w14:paraId="5EE7B297" w14:textId="77777777" w:rsidR="001A2F97" w:rsidRPr="003C1788" w:rsidRDefault="001A2F97" w:rsidP="001A2F97">
            <w:pPr>
              <w:jc w:val="right"/>
              <w:rPr>
                <w:rFonts w:eastAsia="Arial"/>
                <w:sz w:val="20"/>
                <w:szCs w:val="20"/>
              </w:rPr>
            </w:pPr>
            <w:r w:rsidRPr="003C1788">
              <w:rPr>
                <w:sz w:val="20"/>
                <w:szCs w:val="20"/>
              </w:rPr>
              <w:t>300</w:t>
            </w:r>
          </w:p>
        </w:tc>
        <w:tc>
          <w:tcPr>
            <w:tcW w:w="1080" w:type="dxa"/>
            <w:shd w:val="clear" w:color="auto" w:fill="auto"/>
          </w:tcPr>
          <w:p w14:paraId="79BB3939" w14:textId="77777777" w:rsidR="001A2F97" w:rsidRPr="003C1788" w:rsidRDefault="001A2F97" w:rsidP="001A2F97">
            <w:pPr>
              <w:jc w:val="right"/>
              <w:rPr>
                <w:rFonts w:eastAsia="Arial"/>
                <w:sz w:val="20"/>
                <w:szCs w:val="20"/>
              </w:rPr>
            </w:pPr>
            <w:r w:rsidRPr="003C1788">
              <w:rPr>
                <w:sz w:val="20"/>
                <w:szCs w:val="20"/>
              </w:rPr>
              <w:t>3</w:t>
            </w:r>
          </w:p>
        </w:tc>
        <w:tc>
          <w:tcPr>
            <w:tcW w:w="1255" w:type="dxa"/>
            <w:shd w:val="clear" w:color="auto" w:fill="auto"/>
          </w:tcPr>
          <w:p w14:paraId="1E8F2EE7" w14:textId="77777777" w:rsidR="001A2F97" w:rsidRPr="003C1788" w:rsidRDefault="001A2F97" w:rsidP="001A2F97">
            <w:pPr>
              <w:jc w:val="right"/>
              <w:rPr>
                <w:rFonts w:eastAsia="Arial"/>
                <w:sz w:val="20"/>
                <w:szCs w:val="20"/>
              </w:rPr>
            </w:pPr>
            <w:r w:rsidRPr="003C1788">
              <w:rPr>
                <w:sz w:val="20"/>
                <w:szCs w:val="20"/>
              </w:rPr>
              <w:t>900</w:t>
            </w:r>
          </w:p>
        </w:tc>
      </w:tr>
      <w:tr w:rsidR="001A2F97" w:rsidRPr="003C1788" w14:paraId="4EFCD358" w14:textId="77777777" w:rsidTr="000D2496">
        <w:tc>
          <w:tcPr>
            <w:tcW w:w="5575" w:type="dxa"/>
            <w:shd w:val="clear" w:color="auto" w:fill="auto"/>
          </w:tcPr>
          <w:p w14:paraId="09E3DAA3" w14:textId="77777777" w:rsidR="001A2F97" w:rsidRPr="003C1788" w:rsidRDefault="001A2F97" w:rsidP="001A2F97">
            <w:pPr>
              <w:rPr>
                <w:rFonts w:eastAsia="Arial"/>
                <w:sz w:val="20"/>
                <w:szCs w:val="20"/>
              </w:rPr>
            </w:pPr>
            <w:r w:rsidRPr="003C1788">
              <w:rPr>
                <w:sz w:val="20"/>
                <w:szCs w:val="20"/>
              </w:rPr>
              <w:t>Tanque de almacenamiento de 1000lb</w:t>
            </w:r>
          </w:p>
        </w:tc>
        <w:tc>
          <w:tcPr>
            <w:tcW w:w="1530" w:type="dxa"/>
            <w:shd w:val="clear" w:color="auto" w:fill="auto"/>
          </w:tcPr>
          <w:p w14:paraId="05476547" w14:textId="77777777" w:rsidR="001A2F97" w:rsidRPr="003C1788" w:rsidRDefault="001A2F97" w:rsidP="001A2F97">
            <w:pPr>
              <w:jc w:val="right"/>
              <w:rPr>
                <w:rFonts w:eastAsia="Arial"/>
                <w:sz w:val="20"/>
                <w:szCs w:val="20"/>
              </w:rPr>
            </w:pPr>
            <w:r w:rsidRPr="003C1788">
              <w:rPr>
                <w:sz w:val="20"/>
                <w:szCs w:val="20"/>
              </w:rPr>
              <w:t>4.000</w:t>
            </w:r>
          </w:p>
        </w:tc>
        <w:tc>
          <w:tcPr>
            <w:tcW w:w="1080" w:type="dxa"/>
            <w:shd w:val="clear" w:color="auto" w:fill="auto"/>
          </w:tcPr>
          <w:p w14:paraId="1F0501E7" w14:textId="77777777" w:rsidR="001A2F97" w:rsidRPr="003C1788" w:rsidRDefault="001A2F97" w:rsidP="001A2F97">
            <w:pPr>
              <w:jc w:val="right"/>
              <w:rPr>
                <w:rFonts w:eastAsia="Arial"/>
                <w:sz w:val="20"/>
                <w:szCs w:val="20"/>
              </w:rPr>
            </w:pPr>
            <w:r w:rsidRPr="003C1788">
              <w:rPr>
                <w:sz w:val="20"/>
                <w:szCs w:val="20"/>
              </w:rPr>
              <w:t>1</w:t>
            </w:r>
          </w:p>
        </w:tc>
        <w:tc>
          <w:tcPr>
            <w:tcW w:w="1255" w:type="dxa"/>
            <w:shd w:val="clear" w:color="auto" w:fill="auto"/>
          </w:tcPr>
          <w:p w14:paraId="1E26BBBC" w14:textId="77777777" w:rsidR="001A2F97" w:rsidRPr="003C1788" w:rsidRDefault="001A2F97" w:rsidP="001A2F97">
            <w:pPr>
              <w:jc w:val="right"/>
              <w:rPr>
                <w:rFonts w:eastAsia="Arial"/>
                <w:sz w:val="20"/>
                <w:szCs w:val="20"/>
              </w:rPr>
            </w:pPr>
            <w:r w:rsidRPr="003C1788">
              <w:rPr>
                <w:sz w:val="20"/>
                <w:szCs w:val="20"/>
              </w:rPr>
              <w:t>4.000</w:t>
            </w:r>
          </w:p>
        </w:tc>
      </w:tr>
      <w:tr w:rsidR="001A2F97" w:rsidRPr="003C1788" w14:paraId="3632BB9A" w14:textId="77777777" w:rsidTr="000D2496">
        <w:tc>
          <w:tcPr>
            <w:tcW w:w="5575" w:type="dxa"/>
            <w:shd w:val="clear" w:color="auto" w:fill="auto"/>
          </w:tcPr>
          <w:p w14:paraId="5444ABB6" w14:textId="77777777" w:rsidR="001A2F97" w:rsidRPr="003C1788" w:rsidRDefault="001A2F97" w:rsidP="001A2F97">
            <w:pPr>
              <w:rPr>
                <w:rFonts w:eastAsia="Arial"/>
                <w:sz w:val="20"/>
                <w:szCs w:val="20"/>
              </w:rPr>
            </w:pPr>
            <w:r w:rsidRPr="003C1788">
              <w:rPr>
                <w:sz w:val="20"/>
                <w:szCs w:val="20"/>
              </w:rPr>
              <w:t>Bomba de vacío</w:t>
            </w:r>
          </w:p>
        </w:tc>
        <w:tc>
          <w:tcPr>
            <w:tcW w:w="1530" w:type="dxa"/>
            <w:shd w:val="clear" w:color="auto" w:fill="auto"/>
          </w:tcPr>
          <w:p w14:paraId="697C4FAA" w14:textId="77777777" w:rsidR="001A2F97" w:rsidRPr="003C1788" w:rsidRDefault="001A2F97" w:rsidP="001A2F97">
            <w:pPr>
              <w:jc w:val="right"/>
              <w:rPr>
                <w:rFonts w:eastAsia="Arial"/>
                <w:sz w:val="20"/>
                <w:szCs w:val="20"/>
              </w:rPr>
            </w:pPr>
            <w:r w:rsidRPr="003C1788">
              <w:rPr>
                <w:sz w:val="20"/>
                <w:szCs w:val="20"/>
              </w:rPr>
              <w:t>220</w:t>
            </w:r>
          </w:p>
        </w:tc>
        <w:tc>
          <w:tcPr>
            <w:tcW w:w="1080" w:type="dxa"/>
            <w:shd w:val="clear" w:color="auto" w:fill="auto"/>
          </w:tcPr>
          <w:p w14:paraId="610911D6" w14:textId="77777777" w:rsidR="001A2F97" w:rsidRPr="003C1788" w:rsidRDefault="001A2F97" w:rsidP="001A2F97">
            <w:pPr>
              <w:jc w:val="right"/>
              <w:rPr>
                <w:rFonts w:eastAsia="Arial"/>
                <w:sz w:val="20"/>
                <w:szCs w:val="20"/>
              </w:rPr>
            </w:pPr>
            <w:r w:rsidRPr="003C1788">
              <w:rPr>
                <w:sz w:val="20"/>
                <w:szCs w:val="20"/>
              </w:rPr>
              <w:t>4</w:t>
            </w:r>
          </w:p>
        </w:tc>
        <w:tc>
          <w:tcPr>
            <w:tcW w:w="1255" w:type="dxa"/>
            <w:shd w:val="clear" w:color="auto" w:fill="auto"/>
          </w:tcPr>
          <w:p w14:paraId="33FE19DB" w14:textId="77777777" w:rsidR="001A2F97" w:rsidRPr="003C1788" w:rsidRDefault="001A2F97" w:rsidP="001A2F97">
            <w:pPr>
              <w:jc w:val="right"/>
              <w:rPr>
                <w:rFonts w:eastAsia="Arial"/>
                <w:sz w:val="20"/>
                <w:szCs w:val="20"/>
              </w:rPr>
            </w:pPr>
            <w:r w:rsidRPr="003C1788">
              <w:rPr>
                <w:sz w:val="20"/>
                <w:szCs w:val="20"/>
              </w:rPr>
              <w:t>880</w:t>
            </w:r>
          </w:p>
        </w:tc>
      </w:tr>
      <w:tr w:rsidR="001A2F97" w:rsidRPr="003C1788" w14:paraId="6166416C" w14:textId="77777777" w:rsidTr="000D2496">
        <w:tc>
          <w:tcPr>
            <w:tcW w:w="5575" w:type="dxa"/>
            <w:shd w:val="clear" w:color="auto" w:fill="auto"/>
          </w:tcPr>
          <w:p w14:paraId="5353E301" w14:textId="77777777" w:rsidR="001A2F97" w:rsidRPr="003C1788" w:rsidRDefault="001A2F97" w:rsidP="001A2F97">
            <w:pPr>
              <w:rPr>
                <w:rFonts w:eastAsia="Arial"/>
                <w:sz w:val="20"/>
                <w:szCs w:val="20"/>
              </w:rPr>
            </w:pPr>
            <w:r w:rsidRPr="003C1788">
              <w:rPr>
                <w:sz w:val="20"/>
                <w:szCs w:val="20"/>
              </w:rPr>
              <w:t>Equipos de regeneración de refrigerantes</w:t>
            </w:r>
          </w:p>
        </w:tc>
        <w:tc>
          <w:tcPr>
            <w:tcW w:w="1530" w:type="dxa"/>
            <w:shd w:val="clear" w:color="auto" w:fill="auto"/>
          </w:tcPr>
          <w:p w14:paraId="543871F5" w14:textId="77777777" w:rsidR="001A2F97" w:rsidRPr="003C1788" w:rsidRDefault="001A2F97" w:rsidP="001A2F97">
            <w:pPr>
              <w:jc w:val="right"/>
              <w:rPr>
                <w:rFonts w:eastAsia="Arial"/>
                <w:sz w:val="20"/>
                <w:szCs w:val="20"/>
              </w:rPr>
            </w:pPr>
            <w:r w:rsidRPr="003C1788">
              <w:rPr>
                <w:sz w:val="20"/>
                <w:szCs w:val="20"/>
              </w:rPr>
              <w:t>700</w:t>
            </w:r>
          </w:p>
        </w:tc>
        <w:tc>
          <w:tcPr>
            <w:tcW w:w="1080" w:type="dxa"/>
            <w:shd w:val="clear" w:color="auto" w:fill="auto"/>
          </w:tcPr>
          <w:p w14:paraId="1478A09E" w14:textId="77777777" w:rsidR="001A2F97" w:rsidRPr="003C1788" w:rsidRDefault="001A2F97" w:rsidP="001A2F97">
            <w:pPr>
              <w:jc w:val="right"/>
              <w:rPr>
                <w:rFonts w:eastAsia="Arial"/>
                <w:sz w:val="20"/>
                <w:szCs w:val="20"/>
              </w:rPr>
            </w:pPr>
            <w:r w:rsidRPr="003C1788">
              <w:rPr>
                <w:sz w:val="20"/>
                <w:szCs w:val="20"/>
              </w:rPr>
              <w:t>3</w:t>
            </w:r>
          </w:p>
        </w:tc>
        <w:tc>
          <w:tcPr>
            <w:tcW w:w="1255" w:type="dxa"/>
            <w:shd w:val="clear" w:color="auto" w:fill="auto"/>
          </w:tcPr>
          <w:p w14:paraId="72B6945A" w14:textId="77777777" w:rsidR="001A2F97" w:rsidRPr="003C1788" w:rsidRDefault="001A2F97" w:rsidP="001A2F97">
            <w:pPr>
              <w:jc w:val="right"/>
              <w:rPr>
                <w:rFonts w:eastAsia="Arial"/>
                <w:sz w:val="20"/>
                <w:szCs w:val="20"/>
              </w:rPr>
            </w:pPr>
            <w:r w:rsidRPr="003C1788">
              <w:rPr>
                <w:sz w:val="20"/>
                <w:szCs w:val="20"/>
              </w:rPr>
              <w:t>2.100</w:t>
            </w:r>
          </w:p>
        </w:tc>
      </w:tr>
      <w:tr w:rsidR="001A2F97" w:rsidRPr="003C1788" w14:paraId="2B107505" w14:textId="77777777" w:rsidTr="000D2496">
        <w:tc>
          <w:tcPr>
            <w:tcW w:w="5575" w:type="dxa"/>
            <w:shd w:val="clear" w:color="auto" w:fill="auto"/>
          </w:tcPr>
          <w:p w14:paraId="2AE8A879" w14:textId="77777777" w:rsidR="001A2F97" w:rsidRPr="003C1788" w:rsidRDefault="001A2F97" w:rsidP="001A2F97">
            <w:pPr>
              <w:rPr>
                <w:rFonts w:eastAsia="Arial"/>
                <w:sz w:val="20"/>
                <w:szCs w:val="20"/>
              </w:rPr>
            </w:pPr>
            <w:r w:rsidRPr="003C1788">
              <w:rPr>
                <w:sz w:val="20"/>
                <w:szCs w:val="20"/>
              </w:rPr>
              <w:t>Manómetro y medidor de servicio</w:t>
            </w:r>
          </w:p>
        </w:tc>
        <w:tc>
          <w:tcPr>
            <w:tcW w:w="1530" w:type="dxa"/>
            <w:shd w:val="clear" w:color="auto" w:fill="auto"/>
          </w:tcPr>
          <w:p w14:paraId="3A93F470" w14:textId="77777777" w:rsidR="001A2F97" w:rsidRPr="003C1788" w:rsidRDefault="001A2F97" w:rsidP="001A2F97">
            <w:pPr>
              <w:jc w:val="right"/>
              <w:rPr>
                <w:rFonts w:eastAsia="Arial"/>
                <w:sz w:val="20"/>
                <w:szCs w:val="20"/>
              </w:rPr>
            </w:pPr>
            <w:r w:rsidRPr="003C1788">
              <w:rPr>
                <w:sz w:val="20"/>
                <w:szCs w:val="20"/>
              </w:rPr>
              <w:t>450</w:t>
            </w:r>
          </w:p>
        </w:tc>
        <w:tc>
          <w:tcPr>
            <w:tcW w:w="1080" w:type="dxa"/>
            <w:shd w:val="clear" w:color="auto" w:fill="auto"/>
          </w:tcPr>
          <w:p w14:paraId="5915354B" w14:textId="77777777" w:rsidR="001A2F97" w:rsidRPr="003C1788" w:rsidRDefault="001A2F97" w:rsidP="001A2F97">
            <w:pPr>
              <w:jc w:val="right"/>
              <w:rPr>
                <w:rFonts w:eastAsia="Arial"/>
                <w:sz w:val="20"/>
                <w:szCs w:val="20"/>
              </w:rPr>
            </w:pPr>
            <w:r w:rsidRPr="003C1788">
              <w:rPr>
                <w:sz w:val="20"/>
                <w:szCs w:val="20"/>
              </w:rPr>
              <w:t>2</w:t>
            </w:r>
          </w:p>
        </w:tc>
        <w:tc>
          <w:tcPr>
            <w:tcW w:w="1255" w:type="dxa"/>
            <w:shd w:val="clear" w:color="auto" w:fill="auto"/>
          </w:tcPr>
          <w:p w14:paraId="1DAA5876" w14:textId="77777777" w:rsidR="001A2F97" w:rsidRPr="003C1788" w:rsidRDefault="001A2F97" w:rsidP="001A2F97">
            <w:pPr>
              <w:jc w:val="right"/>
              <w:rPr>
                <w:rFonts w:eastAsia="Arial"/>
                <w:sz w:val="20"/>
                <w:szCs w:val="20"/>
              </w:rPr>
            </w:pPr>
            <w:r w:rsidRPr="003C1788">
              <w:rPr>
                <w:sz w:val="20"/>
                <w:szCs w:val="20"/>
              </w:rPr>
              <w:t>900</w:t>
            </w:r>
          </w:p>
        </w:tc>
      </w:tr>
      <w:tr w:rsidR="001A2F97" w:rsidRPr="003C1788" w14:paraId="2BDD432B" w14:textId="77777777" w:rsidTr="000D2496">
        <w:tc>
          <w:tcPr>
            <w:tcW w:w="5575" w:type="dxa"/>
            <w:shd w:val="clear" w:color="auto" w:fill="auto"/>
          </w:tcPr>
          <w:p w14:paraId="3166059A" w14:textId="77777777" w:rsidR="001A2F97" w:rsidRPr="003C1788" w:rsidRDefault="001A2F97" w:rsidP="001A2F97">
            <w:pPr>
              <w:rPr>
                <w:rFonts w:eastAsia="Arial"/>
                <w:sz w:val="20"/>
                <w:szCs w:val="20"/>
              </w:rPr>
            </w:pPr>
            <w:r w:rsidRPr="003C1788">
              <w:rPr>
                <w:sz w:val="20"/>
                <w:szCs w:val="20"/>
              </w:rPr>
              <w:t>Alicates de perforación</w:t>
            </w:r>
          </w:p>
        </w:tc>
        <w:tc>
          <w:tcPr>
            <w:tcW w:w="1530" w:type="dxa"/>
            <w:shd w:val="clear" w:color="auto" w:fill="auto"/>
          </w:tcPr>
          <w:p w14:paraId="31F1B50B" w14:textId="77777777" w:rsidR="001A2F97" w:rsidRPr="003C1788" w:rsidRDefault="001A2F97" w:rsidP="001A2F97">
            <w:pPr>
              <w:jc w:val="right"/>
              <w:rPr>
                <w:rFonts w:eastAsia="Arial"/>
                <w:sz w:val="20"/>
                <w:szCs w:val="20"/>
              </w:rPr>
            </w:pPr>
            <w:r w:rsidRPr="003C1788">
              <w:rPr>
                <w:sz w:val="20"/>
                <w:szCs w:val="20"/>
              </w:rPr>
              <w:t>25</w:t>
            </w:r>
          </w:p>
        </w:tc>
        <w:tc>
          <w:tcPr>
            <w:tcW w:w="1080" w:type="dxa"/>
            <w:shd w:val="clear" w:color="auto" w:fill="auto"/>
          </w:tcPr>
          <w:p w14:paraId="20BB4782" w14:textId="77777777" w:rsidR="001A2F97" w:rsidRPr="003C1788" w:rsidRDefault="001A2F97" w:rsidP="001A2F97">
            <w:pPr>
              <w:jc w:val="right"/>
              <w:rPr>
                <w:rFonts w:eastAsia="Arial"/>
                <w:sz w:val="20"/>
                <w:szCs w:val="20"/>
              </w:rPr>
            </w:pPr>
            <w:r w:rsidRPr="003C1788">
              <w:rPr>
                <w:sz w:val="20"/>
                <w:szCs w:val="20"/>
              </w:rPr>
              <w:t>2</w:t>
            </w:r>
          </w:p>
        </w:tc>
        <w:tc>
          <w:tcPr>
            <w:tcW w:w="1255" w:type="dxa"/>
            <w:shd w:val="clear" w:color="auto" w:fill="auto"/>
          </w:tcPr>
          <w:p w14:paraId="4BB2F7E7" w14:textId="77777777" w:rsidR="001A2F97" w:rsidRPr="003C1788" w:rsidRDefault="001A2F97" w:rsidP="001A2F97">
            <w:pPr>
              <w:jc w:val="right"/>
              <w:rPr>
                <w:rFonts w:eastAsia="Arial"/>
                <w:sz w:val="20"/>
                <w:szCs w:val="20"/>
              </w:rPr>
            </w:pPr>
            <w:r w:rsidRPr="003C1788">
              <w:rPr>
                <w:sz w:val="20"/>
                <w:szCs w:val="20"/>
              </w:rPr>
              <w:t>50</w:t>
            </w:r>
          </w:p>
        </w:tc>
      </w:tr>
      <w:tr w:rsidR="001A2F97" w:rsidRPr="003C1788" w14:paraId="1BC1A71F" w14:textId="77777777" w:rsidTr="000D2496">
        <w:tc>
          <w:tcPr>
            <w:tcW w:w="5575" w:type="dxa"/>
            <w:shd w:val="clear" w:color="auto" w:fill="auto"/>
          </w:tcPr>
          <w:p w14:paraId="626691D3" w14:textId="77777777" w:rsidR="001A2F97" w:rsidRPr="003C1788" w:rsidRDefault="001A2F97" w:rsidP="001A2F97">
            <w:pPr>
              <w:rPr>
                <w:rFonts w:eastAsia="Arial"/>
                <w:sz w:val="20"/>
                <w:szCs w:val="20"/>
              </w:rPr>
            </w:pPr>
            <w:r w:rsidRPr="003C1788">
              <w:rPr>
                <w:sz w:val="20"/>
                <w:szCs w:val="20"/>
              </w:rPr>
              <w:t>Protección de seguridad</w:t>
            </w:r>
          </w:p>
        </w:tc>
        <w:tc>
          <w:tcPr>
            <w:tcW w:w="1530" w:type="dxa"/>
            <w:shd w:val="clear" w:color="auto" w:fill="auto"/>
          </w:tcPr>
          <w:p w14:paraId="13F53741" w14:textId="77777777" w:rsidR="001A2F97" w:rsidRPr="003C1788" w:rsidRDefault="001A2F97" w:rsidP="001A2F97">
            <w:pPr>
              <w:jc w:val="right"/>
              <w:rPr>
                <w:rFonts w:eastAsia="Arial"/>
                <w:sz w:val="20"/>
                <w:szCs w:val="20"/>
              </w:rPr>
            </w:pPr>
            <w:r w:rsidRPr="003C1788">
              <w:rPr>
                <w:sz w:val="20"/>
                <w:szCs w:val="20"/>
              </w:rPr>
              <w:t>23</w:t>
            </w:r>
          </w:p>
        </w:tc>
        <w:tc>
          <w:tcPr>
            <w:tcW w:w="1080" w:type="dxa"/>
            <w:shd w:val="clear" w:color="auto" w:fill="auto"/>
          </w:tcPr>
          <w:p w14:paraId="415565CC" w14:textId="77777777" w:rsidR="001A2F97" w:rsidRPr="003C1788" w:rsidRDefault="001A2F97" w:rsidP="001A2F97">
            <w:pPr>
              <w:jc w:val="right"/>
              <w:rPr>
                <w:rFonts w:eastAsia="Arial"/>
                <w:sz w:val="20"/>
                <w:szCs w:val="20"/>
              </w:rPr>
            </w:pPr>
            <w:r w:rsidRPr="003C1788">
              <w:rPr>
                <w:sz w:val="20"/>
                <w:szCs w:val="20"/>
              </w:rPr>
              <w:t>10</w:t>
            </w:r>
          </w:p>
        </w:tc>
        <w:tc>
          <w:tcPr>
            <w:tcW w:w="1255" w:type="dxa"/>
            <w:shd w:val="clear" w:color="auto" w:fill="auto"/>
          </w:tcPr>
          <w:p w14:paraId="042F0AE5" w14:textId="77777777" w:rsidR="001A2F97" w:rsidRPr="003C1788" w:rsidRDefault="001A2F97" w:rsidP="001A2F97">
            <w:pPr>
              <w:jc w:val="right"/>
              <w:rPr>
                <w:rFonts w:eastAsia="Arial"/>
                <w:sz w:val="20"/>
                <w:szCs w:val="20"/>
              </w:rPr>
            </w:pPr>
            <w:r w:rsidRPr="003C1788">
              <w:rPr>
                <w:sz w:val="20"/>
                <w:szCs w:val="20"/>
              </w:rPr>
              <w:t>230</w:t>
            </w:r>
          </w:p>
        </w:tc>
      </w:tr>
      <w:tr w:rsidR="001A2F97" w:rsidRPr="003C1788" w14:paraId="19EED0A5" w14:textId="77777777" w:rsidTr="000D2496">
        <w:tc>
          <w:tcPr>
            <w:tcW w:w="5575" w:type="dxa"/>
            <w:shd w:val="clear" w:color="auto" w:fill="auto"/>
          </w:tcPr>
          <w:p w14:paraId="6F34FF04" w14:textId="77777777" w:rsidR="001A2F97" w:rsidRPr="003C1788" w:rsidRDefault="001A2F97" w:rsidP="001A2F97">
            <w:pPr>
              <w:rPr>
                <w:rFonts w:eastAsia="Arial"/>
                <w:sz w:val="20"/>
                <w:szCs w:val="20"/>
              </w:rPr>
            </w:pPr>
            <w:r w:rsidRPr="003C1788">
              <w:rPr>
                <w:sz w:val="20"/>
                <w:szCs w:val="20"/>
              </w:rPr>
              <w:lastRenderedPageBreak/>
              <w:t>Caja de herramientas</w:t>
            </w:r>
          </w:p>
        </w:tc>
        <w:tc>
          <w:tcPr>
            <w:tcW w:w="1530" w:type="dxa"/>
            <w:shd w:val="clear" w:color="auto" w:fill="auto"/>
          </w:tcPr>
          <w:p w14:paraId="5F28237A" w14:textId="77777777" w:rsidR="001A2F97" w:rsidRPr="003C1788" w:rsidRDefault="001A2F97" w:rsidP="001A2F97">
            <w:pPr>
              <w:jc w:val="right"/>
              <w:rPr>
                <w:rFonts w:eastAsia="Arial"/>
                <w:sz w:val="20"/>
                <w:szCs w:val="20"/>
              </w:rPr>
            </w:pPr>
            <w:r w:rsidRPr="003C1788">
              <w:rPr>
                <w:sz w:val="20"/>
                <w:szCs w:val="20"/>
              </w:rPr>
              <w:t>350</w:t>
            </w:r>
          </w:p>
        </w:tc>
        <w:tc>
          <w:tcPr>
            <w:tcW w:w="1080" w:type="dxa"/>
            <w:shd w:val="clear" w:color="auto" w:fill="auto"/>
          </w:tcPr>
          <w:p w14:paraId="21E5F63C" w14:textId="77777777" w:rsidR="001A2F97" w:rsidRPr="003C1788" w:rsidRDefault="001A2F97" w:rsidP="001A2F97">
            <w:pPr>
              <w:jc w:val="right"/>
              <w:rPr>
                <w:rFonts w:eastAsia="Arial"/>
                <w:sz w:val="20"/>
                <w:szCs w:val="20"/>
              </w:rPr>
            </w:pPr>
            <w:r w:rsidRPr="003C1788">
              <w:rPr>
                <w:sz w:val="20"/>
                <w:szCs w:val="20"/>
              </w:rPr>
              <w:t>1</w:t>
            </w:r>
          </w:p>
        </w:tc>
        <w:tc>
          <w:tcPr>
            <w:tcW w:w="1255" w:type="dxa"/>
            <w:shd w:val="clear" w:color="auto" w:fill="auto"/>
          </w:tcPr>
          <w:p w14:paraId="0E241964" w14:textId="77777777" w:rsidR="001A2F97" w:rsidRPr="003C1788" w:rsidRDefault="001A2F97" w:rsidP="001A2F97">
            <w:pPr>
              <w:jc w:val="right"/>
              <w:rPr>
                <w:rFonts w:eastAsia="Arial"/>
                <w:sz w:val="20"/>
                <w:szCs w:val="20"/>
              </w:rPr>
            </w:pPr>
            <w:r w:rsidRPr="003C1788">
              <w:rPr>
                <w:sz w:val="20"/>
                <w:szCs w:val="20"/>
              </w:rPr>
              <w:t>350</w:t>
            </w:r>
          </w:p>
        </w:tc>
      </w:tr>
      <w:tr w:rsidR="001A2F97" w:rsidRPr="003C1788" w14:paraId="675724D2" w14:textId="77777777" w:rsidTr="000D2496">
        <w:tc>
          <w:tcPr>
            <w:tcW w:w="5575" w:type="dxa"/>
            <w:shd w:val="clear" w:color="auto" w:fill="auto"/>
          </w:tcPr>
          <w:p w14:paraId="79C71012" w14:textId="77777777" w:rsidR="001A2F97" w:rsidRPr="003C1788" w:rsidRDefault="001A2F97" w:rsidP="001A2F97">
            <w:pPr>
              <w:rPr>
                <w:rFonts w:eastAsia="Arial"/>
                <w:sz w:val="20"/>
                <w:szCs w:val="20"/>
              </w:rPr>
            </w:pPr>
            <w:r w:rsidRPr="003C1788">
              <w:rPr>
                <w:sz w:val="20"/>
                <w:szCs w:val="20"/>
              </w:rPr>
              <w:t>Extintor de incendios</w:t>
            </w:r>
          </w:p>
        </w:tc>
        <w:tc>
          <w:tcPr>
            <w:tcW w:w="1530" w:type="dxa"/>
            <w:shd w:val="clear" w:color="auto" w:fill="auto"/>
          </w:tcPr>
          <w:p w14:paraId="64C08357" w14:textId="77777777" w:rsidR="001A2F97" w:rsidRPr="003C1788" w:rsidRDefault="001A2F97" w:rsidP="001A2F97">
            <w:pPr>
              <w:jc w:val="right"/>
              <w:rPr>
                <w:rFonts w:eastAsia="Arial"/>
                <w:sz w:val="20"/>
                <w:szCs w:val="20"/>
              </w:rPr>
            </w:pPr>
            <w:r w:rsidRPr="003C1788">
              <w:rPr>
                <w:sz w:val="20"/>
                <w:szCs w:val="20"/>
              </w:rPr>
              <w:t>250</w:t>
            </w:r>
          </w:p>
        </w:tc>
        <w:tc>
          <w:tcPr>
            <w:tcW w:w="1080" w:type="dxa"/>
            <w:shd w:val="clear" w:color="auto" w:fill="auto"/>
          </w:tcPr>
          <w:p w14:paraId="487B83BC" w14:textId="77777777" w:rsidR="001A2F97" w:rsidRPr="003C1788" w:rsidRDefault="001A2F97" w:rsidP="001A2F97">
            <w:pPr>
              <w:jc w:val="right"/>
              <w:rPr>
                <w:rFonts w:eastAsia="Arial"/>
                <w:sz w:val="20"/>
                <w:szCs w:val="20"/>
              </w:rPr>
            </w:pPr>
            <w:r w:rsidRPr="003C1788">
              <w:rPr>
                <w:sz w:val="20"/>
                <w:szCs w:val="20"/>
              </w:rPr>
              <w:t>3</w:t>
            </w:r>
          </w:p>
        </w:tc>
        <w:tc>
          <w:tcPr>
            <w:tcW w:w="1255" w:type="dxa"/>
            <w:shd w:val="clear" w:color="auto" w:fill="auto"/>
          </w:tcPr>
          <w:p w14:paraId="4579A90D" w14:textId="77777777" w:rsidR="001A2F97" w:rsidRPr="003C1788" w:rsidRDefault="001A2F97" w:rsidP="001A2F97">
            <w:pPr>
              <w:jc w:val="right"/>
              <w:rPr>
                <w:rFonts w:eastAsia="Arial"/>
                <w:sz w:val="20"/>
                <w:szCs w:val="20"/>
              </w:rPr>
            </w:pPr>
            <w:r w:rsidRPr="003C1788">
              <w:rPr>
                <w:sz w:val="20"/>
                <w:szCs w:val="20"/>
              </w:rPr>
              <w:t>750</w:t>
            </w:r>
          </w:p>
        </w:tc>
      </w:tr>
      <w:tr w:rsidR="001A2F97" w:rsidRPr="003C1788" w14:paraId="3D722939" w14:textId="77777777" w:rsidTr="000D2496">
        <w:tc>
          <w:tcPr>
            <w:tcW w:w="5575" w:type="dxa"/>
            <w:shd w:val="clear" w:color="auto" w:fill="auto"/>
          </w:tcPr>
          <w:p w14:paraId="152C88F9" w14:textId="77777777" w:rsidR="001A2F97" w:rsidRPr="003C1788" w:rsidRDefault="001A2F97" w:rsidP="001A2F97">
            <w:pPr>
              <w:rPr>
                <w:rFonts w:eastAsia="Arial"/>
                <w:sz w:val="20"/>
                <w:szCs w:val="20"/>
              </w:rPr>
            </w:pPr>
            <w:r w:rsidRPr="003C1788">
              <w:rPr>
                <w:sz w:val="20"/>
                <w:szCs w:val="20"/>
              </w:rPr>
              <w:t>Kit de primeros auxilios</w:t>
            </w:r>
          </w:p>
        </w:tc>
        <w:tc>
          <w:tcPr>
            <w:tcW w:w="1530" w:type="dxa"/>
            <w:shd w:val="clear" w:color="auto" w:fill="auto"/>
          </w:tcPr>
          <w:p w14:paraId="688F7585" w14:textId="77777777" w:rsidR="001A2F97" w:rsidRPr="003C1788" w:rsidRDefault="001A2F97" w:rsidP="001A2F97">
            <w:pPr>
              <w:jc w:val="right"/>
              <w:rPr>
                <w:rFonts w:eastAsia="Arial"/>
                <w:sz w:val="20"/>
                <w:szCs w:val="20"/>
              </w:rPr>
            </w:pPr>
            <w:r w:rsidRPr="003C1788">
              <w:rPr>
                <w:sz w:val="20"/>
                <w:szCs w:val="20"/>
              </w:rPr>
              <w:t>500</w:t>
            </w:r>
          </w:p>
        </w:tc>
        <w:tc>
          <w:tcPr>
            <w:tcW w:w="1080" w:type="dxa"/>
            <w:shd w:val="clear" w:color="auto" w:fill="auto"/>
          </w:tcPr>
          <w:p w14:paraId="629C70F1" w14:textId="77777777" w:rsidR="001A2F97" w:rsidRPr="003C1788" w:rsidRDefault="001A2F97" w:rsidP="001A2F97">
            <w:pPr>
              <w:jc w:val="right"/>
              <w:rPr>
                <w:rFonts w:eastAsia="Arial"/>
                <w:sz w:val="20"/>
                <w:szCs w:val="20"/>
              </w:rPr>
            </w:pPr>
            <w:r w:rsidRPr="003C1788">
              <w:rPr>
                <w:sz w:val="20"/>
                <w:szCs w:val="20"/>
              </w:rPr>
              <w:t>2</w:t>
            </w:r>
          </w:p>
        </w:tc>
        <w:tc>
          <w:tcPr>
            <w:tcW w:w="1255" w:type="dxa"/>
            <w:shd w:val="clear" w:color="auto" w:fill="auto"/>
          </w:tcPr>
          <w:p w14:paraId="26A5B088" w14:textId="77777777" w:rsidR="001A2F97" w:rsidRPr="003C1788" w:rsidRDefault="001A2F97" w:rsidP="001A2F97">
            <w:pPr>
              <w:jc w:val="right"/>
              <w:rPr>
                <w:rFonts w:eastAsia="Arial"/>
                <w:sz w:val="20"/>
                <w:szCs w:val="20"/>
              </w:rPr>
            </w:pPr>
            <w:r w:rsidRPr="003C1788">
              <w:rPr>
                <w:sz w:val="20"/>
                <w:szCs w:val="20"/>
              </w:rPr>
              <w:t>1.000</w:t>
            </w:r>
          </w:p>
        </w:tc>
      </w:tr>
      <w:tr w:rsidR="001A2F97" w:rsidRPr="003C1788" w14:paraId="7B11D65A" w14:textId="77777777" w:rsidTr="000D2496">
        <w:tc>
          <w:tcPr>
            <w:tcW w:w="8185" w:type="dxa"/>
            <w:gridSpan w:val="3"/>
            <w:shd w:val="clear" w:color="auto" w:fill="auto"/>
            <w:vAlign w:val="center"/>
          </w:tcPr>
          <w:p w14:paraId="5FA4450C" w14:textId="77777777" w:rsidR="001A2F97" w:rsidRPr="003C1788" w:rsidRDefault="001A2F97" w:rsidP="001A2F97">
            <w:pPr>
              <w:jc w:val="right"/>
              <w:rPr>
                <w:rFonts w:eastAsia="Arial"/>
                <w:b/>
                <w:bCs/>
                <w:sz w:val="20"/>
                <w:szCs w:val="20"/>
              </w:rPr>
            </w:pPr>
            <w:r w:rsidRPr="003C1788">
              <w:rPr>
                <w:b/>
                <w:bCs/>
                <w:sz w:val="20"/>
                <w:szCs w:val="20"/>
              </w:rPr>
              <w:t>TOTAL</w:t>
            </w:r>
          </w:p>
        </w:tc>
        <w:tc>
          <w:tcPr>
            <w:tcW w:w="1255" w:type="dxa"/>
            <w:shd w:val="clear" w:color="auto" w:fill="auto"/>
          </w:tcPr>
          <w:p w14:paraId="3BF9D94B" w14:textId="77777777" w:rsidR="001A2F97" w:rsidRPr="003C1788" w:rsidRDefault="001A2F97" w:rsidP="001A2F97">
            <w:pPr>
              <w:jc w:val="right"/>
              <w:rPr>
                <w:rFonts w:eastAsia="Arial"/>
                <w:b/>
                <w:bCs/>
                <w:sz w:val="20"/>
                <w:szCs w:val="20"/>
              </w:rPr>
            </w:pPr>
            <w:r w:rsidRPr="003C1788">
              <w:rPr>
                <w:b/>
                <w:bCs/>
                <w:sz w:val="20"/>
                <w:szCs w:val="20"/>
              </w:rPr>
              <w:t>112.000</w:t>
            </w:r>
          </w:p>
        </w:tc>
      </w:tr>
    </w:tbl>
    <w:p w14:paraId="76593F2A" w14:textId="77777777" w:rsidR="001A2F97" w:rsidRPr="003C1788" w:rsidRDefault="001A2F97" w:rsidP="001A2F97">
      <w:pPr>
        <w:rPr>
          <w:b/>
          <w:bCs/>
        </w:rPr>
      </w:pPr>
    </w:p>
    <w:p w14:paraId="58D933DB" w14:textId="77777777" w:rsidR="001A2F97" w:rsidRPr="003C1788" w:rsidRDefault="001A2F97" w:rsidP="001A2F97">
      <w:pPr>
        <w:rPr>
          <w:b/>
          <w:bCs/>
        </w:rPr>
      </w:pPr>
      <w:r w:rsidRPr="003C1788">
        <w:rPr>
          <w:b/>
          <w:bCs/>
        </w:rPr>
        <w:t>Estudio de viabilidad</w:t>
      </w:r>
    </w:p>
    <w:p w14:paraId="1FA72D4E" w14:textId="77777777" w:rsidR="001A2F97" w:rsidRPr="003C1788" w:rsidRDefault="001A2F97" w:rsidP="001A2F97">
      <w:pPr>
        <w:rPr>
          <w:b/>
          <w:bCs/>
        </w:rPr>
      </w:pPr>
    </w:p>
    <w:p w14:paraId="6B81CD85" w14:textId="75B77FF2" w:rsidR="001A2F97" w:rsidRPr="003C1788" w:rsidRDefault="001A2F97" w:rsidP="00C6485E">
      <w:pPr>
        <w:pStyle w:val="Heading1"/>
      </w:pPr>
      <w:r w:rsidRPr="003C1788">
        <w:t xml:space="preserve">La recuperación de la inversión se extiende a lo largo de tres años, y se prevé que el centro de RRR sea eficiente en relación al costo una vez que se alcance el 70% de la capacidad total, a un precio de venta de USD 3 por kg de refrigerante regenerado, y que podría ser rentable dentro de los primeros seis trimestres después del inicio de las actividades. En el cuadro 3 se incluyen los costos e ingresos del centro de RRR propuesto a lo largo de tres años con una capacidad original de 10 </w:t>
      </w:r>
      <w:proofErr w:type="spellStart"/>
      <w:r w:rsidRPr="003C1788">
        <w:t>tm</w:t>
      </w:r>
      <w:proofErr w:type="spellEnd"/>
      <w:r w:rsidRPr="003C1788">
        <w:t xml:space="preserve"> por trimestre, aumentada a 20 </w:t>
      </w:r>
      <w:proofErr w:type="spellStart"/>
      <w:r w:rsidRPr="003C1788">
        <w:t>tm</w:t>
      </w:r>
      <w:proofErr w:type="spellEnd"/>
      <w:r w:rsidRPr="003C1788">
        <w:t xml:space="preserve"> en el sexto trimestre.</w:t>
      </w:r>
    </w:p>
    <w:p w14:paraId="6DB64C64" w14:textId="705DF8D1" w:rsidR="001A2F97" w:rsidRPr="003C1788" w:rsidRDefault="001A2F97" w:rsidP="001A2F97">
      <w:pPr>
        <w:keepNext/>
        <w:rPr>
          <w:b/>
          <w:bCs/>
        </w:rPr>
      </w:pPr>
      <w:r w:rsidRPr="003C1788">
        <w:rPr>
          <w:b/>
          <w:bCs/>
        </w:rPr>
        <w:t>Cuadro 3: Costo e ingresos del centro de RRR a lo largo de tres años</w:t>
      </w:r>
    </w:p>
    <w:tbl>
      <w:tblPr>
        <w:tblStyle w:val="TableGrid"/>
        <w:tblW w:w="5000" w:type="pct"/>
        <w:tblLayout w:type="fixed"/>
        <w:tblLook w:val="04A0" w:firstRow="1" w:lastRow="0" w:firstColumn="1" w:lastColumn="0" w:noHBand="0" w:noVBand="1"/>
      </w:tblPr>
      <w:tblGrid>
        <w:gridCol w:w="4045"/>
        <w:gridCol w:w="990"/>
        <w:gridCol w:w="900"/>
        <w:gridCol w:w="1170"/>
        <w:gridCol w:w="900"/>
        <w:gridCol w:w="1345"/>
      </w:tblGrid>
      <w:tr w:rsidR="001A2F97" w:rsidRPr="000D2496" w14:paraId="52A93336" w14:textId="77777777" w:rsidTr="001F42C2">
        <w:trPr>
          <w:tblHeader/>
        </w:trPr>
        <w:tc>
          <w:tcPr>
            <w:tcW w:w="4045" w:type="dxa"/>
            <w:tcMar>
              <w:top w:w="29" w:type="dxa"/>
              <w:left w:w="43" w:type="dxa"/>
              <w:bottom w:w="29" w:type="dxa"/>
              <w:right w:w="43" w:type="dxa"/>
            </w:tcMar>
          </w:tcPr>
          <w:p w14:paraId="059D99E2" w14:textId="77777777" w:rsidR="001A2F97" w:rsidRPr="000D2496" w:rsidRDefault="001A2F97" w:rsidP="001A2F97">
            <w:pPr>
              <w:rPr>
                <w:b/>
                <w:bCs/>
                <w:sz w:val="18"/>
                <w:szCs w:val="18"/>
              </w:rPr>
            </w:pPr>
          </w:p>
        </w:tc>
        <w:tc>
          <w:tcPr>
            <w:tcW w:w="990" w:type="dxa"/>
            <w:tcMar>
              <w:top w:w="29" w:type="dxa"/>
              <w:left w:w="43" w:type="dxa"/>
              <w:bottom w:w="29" w:type="dxa"/>
              <w:right w:w="43" w:type="dxa"/>
            </w:tcMar>
          </w:tcPr>
          <w:p w14:paraId="0A2528D4" w14:textId="20581D1C" w:rsidR="001A2F97" w:rsidRPr="000D2496" w:rsidRDefault="001A2F97" w:rsidP="001A2F97">
            <w:pPr>
              <w:jc w:val="center"/>
              <w:rPr>
                <w:b/>
                <w:bCs/>
                <w:sz w:val="18"/>
                <w:szCs w:val="18"/>
              </w:rPr>
            </w:pPr>
            <w:r w:rsidRPr="000D2496">
              <w:rPr>
                <w:b/>
                <w:bCs/>
                <w:sz w:val="18"/>
                <w:szCs w:val="18"/>
              </w:rPr>
              <w:t>Primer trimestre</w:t>
            </w:r>
          </w:p>
        </w:tc>
        <w:tc>
          <w:tcPr>
            <w:tcW w:w="900" w:type="dxa"/>
            <w:tcMar>
              <w:top w:w="29" w:type="dxa"/>
              <w:left w:w="43" w:type="dxa"/>
              <w:bottom w:w="29" w:type="dxa"/>
              <w:right w:w="43" w:type="dxa"/>
            </w:tcMar>
          </w:tcPr>
          <w:p w14:paraId="4E9C098F" w14:textId="0CEF0DA7" w:rsidR="001A2F97" w:rsidRPr="000D2496" w:rsidRDefault="001A2F97" w:rsidP="001A2F97">
            <w:pPr>
              <w:jc w:val="center"/>
              <w:rPr>
                <w:b/>
                <w:bCs/>
                <w:sz w:val="18"/>
                <w:szCs w:val="18"/>
              </w:rPr>
            </w:pPr>
            <w:r w:rsidRPr="000D2496">
              <w:rPr>
                <w:b/>
                <w:bCs/>
                <w:sz w:val="18"/>
                <w:szCs w:val="18"/>
              </w:rPr>
              <w:t>Segundo trimestre</w:t>
            </w:r>
          </w:p>
        </w:tc>
        <w:tc>
          <w:tcPr>
            <w:tcW w:w="1170" w:type="dxa"/>
            <w:tcMar>
              <w:top w:w="29" w:type="dxa"/>
              <w:left w:w="43" w:type="dxa"/>
              <w:bottom w:w="29" w:type="dxa"/>
              <w:right w:w="43" w:type="dxa"/>
            </w:tcMar>
          </w:tcPr>
          <w:p w14:paraId="532783CC" w14:textId="6BCC4029" w:rsidR="001A2F97" w:rsidRPr="000D2496" w:rsidRDefault="001A2F97" w:rsidP="001A2F97">
            <w:pPr>
              <w:jc w:val="center"/>
              <w:rPr>
                <w:b/>
                <w:bCs/>
                <w:sz w:val="18"/>
                <w:szCs w:val="18"/>
              </w:rPr>
            </w:pPr>
            <w:r w:rsidRPr="000D2496">
              <w:rPr>
                <w:b/>
                <w:bCs/>
                <w:sz w:val="18"/>
                <w:szCs w:val="18"/>
              </w:rPr>
              <w:t>Del tercer al quinto trimestre</w:t>
            </w:r>
          </w:p>
        </w:tc>
        <w:tc>
          <w:tcPr>
            <w:tcW w:w="900" w:type="dxa"/>
            <w:tcMar>
              <w:top w:w="29" w:type="dxa"/>
              <w:left w:w="43" w:type="dxa"/>
              <w:bottom w:w="29" w:type="dxa"/>
              <w:right w:w="43" w:type="dxa"/>
            </w:tcMar>
          </w:tcPr>
          <w:p w14:paraId="2DF80293" w14:textId="72197BC4" w:rsidR="001A2F97" w:rsidRPr="000D2496" w:rsidRDefault="001A2F97" w:rsidP="001A2F97">
            <w:pPr>
              <w:jc w:val="center"/>
              <w:rPr>
                <w:b/>
                <w:bCs/>
                <w:sz w:val="18"/>
                <w:szCs w:val="18"/>
              </w:rPr>
            </w:pPr>
            <w:r w:rsidRPr="000D2496">
              <w:rPr>
                <w:b/>
                <w:bCs/>
                <w:sz w:val="18"/>
                <w:szCs w:val="18"/>
              </w:rPr>
              <w:t>Sexto trimestre</w:t>
            </w:r>
          </w:p>
        </w:tc>
        <w:tc>
          <w:tcPr>
            <w:tcW w:w="1345" w:type="dxa"/>
            <w:tcMar>
              <w:top w:w="29" w:type="dxa"/>
              <w:left w:w="43" w:type="dxa"/>
              <w:bottom w:w="29" w:type="dxa"/>
              <w:right w:w="43" w:type="dxa"/>
            </w:tcMar>
          </w:tcPr>
          <w:p w14:paraId="1E879699" w14:textId="6A5DCC4A" w:rsidR="001A2F97" w:rsidRPr="000D2496" w:rsidRDefault="001A2F97" w:rsidP="001A2F97">
            <w:pPr>
              <w:jc w:val="center"/>
              <w:rPr>
                <w:b/>
                <w:bCs/>
                <w:sz w:val="18"/>
                <w:szCs w:val="18"/>
              </w:rPr>
            </w:pPr>
            <w:r w:rsidRPr="000D2496">
              <w:rPr>
                <w:b/>
                <w:bCs/>
                <w:sz w:val="18"/>
                <w:szCs w:val="18"/>
              </w:rPr>
              <w:t>Del séptimo al decimosegundo trimestre</w:t>
            </w:r>
          </w:p>
        </w:tc>
      </w:tr>
      <w:tr w:rsidR="001A2F97" w:rsidRPr="003C1788" w14:paraId="23AA5F28" w14:textId="77777777" w:rsidTr="00124BF7">
        <w:tc>
          <w:tcPr>
            <w:tcW w:w="4045" w:type="dxa"/>
            <w:shd w:val="clear" w:color="auto" w:fill="auto"/>
          </w:tcPr>
          <w:p w14:paraId="401E9155" w14:textId="77777777" w:rsidR="001A2F97" w:rsidRPr="003C1788" w:rsidRDefault="001A2F97" w:rsidP="001A2F97">
            <w:pPr>
              <w:jc w:val="left"/>
              <w:rPr>
                <w:sz w:val="20"/>
                <w:szCs w:val="20"/>
              </w:rPr>
            </w:pPr>
            <w:r w:rsidRPr="003C1788">
              <w:rPr>
                <w:sz w:val="20"/>
                <w:szCs w:val="20"/>
              </w:rPr>
              <w:t>Capacidad de regeneración (</w:t>
            </w:r>
            <w:proofErr w:type="spellStart"/>
            <w:r w:rsidRPr="003C1788">
              <w:rPr>
                <w:sz w:val="20"/>
                <w:szCs w:val="20"/>
              </w:rPr>
              <w:t>tm</w:t>
            </w:r>
            <w:proofErr w:type="spellEnd"/>
            <w:r w:rsidRPr="003C1788">
              <w:rPr>
                <w:sz w:val="20"/>
                <w:szCs w:val="20"/>
              </w:rPr>
              <w:t>)</w:t>
            </w:r>
          </w:p>
        </w:tc>
        <w:tc>
          <w:tcPr>
            <w:tcW w:w="990" w:type="dxa"/>
            <w:shd w:val="clear" w:color="auto" w:fill="auto"/>
            <w:vAlign w:val="center"/>
          </w:tcPr>
          <w:p w14:paraId="6FBA473D" w14:textId="77777777" w:rsidR="001A2F97" w:rsidRPr="003C1788" w:rsidRDefault="001A2F97" w:rsidP="001A2F97">
            <w:pPr>
              <w:jc w:val="right"/>
              <w:rPr>
                <w:sz w:val="20"/>
                <w:szCs w:val="20"/>
              </w:rPr>
            </w:pPr>
            <w:r w:rsidRPr="003C1788">
              <w:rPr>
                <w:sz w:val="20"/>
                <w:szCs w:val="20"/>
              </w:rPr>
              <w:t>10</w:t>
            </w:r>
          </w:p>
        </w:tc>
        <w:tc>
          <w:tcPr>
            <w:tcW w:w="900" w:type="dxa"/>
            <w:shd w:val="clear" w:color="auto" w:fill="auto"/>
            <w:vAlign w:val="center"/>
          </w:tcPr>
          <w:p w14:paraId="584BD570" w14:textId="77777777" w:rsidR="001A2F97" w:rsidRPr="003C1788" w:rsidRDefault="001A2F97" w:rsidP="001A2F97">
            <w:pPr>
              <w:jc w:val="right"/>
              <w:rPr>
                <w:sz w:val="20"/>
                <w:szCs w:val="20"/>
              </w:rPr>
            </w:pPr>
            <w:r w:rsidRPr="003C1788">
              <w:rPr>
                <w:sz w:val="20"/>
                <w:szCs w:val="20"/>
              </w:rPr>
              <w:t>10</w:t>
            </w:r>
          </w:p>
        </w:tc>
        <w:tc>
          <w:tcPr>
            <w:tcW w:w="1170" w:type="dxa"/>
            <w:shd w:val="clear" w:color="auto" w:fill="auto"/>
            <w:vAlign w:val="center"/>
          </w:tcPr>
          <w:p w14:paraId="70480147" w14:textId="77777777" w:rsidR="001A2F97" w:rsidRPr="003C1788" w:rsidRDefault="001A2F97" w:rsidP="001A2F97">
            <w:pPr>
              <w:jc w:val="right"/>
              <w:rPr>
                <w:sz w:val="20"/>
                <w:szCs w:val="20"/>
              </w:rPr>
            </w:pPr>
            <w:r w:rsidRPr="003C1788">
              <w:rPr>
                <w:sz w:val="20"/>
                <w:szCs w:val="20"/>
              </w:rPr>
              <w:t>10</w:t>
            </w:r>
          </w:p>
        </w:tc>
        <w:tc>
          <w:tcPr>
            <w:tcW w:w="900" w:type="dxa"/>
            <w:shd w:val="clear" w:color="auto" w:fill="auto"/>
            <w:vAlign w:val="center"/>
          </w:tcPr>
          <w:p w14:paraId="1565E799" w14:textId="77777777" w:rsidR="001A2F97" w:rsidRPr="003C1788" w:rsidRDefault="001A2F97" w:rsidP="001A2F97">
            <w:pPr>
              <w:jc w:val="right"/>
              <w:rPr>
                <w:sz w:val="20"/>
                <w:szCs w:val="20"/>
              </w:rPr>
            </w:pPr>
            <w:r w:rsidRPr="003C1788">
              <w:rPr>
                <w:sz w:val="20"/>
                <w:szCs w:val="20"/>
              </w:rPr>
              <w:t>20</w:t>
            </w:r>
          </w:p>
        </w:tc>
        <w:tc>
          <w:tcPr>
            <w:tcW w:w="1345" w:type="dxa"/>
            <w:shd w:val="clear" w:color="auto" w:fill="auto"/>
            <w:vAlign w:val="center"/>
          </w:tcPr>
          <w:p w14:paraId="01729427" w14:textId="77777777" w:rsidR="001A2F97" w:rsidRPr="003C1788" w:rsidRDefault="001A2F97" w:rsidP="001A2F97">
            <w:pPr>
              <w:jc w:val="right"/>
              <w:rPr>
                <w:sz w:val="20"/>
                <w:szCs w:val="20"/>
              </w:rPr>
            </w:pPr>
            <w:r w:rsidRPr="003C1788">
              <w:rPr>
                <w:sz w:val="20"/>
                <w:szCs w:val="20"/>
              </w:rPr>
              <w:t>20</w:t>
            </w:r>
          </w:p>
        </w:tc>
      </w:tr>
      <w:tr w:rsidR="001A2F97" w:rsidRPr="003C1788" w14:paraId="2CAA267B" w14:textId="77777777" w:rsidTr="00124BF7">
        <w:tc>
          <w:tcPr>
            <w:tcW w:w="4045" w:type="dxa"/>
            <w:shd w:val="clear" w:color="auto" w:fill="auto"/>
          </w:tcPr>
          <w:p w14:paraId="5A1143D8" w14:textId="77777777" w:rsidR="001A2F97" w:rsidRPr="003C1788" w:rsidRDefault="001A2F97" w:rsidP="001A2F97">
            <w:pPr>
              <w:jc w:val="left"/>
              <w:rPr>
                <w:sz w:val="20"/>
                <w:szCs w:val="20"/>
              </w:rPr>
            </w:pPr>
            <w:r w:rsidRPr="003C1788">
              <w:rPr>
                <w:sz w:val="20"/>
                <w:szCs w:val="20"/>
              </w:rPr>
              <w:t>Costo de mantenimiento al 100% de la capacidad (USD)</w:t>
            </w:r>
          </w:p>
        </w:tc>
        <w:tc>
          <w:tcPr>
            <w:tcW w:w="990" w:type="dxa"/>
            <w:shd w:val="clear" w:color="auto" w:fill="auto"/>
            <w:vAlign w:val="center"/>
          </w:tcPr>
          <w:p w14:paraId="6364914B" w14:textId="77777777" w:rsidR="001A2F97" w:rsidRPr="003C1788" w:rsidRDefault="001A2F97" w:rsidP="001A2F97">
            <w:pPr>
              <w:jc w:val="right"/>
              <w:rPr>
                <w:sz w:val="20"/>
                <w:szCs w:val="20"/>
              </w:rPr>
            </w:pPr>
            <w:r w:rsidRPr="003C1788">
              <w:rPr>
                <w:sz w:val="20"/>
                <w:szCs w:val="20"/>
              </w:rPr>
              <w:t>800</w:t>
            </w:r>
          </w:p>
        </w:tc>
        <w:tc>
          <w:tcPr>
            <w:tcW w:w="900" w:type="dxa"/>
            <w:shd w:val="clear" w:color="auto" w:fill="auto"/>
            <w:vAlign w:val="center"/>
          </w:tcPr>
          <w:p w14:paraId="2426C7E9" w14:textId="77777777" w:rsidR="001A2F97" w:rsidRPr="003C1788" w:rsidRDefault="001A2F97" w:rsidP="001A2F97">
            <w:pPr>
              <w:jc w:val="right"/>
              <w:rPr>
                <w:sz w:val="20"/>
                <w:szCs w:val="20"/>
              </w:rPr>
            </w:pPr>
            <w:r w:rsidRPr="003C1788">
              <w:rPr>
                <w:sz w:val="20"/>
                <w:szCs w:val="20"/>
              </w:rPr>
              <w:t>800</w:t>
            </w:r>
          </w:p>
        </w:tc>
        <w:tc>
          <w:tcPr>
            <w:tcW w:w="1170" w:type="dxa"/>
            <w:shd w:val="clear" w:color="auto" w:fill="auto"/>
            <w:vAlign w:val="center"/>
          </w:tcPr>
          <w:p w14:paraId="7ECFEB11" w14:textId="77777777" w:rsidR="001A2F97" w:rsidRPr="003C1788" w:rsidRDefault="001A2F97" w:rsidP="001A2F97">
            <w:pPr>
              <w:jc w:val="right"/>
              <w:rPr>
                <w:sz w:val="20"/>
                <w:szCs w:val="20"/>
              </w:rPr>
            </w:pPr>
            <w:r w:rsidRPr="003C1788">
              <w:rPr>
                <w:sz w:val="20"/>
                <w:szCs w:val="20"/>
              </w:rPr>
              <w:t>800</w:t>
            </w:r>
          </w:p>
        </w:tc>
        <w:tc>
          <w:tcPr>
            <w:tcW w:w="900" w:type="dxa"/>
            <w:shd w:val="clear" w:color="auto" w:fill="auto"/>
            <w:vAlign w:val="center"/>
          </w:tcPr>
          <w:p w14:paraId="0979D893" w14:textId="77777777" w:rsidR="001A2F97" w:rsidRPr="003C1788" w:rsidRDefault="001A2F97" w:rsidP="001A2F97">
            <w:pPr>
              <w:jc w:val="right"/>
              <w:rPr>
                <w:sz w:val="20"/>
                <w:szCs w:val="20"/>
              </w:rPr>
            </w:pPr>
            <w:r w:rsidRPr="003C1788">
              <w:rPr>
                <w:sz w:val="20"/>
                <w:szCs w:val="20"/>
              </w:rPr>
              <w:t>1.600</w:t>
            </w:r>
          </w:p>
        </w:tc>
        <w:tc>
          <w:tcPr>
            <w:tcW w:w="1345" w:type="dxa"/>
            <w:shd w:val="clear" w:color="auto" w:fill="auto"/>
            <w:vAlign w:val="center"/>
          </w:tcPr>
          <w:p w14:paraId="22763A5F" w14:textId="77777777" w:rsidR="001A2F97" w:rsidRPr="003C1788" w:rsidRDefault="001A2F97" w:rsidP="001A2F97">
            <w:pPr>
              <w:jc w:val="right"/>
              <w:rPr>
                <w:sz w:val="20"/>
                <w:szCs w:val="20"/>
              </w:rPr>
            </w:pPr>
            <w:r w:rsidRPr="003C1788">
              <w:rPr>
                <w:sz w:val="20"/>
                <w:szCs w:val="20"/>
              </w:rPr>
              <w:t>1.600</w:t>
            </w:r>
          </w:p>
        </w:tc>
      </w:tr>
      <w:tr w:rsidR="001A2F97" w:rsidRPr="003C1788" w14:paraId="48D15FB6" w14:textId="77777777" w:rsidTr="00124BF7">
        <w:tc>
          <w:tcPr>
            <w:tcW w:w="4045" w:type="dxa"/>
            <w:shd w:val="clear" w:color="auto" w:fill="auto"/>
          </w:tcPr>
          <w:p w14:paraId="1692F99A" w14:textId="77777777" w:rsidR="001A2F97" w:rsidRPr="003C1788" w:rsidRDefault="001A2F97" w:rsidP="001A2F97">
            <w:pPr>
              <w:jc w:val="left"/>
              <w:rPr>
                <w:sz w:val="20"/>
                <w:szCs w:val="20"/>
              </w:rPr>
            </w:pPr>
            <w:r w:rsidRPr="003C1788">
              <w:rPr>
                <w:sz w:val="20"/>
                <w:szCs w:val="20"/>
              </w:rPr>
              <w:t>Costo de funcionamiento del laboratorio al 100% de la capacidad (productos químicos y otros) (USD)</w:t>
            </w:r>
          </w:p>
        </w:tc>
        <w:tc>
          <w:tcPr>
            <w:tcW w:w="990" w:type="dxa"/>
            <w:shd w:val="clear" w:color="auto" w:fill="auto"/>
            <w:vAlign w:val="center"/>
          </w:tcPr>
          <w:p w14:paraId="1F7E5646" w14:textId="77777777" w:rsidR="001A2F97" w:rsidRPr="003C1788" w:rsidRDefault="001A2F97" w:rsidP="001A2F97">
            <w:pPr>
              <w:jc w:val="right"/>
              <w:rPr>
                <w:sz w:val="20"/>
                <w:szCs w:val="20"/>
              </w:rPr>
            </w:pPr>
            <w:r w:rsidRPr="003C1788">
              <w:rPr>
                <w:sz w:val="20"/>
                <w:szCs w:val="20"/>
              </w:rPr>
              <w:t>800</w:t>
            </w:r>
          </w:p>
        </w:tc>
        <w:tc>
          <w:tcPr>
            <w:tcW w:w="900" w:type="dxa"/>
            <w:shd w:val="clear" w:color="auto" w:fill="auto"/>
            <w:vAlign w:val="center"/>
          </w:tcPr>
          <w:p w14:paraId="4CC0804A" w14:textId="77777777" w:rsidR="001A2F97" w:rsidRPr="003C1788" w:rsidRDefault="001A2F97" w:rsidP="001A2F97">
            <w:pPr>
              <w:jc w:val="right"/>
              <w:rPr>
                <w:sz w:val="20"/>
                <w:szCs w:val="20"/>
              </w:rPr>
            </w:pPr>
            <w:r w:rsidRPr="003C1788">
              <w:rPr>
                <w:sz w:val="20"/>
                <w:szCs w:val="20"/>
              </w:rPr>
              <w:t>800</w:t>
            </w:r>
          </w:p>
        </w:tc>
        <w:tc>
          <w:tcPr>
            <w:tcW w:w="1170" w:type="dxa"/>
            <w:shd w:val="clear" w:color="auto" w:fill="auto"/>
            <w:vAlign w:val="center"/>
          </w:tcPr>
          <w:p w14:paraId="10066DF4" w14:textId="77777777" w:rsidR="001A2F97" w:rsidRPr="003C1788" w:rsidRDefault="001A2F97" w:rsidP="001A2F97">
            <w:pPr>
              <w:jc w:val="right"/>
              <w:rPr>
                <w:sz w:val="20"/>
                <w:szCs w:val="20"/>
              </w:rPr>
            </w:pPr>
            <w:r w:rsidRPr="003C1788">
              <w:rPr>
                <w:sz w:val="20"/>
                <w:szCs w:val="20"/>
              </w:rPr>
              <w:t>800</w:t>
            </w:r>
          </w:p>
        </w:tc>
        <w:tc>
          <w:tcPr>
            <w:tcW w:w="900" w:type="dxa"/>
            <w:shd w:val="clear" w:color="auto" w:fill="auto"/>
            <w:vAlign w:val="center"/>
          </w:tcPr>
          <w:p w14:paraId="61B4DFAA" w14:textId="77777777" w:rsidR="001A2F97" w:rsidRPr="003C1788" w:rsidRDefault="001A2F97" w:rsidP="001A2F97">
            <w:pPr>
              <w:jc w:val="right"/>
              <w:rPr>
                <w:sz w:val="20"/>
                <w:szCs w:val="20"/>
              </w:rPr>
            </w:pPr>
            <w:r w:rsidRPr="003C1788">
              <w:rPr>
                <w:sz w:val="20"/>
                <w:szCs w:val="20"/>
              </w:rPr>
              <w:t>1.600</w:t>
            </w:r>
          </w:p>
        </w:tc>
        <w:tc>
          <w:tcPr>
            <w:tcW w:w="1345" w:type="dxa"/>
            <w:shd w:val="clear" w:color="auto" w:fill="auto"/>
            <w:vAlign w:val="center"/>
          </w:tcPr>
          <w:p w14:paraId="72F5552C" w14:textId="77777777" w:rsidR="001A2F97" w:rsidRPr="003C1788" w:rsidRDefault="001A2F97" w:rsidP="001A2F97">
            <w:pPr>
              <w:jc w:val="right"/>
              <w:rPr>
                <w:sz w:val="20"/>
                <w:szCs w:val="20"/>
              </w:rPr>
            </w:pPr>
            <w:r w:rsidRPr="003C1788">
              <w:rPr>
                <w:sz w:val="20"/>
                <w:szCs w:val="20"/>
              </w:rPr>
              <w:t>1.600</w:t>
            </w:r>
          </w:p>
        </w:tc>
      </w:tr>
      <w:tr w:rsidR="001A2F97" w:rsidRPr="003C1788" w14:paraId="09C804A5" w14:textId="77777777" w:rsidTr="00124BF7">
        <w:tc>
          <w:tcPr>
            <w:tcW w:w="4045" w:type="dxa"/>
            <w:shd w:val="clear" w:color="auto" w:fill="auto"/>
          </w:tcPr>
          <w:p w14:paraId="2351A428" w14:textId="77777777" w:rsidR="001A2F97" w:rsidRPr="003C1788" w:rsidRDefault="001A2F97" w:rsidP="001A2F97">
            <w:pPr>
              <w:jc w:val="left"/>
              <w:rPr>
                <w:sz w:val="20"/>
                <w:szCs w:val="20"/>
              </w:rPr>
            </w:pPr>
            <w:r w:rsidRPr="003C1788">
              <w:rPr>
                <w:sz w:val="20"/>
                <w:szCs w:val="20"/>
              </w:rPr>
              <w:t>Tasa de utilización (%)</w:t>
            </w:r>
          </w:p>
        </w:tc>
        <w:tc>
          <w:tcPr>
            <w:tcW w:w="990" w:type="dxa"/>
            <w:shd w:val="clear" w:color="auto" w:fill="auto"/>
            <w:vAlign w:val="center"/>
          </w:tcPr>
          <w:p w14:paraId="0E13609C" w14:textId="77777777" w:rsidR="001A2F97" w:rsidRPr="003C1788" w:rsidRDefault="001A2F97" w:rsidP="001A2F97">
            <w:pPr>
              <w:jc w:val="right"/>
              <w:rPr>
                <w:sz w:val="20"/>
                <w:szCs w:val="20"/>
              </w:rPr>
            </w:pPr>
            <w:r w:rsidRPr="003C1788">
              <w:rPr>
                <w:sz w:val="20"/>
                <w:szCs w:val="20"/>
              </w:rPr>
              <w:t>15</w:t>
            </w:r>
          </w:p>
        </w:tc>
        <w:tc>
          <w:tcPr>
            <w:tcW w:w="900" w:type="dxa"/>
            <w:shd w:val="clear" w:color="auto" w:fill="auto"/>
            <w:vAlign w:val="center"/>
          </w:tcPr>
          <w:p w14:paraId="186DFE7E" w14:textId="77777777" w:rsidR="001A2F97" w:rsidRPr="003C1788" w:rsidRDefault="001A2F97" w:rsidP="001A2F97">
            <w:pPr>
              <w:jc w:val="right"/>
              <w:rPr>
                <w:sz w:val="20"/>
                <w:szCs w:val="20"/>
              </w:rPr>
            </w:pPr>
            <w:r w:rsidRPr="003C1788">
              <w:rPr>
                <w:sz w:val="20"/>
                <w:szCs w:val="20"/>
              </w:rPr>
              <w:t>40</w:t>
            </w:r>
          </w:p>
        </w:tc>
        <w:tc>
          <w:tcPr>
            <w:tcW w:w="1170" w:type="dxa"/>
            <w:shd w:val="clear" w:color="auto" w:fill="auto"/>
            <w:vAlign w:val="center"/>
          </w:tcPr>
          <w:p w14:paraId="4EC8D5A1" w14:textId="77777777" w:rsidR="001A2F97" w:rsidRPr="003C1788" w:rsidRDefault="001A2F97" w:rsidP="001A2F97">
            <w:pPr>
              <w:jc w:val="right"/>
              <w:rPr>
                <w:sz w:val="20"/>
                <w:szCs w:val="20"/>
              </w:rPr>
            </w:pPr>
            <w:r w:rsidRPr="003C1788">
              <w:rPr>
                <w:sz w:val="20"/>
                <w:szCs w:val="20"/>
              </w:rPr>
              <w:t>80</w:t>
            </w:r>
          </w:p>
        </w:tc>
        <w:tc>
          <w:tcPr>
            <w:tcW w:w="900" w:type="dxa"/>
            <w:shd w:val="clear" w:color="auto" w:fill="auto"/>
            <w:vAlign w:val="center"/>
          </w:tcPr>
          <w:p w14:paraId="09B861A0" w14:textId="77777777" w:rsidR="001A2F97" w:rsidRPr="003C1788" w:rsidRDefault="001A2F97" w:rsidP="001A2F97">
            <w:pPr>
              <w:jc w:val="right"/>
              <w:rPr>
                <w:sz w:val="20"/>
                <w:szCs w:val="20"/>
              </w:rPr>
            </w:pPr>
            <w:r w:rsidRPr="003C1788">
              <w:rPr>
                <w:sz w:val="20"/>
                <w:szCs w:val="20"/>
              </w:rPr>
              <w:t>50</w:t>
            </w:r>
          </w:p>
        </w:tc>
        <w:tc>
          <w:tcPr>
            <w:tcW w:w="1345" w:type="dxa"/>
            <w:shd w:val="clear" w:color="auto" w:fill="auto"/>
            <w:vAlign w:val="center"/>
          </w:tcPr>
          <w:p w14:paraId="0185EC54" w14:textId="77777777" w:rsidR="001A2F97" w:rsidRPr="003C1788" w:rsidRDefault="001A2F97" w:rsidP="001A2F97">
            <w:pPr>
              <w:jc w:val="right"/>
              <w:rPr>
                <w:sz w:val="20"/>
                <w:szCs w:val="20"/>
              </w:rPr>
            </w:pPr>
            <w:r w:rsidRPr="003C1788">
              <w:rPr>
                <w:sz w:val="20"/>
                <w:szCs w:val="20"/>
              </w:rPr>
              <w:t>80</w:t>
            </w:r>
          </w:p>
        </w:tc>
      </w:tr>
      <w:tr w:rsidR="001A2F97" w:rsidRPr="003C1788" w14:paraId="33B96E73" w14:textId="77777777" w:rsidTr="00124BF7">
        <w:tc>
          <w:tcPr>
            <w:tcW w:w="4045" w:type="dxa"/>
            <w:shd w:val="clear" w:color="auto" w:fill="auto"/>
          </w:tcPr>
          <w:p w14:paraId="5966F546" w14:textId="77777777" w:rsidR="001A2F97" w:rsidRPr="003C1788" w:rsidRDefault="001A2F97" w:rsidP="001A2F97">
            <w:pPr>
              <w:jc w:val="left"/>
              <w:rPr>
                <w:sz w:val="20"/>
                <w:szCs w:val="20"/>
              </w:rPr>
            </w:pPr>
            <w:r w:rsidRPr="003C1788">
              <w:rPr>
                <w:sz w:val="20"/>
                <w:szCs w:val="20"/>
              </w:rPr>
              <w:t>Precio neto por kg de refrigerante reciclado (USD)</w:t>
            </w:r>
          </w:p>
        </w:tc>
        <w:tc>
          <w:tcPr>
            <w:tcW w:w="990" w:type="dxa"/>
            <w:shd w:val="clear" w:color="auto" w:fill="auto"/>
            <w:vAlign w:val="center"/>
          </w:tcPr>
          <w:p w14:paraId="5DDC60C6" w14:textId="77777777" w:rsidR="001A2F97" w:rsidRPr="003C1788" w:rsidRDefault="001A2F97" w:rsidP="001A2F97">
            <w:pPr>
              <w:jc w:val="right"/>
              <w:rPr>
                <w:sz w:val="20"/>
                <w:szCs w:val="20"/>
              </w:rPr>
            </w:pPr>
            <w:r w:rsidRPr="003C1788">
              <w:rPr>
                <w:sz w:val="20"/>
                <w:szCs w:val="20"/>
              </w:rPr>
              <w:t>3,00</w:t>
            </w:r>
          </w:p>
        </w:tc>
        <w:tc>
          <w:tcPr>
            <w:tcW w:w="900" w:type="dxa"/>
            <w:shd w:val="clear" w:color="auto" w:fill="auto"/>
            <w:vAlign w:val="center"/>
          </w:tcPr>
          <w:p w14:paraId="6A796218" w14:textId="77777777" w:rsidR="001A2F97" w:rsidRPr="003C1788" w:rsidRDefault="001A2F97" w:rsidP="001A2F97">
            <w:pPr>
              <w:jc w:val="right"/>
              <w:rPr>
                <w:sz w:val="20"/>
                <w:szCs w:val="20"/>
              </w:rPr>
            </w:pPr>
            <w:r w:rsidRPr="003C1788">
              <w:rPr>
                <w:sz w:val="20"/>
                <w:szCs w:val="20"/>
              </w:rPr>
              <w:t>3,00</w:t>
            </w:r>
          </w:p>
        </w:tc>
        <w:tc>
          <w:tcPr>
            <w:tcW w:w="1170" w:type="dxa"/>
            <w:shd w:val="clear" w:color="auto" w:fill="auto"/>
            <w:vAlign w:val="center"/>
          </w:tcPr>
          <w:p w14:paraId="4DB52E93" w14:textId="77777777" w:rsidR="001A2F97" w:rsidRPr="003C1788" w:rsidRDefault="001A2F97" w:rsidP="001A2F97">
            <w:pPr>
              <w:jc w:val="right"/>
              <w:rPr>
                <w:sz w:val="20"/>
                <w:szCs w:val="20"/>
              </w:rPr>
            </w:pPr>
            <w:r w:rsidRPr="003C1788">
              <w:rPr>
                <w:sz w:val="20"/>
                <w:szCs w:val="20"/>
              </w:rPr>
              <w:t>3,00</w:t>
            </w:r>
          </w:p>
        </w:tc>
        <w:tc>
          <w:tcPr>
            <w:tcW w:w="900" w:type="dxa"/>
            <w:shd w:val="clear" w:color="auto" w:fill="auto"/>
            <w:vAlign w:val="center"/>
          </w:tcPr>
          <w:p w14:paraId="3AC8A0E8" w14:textId="77777777" w:rsidR="001A2F97" w:rsidRPr="003C1788" w:rsidRDefault="001A2F97" w:rsidP="001A2F97">
            <w:pPr>
              <w:jc w:val="right"/>
              <w:rPr>
                <w:sz w:val="20"/>
                <w:szCs w:val="20"/>
              </w:rPr>
            </w:pPr>
            <w:r w:rsidRPr="003C1788">
              <w:rPr>
                <w:sz w:val="20"/>
                <w:szCs w:val="20"/>
              </w:rPr>
              <w:t>3,00</w:t>
            </w:r>
          </w:p>
        </w:tc>
        <w:tc>
          <w:tcPr>
            <w:tcW w:w="1345" w:type="dxa"/>
            <w:shd w:val="clear" w:color="auto" w:fill="auto"/>
            <w:vAlign w:val="center"/>
          </w:tcPr>
          <w:p w14:paraId="3DD1C683" w14:textId="77777777" w:rsidR="001A2F97" w:rsidRPr="003C1788" w:rsidRDefault="001A2F97" w:rsidP="001A2F97">
            <w:pPr>
              <w:jc w:val="right"/>
              <w:rPr>
                <w:sz w:val="20"/>
                <w:szCs w:val="20"/>
              </w:rPr>
            </w:pPr>
            <w:r w:rsidRPr="003C1788">
              <w:rPr>
                <w:sz w:val="20"/>
                <w:szCs w:val="20"/>
              </w:rPr>
              <w:t>3,00</w:t>
            </w:r>
          </w:p>
        </w:tc>
      </w:tr>
      <w:tr w:rsidR="001A2F97" w:rsidRPr="003C1788" w14:paraId="6902F56D" w14:textId="77777777" w:rsidTr="00124BF7">
        <w:tc>
          <w:tcPr>
            <w:tcW w:w="4045" w:type="dxa"/>
            <w:shd w:val="clear" w:color="auto" w:fill="auto"/>
          </w:tcPr>
          <w:p w14:paraId="6BCF09F7" w14:textId="77777777" w:rsidR="001A2F97" w:rsidRPr="003C1788" w:rsidRDefault="001A2F97" w:rsidP="001A2F97">
            <w:pPr>
              <w:jc w:val="left"/>
              <w:rPr>
                <w:b/>
                <w:bCs/>
                <w:sz w:val="20"/>
                <w:szCs w:val="20"/>
              </w:rPr>
            </w:pPr>
            <w:r w:rsidRPr="003C1788">
              <w:rPr>
                <w:b/>
                <w:bCs/>
                <w:sz w:val="20"/>
                <w:szCs w:val="20"/>
              </w:rPr>
              <w:t>Ventas netas (USD)</w:t>
            </w:r>
          </w:p>
        </w:tc>
        <w:tc>
          <w:tcPr>
            <w:tcW w:w="990" w:type="dxa"/>
            <w:shd w:val="clear" w:color="auto" w:fill="auto"/>
            <w:vAlign w:val="center"/>
          </w:tcPr>
          <w:p w14:paraId="00BE40EB" w14:textId="77777777" w:rsidR="001A2F97" w:rsidRPr="003C1788" w:rsidRDefault="001A2F97" w:rsidP="001A2F97">
            <w:pPr>
              <w:jc w:val="right"/>
              <w:rPr>
                <w:b/>
                <w:bCs/>
                <w:sz w:val="20"/>
                <w:szCs w:val="20"/>
              </w:rPr>
            </w:pPr>
            <w:r w:rsidRPr="003C1788">
              <w:rPr>
                <w:b/>
                <w:bCs/>
                <w:sz w:val="20"/>
                <w:szCs w:val="20"/>
              </w:rPr>
              <w:t>4.500</w:t>
            </w:r>
          </w:p>
        </w:tc>
        <w:tc>
          <w:tcPr>
            <w:tcW w:w="900" w:type="dxa"/>
            <w:shd w:val="clear" w:color="auto" w:fill="auto"/>
            <w:vAlign w:val="center"/>
          </w:tcPr>
          <w:p w14:paraId="1DCD3856" w14:textId="77777777" w:rsidR="001A2F97" w:rsidRPr="003C1788" w:rsidRDefault="001A2F97" w:rsidP="001A2F97">
            <w:pPr>
              <w:jc w:val="right"/>
              <w:rPr>
                <w:b/>
                <w:bCs/>
                <w:sz w:val="20"/>
                <w:szCs w:val="20"/>
              </w:rPr>
            </w:pPr>
            <w:r w:rsidRPr="003C1788">
              <w:rPr>
                <w:b/>
                <w:bCs/>
                <w:sz w:val="20"/>
                <w:szCs w:val="20"/>
              </w:rPr>
              <w:t>12.000</w:t>
            </w:r>
          </w:p>
        </w:tc>
        <w:tc>
          <w:tcPr>
            <w:tcW w:w="1170" w:type="dxa"/>
            <w:shd w:val="clear" w:color="auto" w:fill="auto"/>
            <w:vAlign w:val="center"/>
          </w:tcPr>
          <w:p w14:paraId="64F70139" w14:textId="77777777" w:rsidR="001A2F97" w:rsidRPr="003C1788" w:rsidRDefault="001A2F97" w:rsidP="001A2F97">
            <w:pPr>
              <w:jc w:val="right"/>
              <w:rPr>
                <w:b/>
                <w:bCs/>
                <w:sz w:val="20"/>
                <w:szCs w:val="20"/>
              </w:rPr>
            </w:pPr>
            <w:r w:rsidRPr="003C1788">
              <w:rPr>
                <w:b/>
                <w:bCs/>
                <w:sz w:val="20"/>
                <w:szCs w:val="20"/>
              </w:rPr>
              <w:t>24.000</w:t>
            </w:r>
          </w:p>
        </w:tc>
        <w:tc>
          <w:tcPr>
            <w:tcW w:w="900" w:type="dxa"/>
            <w:shd w:val="clear" w:color="auto" w:fill="auto"/>
            <w:vAlign w:val="center"/>
          </w:tcPr>
          <w:p w14:paraId="72F6E612" w14:textId="77777777" w:rsidR="001A2F97" w:rsidRPr="003C1788" w:rsidRDefault="001A2F97" w:rsidP="001A2F97">
            <w:pPr>
              <w:jc w:val="right"/>
              <w:rPr>
                <w:b/>
                <w:bCs/>
                <w:sz w:val="20"/>
                <w:szCs w:val="20"/>
              </w:rPr>
            </w:pPr>
            <w:r w:rsidRPr="003C1788">
              <w:rPr>
                <w:b/>
                <w:bCs/>
                <w:sz w:val="20"/>
                <w:szCs w:val="20"/>
              </w:rPr>
              <w:t>30.000</w:t>
            </w:r>
          </w:p>
        </w:tc>
        <w:tc>
          <w:tcPr>
            <w:tcW w:w="1345" w:type="dxa"/>
            <w:shd w:val="clear" w:color="auto" w:fill="auto"/>
            <w:vAlign w:val="center"/>
          </w:tcPr>
          <w:p w14:paraId="04E53A87" w14:textId="77777777" w:rsidR="001A2F97" w:rsidRPr="003C1788" w:rsidRDefault="001A2F97" w:rsidP="001A2F97">
            <w:pPr>
              <w:jc w:val="right"/>
              <w:rPr>
                <w:b/>
                <w:bCs/>
                <w:sz w:val="20"/>
                <w:szCs w:val="20"/>
              </w:rPr>
            </w:pPr>
            <w:r w:rsidRPr="003C1788">
              <w:rPr>
                <w:b/>
                <w:bCs/>
                <w:sz w:val="20"/>
                <w:szCs w:val="20"/>
              </w:rPr>
              <w:t>48.000</w:t>
            </w:r>
          </w:p>
        </w:tc>
      </w:tr>
      <w:tr w:rsidR="001A2F97" w:rsidRPr="003C1788" w14:paraId="7D0EB495" w14:textId="77777777" w:rsidTr="00124BF7">
        <w:tc>
          <w:tcPr>
            <w:tcW w:w="4045" w:type="dxa"/>
            <w:shd w:val="clear" w:color="auto" w:fill="auto"/>
          </w:tcPr>
          <w:p w14:paraId="318E5321" w14:textId="77777777" w:rsidR="001A2F97" w:rsidRPr="003C1788" w:rsidRDefault="001A2F97" w:rsidP="001A2F97">
            <w:pPr>
              <w:jc w:val="left"/>
              <w:rPr>
                <w:sz w:val="20"/>
                <w:szCs w:val="20"/>
              </w:rPr>
            </w:pPr>
            <w:r w:rsidRPr="003C1788">
              <w:rPr>
                <w:sz w:val="20"/>
                <w:szCs w:val="20"/>
              </w:rPr>
              <w:t>Consumibles (USD)</w:t>
            </w:r>
          </w:p>
        </w:tc>
        <w:tc>
          <w:tcPr>
            <w:tcW w:w="990" w:type="dxa"/>
            <w:shd w:val="clear" w:color="auto" w:fill="auto"/>
            <w:vAlign w:val="center"/>
          </w:tcPr>
          <w:p w14:paraId="3C17EE7B" w14:textId="77777777" w:rsidR="001A2F97" w:rsidRPr="003C1788" w:rsidRDefault="001A2F97" w:rsidP="001A2F97">
            <w:pPr>
              <w:jc w:val="right"/>
              <w:rPr>
                <w:sz w:val="20"/>
                <w:szCs w:val="20"/>
              </w:rPr>
            </w:pPr>
            <w:r w:rsidRPr="003C1788">
              <w:rPr>
                <w:sz w:val="20"/>
                <w:szCs w:val="20"/>
              </w:rPr>
              <w:t>240</w:t>
            </w:r>
          </w:p>
        </w:tc>
        <w:tc>
          <w:tcPr>
            <w:tcW w:w="900" w:type="dxa"/>
            <w:shd w:val="clear" w:color="auto" w:fill="auto"/>
            <w:vAlign w:val="center"/>
          </w:tcPr>
          <w:p w14:paraId="7D24C82F" w14:textId="77777777" w:rsidR="001A2F97" w:rsidRPr="003C1788" w:rsidRDefault="001A2F97" w:rsidP="001A2F97">
            <w:pPr>
              <w:jc w:val="right"/>
              <w:rPr>
                <w:sz w:val="20"/>
                <w:szCs w:val="20"/>
              </w:rPr>
            </w:pPr>
            <w:r w:rsidRPr="003C1788">
              <w:rPr>
                <w:sz w:val="20"/>
                <w:szCs w:val="20"/>
              </w:rPr>
              <w:t>640</w:t>
            </w:r>
          </w:p>
        </w:tc>
        <w:tc>
          <w:tcPr>
            <w:tcW w:w="1170" w:type="dxa"/>
            <w:shd w:val="clear" w:color="auto" w:fill="auto"/>
            <w:vAlign w:val="center"/>
          </w:tcPr>
          <w:p w14:paraId="0720BBAC" w14:textId="77777777" w:rsidR="001A2F97" w:rsidRPr="003C1788" w:rsidRDefault="001A2F97" w:rsidP="001A2F97">
            <w:pPr>
              <w:jc w:val="right"/>
              <w:rPr>
                <w:sz w:val="20"/>
                <w:szCs w:val="20"/>
              </w:rPr>
            </w:pPr>
            <w:r w:rsidRPr="003C1788">
              <w:rPr>
                <w:sz w:val="20"/>
                <w:szCs w:val="20"/>
              </w:rPr>
              <w:t>1.280</w:t>
            </w:r>
          </w:p>
        </w:tc>
        <w:tc>
          <w:tcPr>
            <w:tcW w:w="900" w:type="dxa"/>
            <w:shd w:val="clear" w:color="auto" w:fill="auto"/>
            <w:vAlign w:val="center"/>
          </w:tcPr>
          <w:p w14:paraId="0DCC6E0F" w14:textId="77777777" w:rsidR="001A2F97" w:rsidRPr="003C1788" w:rsidRDefault="001A2F97" w:rsidP="001A2F97">
            <w:pPr>
              <w:jc w:val="right"/>
              <w:rPr>
                <w:sz w:val="20"/>
                <w:szCs w:val="20"/>
              </w:rPr>
            </w:pPr>
            <w:r w:rsidRPr="003C1788">
              <w:rPr>
                <w:sz w:val="20"/>
                <w:szCs w:val="20"/>
              </w:rPr>
              <w:t>1.600</w:t>
            </w:r>
          </w:p>
        </w:tc>
        <w:tc>
          <w:tcPr>
            <w:tcW w:w="1345" w:type="dxa"/>
            <w:shd w:val="clear" w:color="auto" w:fill="auto"/>
            <w:vAlign w:val="center"/>
          </w:tcPr>
          <w:p w14:paraId="76A6EE3E" w14:textId="77777777" w:rsidR="001A2F97" w:rsidRPr="003C1788" w:rsidRDefault="001A2F97" w:rsidP="001A2F97">
            <w:pPr>
              <w:jc w:val="right"/>
              <w:rPr>
                <w:sz w:val="20"/>
                <w:szCs w:val="20"/>
              </w:rPr>
            </w:pPr>
            <w:r w:rsidRPr="003C1788">
              <w:rPr>
                <w:sz w:val="20"/>
                <w:szCs w:val="20"/>
              </w:rPr>
              <w:t>2.560</w:t>
            </w:r>
          </w:p>
        </w:tc>
      </w:tr>
      <w:tr w:rsidR="001A2F97" w:rsidRPr="003C1788" w14:paraId="142EF842" w14:textId="77777777" w:rsidTr="00124BF7">
        <w:tc>
          <w:tcPr>
            <w:tcW w:w="4045" w:type="dxa"/>
            <w:shd w:val="clear" w:color="auto" w:fill="auto"/>
          </w:tcPr>
          <w:p w14:paraId="3832C645" w14:textId="77777777" w:rsidR="001A2F97" w:rsidRPr="003C1788" w:rsidRDefault="001A2F97" w:rsidP="001A2F97">
            <w:pPr>
              <w:jc w:val="left"/>
              <w:rPr>
                <w:b/>
                <w:bCs/>
                <w:sz w:val="20"/>
                <w:szCs w:val="20"/>
              </w:rPr>
            </w:pPr>
            <w:r w:rsidRPr="003C1788">
              <w:rPr>
                <w:b/>
                <w:bCs/>
                <w:sz w:val="20"/>
                <w:szCs w:val="20"/>
              </w:rPr>
              <w:t>Beneficio bruto (USD)</w:t>
            </w:r>
          </w:p>
        </w:tc>
        <w:tc>
          <w:tcPr>
            <w:tcW w:w="990" w:type="dxa"/>
            <w:shd w:val="clear" w:color="auto" w:fill="auto"/>
            <w:vAlign w:val="center"/>
          </w:tcPr>
          <w:p w14:paraId="0EED0E93" w14:textId="77777777" w:rsidR="001A2F97" w:rsidRPr="003C1788" w:rsidRDefault="001A2F97" w:rsidP="001A2F97">
            <w:pPr>
              <w:jc w:val="right"/>
              <w:rPr>
                <w:b/>
                <w:bCs/>
                <w:sz w:val="20"/>
                <w:szCs w:val="20"/>
              </w:rPr>
            </w:pPr>
            <w:r w:rsidRPr="003C1788">
              <w:rPr>
                <w:b/>
                <w:bCs/>
                <w:sz w:val="20"/>
                <w:szCs w:val="20"/>
              </w:rPr>
              <w:t>4.260</w:t>
            </w:r>
          </w:p>
        </w:tc>
        <w:tc>
          <w:tcPr>
            <w:tcW w:w="900" w:type="dxa"/>
            <w:shd w:val="clear" w:color="auto" w:fill="auto"/>
            <w:vAlign w:val="center"/>
          </w:tcPr>
          <w:p w14:paraId="3754D826" w14:textId="77777777" w:rsidR="001A2F97" w:rsidRPr="003C1788" w:rsidRDefault="001A2F97" w:rsidP="001A2F97">
            <w:pPr>
              <w:jc w:val="right"/>
              <w:rPr>
                <w:b/>
                <w:bCs/>
                <w:sz w:val="20"/>
                <w:szCs w:val="20"/>
              </w:rPr>
            </w:pPr>
            <w:r w:rsidRPr="003C1788">
              <w:rPr>
                <w:b/>
                <w:bCs/>
                <w:sz w:val="20"/>
                <w:szCs w:val="20"/>
              </w:rPr>
              <w:t>11.360</w:t>
            </w:r>
          </w:p>
        </w:tc>
        <w:tc>
          <w:tcPr>
            <w:tcW w:w="1170" w:type="dxa"/>
            <w:shd w:val="clear" w:color="auto" w:fill="auto"/>
            <w:vAlign w:val="center"/>
          </w:tcPr>
          <w:p w14:paraId="4CF4ECDD" w14:textId="77777777" w:rsidR="001A2F97" w:rsidRPr="003C1788" w:rsidRDefault="001A2F97" w:rsidP="001A2F97">
            <w:pPr>
              <w:jc w:val="right"/>
              <w:rPr>
                <w:b/>
                <w:bCs/>
                <w:sz w:val="20"/>
                <w:szCs w:val="20"/>
              </w:rPr>
            </w:pPr>
            <w:r w:rsidRPr="003C1788">
              <w:rPr>
                <w:b/>
                <w:bCs/>
                <w:sz w:val="20"/>
                <w:szCs w:val="20"/>
              </w:rPr>
              <w:t>22.720</w:t>
            </w:r>
          </w:p>
        </w:tc>
        <w:tc>
          <w:tcPr>
            <w:tcW w:w="900" w:type="dxa"/>
            <w:shd w:val="clear" w:color="auto" w:fill="auto"/>
            <w:vAlign w:val="center"/>
          </w:tcPr>
          <w:p w14:paraId="6B2FC9ED" w14:textId="77777777" w:rsidR="001A2F97" w:rsidRPr="003C1788" w:rsidRDefault="001A2F97" w:rsidP="001A2F97">
            <w:pPr>
              <w:jc w:val="right"/>
              <w:rPr>
                <w:b/>
                <w:bCs/>
                <w:sz w:val="20"/>
                <w:szCs w:val="20"/>
              </w:rPr>
            </w:pPr>
            <w:r w:rsidRPr="003C1788">
              <w:rPr>
                <w:b/>
                <w:bCs/>
                <w:sz w:val="20"/>
                <w:szCs w:val="20"/>
              </w:rPr>
              <w:t>28.400</w:t>
            </w:r>
          </w:p>
        </w:tc>
        <w:tc>
          <w:tcPr>
            <w:tcW w:w="1345" w:type="dxa"/>
            <w:shd w:val="clear" w:color="auto" w:fill="auto"/>
            <w:vAlign w:val="center"/>
          </w:tcPr>
          <w:p w14:paraId="23627BAA" w14:textId="77777777" w:rsidR="001A2F97" w:rsidRPr="003C1788" w:rsidRDefault="001A2F97" w:rsidP="001A2F97">
            <w:pPr>
              <w:jc w:val="right"/>
              <w:rPr>
                <w:b/>
                <w:bCs/>
                <w:sz w:val="20"/>
                <w:szCs w:val="20"/>
              </w:rPr>
            </w:pPr>
            <w:r w:rsidRPr="003C1788">
              <w:rPr>
                <w:b/>
                <w:bCs/>
                <w:sz w:val="20"/>
                <w:szCs w:val="20"/>
              </w:rPr>
              <w:t>45.440</w:t>
            </w:r>
          </w:p>
        </w:tc>
      </w:tr>
      <w:tr w:rsidR="001A2F97" w:rsidRPr="003C1788" w14:paraId="48EBCD75" w14:textId="77777777" w:rsidTr="00124BF7">
        <w:tc>
          <w:tcPr>
            <w:tcW w:w="4045" w:type="dxa"/>
            <w:shd w:val="clear" w:color="auto" w:fill="auto"/>
          </w:tcPr>
          <w:p w14:paraId="68F6CB19" w14:textId="77777777" w:rsidR="001A2F97" w:rsidRPr="003C1788" w:rsidRDefault="001A2F97" w:rsidP="001A2F97">
            <w:pPr>
              <w:jc w:val="left"/>
              <w:rPr>
                <w:sz w:val="20"/>
                <w:szCs w:val="20"/>
              </w:rPr>
            </w:pPr>
            <w:r w:rsidRPr="003C1788">
              <w:rPr>
                <w:sz w:val="20"/>
                <w:szCs w:val="20"/>
              </w:rPr>
              <w:t>Personal</w:t>
            </w:r>
          </w:p>
        </w:tc>
        <w:tc>
          <w:tcPr>
            <w:tcW w:w="990" w:type="dxa"/>
            <w:shd w:val="clear" w:color="auto" w:fill="auto"/>
            <w:vAlign w:val="center"/>
          </w:tcPr>
          <w:p w14:paraId="5EDA7717" w14:textId="77777777" w:rsidR="001A2F97" w:rsidRPr="003C1788" w:rsidRDefault="001A2F97" w:rsidP="001A2F97">
            <w:pPr>
              <w:jc w:val="right"/>
              <w:rPr>
                <w:sz w:val="20"/>
                <w:szCs w:val="20"/>
              </w:rPr>
            </w:pPr>
            <w:r w:rsidRPr="003C1788">
              <w:rPr>
                <w:sz w:val="20"/>
                <w:szCs w:val="20"/>
              </w:rPr>
              <w:t>12.000</w:t>
            </w:r>
          </w:p>
        </w:tc>
        <w:tc>
          <w:tcPr>
            <w:tcW w:w="900" w:type="dxa"/>
            <w:shd w:val="clear" w:color="auto" w:fill="auto"/>
            <w:vAlign w:val="center"/>
          </w:tcPr>
          <w:p w14:paraId="7E17949A" w14:textId="77777777" w:rsidR="001A2F97" w:rsidRPr="003C1788" w:rsidRDefault="001A2F97" w:rsidP="001A2F97">
            <w:pPr>
              <w:jc w:val="right"/>
              <w:rPr>
                <w:sz w:val="20"/>
                <w:szCs w:val="20"/>
              </w:rPr>
            </w:pPr>
            <w:r w:rsidRPr="003C1788">
              <w:rPr>
                <w:sz w:val="20"/>
                <w:szCs w:val="20"/>
              </w:rPr>
              <w:t>12.000</w:t>
            </w:r>
          </w:p>
        </w:tc>
        <w:tc>
          <w:tcPr>
            <w:tcW w:w="1170" w:type="dxa"/>
            <w:shd w:val="clear" w:color="auto" w:fill="auto"/>
            <w:vAlign w:val="center"/>
          </w:tcPr>
          <w:p w14:paraId="69ACE3AF" w14:textId="77777777" w:rsidR="001A2F97" w:rsidRPr="003C1788" w:rsidRDefault="001A2F97" w:rsidP="001A2F97">
            <w:pPr>
              <w:jc w:val="right"/>
              <w:rPr>
                <w:sz w:val="20"/>
                <w:szCs w:val="20"/>
              </w:rPr>
            </w:pPr>
            <w:r w:rsidRPr="003C1788">
              <w:rPr>
                <w:sz w:val="20"/>
                <w:szCs w:val="20"/>
              </w:rPr>
              <w:t>12.000</w:t>
            </w:r>
          </w:p>
        </w:tc>
        <w:tc>
          <w:tcPr>
            <w:tcW w:w="900" w:type="dxa"/>
            <w:shd w:val="clear" w:color="auto" w:fill="auto"/>
            <w:vAlign w:val="center"/>
          </w:tcPr>
          <w:p w14:paraId="28A7A7A3" w14:textId="77777777" w:rsidR="001A2F97" w:rsidRPr="003C1788" w:rsidRDefault="001A2F97" w:rsidP="001A2F97">
            <w:pPr>
              <w:jc w:val="right"/>
              <w:rPr>
                <w:sz w:val="20"/>
                <w:szCs w:val="20"/>
              </w:rPr>
            </w:pPr>
            <w:r w:rsidRPr="003C1788">
              <w:rPr>
                <w:sz w:val="20"/>
                <w:szCs w:val="20"/>
              </w:rPr>
              <w:t>24.000</w:t>
            </w:r>
          </w:p>
        </w:tc>
        <w:tc>
          <w:tcPr>
            <w:tcW w:w="1345" w:type="dxa"/>
            <w:shd w:val="clear" w:color="auto" w:fill="auto"/>
            <w:vAlign w:val="center"/>
          </w:tcPr>
          <w:p w14:paraId="42D6E3BE" w14:textId="77777777" w:rsidR="001A2F97" w:rsidRPr="003C1788" w:rsidRDefault="001A2F97" w:rsidP="001A2F97">
            <w:pPr>
              <w:jc w:val="right"/>
              <w:rPr>
                <w:sz w:val="20"/>
                <w:szCs w:val="20"/>
              </w:rPr>
            </w:pPr>
            <w:r w:rsidRPr="003C1788">
              <w:rPr>
                <w:sz w:val="20"/>
                <w:szCs w:val="20"/>
              </w:rPr>
              <w:t>24.000</w:t>
            </w:r>
          </w:p>
        </w:tc>
      </w:tr>
      <w:tr w:rsidR="001A2F97" w:rsidRPr="003C1788" w14:paraId="7F035BEA" w14:textId="77777777" w:rsidTr="00124BF7">
        <w:tc>
          <w:tcPr>
            <w:tcW w:w="4045" w:type="dxa"/>
            <w:shd w:val="clear" w:color="auto" w:fill="auto"/>
          </w:tcPr>
          <w:p w14:paraId="1935EEC1" w14:textId="77777777" w:rsidR="001A2F97" w:rsidRPr="003C1788" w:rsidRDefault="001A2F97" w:rsidP="001A2F97">
            <w:pPr>
              <w:jc w:val="left"/>
              <w:rPr>
                <w:sz w:val="20"/>
                <w:szCs w:val="20"/>
              </w:rPr>
            </w:pPr>
            <w:r w:rsidRPr="003C1788">
              <w:rPr>
                <w:sz w:val="20"/>
                <w:szCs w:val="20"/>
              </w:rPr>
              <w:t>Instalaciones y servicios públicos</w:t>
            </w:r>
          </w:p>
        </w:tc>
        <w:tc>
          <w:tcPr>
            <w:tcW w:w="990" w:type="dxa"/>
            <w:shd w:val="clear" w:color="auto" w:fill="auto"/>
            <w:vAlign w:val="center"/>
          </w:tcPr>
          <w:p w14:paraId="45150F25" w14:textId="77777777" w:rsidR="001A2F97" w:rsidRPr="003C1788" w:rsidRDefault="001A2F97" w:rsidP="001A2F97">
            <w:pPr>
              <w:jc w:val="right"/>
              <w:rPr>
                <w:sz w:val="20"/>
                <w:szCs w:val="20"/>
              </w:rPr>
            </w:pPr>
            <w:r w:rsidRPr="003C1788">
              <w:rPr>
                <w:sz w:val="20"/>
                <w:szCs w:val="20"/>
              </w:rPr>
              <w:t>3.000</w:t>
            </w:r>
          </w:p>
        </w:tc>
        <w:tc>
          <w:tcPr>
            <w:tcW w:w="900" w:type="dxa"/>
            <w:shd w:val="clear" w:color="auto" w:fill="auto"/>
            <w:vAlign w:val="center"/>
          </w:tcPr>
          <w:p w14:paraId="53F2DEA6" w14:textId="77777777" w:rsidR="001A2F97" w:rsidRPr="003C1788" w:rsidRDefault="001A2F97" w:rsidP="001A2F97">
            <w:pPr>
              <w:jc w:val="right"/>
              <w:rPr>
                <w:sz w:val="20"/>
                <w:szCs w:val="20"/>
              </w:rPr>
            </w:pPr>
            <w:r w:rsidRPr="003C1788">
              <w:rPr>
                <w:sz w:val="20"/>
                <w:szCs w:val="20"/>
              </w:rPr>
              <w:t>3.000</w:t>
            </w:r>
          </w:p>
        </w:tc>
        <w:tc>
          <w:tcPr>
            <w:tcW w:w="1170" w:type="dxa"/>
            <w:shd w:val="clear" w:color="auto" w:fill="auto"/>
            <w:vAlign w:val="center"/>
          </w:tcPr>
          <w:p w14:paraId="275468D6" w14:textId="77777777" w:rsidR="001A2F97" w:rsidRPr="003C1788" w:rsidRDefault="001A2F97" w:rsidP="001A2F97">
            <w:pPr>
              <w:jc w:val="right"/>
              <w:rPr>
                <w:sz w:val="20"/>
                <w:szCs w:val="20"/>
              </w:rPr>
            </w:pPr>
            <w:r w:rsidRPr="003C1788">
              <w:rPr>
                <w:sz w:val="20"/>
                <w:szCs w:val="20"/>
              </w:rPr>
              <w:t>3.000</w:t>
            </w:r>
          </w:p>
        </w:tc>
        <w:tc>
          <w:tcPr>
            <w:tcW w:w="900" w:type="dxa"/>
            <w:shd w:val="clear" w:color="auto" w:fill="auto"/>
            <w:vAlign w:val="center"/>
          </w:tcPr>
          <w:p w14:paraId="6C46AE1C" w14:textId="77777777" w:rsidR="001A2F97" w:rsidRPr="003C1788" w:rsidRDefault="001A2F97" w:rsidP="001A2F97">
            <w:pPr>
              <w:jc w:val="right"/>
              <w:rPr>
                <w:sz w:val="20"/>
                <w:szCs w:val="20"/>
              </w:rPr>
            </w:pPr>
            <w:r w:rsidRPr="003C1788">
              <w:rPr>
                <w:sz w:val="20"/>
                <w:szCs w:val="20"/>
              </w:rPr>
              <w:t>6.000</w:t>
            </w:r>
          </w:p>
        </w:tc>
        <w:tc>
          <w:tcPr>
            <w:tcW w:w="1345" w:type="dxa"/>
            <w:shd w:val="clear" w:color="auto" w:fill="auto"/>
            <w:vAlign w:val="center"/>
          </w:tcPr>
          <w:p w14:paraId="6E92563D" w14:textId="77777777" w:rsidR="001A2F97" w:rsidRPr="003C1788" w:rsidRDefault="001A2F97" w:rsidP="001A2F97">
            <w:pPr>
              <w:jc w:val="right"/>
              <w:rPr>
                <w:sz w:val="20"/>
                <w:szCs w:val="20"/>
              </w:rPr>
            </w:pPr>
            <w:r w:rsidRPr="003C1788">
              <w:rPr>
                <w:sz w:val="20"/>
                <w:szCs w:val="20"/>
              </w:rPr>
              <w:t>6.000</w:t>
            </w:r>
          </w:p>
        </w:tc>
      </w:tr>
      <w:tr w:rsidR="001A2F97" w:rsidRPr="003C1788" w14:paraId="7048DDB5" w14:textId="77777777" w:rsidTr="00124BF7">
        <w:tc>
          <w:tcPr>
            <w:tcW w:w="4045" w:type="dxa"/>
            <w:shd w:val="clear" w:color="auto" w:fill="auto"/>
          </w:tcPr>
          <w:p w14:paraId="3EEA26A8" w14:textId="77777777" w:rsidR="001A2F97" w:rsidRPr="003C1788" w:rsidRDefault="001A2F97" w:rsidP="001A2F97">
            <w:pPr>
              <w:jc w:val="left"/>
              <w:rPr>
                <w:sz w:val="20"/>
                <w:szCs w:val="20"/>
              </w:rPr>
            </w:pPr>
            <w:r w:rsidRPr="003C1788">
              <w:rPr>
                <w:sz w:val="20"/>
                <w:szCs w:val="20"/>
              </w:rPr>
              <w:t>Otros costos administrativos</w:t>
            </w:r>
          </w:p>
        </w:tc>
        <w:tc>
          <w:tcPr>
            <w:tcW w:w="990" w:type="dxa"/>
            <w:shd w:val="clear" w:color="auto" w:fill="auto"/>
            <w:vAlign w:val="center"/>
          </w:tcPr>
          <w:p w14:paraId="37D9BE3E" w14:textId="77777777" w:rsidR="001A2F97" w:rsidRPr="003C1788" w:rsidRDefault="001A2F97" w:rsidP="001A2F97">
            <w:pPr>
              <w:jc w:val="right"/>
              <w:rPr>
                <w:sz w:val="20"/>
                <w:szCs w:val="20"/>
              </w:rPr>
            </w:pPr>
            <w:r w:rsidRPr="003C1788">
              <w:rPr>
                <w:sz w:val="20"/>
                <w:szCs w:val="20"/>
              </w:rPr>
              <w:t>1.500</w:t>
            </w:r>
          </w:p>
        </w:tc>
        <w:tc>
          <w:tcPr>
            <w:tcW w:w="900" w:type="dxa"/>
            <w:shd w:val="clear" w:color="auto" w:fill="auto"/>
            <w:vAlign w:val="center"/>
          </w:tcPr>
          <w:p w14:paraId="376427BE" w14:textId="77777777" w:rsidR="001A2F97" w:rsidRPr="003C1788" w:rsidRDefault="001A2F97" w:rsidP="001A2F97">
            <w:pPr>
              <w:jc w:val="right"/>
              <w:rPr>
                <w:sz w:val="20"/>
                <w:szCs w:val="20"/>
              </w:rPr>
            </w:pPr>
            <w:r w:rsidRPr="003C1788">
              <w:rPr>
                <w:sz w:val="20"/>
                <w:szCs w:val="20"/>
              </w:rPr>
              <w:t>1.500</w:t>
            </w:r>
          </w:p>
        </w:tc>
        <w:tc>
          <w:tcPr>
            <w:tcW w:w="1170" w:type="dxa"/>
            <w:shd w:val="clear" w:color="auto" w:fill="auto"/>
            <w:vAlign w:val="center"/>
          </w:tcPr>
          <w:p w14:paraId="185567FC" w14:textId="77777777" w:rsidR="001A2F97" w:rsidRPr="003C1788" w:rsidRDefault="001A2F97" w:rsidP="001A2F97">
            <w:pPr>
              <w:jc w:val="right"/>
              <w:rPr>
                <w:sz w:val="20"/>
                <w:szCs w:val="20"/>
              </w:rPr>
            </w:pPr>
            <w:r w:rsidRPr="003C1788">
              <w:rPr>
                <w:sz w:val="20"/>
                <w:szCs w:val="20"/>
              </w:rPr>
              <w:t>1.500</w:t>
            </w:r>
          </w:p>
        </w:tc>
        <w:tc>
          <w:tcPr>
            <w:tcW w:w="900" w:type="dxa"/>
            <w:shd w:val="clear" w:color="auto" w:fill="auto"/>
            <w:vAlign w:val="center"/>
          </w:tcPr>
          <w:p w14:paraId="1F82FEB9" w14:textId="77777777" w:rsidR="001A2F97" w:rsidRPr="003C1788" w:rsidRDefault="001A2F97" w:rsidP="001A2F97">
            <w:pPr>
              <w:jc w:val="right"/>
              <w:rPr>
                <w:sz w:val="20"/>
                <w:szCs w:val="20"/>
              </w:rPr>
            </w:pPr>
            <w:r w:rsidRPr="003C1788">
              <w:rPr>
                <w:sz w:val="20"/>
                <w:szCs w:val="20"/>
              </w:rPr>
              <w:t>3.000</w:t>
            </w:r>
          </w:p>
        </w:tc>
        <w:tc>
          <w:tcPr>
            <w:tcW w:w="1345" w:type="dxa"/>
            <w:shd w:val="clear" w:color="auto" w:fill="auto"/>
            <w:vAlign w:val="center"/>
          </w:tcPr>
          <w:p w14:paraId="7F72C051" w14:textId="77777777" w:rsidR="001A2F97" w:rsidRPr="003C1788" w:rsidRDefault="001A2F97" w:rsidP="001A2F97">
            <w:pPr>
              <w:jc w:val="right"/>
              <w:rPr>
                <w:sz w:val="20"/>
                <w:szCs w:val="20"/>
              </w:rPr>
            </w:pPr>
            <w:r w:rsidRPr="003C1788">
              <w:rPr>
                <w:sz w:val="20"/>
                <w:szCs w:val="20"/>
              </w:rPr>
              <w:t>3.000</w:t>
            </w:r>
          </w:p>
        </w:tc>
      </w:tr>
      <w:tr w:rsidR="001A2F97" w:rsidRPr="003C1788" w14:paraId="46396E98" w14:textId="77777777" w:rsidTr="00124BF7">
        <w:tc>
          <w:tcPr>
            <w:tcW w:w="4045" w:type="dxa"/>
            <w:shd w:val="clear" w:color="auto" w:fill="auto"/>
          </w:tcPr>
          <w:p w14:paraId="366E5361" w14:textId="77777777" w:rsidR="001A2F97" w:rsidRPr="003C1788" w:rsidRDefault="001A2F97" w:rsidP="001A2F97">
            <w:pPr>
              <w:jc w:val="left"/>
              <w:rPr>
                <w:b/>
                <w:bCs/>
                <w:sz w:val="20"/>
                <w:szCs w:val="20"/>
              </w:rPr>
            </w:pPr>
            <w:r w:rsidRPr="003C1788">
              <w:rPr>
                <w:b/>
                <w:bCs/>
                <w:sz w:val="20"/>
                <w:szCs w:val="20"/>
              </w:rPr>
              <w:t>Total de costos fijos (USD)</w:t>
            </w:r>
          </w:p>
        </w:tc>
        <w:tc>
          <w:tcPr>
            <w:tcW w:w="990" w:type="dxa"/>
            <w:shd w:val="clear" w:color="auto" w:fill="auto"/>
            <w:vAlign w:val="center"/>
          </w:tcPr>
          <w:p w14:paraId="418175FF" w14:textId="77777777" w:rsidR="001A2F97" w:rsidRPr="003C1788" w:rsidRDefault="001A2F97" w:rsidP="001A2F97">
            <w:pPr>
              <w:jc w:val="right"/>
              <w:rPr>
                <w:b/>
                <w:bCs/>
                <w:sz w:val="20"/>
                <w:szCs w:val="20"/>
              </w:rPr>
            </w:pPr>
            <w:r w:rsidRPr="003C1788">
              <w:rPr>
                <w:b/>
                <w:bCs/>
                <w:sz w:val="20"/>
                <w:szCs w:val="20"/>
              </w:rPr>
              <w:t>16.500</w:t>
            </w:r>
          </w:p>
        </w:tc>
        <w:tc>
          <w:tcPr>
            <w:tcW w:w="900" w:type="dxa"/>
            <w:shd w:val="clear" w:color="auto" w:fill="auto"/>
            <w:vAlign w:val="center"/>
          </w:tcPr>
          <w:p w14:paraId="1E989599" w14:textId="77777777" w:rsidR="001A2F97" w:rsidRPr="003C1788" w:rsidRDefault="001A2F97" w:rsidP="001A2F97">
            <w:pPr>
              <w:jc w:val="right"/>
              <w:rPr>
                <w:b/>
                <w:bCs/>
                <w:sz w:val="20"/>
                <w:szCs w:val="20"/>
              </w:rPr>
            </w:pPr>
            <w:r w:rsidRPr="003C1788">
              <w:rPr>
                <w:b/>
                <w:bCs/>
                <w:sz w:val="20"/>
                <w:szCs w:val="20"/>
              </w:rPr>
              <w:t>16.500</w:t>
            </w:r>
          </w:p>
        </w:tc>
        <w:tc>
          <w:tcPr>
            <w:tcW w:w="1170" w:type="dxa"/>
            <w:shd w:val="clear" w:color="auto" w:fill="auto"/>
            <w:vAlign w:val="center"/>
          </w:tcPr>
          <w:p w14:paraId="5EAFDFE1" w14:textId="77777777" w:rsidR="001A2F97" w:rsidRPr="003C1788" w:rsidRDefault="001A2F97" w:rsidP="001A2F97">
            <w:pPr>
              <w:jc w:val="right"/>
              <w:rPr>
                <w:b/>
                <w:bCs/>
                <w:sz w:val="20"/>
                <w:szCs w:val="20"/>
              </w:rPr>
            </w:pPr>
            <w:r w:rsidRPr="003C1788">
              <w:rPr>
                <w:b/>
                <w:bCs/>
                <w:sz w:val="20"/>
                <w:szCs w:val="20"/>
              </w:rPr>
              <w:t>16.500</w:t>
            </w:r>
          </w:p>
        </w:tc>
        <w:tc>
          <w:tcPr>
            <w:tcW w:w="900" w:type="dxa"/>
            <w:shd w:val="clear" w:color="auto" w:fill="auto"/>
            <w:vAlign w:val="center"/>
          </w:tcPr>
          <w:p w14:paraId="1C2C97A7" w14:textId="77777777" w:rsidR="001A2F97" w:rsidRPr="003C1788" w:rsidRDefault="001A2F97" w:rsidP="001A2F97">
            <w:pPr>
              <w:jc w:val="right"/>
              <w:rPr>
                <w:b/>
                <w:bCs/>
                <w:sz w:val="20"/>
                <w:szCs w:val="20"/>
              </w:rPr>
            </w:pPr>
            <w:r w:rsidRPr="003C1788">
              <w:rPr>
                <w:b/>
                <w:bCs/>
                <w:sz w:val="20"/>
                <w:szCs w:val="20"/>
              </w:rPr>
              <w:t>33.000</w:t>
            </w:r>
          </w:p>
        </w:tc>
        <w:tc>
          <w:tcPr>
            <w:tcW w:w="1345" w:type="dxa"/>
            <w:shd w:val="clear" w:color="auto" w:fill="auto"/>
            <w:vAlign w:val="center"/>
          </w:tcPr>
          <w:p w14:paraId="75C29E22" w14:textId="77777777" w:rsidR="001A2F97" w:rsidRPr="003C1788" w:rsidRDefault="001A2F97" w:rsidP="001A2F97">
            <w:pPr>
              <w:jc w:val="right"/>
              <w:rPr>
                <w:b/>
                <w:bCs/>
                <w:sz w:val="20"/>
                <w:szCs w:val="20"/>
              </w:rPr>
            </w:pPr>
            <w:r w:rsidRPr="003C1788">
              <w:rPr>
                <w:b/>
                <w:bCs/>
                <w:sz w:val="20"/>
                <w:szCs w:val="20"/>
              </w:rPr>
              <w:t>33.000</w:t>
            </w:r>
          </w:p>
        </w:tc>
      </w:tr>
      <w:tr w:rsidR="001A2F97" w:rsidRPr="003C1788" w14:paraId="61D417D1" w14:textId="77777777" w:rsidTr="00124BF7">
        <w:tc>
          <w:tcPr>
            <w:tcW w:w="4045" w:type="dxa"/>
            <w:shd w:val="clear" w:color="auto" w:fill="auto"/>
          </w:tcPr>
          <w:p w14:paraId="24549AF5" w14:textId="77777777" w:rsidR="001A2F97" w:rsidRPr="003C1788" w:rsidRDefault="001A2F97" w:rsidP="001A2F97">
            <w:pPr>
              <w:jc w:val="left"/>
              <w:rPr>
                <w:b/>
                <w:bCs/>
                <w:sz w:val="20"/>
                <w:szCs w:val="20"/>
              </w:rPr>
            </w:pPr>
            <w:r w:rsidRPr="003C1788">
              <w:rPr>
                <w:b/>
                <w:bCs/>
                <w:sz w:val="20"/>
                <w:szCs w:val="20"/>
              </w:rPr>
              <w:t>Beneficio neto antes de impuestos (USD)</w:t>
            </w:r>
          </w:p>
        </w:tc>
        <w:tc>
          <w:tcPr>
            <w:tcW w:w="990" w:type="dxa"/>
            <w:shd w:val="clear" w:color="auto" w:fill="auto"/>
            <w:vAlign w:val="center"/>
          </w:tcPr>
          <w:p w14:paraId="5CC96565" w14:textId="77777777" w:rsidR="001A2F97" w:rsidRPr="003C1788" w:rsidRDefault="001A2F97" w:rsidP="001A2F97">
            <w:pPr>
              <w:jc w:val="right"/>
              <w:rPr>
                <w:b/>
                <w:bCs/>
                <w:sz w:val="20"/>
                <w:szCs w:val="20"/>
              </w:rPr>
            </w:pPr>
            <w:r w:rsidRPr="003C1788">
              <w:rPr>
                <w:b/>
                <w:bCs/>
                <w:sz w:val="20"/>
                <w:szCs w:val="20"/>
              </w:rPr>
              <w:t>(12.240)</w:t>
            </w:r>
          </w:p>
        </w:tc>
        <w:tc>
          <w:tcPr>
            <w:tcW w:w="900" w:type="dxa"/>
            <w:shd w:val="clear" w:color="auto" w:fill="auto"/>
            <w:vAlign w:val="center"/>
          </w:tcPr>
          <w:p w14:paraId="3543BCF7" w14:textId="77777777" w:rsidR="001A2F97" w:rsidRPr="003C1788" w:rsidRDefault="001A2F97" w:rsidP="001A2F97">
            <w:pPr>
              <w:jc w:val="right"/>
              <w:rPr>
                <w:b/>
                <w:bCs/>
                <w:sz w:val="20"/>
                <w:szCs w:val="20"/>
              </w:rPr>
            </w:pPr>
            <w:r w:rsidRPr="003C1788">
              <w:rPr>
                <w:b/>
                <w:bCs/>
                <w:sz w:val="20"/>
                <w:szCs w:val="20"/>
              </w:rPr>
              <w:t>(5.140)</w:t>
            </w:r>
          </w:p>
        </w:tc>
        <w:tc>
          <w:tcPr>
            <w:tcW w:w="1170" w:type="dxa"/>
            <w:shd w:val="clear" w:color="auto" w:fill="auto"/>
            <w:vAlign w:val="center"/>
          </w:tcPr>
          <w:p w14:paraId="02B53171" w14:textId="77777777" w:rsidR="001A2F97" w:rsidRPr="003C1788" w:rsidRDefault="001A2F97" w:rsidP="001A2F97">
            <w:pPr>
              <w:jc w:val="right"/>
              <w:rPr>
                <w:b/>
                <w:bCs/>
                <w:sz w:val="20"/>
                <w:szCs w:val="20"/>
              </w:rPr>
            </w:pPr>
            <w:r w:rsidRPr="003C1788">
              <w:rPr>
                <w:b/>
                <w:bCs/>
                <w:sz w:val="20"/>
                <w:szCs w:val="20"/>
              </w:rPr>
              <w:t>6.220</w:t>
            </w:r>
          </w:p>
        </w:tc>
        <w:tc>
          <w:tcPr>
            <w:tcW w:w="900" w:type="dxa"/>
            <w:shd w:val="clear" w:color="auto" w:fill="auto"/>
            <w:vAlign w:val="center"/>
          </w:tcPr>
          <w:p w14:paraId="7C366A21" w14:textId="77777777" w:rsidR="001A2F97" w:rsidRPr="003C1788" w:rsidRDefault="001A2F97" w:rsidP="001A2F97">
            <w:pPr>
              <w:jc w:val="right"/>
              <w:rPr>
                <w:b/>
                <w:bCs/>
                <w:sz w:val="20"/>
                <w:szCs w:val="20"/>
              </w:rPr>
            </w:pPr>
            <w:r w:rsidRPr="003C1788">
              <w:rPr>
                <w:b/>
                <w:bCs/>
                <w:sz w:val="20"/>
                <w:szCs w:val="20"/>
              </w:rPr>
              <w:t>(4.600)</w:t>
            </w:r>
          </w:p>
        </w:tc>
        <w:tc>
          <w:tcPr>
            <w:tcW w:w="1345" w:type="dxa"/>
            <w:shd w:val="clear" w:color="auto" w:fill="auto"/>
            <w:vAlign w:val="center"/>
          </w:tcPr>
          <w:p w14:paraId="4E926907" w14:textId="77777777" w:rsidR="001A2F97" w:rsidRPr="003C1788" w:rsidRDefault="001A2F97" w:rsidP="001A2F97">
            <w:pPr>
              <w:jc w:val="right"/>
              <w:rPr>
                <w:b/>
                <w:bCs/>
                <w:sz w:val="20"/>
                <w:szCs w:val="20"/>
              </w:rPr>
            </w:pPr>
            <w:r w:rsidRPr="003C1788">
              <w:rPr>
                <w:b/>
                <w:bCs/>
                <w:sz w:val="20"/>
                <w:szCs w:val="20"/>
              </w:rPr>
              <w:t>12.440</w:t>
            </w:r>
          </w:p>
        </w:tc>
      </w:tr>
    </w:tbl>
    <w:p w14:paraId="20A2AACF" w14:textId="77777777" w:rsidR="001A2F97" w:rsidRPr="003C1788" w:rsidRDefault="001A2F97" w:rsidP="001A2F97"/>
    <w:p w14:paraId="1B7F80AC" w14:textId="313187B3" w:rsidR="001A2F97" w:rsidRPr="003C1788" w:rsidRDefault="001A2F97" w:rsidP="00C6485E">
      <w:pPr>
        <w:pStyle w:val="Heading1"/>
      </w:pPr>
      <w:r w:rsidRPr="003C1788">
        <w:t>Al inicio de sus actividades, el centro se dedicará a la regeneración de los refrigerantes más utilizados, HCFC-22 y HFC-134</w:t>
      </w:r>
      <w:r w:rsidR="00E2044C">
        <w:t>a. L</w:t>
      </w:r>
      <w:r w:rsidRPr="003C1788">
        <w:t>a capacidad de regeneración instalada se ha fijado en 10 toneladas por trimestre</w:t>
      </w:r>
      <w:r w:rsidR="00E2044C">
        <w:t xml:space="preserve"> y, d</w:t>
      </w:r>
      <w:r w:rsidRPr="003C1788">
        <w:t>e ser necesario, a partir del sexto trimestre la capacidad de regeneración puede aumentarse a 20 toneladas por trimestre instalando equipos adicionales en el mismo centro. Además, la regeneración se ampliará a otros refrigerantes como R-404A y R-410A, según se requiera. Con una mayor tasa de regeneración, la rentabilidad del centro aumenta. Los costos de operación estimados suelen ser elevados y, según las entrevistas con las partes intervinientes locales, se espera que sean más bajos en Burkina Faso, con lo que la recuperación de la inversión será más rápida y atractiva para los posibles inversores.</w:t>
      </w:r>
    </w:p>
    <w:p w14:paraId="7F1DB264" w14:textId="77777777" w:rsidR="00124BF7" w:rsidRDefault="00124BF7" w:rsidP="001A2F97">
      <w:pPr>
        <w:jc w:val="left"/>
        <w:rPr>
          <w:b/>
          <w:bCs/>
        </w:rPr>
      </w:pPr>
    </w:p>
    <w:p w14:paraId="3C687717" w14:textId="77777777" w:rsidR="00124BF7" w:rsidRDefault="00124BF7" w:rsidP="001A2F97">
      <w:pPr>
        <w:jc w:val="left"/>
        <w:rPr>
          <w:b/>
          <w:bCs/>
        </w:rPr>
      </w:pPr>
    </w:p>
    <w:p w14:paraId="0578062D" w14:textId="63B546C2" w:rsidR="001A2F97" w:rsidRPr="003C1788" w:rsidRDefault="001A2F97" w:rsidP="001A2F97">
      <w:pPr>
        <w:jc w:val="left"/>
        <w:rPr>
          <w:b/>
          <w:bCs/>
        </w:rPr>
      </w:pPr>
      <w:r w:rsidRPr="003C1788">
        <w:rPr>
          <w:b/>
          <w:bCs/>
        </w:rPr>
        <w:t xml:space="preserve">Observaciones de la Secretaría </w:t>
      </w:r>
    </w:p>
    <w:p w14:paraId="6891AEF5" w14:textId="77777777" w:rsidR="001A2F97" w:rsidRPr="003C1788" w:rsidRDefault="001A2F97" w:rsidP="001A2F97">
      <w:pPr>
        <w:jc w:val="left"/>
        <w:rPr>
          <w:b/>
          <w:bCs/>
        </w:rPr>
      </w:pPr>
    </w:p>
    <w:p w14:paraId="37F1D934" w14:textId="46014030" w:rsidR="001A2F97" w:rsidRPr="003C1788" w:rsidRDefault="001A2F97" w:rsidP="00C6485E">
      <w:pPr>
        <w:pStyle w:val="Heading1"/>
      </w:pPr>
      <w:r w:rsidRPr="003C1788">
        <w:t xml:space="preserve">La Secretaría toma nota de que el establecimiento del centro de RRR propuesto </w:t>
      </w:r>
      <w:r w:rsidR="003E70FB">
        <w:t>tiene un costo de</w:t>
      </w:r>
      <w:r w:rsidRPr="003C1788">
        <w:t xml:space="preserve"> USD 112.000, que corresponde al presupuesto para establecer el centro de distribución de hidrocarburos y adquirir cilindros en el PAK.</w:t>
      </w:r>
    </w:p>
    <w:p w14:paraId="54265E74" w14:textId="77777777" w:rsidR="001A2F97" w:rsidRPr="003C1788" w:rsidRDefault="001A2F97" w:rsidP="00C6485E">
      <w:pPr>
        <w:pStyle w:val="Heading1"/>
      </w:pPr>
      <w:r w:rsidRPr="003C1788">
        <w:lastRenderedPageBreak/>
        <w:t xml:space="preserve">La Secretaría también toma nota de que el Gobierno de Alemania informó que el centro de RRR podría ser rentable en los seis primeros trimestres después del inicio de las actividades.  </w:t>
      </w:r>
    </w:p>
    <w:p w14:paraId="5F027BAE" w14:textId="77777777" w:rsidR="001A2F97" w:rsidRPr="003C1788" w:rsidRDefault="001A2F97" w:rsidP="001A2F97">
      <w:pPr>
        <w:jc w:val="left"/>
        <w:rPr>
          <w:b/>
          <w:bCs/>
        </w:rPr>
      </w:pPr>
      <w:r w:rsidRPr="003C1788">
        <w:rPr>
          <w:b/>
          <w:bCs/>
        </w:rPr>
        <w:t>Recomendación</w:t>
      </w:r>
    </w:p>
    <w:p w14:paraId="7D4F9F7E" w14:textId="77777777" w:rsidR="001A2F97" w:rsidRPr="003C1788" w:rsidRDefault="001A2F97" w:rsidP="001A2F97">
      <w:pPr>
        <w:jc w:val="left"/>
      </w:pPr>
    </w:p>
    <w:p w14:paraId="72A6AA71" w14:textId="77777777" w:rsidR="001A2F97" w:rsidRPr="003C1788" w:rsidRDefault="001A2F97" w:rsidP="00C6485E">
      <w:pPr>
        <w:pStyle w:val="Heading1"/>
      </w:pPr>
      <w:r w:rsidRPr="003C1788">
        <w:t>El Comité Ejecutivo podría estimar oportuno:</w:t>
      </w:r>
    </w:p>
    <w:p w14:paraId="7EE5B30C" w14:textId="377FE4C2" w:rsidR="001A2F97" w:rsidRPr="003C1788" w:rsidRDefault="001A2F97" w:rsidP="00F81A98">
      <w:pPr>
        <w:numPr>
          <w:ilvl w:val="1"/>
          <w:numId w:val="44"/>
        </w:numPr>
        <w:spacing w:after="240"/>
        <w:outlineLvl w:val="1"/>
      </w:pPr>
      <w:r w:rsidRPr="003C1788">
        <w:t>Tomar nota del plan para el establecimiento de un centro de recuperación, reciclaje y regeneración de HCFC, HFC y refrigerantes mezclados, incluido un estudio de viabilidad, asociado con la etapa I del plan de ejecución de la Enmienda de Kigali relativa a los HFC (PAK) para Burkina Faso, presentado por el Gobierno de Alemania e incluido en el documento UNEP/</w:t>
      </w:r>
      <w:proofErr w:type="spellStart"/>
      <w:r w:rsidRPr="003C1788">
        <w:t>OzL.Pro</w:t>
      </w:r>
      <w:proofErr w:type="spellEnd"/>
      <w:r w:rsidRPr="003C1788">
        <w:t>/</w:t>
      </w:r>
      <w:proofErr w:type="spellStart"/>
      <w:r w:rsidRPr="003C1788">
        <w:t>ExCom</w:t>
      </w:r>
      <w:proofErr w:type="spellEnd"/>
      <w:r w:rsidRPr="003C1788">
        <w:t>/95/20; y</w:t>
      </w:r>
    </w:p>
    <w:p w14:paraId="4D12D941" w14:textId="4330A3FB" w:rsidR="001A2F97" w:rsidRPr="003C1788" w:rsidRDefault="001A2F97" w:rsidP="00F81A98">
      <w:pPr>
        <w:widowControl w:val="0"/>
        <w:numPr>
          <w:ilvl w:val="1"/>
          <w:numId w:val="44"/>
        </w:numPr>
        <w:spacing w:after="240"/>
        <w:outlineLvl w:val="1"/>
      </w:pPr>
      <w:r w:rsidRPr="003C1788">
        <w:t>Aprobar la solicitud del Gobierno de Burkina Faso de sustituir el establecimiento de un centro de distribución de refrigerantes para hidrocarburos por el centro mencionado en el inciso a) anterior, con el mismo costo.</w:t>
      </w:r>
    </w:p>
    <w:p w14:paraId="338BD7E3" w14:textId="285160A8" w:rsidR="002D6935" w:rsidRPr="003C1788" w:rsidRDefault="002D6935" w:rsidP="001A2F97">
      <w:pPr>
        <w:keepNext/>
        <w:keepLines/>
        <w:rPr>
          <w:b/>
          <w:bCs/>
        </w:rPr>
      </w:pPr>
      <w:r w:rsidRPr="003C1788">
        <w:rPr>
          <w:b/>
          <w:bCs/>
        </w:rPr>
        <w:t>C.</w:t>
      </w:r>
      <w:r w:rsidRPr="003C1788">
        <w:rPr>
          <w:b/>
          <w:bCs/>
        </w:rPr>
        <w:tab/>
        <w:t>Informe relativo a las actividades adicionales para mantener la eficiencia energética en el sector servicio técnico de equipos de refrigeración (decisión 89/6)</w:t>
      </w:r>
    </w:p>
    <w:bookmarkEnd w:id="3"/>
    <w:p w14:paraId="262D5112" w14:textId="77777777" w:rsidR="002D6935" w:rsidRPr="003C1788" w:rsidRDefault="002D6935" w:rsidP="001A2F97">
      <w:pPr>
        <w:keepNext/>
        <w:keepLines/>
      </w:pPr>
    </w:p>
    <w:p w14:paraId="1B1C2D71" w14:textId="5168084E" w:rsidR="002D6935" w:rsidRPr="003C1788" w:rsidRDefault="002D6935" w:rsidP="001A2F97">
      <w:pPr>
        <w:keepNext/>
        <w:keepLines/>
        <w:spacing w:after="240"/>
        <w:ind w:left="720"/>
        <w:rPr>
          <w:b/>
          <w:bCs/>
        </w:rPr>
      </w:pPr>
      <w:r w:rsidRPr="003C1788">
        <w:rPr>
          <w:b/>
          <w:bCs/>
          <w:u w:val="single"/>
        </w:rPr>
        <w:t>Maldivas: Actividades adicionales para mantener la eficiencia energética en el sector servicio técnico de equipos de refrigeración de acuerdo con la decisión 89/6 b) (informe sobre la marcha de las actividades</w:t>
      </w:r>
      <w:r w:rsidR="001830EB">
        <w:rPr>
          <w:b/>
          <w:bCs/>
          <w:u w:val="single"/>
        </w:rPr>
        <w:t>)</w:t>
      </w:r>
      <w:r w:rsidRPr="003C1788">
        <w:rPr>
          <w:b/>
          <w:bCs/>
        </w:rPr>
        <w:t xml:space="preserve"> (PNUMA)</w:t>
      </w:r>
    </w:p>
    <w:p w14:paraId="2308053B" w14:textId="77777777" w:rsidR="002D6935" w:rsidRPr="003C1788" w:rsidRDefault="002D6935" w:rsidP="002D6935">
      <w:pPr>
        <w:spacing w:after="240"/>
        <w:jc w:val="left"/>
        <w:rPr>
          <w:rFonts w:eastAsiaTheme="minorEastAsia"/>
          <w:b/>
        </w:rPr>
      </w:pPr>
      <w:r w:rsidRPr="003C1788">
        <w:rPr>
          <w:b/>
        </w:rPr>
        <w:t>Antecedentes</w:t>
      </w:r>
    </w:p>
    <w:p w14:paraId="05BD7AF9" w14:textId="77777777" w:rsidR="002D6935" w:rsidRPr="003C1788" w:rsidRDefault="002D6935" w:rsidP="00A14C3A">
      <w:pPr>
        <w:pStyle w:val="Heading1"/>
      </w:pPr>
      <w:r w:rsidRPr="003C1788">
        <w:t xml:space="preserve">En la 91ª reunión, el Comité Ejecutivo aprobó el proyecto sobre actividades adicionales para la introducción de alternativas a los HCFC con bajo o nulo potencial de calentamiento atmosférico (PCA) y el mantenimiento de la eficiencia energética en el sector servicio técnico de equipos de refrigeración en Maldivas, por un monto de USD 100.000, más gastos de apoyo al organismo de USD 13.000, para el PNUMA (decisión 91/60 a)).  </w:t>
      </w:r>
    </w:p>
    <w:p w14:paraId="512345B6" w14:textId="77777777" w:rsidR="002D6935" w:rsidRPr="003C1788" w:rsidRDefault="002D6935" w:rsidP="00A14C3A">
      <w:pPr>
        <w:pStyle w:val="Heading1"/>
      </w:pPr>
      <w:r w:rsidRPr="003C1788">
        <w:t>En la 93ª reunión, el Comité Ejecutivo aprobó, con carácter excepcional, la prórroga, hasta el 30 de junio de 2025, de la fecha de finalización del proyecto. Al aprobar esta solicitud de prórroga, el Comité Ejecutivo pidió al Gobierno de Maldivas y al PNUMA que siguieran presentando informes anuales sobre el avance de la ejecución del proyecto hasta su finalización, y que presentaran un informe de finalización del proyecto a la segunda reunión del Comité Ejecutivo en 2025 (decisión 93/20 b) y c)).</w:t>
      </w:r>
    </w:p>
    <w:p w14:paraId="51362F7F" w14:textId="77777777" w:rsidR="002D6935" w:rsidRPr="003C1788" w:rsidRDefault="002D6935" w:rsidP="00A14C3A">
      <w:pPr>
        <w:pStyle w:val="Heading1"/>
        <w:rPr>
          <w:bCs/>
        </w:rPr>
      </w:pPr>
      <w:r w:rsidRPr="003C1788">
        <w:t>De conformidad con la decisión 93/20 c), el PNUMA, en nombre del Gobierno de Maldivas, ha presentado un informe sobre la marcha de las actividades a la presente reunión.</w:t>
      </w:r>
    </w:p>
    <w:p w14:paraId="26C8EB29" w14:textId="77777777" w:rsidR="002D6935" w:rsidRPr="003C1788" w:rsidRDefault="002D6935" w:rsidP="002D6935">
      <w:pPr>
        <w:rPr>
          <w:b/>
          <w:bCs/>
        </w:rPr>
      </w:pPr>
      <w:r w:rsidRPr="003C1788">
        <w:rPr>
          <w:b/>
          <w:bCs/>
        </w:rPr>
        <w:t>Informe sobre la marcha de las actividades</w:t>
      </w:r>
    </w:p>
    <w:p w14:paraId="04F25D70" w14:textId="77777777" w:rsidR="002D6935" w:rsidRPr="003C1788" w:rsidRDefault="002D6935" w:rsidP="002D6935">
      <w:pPr>
        <w:rPr>
          <w:b/>
          <w:bCs/>
        </w:rPr>
      </w:pPr>
    </w:p>
    <w:p w14:paraId="60F7477C" w14:textId="78A3F54F" w:rsidR="002D6935" w:rsidRPr="003C1788" w:rsidRDefault="002D6935" w:rsidP="002542A7">
      <w:pPr>
        <w:pStyle w:val="Heading1"/>
      </w:pPr>
      <w:r w:rsidRPr="003C1788">
        <w:t xml:space="preserve">El objetivo del proyecto de eficiencia energética en las Maldivas era hacer obligatorio el programa voluntario existente de etiquetado de eficiencia energética para aparatos y equipos denominado </w:t>
      </w:r>
      <w:proofErr w:type="spellStart"/>
      <w:r w:rsidRPr="003C1788">
        <w:t>Hakathari</w:t>
      </w:r>
      <w:proofErr w:type="spellEnd"/>
      <w:r w:rsidRPr="003C1788">
        <w:t>, que cubría determinados equipos, como los climatizadores</w:t>
      </w:r>
      <w:r w:rsidRPr="003C1788">
        <w:rPr>
          <w:vertAlign w:val="superscript"/>
        </w:rPr>
        <w:footnoteReference w:id="12"/>
      </w:r>
      <w:r w:rsidRPr="003C1788">
        <w:rPr>
          <w:vertAlign w:val="superscript"/>
        </w:rPr>
        <w:t xml:space="preserve"> </w:t>
      </w:r>
      <w:r w:rsidRPr="003C1788">
        <w:t xml:space="preserve">y refrigeradores domésticos. Las especificaciones </w:t>
      </w:r>
      <w:r w:rsidR="00F73A66">
        <w:t xml:space="preserve">de etiquetado </w:t>
      </w:r>
      <w:r w:rsidRPr="003C1788">
        <w:t xml:space="preserve">obligatorias </w:t>
      </w:r>
      <w:r w:rsidR="00F73A66">
        <w:t>en virtud del</w:t>
      </w:r>
      <w:r w:rsidRPr="003C1788">
        <w:t xml:space="preserve"> programa </w:t>
      </w:r>
      <w:proofErr w:type="spellStart"/>
      <w:r w:rsidRPr="003C1788">
        <w:t>Hakathari</w:t>
      </w:r>
      <w:proofErr w:type="spellEnd"/>
      <w:r w:rsidRPr="003C1788">
        <w:t xml:space="preserve"> incluyen información sobre el refrigerante y su potencial de agotamiento </w:t>
      </w:r>
      <w:r w:rsidR="002347CB">
        <w:t>del</w:t>
      </w:r>
      <w:r w:rsidRPr="003C1788">
        <w:t xml:space="preserve"> ozono y </w:t>
      </w:r>
      <w:r w:rsidR="002542A7" w:rsidRPr="002542A7">
        <w:t xml:space="preserve">potencial de calentamiento atmosférico </w:t>
      </w:r>
      <w:r w:rsidR="002542A7">
        <w:t>(</w:t>
      </w:r>
      <w:r w:rsidRPr="003C1788">
        <w:t>P</w:t>
      </w:r>
      <w:r w:rsidR="00D25368">
        <w:t>CA</w:t>
      </w:r>
      <w:r w:rsidR="002542A7">
        <w:t>)</w:t>
      </w:r>
      <w:r w:rsidRPr="003C1788">
        <w:t>. Asimismo, el programa establece los requisitos mínimos de calificación de los aparatos probados</w:t>
      </w:r>
      <w:r w:rsidRPr="003C1788">
        <w:rPr>
          <w:vertAlign w:val="superscript"/>
        </w:rPr>
        <w:footnoteReference w:id="13"/>
      </w:r>
      <w:r w:rsidRPr="003C1788">
        <w:t xml:space="preserve"> para </w:t>
      </w:r>
      <w:r w:rsidRPr="003C1788">
        <w:lastRenderedPageBreak/>
        <w:t xml:space="preserve">que puedan obtener las etiquetas de eficiencia energética, garantizando que estos cumplen las normas mínimas de eficiencia energética ya existentes en el país. </w:t>
      </w:r>
    </w:p>
    <w:p w14:paraId="097E49ED" w14:textId="77777777" w:rsidR="002D6935" w:rsidRPr="003C1788" w:rsidRDefault="002D6935" w:rsidP="00C6485E">
      <w:pPr>
        <w:pStyle w:val="Heading1"/>
      </w:pPr>
      <w:r w:rsidRPr="003C1788">
        <w:t>El proyecto incluía actividades para mejorar la coordinación y colaboración entre las partes intervinientes, las autoridades energéticas pertinentes y la oficina nacional del ozono mediante el fortalecimiento de capacidades del personal clave y las partes intervinientes para garantizar una consideración sostenida del refrigerante en el programa de etiquetado, orientar el desarrollo del enfoque de revisión del tipo de refrigerante y el PCA, y comprender los retos normativos relacionados con la información del etiquetado de refrigerantes de bajo PCA; sensibilizar sobre el programa de etiquetado centrándose en aumentar la demanda de climatizadores y refrigeradores que funcionen con refrigerantes de bajo o nulo PCA entre todos los productos etiquetados como energéticamente eficientes; y un estudio sobre el comportamiento de los consumidores para evaluar el impacto del proyecto.</w:t>
      </w:r>
    </w:p>
    <w:p w14:paraId="4CE6AF76" w14:textId="5ED0B1C1" w:rsidR="002D6935" w:rsidRPr="003C1788" w:rsidRDefault="002D6935" w:rsidP="00C6485E">
      <w:pPr>
        <w:pStyle w:val="Heading1"/>
      </w:pPr>
      <w:r w:rsidRPr="003C1788">
        <w:t xml:space="preserve">En septiembre de 2024, se habían completado las siguientes actividades: se habían establecido los resultados detallados del viaje de estudios para el fortalecimiento de capacidades; se habían elaborado los materiales de capacitación para importadores, funcionarios de aduanas, organismos de servicios públicos, diseñadores de edificios, promotores inmobiliarios y empresas de construcción; y se habían elaborado los materiales de divulgación y sensibilización sobre la evaluación de impacto para usuarios finales, así como el cuestionario. </w:t>
      </w:r>
    </w:p>
    <w:p w14:paraId="48E61BB5" w14:textId="77777777" w:rsidR="002D6935" w:rsidRPr="003C1788" w:rsidRDefault="002D6935" w:rsidP="00C6485E">
      <w:pPr>
        <w:pStyle w:val="Heading1"/>
      </w:pPr>
      <w:r w:rsidRPr="003C1788">
        <w:t>Además, de los USD 100.000 aprobados, se habían desembolsado USD 14.560 (14,6 %). El saldo de USD 85.440 se desembolsará en 2024 y 2025.</w:t>
      </w:r>
    </w:p>
    <w:p w14:paraId="3EC1C06D" w14:textId="77777777" w:rsidR="002D6935" w:rsidRPr="003C1788" w:rsidRDefault="002D6935" w:rsidP="002D6935">
      <w:pPr>
        <w:keepNext/>
        <w:spacing w:after="240"/>
        <w:rPr>
          <w:rFonts w:eastAsiaTheme="minorEastAsia"/>
          <w:b/>
        </w:rPr>
      </w:pPr>
      <w:r w:rsidRPr="003C1788">
        <w:rPr>
          <w:b/>
        </w:rPr>
        <w:t>Observaciones de la Secretaría</w:t>
      </w:r>
    </w:p>
    <w:p w14:paraId="29FFEEFD" w14:textId="77777777" w:rsidR="002D6935" w:rsidRPr="003C1788" w:rsidRDefault="002D6935" w:rsidP="00C6485E">
      <w:pPr>
        <w:pStyle w:val="Heading1"/>
      </w:pPr>
      <w:r w:rsidRPr="003C1788">
        <w:t>La Secretaría expresó su preocupación por la baja tasa de desembolso de los fondos aprobados y los retrasos asociados al proyecto, solicitando al PNUMA que proporcionara un plan de trabajo actualizado en el que se describiera cómo se agilizarían las actividades para compensar los retrasos en la ejecución. El PNUMA indicó que el 63,5 % de los fondos aprobados se desembolsarían durante el último trimestre de 2024, mientras que el 21,9 % restante se desembolsaría durante el primer trimestre de 2025. Tras mantener conversaciones con el Gobierno de Maldivas, el PNUMA presentó un plan de trabajo actualizado para el proyecto, como se muestra en el cuadro siguiente.</w:t>
      </w:r>
    </w:p>
    <w:p w14:paraId="5A802E22" w14:textId="5CA38D2A" w:rsidR="002D6935" w:rsidRPr="00012A75" w:rsidRDefault="002D6935" w:rsidP="002D6935">
      <w:pPr>
        <w:rPr>
          <w:b/>
          <w:bCs/>
        </w:rPr>
      </w:pPr>
      <w:r w:rsidRPr="00012A75">
        <w:rPr>
          <w:b/>
          <w:bCs/>
        </w:rPr>
        <w:t>Cuadro 4. Plan de trabajo actualizado para la ejecución de actividades de mantenimiento de la eficiencia energética en el sector servicio técnico de equipos de refrigeración en Maldivas</w:t>
      </w:r>
    </w:p>
    <w:tbl>
      <w:tblPr>
        <w:tblStyle w:val="TableGrid"/>
        <w:tblpPr w:leftFromText="180" w:rightFromText="180" w:vertAnchor="text" w:tblpX="-5" w:tblpY="1"/>
        <w:tblOverlap w:val="never"/>
        <w:tblW w:w="5005" w:type="pct"/>
        <w:tblLayout w:type="fixed"/>
        <w:tblLook w:val="04A0" w:firstRow="1" w:lastRow="0" w:firstColumn="1" w:lastColumn="0" w:noHBand="0" w:noVBand="1"/>
      </w:tblPr>
      <w:tblGrid>
        <w:gridCol w:w="3150"/>
        <w:gridCol w:w="1620"/>
        <w:gridCol w:w="990"/>
        <w:gridCol w:w="1975"/>
        <w:gridCol w:w="1624"/>
      </w:tblGrid>
      <w:tr w:rsidR="009D5F59" w:rsidRPr="00755500" w14:paraId="7A4DA565" w14:textId="77777777" w:rsidTr="008B1065">
        <w:trPr>
          <w:trHeight w:val="323"/>
          <w:tblHeader/>
        </w:trPr>
        <w:tc>
          <w:tcPr>
            <w:tcW w:w="315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0276C079" w14:textId="77777777" w:rsidR="002D6935" w:rsidRPr="00755500" w:rsidRDefault="002D6935" w:rsidP="00E26A7B">
            <w:pPr>
              <w:jc w:val="left"/>
              <w:rPr>
                <w:b/>
                <w:sz w:val="20"/>
                <w:szCs w:val="20"/>
              </w:rPr>
            </w:pPr>
            <w:r w:rsidRPr="00755500">
              <w:rPr>
                <w:b/>
                <w:sz w:val="20"/>
                <w:szCs w:val="20"/>
              </w:rPr>
              <w:t>Actividad</w:t>
            </w:r>
          </w:p>
        </w:tc>
        <w:tc>
          <w:tcPr>
            <w:tcW w:w="162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20C28793" w14:textId="77777777" w:rsidR="002D6935" w:rsidRPr="00755500" w:rsidRDefault="002D6935" w:rsidP="00E26A7B">
            <w:pPr>
              <w:jc w:val="center"/>
              <w:rPr>
                <w:b/>
                <w:sz w:val="20"/>
                <w:szCs w:val="20"/>
              </w:rPr>
            </w:pPr>
            <w:r w:rsidRPr="00755500">
              <w:rPr>
                <w:b/>
                <w:sz w:val="20"/>
                <w:szCs w:val="20"/>
              </w:rPr>
              <w:t>Producto/meta</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1D7CCEC" w14:textId="5351C1E5" w:rsidR="002D6935" w:rsidRPr="00755500" w:rsidRDefault="002D6935" w:rsidP="00E26A7B">
            <w:pPr>
              <w:jc w:val="center"/>
              <w:rPr>
                <w:b/>
                <w:sz w:val="20"/>
                <w:szCs w:val="20"/>
              </w:rPr>
            </w:pPr>
            <w:r w:rsidRPr="00755500">
              <w:rPr>
                <w:b/>
                <w:sz w:val="20"/>
                <w:szCs w:val="20"/>
              </w:rPr>
              <w:t>F</w:t>
            </w:r>
            <w:r w:rsidR="00F91DD8">
              <w:rPr>
                <w:b/>
                <w:sz w:val="20"/>
                <w:szCs w:val="20"/>
              </w:rPr>
              <w:t>ondos</w:t>
            </w:r>
            <w:r w:rsidRPr="00755500">
              <w:rPr>
                <w:b/>
                <w:sz w:val="20"/>
                <w:szCs w:val="20"/>
              </w:rPr>
              <w:t xml:space="preserve"> aprobado</w:t>
            </w:r>
            <w:r w:rsidR="00F91DD8">
              <w:rPr>
                <w:b/>
                <w:sz w:val="20"/>
                <w:szCs w:val="20"/>
              </w:rPr>
              <w:t>s</w:t>
            </w:r>
          </w:p>
          <w:p w14:paraId="2EDD6542" w14:textId="77777777" w:rsidR="002D6935" w:rsidRPr="00755500" w:rsidRDefault="002D6935" w:rsidP="00E26A7B">
            <w:pPr>
              <w:jc w:val="center"/>
              <w:rPr>
                <w:b/>
                <w:sz w:val="20"/>
                <w:szCs w:val="20"/>
              </w:rPr>
            </w:pPr>
            <w:r w:rsidRPr="00755500">
              <w:rPr>
                <w:b/>
                <w:sz w:val="20"/>
                <w:szCs w:val="20"/>
              </w:rPr>
              <w:t>(USD)</w:t>
            </w:r>
          </w:p>
        </w:tc>
        <w:tc>
          <w:tcPr>
            <w:tcW w:w="1975" w:type="dxa"/>
            <w:tcBorders>
              <w:top w:val="single" w:sz="4" w:space="0" w:color="auto"/>
              <w:left w:val="single" w:sz="4" w:space="0" w:color="auto"/>
              <w:bottom w:val="single" w:sz="4" w:space="0" w:color="auto"/>
              <w:right w:val="single" w:sz="4" w:space="0" w:color="auto"/>
            </w:tcBorders>
            <w:tcMar>
              <w:left w:w="43" w:type="dxa"/>
              <w:right w:w="43" w:type="dxa"/>
            </w:tcMar>
          </w:tcPr>
          <w:p w14:paraId="7E82618D" w14:textId="77777777" w:rsidR="002D6935" w:rsidRPr="00755500" w:rsidRDefault="002D6935" w:rsidP="00E26A7B">
            <w:pPr>
              <w:jc w:val="center"/>
              <w:rPr>
                <w:b/>
                <w:sz w:val="20"/>
                <w:szCs w:val="20"/>
              </w:rPr>
            </w:pPr>
            <w:r w:rsidRPr="00755500">
              <w:rPr>
                <w:b/>
                <w:sz w:val="20"/>
                <w:szCs w:val="20"/>
              </w:rPr>
              <w:t>Situación</w:t>
            </w:r>
          </w:p>
        </w:tc>
        <w:tc>
          <w:tcPr>
            <w:tcW w:w="1624" w:type="dxa"/>
            <w:tcBorders>
              <w:top w:val="single" w:sz="4" w:space="0" w:color="auto"/>
              <w:left w:val="single" w:sz="4" w:space="0" w:color="auto"/>
              <w:bottom w:val="single" w:sz="4" w:space="0" w:color="auto"/>
              <w:right w:val="single" w:sz="4" w:space="0" w:color="auto"/>
            </w:tcBorders>
            <w:tcMar>
              <w:left w:w="43" w:type="dxa"/>
              <w:right w:w="43" w:type="dxa"/>
            </w:tcMar>
          </w:tcPr>
          <w:p w14:paraId="6AE5507C" w14:textId="18FD5BF3" w:rsidR="002D6935" w:rsidRPr="00755500" w:rsidRDefault="002D6935" w:rsidP="00E26A7B">
            <w:pPr>
              <w:jc w:val="center"/>
              <w:rPr>
                <w:b/>
                <w:sz w:val="20"/>
                <w:szCs w:val="20"/>
              </w:rPr>
            </w:pPr>
            <w:r w:rsidRPr="00755500">
              <w:rPr>
                <w:b/>
                <w:sz w:val="20"/>
                <w:szCs w:val="20"/>
              </w:rPr>
              <w:t>Fechas de ejecución</w:t>
            </w:r>
            <w:r w:rsidR="00E26A7B" w:rsidRPr="00755500">
              <w:rPr>
                <w:b/>
                <w:sz w:val="20"/>
                <w:szCs w:val="20"/>
              </w:rPr>
              <w:t xml:space="preserve"> previstas</w:t>
            </w:r>
          </w:p>
        </w:tc>
      </w:tr>
      <w:tr w:rsidR="002D6935" w:rsidRPr="00755500" w14:paraId="171B3FDB" w14:textId="77777777" w:rsidTr="00E26A7B">
        <w:tc>
          <w:tcPr>
            <w:tcW w:w="9359" w:type="dxa"/>
            <w:gridSpan w:val="5"/>
            <w:tcBorders>
              <w:top w:val="single" w:sz="4" w:space="0" w:color="auto"/>
              <w:left w:val="single" w:sz="4" w:space="0" w:color="auto"/>
              <w:bottom w:val="single" w:sz="4" w:space="0" w:color="auto"/>
              <w:right w:val="single" w:sz="4" w:space="0" w:color="auto"/>
            </w:tcBorders>
            <w:tcMar>
              <w:left w:w="43" w:type="dxa"/>
              <w:right w:w="43" w:type="dxa"/>
            </w:tcMar>
          </w:tcPr>
          <w:p w14:paraId="0FCF19BE" w14:textId="7114A797" w:rsidR="002D6935" w:rsidRPr="00755500" w:rsidRDefault="002D6935" w:rsidP="00E26A7B">
            <w:pPr>
              <w:jc w:val="left"/>
              <w:rPr>
                <w:b/>
                <w:sz w:val="20"/>
                <w:szCs w:val="20"/>
              </w:rPr>
            </w:pPr>
            <w:r w:rsidRPr="00755500">
              <w:rPr>
                <w:b/>
                <w:sz w:val="20"/>
                <w:szCs w:val="20"/>
              </w:rPr>
              <w:t>Fortalecimiento de capacidades del personal y las partes intervinientes</w:t>
            </w:r>
            <w:r w:rsidR="00532B8A" w:rsidRPr="00755500">
              <w:rPr>
                <w:b/>
                <w:sz w:val="20"/>
                <w:szCs w:val="20"/>
              </w:rPr>
              <w:t xml:space="preserve"> clave</w:t>
            </w:r>
          </w:p>
        </w:tc>
      </w:tr>
      <w:tr w:rsidR="009D5F59" w:rsidRPr="004F485A" w14:paraId="62F8BE21" w14:textId="77777777" w:rsidTr="008B1065">
        <w:tc>
          <w:tcPr>
            <w:tcW w:w="3150" w:type="dxa"/>
            <w:tcBorders>
              <w:top w:val="single" w:sz="4" w:space="0" w:color="auto"/>
              <w:left w:val="single" w:sz="4" w:space="0" w:color="auto"/>
              <w:bottom w:val="single" w:sz="4" w:space="0" w:color="auto"/>
              <w:right w:val="single" w:sz="4" w:space="0" w:color="auto"/>
            </w:tcBorders>
            <w:tcMar>
              <w:left w:w="72" w:type="dxa"/>
              <w:right w:w="72" w:type="dxa"/>
            </w:tcMar>
            <w:hideMark/>
          </w:tcPr>
          <w:p w14:paraId="0B6D6005" w14:textId="022543D3" w:rsidR="002D6935" w:rsidRPr="004F485A" w:rsidRDefault="002D6935" w:rsidP="00165387">
            <w:pPr>
              <w:jc w:val="left"/>
              <w:rPr>
                <w:bCs/>
                <w:sz w:val="20"/>
                <w:szCs w:val="20"/>
              </w:rPr>
            </w:pPr>
            <w:r w:rsidRPr="004F485A">
              <w:rPr>
                <w:sz w:val="20"/>
                <w:szCs w:val="20"/>
              </w:rPr>
              <w:t xml:space="preserve">Coordinación y colaboración con los organismos pertinentes mediante capacitación </w:t>
            </w:r>
            <w:r w:rsidR="00165387">
              <w:rPr>
                <w:sz w:val="20"/>
                <w:szCs w:val="20"/>
              </w:rPr>
              <w:t>para</w:t>
            </w:r>
            <w:r w:rsidRPr="004F485A">
              <w:rPr>
                <w:sz w:val="20"/>
                <w:szCs w:val="20"/>
              </w:rPr>
              <w:t xml:space="preserve"> el fortalecimiento de capacidades</w:t>
            </w:r>
          </w:p>
        </w:tc>
        <w:tc>
          <w:tcPr>
            <w:tcW w:w="1620" w:type="dxa"/>
            <w:tcBorders>
              <w:top w:val="single" w:sz="4" w:space="0" w:color="auto"/>
              <w:left w:val="single" w:sz="4" w:space="0" w:color="auto"/>
              <w:bottom w:val="single" w:sz="4" w:space="0" w:color="auto"/>
              <w:right w:val="single" w:sz="4" w:space="0" w:color="auto"/>
            </w:tcBorders>
            <w:tcMar>
              <w:left w:w="72" w:type="dxa"/>
              <w:right w:w="72" w:type="dxa"/>
            </w:tcMar>
          </w:tcPr>
          <w:p w14:paraId="7E0960C7" w14:textId="77777777" w:rsidR="002D6935" w:rsidRPr="004F485A" w:rsidRDefault="002D6935" w:rsidP="00E26A7B">
            <w:pPr>
              <w:jc w:val="left"/>
              <w:rPr>
                <w:sz w:val="20"/>
                <w:szCs w:val="20"/>
              </w:rPr>
            </w:pPr>
            <w:r w:rsidRPr="004F485A">
              <w:rPr>
                <w:sz w:val="20"/>
                <w:szCs w:val="20"/>
              </w:rPr>
              <w:t xml:space="preserve">Viaje de estudios, informe y recomendaciones </w:t>
            </w:r>
          </w:p>
        </w:tc>
        <w:tc>
          <w:tcPr>
            <w:tcW w:w="990" w:type="dxa"/>
            <w:tcBorders>
              <w:top w:val="single" w:sz="4" w:space="0" w:color="auto"/>
              <w:left w:val="single" w:sz="4" w:space="0" w:color="auto"/>
              <w:bottom w:val="single" w:sz="4" w:space="0" w:color="auto"/>
              <w:right w:val="single" w:sz="4" w:space="0" w:color="auto"/>
            </w:tcBorders>
            <w:tcMar>
              <w:left w:w="72" w:type="dxa"/>
              <w:right w:w="72" w:type="dxa"/>
            </w:tcMar>
            <w:hideMark/>
          </w:tcPr>
          <w:p w14:paraId="48D29EA4" w14:textId="77777777" w:rsidR="002D6935" w:rsidRPr="004F485A" w:rsidRDefault="002D6935" w:rsidP="00E26A7B">
            <w:pPr>
              <w:jc w:val="right"/>
              <w:rPr>
                <w:sz w:val="20"/>
                <w:szCs w:val="20"/>
              </w:rPr>
            </w:pPr>
            <w:r w:rsidRPr="004F485A">
              <w:rPr>
                <w:sz w:val="20"/>
                <w:szCs w:val="20"/>
              </w:rPr>
              <w:t>35.000</w:t>
            </w:r>
          </w:p>
        </w:tc>
        <w:tc>
          <w:tcPr>
            <w:tcW w:w="1975" w:type="dxa"/>
            <w:tcBorders>
              <w:top w:val="single" w:sz="4" w:space="0" w:color="auto"/>
              <w:left w:val="single" w:sz="4" w:space="0" w:color="auto"/>
              <w:bottom w:val="single" w:sz="4" w:space="0" w:color="auto"/>
              <w:right w:val="single" w:sz="4" w:space="0" w:color="auto"/>
            </w:tcBorders>
            <w:tcMar>
              <w:left w:w="72" w:type="dxa"/>
              <w:right w:w="72" w:type="dxa"/>
            </w:tcMar>
          </w:tcPr>
          <w:p w14:paraId="531CC63B" w14:textId="77777777" w:rsidR="002D6935" w:rsidRPr="004F485A" w:rsidRDefault="002D6935" w:rsidP="00E26A7B">
            <w:pPr>
              <w:jc w:val="left"/>
              <w:rPr>
                <w:sz w:val="20"/>
                <w:szCs w:val="20"/>
              </w:rPr>
            </w:pPr>
            <w:r w:rsidRPr="004F485A">
              <w:rPr>
                <w:sz w:val="20"/>
                <w:szCs w:val="20"/>
              </w:rPr>
              <w:t>Se están celebrando conversaciones bilaterales para confirmar el lugar del viaje de estudios</w:t>
            </w:r>
          </w:p>
        </w:tc>
        <w:tc>
          <w:tcPr>
            <w:tcW w:w="1624" w:type="dxa"/>
            <w:tcBorders>
              <w:top w:val="single" w:sz="4" w:space="0" w:color="auto"/>
              <w:left w:val="single" w:sz="4" w:space="0" w:color="auto"/>
              <w:bottom w:val="single" w:sz="4" w:space="0" w:color="auto"/>
              <w:right w:val="single" w:sz="4" w:space="0" w:color="auto"/>
            </w:tcBorders>
            <w:tcMar>
              <w:left w:w="43" w:type="dxa"/>
              <w:right w:w="43" w:type="dxa"/>
            </w:tcMar>
          </w:tcPr>
          <w:p w14:paraId="11ED984F" w14:textId="77777777" w:rsidR="002D6935" w:rsidRPr="004F485A" w:rsidRDefault="002D6935" w:rsidP="00E26A7B">
            <w:pPr>
              <w:jc w:val="right"/>
              <w:rPr>
                <w:sz w:val="20"/>
                <w:szCs w:val="20"/>
              </w:rPr>
            </w:pPr>
            <w:r w:rsidRPr="004F485A">
              <w:rPr>
                <w:sz w:val="20"/>
                <w:szCs w:val="20"/>
              </w:rPr>
              <w:t>Diciembre de 2024</w:t>
            </w:r>
          </w:p>
        </w:tc>
      </w:tr>
      <w:tr w:rsidR="009D5F59" w:rsidRPr="004F485A" w14:paraId="3E2F5681" w14:textId="77777777" w:rsidTr="008B1065">
        <w:trPr>
          <w:trHeight w:val="179"/>
        </w:trPr>
        <w:tc>
          <w:tcPr>
            <w:tcW w:w="3150" w:type="dxa"/>
            <w:tcBorders>
              <w:top w:val="single" w:sz="4" w:space="0" w:color="auto"/>
              <w:left w:val="single" w:sz="4" w:space="0" w:color="auto"/>
              <w:bottom w:val="single" w:sz="4" w:space="0" w:color="auto"/>
              <w:right w:val="single" w:sz="4" w:space="0" w:color="auto"/>
            </w:tcBorders>
            <w:tcMar>
              <w:left w:w="72" w:type="dxa"/>
              <w:right w:w="72" w:type="dxa"/>
            </w:tcMar>
            <w:hideMark/>
          </w:tcPr>
          <w:p w14:paraId="7BA2D100" w14:textId="77777777" w:rsidR="002D6935" w:rsidRPr="004F485A" w:rsidRDefault="002D6935" w:rsidP="00E26A7B">
            <w:pPr>
              <w:jc w:val="left"/>
              <w:rPr>
                <w:bCs/>
                <w:sz w:val="20"/>
                <w:szCs w:val="20"/>
              </w:rPr>
            </w:pPr>
            <w:r w:rsidRPr="004F485A">
              <w:rPr>
                <w:sz w:val="20"/>
                <w:szCs w:val="20"/>
              </w:rPr>
              <w:t>Sesiones de capacitación/información para importadores, funcionarios de aduanas, organismos de servicios públicos, diseñadores de edificios, promotores inmobiliarios y empresas de construcción</w:t>
            </w:r>
          </w:p>
        </w:tc>
        <w:tc>
          <w:tcPr>
            <w:tcW w:w="1620" w:type="dxa"/>
            <w:tcBorders>
              <w:top w:val="single" w:sz="4" w:space="0" w:color="auto"/>
              <w:left w:val="single" w:sz="4" w:space="0" w:color="auto"/>
              <w:bottom w:val="single" w:sz="4" w:space="0" w:color="auto"/>
              <w:right w:val="single" w:sz="4" w:space="0" w:color="auto"/>
            </w:tcBorders>
            <w:tcMar>
              <w:left w:w="72" w:type="dxa"/>
              <w:right w:w="72" w:type="dxa"/>
            </w:tcMar>
          </w:tcPr>
          <w:p w14:paraId="3038E51D" w14:textId="77777777" w:rsidR="002D6935" w:rsidRPr="004F485A" w:rsidRDefault="002D6935" w:rsidP="00E26A7B">
            <w:pPr>
              <w:jc w:val="left"/>
              <w:rPr>
                <w:sz w:val="20"/>
                <w:szCs w:val="20"/>
              </w:rPr>
            </w:pPr>
            <w:r w:rsidRPr="004F485A">
              <w:rPr>
                <w:sz w:val="20"/>
                <w:szCs w:val="20"/>
              </w:rPr>
              <w:t>Cinco talleres/sesiones informativas para un total de 140 participantes</w:t>
            </w:r>
          </w:p>
        </w:tc>
        <w:tc>
          <w:tcPr>
            <w:tcW w:w="990" w:type="dxa"/>
            <w:tcBorders>
              <w:top w:val="single" w:sz="4" w:space="0" w:color="auto"/>
              <w:left w:val="single" w:sz="4" w:space="0" w:color="auto"/>
              <w:bottom w:val="single" w:sz="4" w:space="0" w:color="auto"/>
              <w:right w:val="single" w:sz="4" w:space="0" w:color="auto"/>
            </w:tcBorders>
            <w:tcMar>
              <w:left w:w="72" w:type="dxa"/>
              <w:right w:w="72" w:type="dxa"/>
            </w:tcMar>
            <w:hideMark/>
          </w:tcPr>
          <w:p w14:paraId="11BA439C" w14:textId="77777777" w:rsidR="002D6935" w:rsidRPr="004F485A" w:rsidRDefault="002D6935" w:rsidP="00E26A7B">
            <w:pPr>
              <w:jc w:val="right"/>
              <w:rPr>
                <w:sz w:val="20"/>
                <w:szCs w:val="20"/>
              </w:rPr>
            </w:pPr>
            <w:r w:rsidRPr="004F485A">
              <w:rPr>
                <w:sz w:val="20"/>
                <w:szCs w:val="20"/>
              </w:rPr>
              <w:t>13.000</w:t>
            </w:r>
          </w:p>
        </w:tc>
        <w:tc>
          <w:tcPr>
            <w:tcW w:w="1975" w:type="dxa"/>
            <w:tcBorders>
              <w:top w:val="single" w:sz="4" w:space="0" w:color="auto"/>
              <w:left w:val="single" w:sz="4" w:space="0" w:color="auto"/>
              <w:bottom w:val="single" w:sz="4" w:space="0" w:color="auto"/>
              <w:right w:val="single" w:sz="4" w:space="0" w:color="auto"/>
            </w:tcBorders>
            <w:tcMar>
              <w:left w:w="72" w:type="dxa"/>
              <w:right w:w="72" w:type="dxa"/>
            </w:tcMar>
          </w:tcPr>
          <w:p w14:paraId="31C06262" w14:textId="6F864BED" w:rsidR="002D6935" w:rsidRPr="004F485A" w:rsidRDefault="002D6935" w:rsidP="00E26A7B">
            <w:pPr>
              <w:jc w:val="left"/>
              <w:rPr>
                <w:sz w:val="20"/>
                <w:szCs w:val="20"/>
              </w:rPr>
            </w:pPr>
            <w:r w:rsidRPr="004F485A">
              <w:rPr>
                <w:sz w:val="20"/>
                <w:szCs w:val="20"/>
              </w:rPr>
              <w:t>Se están ultimando las fechas y el lugar de</w:t>
            </w:r>
            <w:r w:rsidR="001D35A9">
              <w:rPr>
                <w:sz w:val="20"/>
                <w:szCs w:val="20"/>
              </w:rPr>
              <w:t xml:space="preserve"> celebración de la capacitación</w:t>
            </w:r>
          </w:p>
        </w:tc>
        <w:tc>
          <w:tcPr>
            <w:tcW w:w="1624" w:type="dxa"/>
            <w:tcBorders>
              <w:top w:val="single" w:sz="4" w:space="0" w:color="auto"/>
              <w:left w:val="single" w:sz="4" w:space="0" w:color="auto"/>
              <w:bottom w:val="single" w:sz="4" w:space="0" w:color="auto"/>
              <w:right w:val="single" w:sz="4" w:space="0" w:color="auto"/>
            </w:tcBorders>
            <w:tcMar>
              <w:left w:w="43" w:type="dxa"/>
              <w:right w:w="43" w:type="dxa"/>
            </w:tcMar>
          </w:tcPr>
          <w:p w14:paraId="3C8B119C" w14:textId="77777777" w:rsidR="002D6935" w:rsidRPr="004F485A" w:rsidRDefault="002D6935" w:rsidP="00E26A7B">
            <w:pPr>
              <w:jc w:val="right"/>
              <w:rPr>
                <w:sz w:val="20"/>
                <w:szCs w:val="20"/>
              </w:rPr>
            </w:pPr>
            <w:r w:rsidRPr="004F485A">
              <w:rPr>
                <w:sz w:val="20"/>
                <w:szCs w:val="20"/>
              </w:rPr>
              <w:t>Octubre de 2024-enero de 2025</w:t>
            </w:r>
          </w:p>
        </w:tc>
      </w:tr>
      <w:tr w:rsidR="002D6935" w:rsidRPr="00755500" w14:paraId="29C5A48D" w14:textId="77777777" w:rsidTr="00E26A7B">
        <w:tc>
          <w:tcPr>
            <w:tcW w:w="9359" w:type="dxa"/>
            <w:gridSpan w:val="5"/>
            <w:tcBorders>
              <w:top w:val="single" w:sz="4" w:space="0" w:color="auto"/>
              <w:left w:val="single" w:sz="4" w:space="0" w:color="auto"/>
              <w:bottom w:val="single" w:sz="4" w:space="0" w:color="auto"/>
              <w:right w:val="single" w:sz="4" w:space="0" w:color="auto"/>
            </w:tcBorders>
            <w:tcMar>
              <w:left w:w="72" w:type="dxa"/>
              <w:right w:w="72" w:type="dxa"/>
            </w:tcMar>
          </w:tcPr>
          <w:p w14:paraId="39165B9F" w14:textId="77777777" w:rsidR="002D6935" w:rsidRPr="00755500" w:rsidRDefault="002D6935" w:rsidP="00E26A7B">
            <w:pPr>
              <w:jc w:val="left"/>
              <w:rPr>
                <w:b/>
                <w:sz w:val="20"/>
                <w:szCs w:val="20"/>
              </w:rPr>
            </w:pPr>
            <w:bookmarkStart w:id="4" w:name="_Hlk115084759"/>
            <w:r w:rsidRPr="00755500">
              <w:rPr>
                <w:b/>
                <w:sz w:val="20"/>
                <w:szCs w:val="20"/>
              </w:rPr>
              <w:lastRenderedPageBreak/>
              <w:t>Divulgación y evaluación del impacto</w:t>
            </w:r>
          </w:p>
        </w:tc>
        <w:bookmarkEnd w:id="4"/>
      </w:tr>
      <w:tr w:rsidR="009D5F59" w:rsidRPr="004F485A" w14:paraId="485CA1B4" w14:textId="77777777" w:rsidTr="008B1065">
        <w:trPr>
          <w:trHeight w:val="305"/>
        </w:trPr>
        <w:tc>
          <w:tcPr>
            <w:tcW w:w="3150" w:type="dxa"/>
            <w:tcBorders>
              <w:top w:val="single" w:sz="4" w:space="0" w:color="auto"/>
              <w:left w:val="single" w:sz="4" w:space="0" w:color="auto"/>
              <w:bottom w:val="single" w:sz="4" w:space="0" w:color="auto"/>
              <w:right w:val="single" w:sz="4" w:space="0" w:color="auto"/>
            </w:tcBorders>
            <w:tcMar>
              <w:left w:w="72" w:type="dxa"/>
              <w:right w:w="72" w:type="dxa"/>
            </w:tcMar>
            <w:hideMark/>
          </w:tcPr>
          <w:p w14:paraId="1E467B22" w14:textId="77777777" w:rsidR="002D6935" w:rsidRPr="004F485A" w:rsidRDefault="002D6935" w:rsidP="00E26A7B">
            <w:pPr>
              <w:jc w:val="left"/>
              <w:rPr>
                <w:bCs/>
                <w:sz w:val="20"/>
                <w:szCs w:val="20"/>
              </w:rPr>
            </w:pPr>
            <w:r w:rsidRPr="004F485A">
              <w:rPr>
                <w:sz w:val="20"/>
                <w:szCs w:val="20"/>
              </w:rPr>
              <w:t>Elaboración y difusión de materiales de divulgación</w:t>
            </w:r>
          </w:p>
        </w:tc>
        <w:tc>
          <w:tcPr>
            <w:tcW w:w="1620" w:type="dxa"/>
            <w:tcBorders>
              <w:top w:val="single" w:sz="4" w:space="0" w:color="auto"/>
              <w:left w:val="single" w:sz="4" w:space="0" w:color="auto"/>
              <w:bottom w:val="single" w:sz="4" w:space="0" w:color="auto"/>
              <w:right w:val="single" w:sz="4" w:space="0" w:color="auto"/>
            </w:tcBorders>
            <w:tcMar>
              <w:left w:w="72" w:type="dxa"/>
              <w:right w:w="72" w:type="dxa"/>
            </w:tcMar>
          </w:tcPr>
          <w:p w14:paraId="10EE8CE3" w14:textId="77777777" w:rsidR="002D6935" w:rsidRPr="004F485A" w:rsidRDefault="002D6935" w:rsidP="00E26A7B">
            <w:pPr>
              <w:jc w:val="left"/>
              <w:rPr>
                <w:sz w:val="20"/>
                <w:szCs w:val="20"/>
              </w:rPr>
            </w:pPr>
            <w:r w:rsidRPr="004F485A">
              <w:rPr>
                <w:sz w:val="20"/>
                <w:szCs w:val="20"/>
              </w:rPr>
              <w:t>Producción y difusión de cinco vídeos de sensibilización y cinco infografías</w:t>
            </w:r>
          </w:p>
        </w:tc>
        <w:tc>
          <w:tcPr>
            <w:tcW w:w="990" w:type="dxa"/>
            <w:tcBorders>
              <w:top w:val="single" w:sz="4" w:space="0" w:color="auto"/>
              <w:left w:val="single" w:sz="4" w:space="0" w:color="auto"/>
              <w:bottom w:val="single" w:sz="4" w:space="0" w:color="auto"/>
              <w:right w:val="single" w:sz="4" w:space="0" w:color="auto"/>
            </w:tcBorders>
            <w:tcMar>
              <w:left w:w="72" w:type="dxa"/>
              <w:right w:w="72" w:type="dxa"/>
            </w:tcMar>
            <w:hideMark/>
          </w:tcPr>
          <w:p w14:paraId="2A9FA986" w14:textId="77777777" w:rsidR="002D6935" w:rsidRPr="004F485A" w:rsidRDefault="002D6935" w:rsidP="00E26A7B">
            <w:pPr>
              <w:jc w:val="right"/>
              <w:rPr>
                <w:sz w:val="20"/>
                <w:szCs w:val="20"/>
              </w:rPr>
            </w:pPr>
            <w:r w:rsidRPr="004F485A">
              <w:rPr>
                <w:sz w:val="20"/>
                <w:szCs w:val="20"/>
              </w:rPr>
              <w:t>37.000</w:t>
            </w:r>
          </w:p>
        </w:tc>
        <w:tc>
          <w:tcPr>
            <w:tcW w:w="1975" w:type="dxa"/>
            <w:tcBorders>
              <w:top w:val="single" w:sz="4" w:space="0" w:color="auto"/>
              <w:left w:val="single" w:sz="4" w:space="0" w:color="auto"/>
              <w:bottom w:val="single" w:sz="4" w:space="0" w:color="auto"/>
              <w:right w:val="single" w:sz="4" w:space="0" w:color="auto"/>
            </w:tcBorders>
            <w:tcMar>
              <w:left w:w="72" w:type="dxa"/>
              <w:right w:w="72" w:type="dxa"/>
            </w:tcMar>
          </w:tcPr>
          <w:p w14:paraId="4A3730FA" w14:textId="77777777" w:rsidR="002D6935" w:rsidRPr="004F485A" w:rsidRDefault="002D6935" w:rsidP="00E26A7B">
            <w:pPr>
              <w:jc w:val="left"/>
              <w:rPr>
                <w:sz w:val="20"/>
                <w:szCs w:val="20"/>
              </w:rPr>
            </w:pPr>
            <w:r w:rsidRPr="004F485A">
              <w:rPr>
                <w:sz w:val="20"/>
                <w:szCs w:val="20"/>
              </w:rPr>
              <w:t>Se contrata a una empresa de servicios para la elaboración y difusión de vídeos e infografías</w:t>
            </w:r>
          </w:p>
        </w:tc>
        <w:tc>
          <w:tcPr>
            <w:tcW w:w="1624" w:type="dxa"/>
            <w:tcBorders>
              <w:top w:val="single" w:sz="4" w:space="0" w:color="auto"/>
              <w:left w:val="single" w:sz="4" w:space="0" w:color="auto"/>
              <w:bottom w:val="single" w:sz="4" w:space="0" w:color="auto"/>
              <w:right w:val="single" w:sz="4" w:space="0" w:color="auto"/>
            </w:tcBorders>
            <w:tcMar>
              <w:left w:w="43" w:type="dxa"/>
              <w:right w:w="43" w:type="dxa"/>
            </w:tcMar>
          </w:tcPr>
          <w:p w14:paraId="425EC29C" w14:textId="7A6A67F7" w:rsidR="002D6935" w:rsidRPr="004F485A" w:rsidRDefault="002D6935" w:rsidP="00E26A7B">
            <w:pPr>
              <w:jc w:val="right"/>
              <w:rPr>
                <w:sz w:val="20"/>
                <w:szCs w:val="20"/>
              </w:rPr>
            </w:pPr>
            <w:r w:rsidRPr="004F485A">
              <w:rPr>
                <w:sz w:val="20"/>
                <w:szCs w:val="20"/>
              </w:rPr>
              <w:t>Noviembre de 2024-marzo de 2025</w:t>
            </w:r>
          </w:p>
        </w:tc>
      </w:tr>
      <w:tr w:rsidR="009D5F59" w:rsidRPr="004F485A" w14:paraId="0E41B246" w14:textId="77777777" w:rsidTr="008B1065">
        <w:tc>
          <w:tcPr>
            <w:tcW w:w="3150" w:type="dxa"/>
            <w:tcBorders>
              <w:top w:val="single" w:sz="4" w:space="0" w:color="auto"/>
              <w:left w:val="single" w:sz="4" w:space="0" w:color="auto"/>
              <w:bottom w:val="single" w:sz="4" w:space="0" w:color="auto"/>
              <w:right w:val="single" w:sz="4" w:space="0" w:color="auto"/>
            </w:tcBorders>
            <w:tcMar>
              <w:left w:w="72" w:type="dxa"/>
              <w:right w:w="72" w:type="dxa"/>
            </w:tcMar>
            <w:hideMark/>
          </w:tcPr>
          <w:p w14:paraId="24B457B9" w14:textId="77777777" w:rsidR="002D6935" w:rsidRPr="004F485A" w:rsidRDefault="002D6935" w:rsidP="00E26A7B">
            <w:pPr>
              <w:keepLines/>
              <w:rPr>
                <w:bCs/>
                <w:sz w:val="20"/>
                <w:szCs w:val="20"/>
              </w:rPr>
            </w:pPr>
            <w:r w:rsidRPr="004F485A">
              <w:rPr>
                <w:sz w:val="20"/>
                <w:szCs w:val="20"/>
              </w:rPr>
              <w:t>Estudio del comportamiento de los consumidores</w:t>
            </w:r>
          </w:p>
        </w:tc>
        <w:tc>
          <w:tcPr>
            <w:tcW w:w="1620" w:type="dxa"/>
            <w:tcBorders>
              <w:top w:val="single" w:sz="4" w:space="0" w:color="auto"/>
              <w:left w:val="single" w:sz="4" w:space="0" w:color="auto"/>
              <w:bottom w:val="single" w:sz="4" w:space="0" w:color="auto"/>
              <w:right w:val="single" w:sz="4" w:space="0" w:color="auto"/>
            </w:tcBorders>
            <w:tcMar>
              <w:left w:w="72" w:type="dxa"/>
              <w:right w:w="72" w:type="dxa"/>
            </w:tcMar>
          </w:tcPr>
          <w:p w14:paraId="35962C2C" w14:textId="77777777" w:rsidR="002D6935" w:rsidRPr="004F485A" w:rsidRDefault="002D6935" w:rsidP="00E26A7B">
            <w:pPr>
              <w:keepLines/>
              <w:jc w:val="left"/>
              <w:rPr>
                <w:sz w:val="20"/>
                <w:szCs w:val="20"/>
              </w:rPr>
            </w:pPr>
            <w:r w:rsidRPr="004F485A">
              <w:rPr>
                <w:sz w:val="20"/>
                <w:szCs w:val="20"/>
              </w:rPr>
              <w:t>Elaboración y ejecución de un estudio sobre el comportamiento de los consumidores</w:t>
            </w:r>
          </w:p>
        </w:tc>
        <w:tc>
          <w:tcPr>
            <w:tcW w:w="990" w:type="dxa"/>
            <w:tcBorders>
              <w:top w:val="single" w:sz="4" w:space="0" w:color="auto"/>
              <w:left w:val="single" w:sz="4" w:space="0" w:color="auto"/>
              <w:bottom w:val="single" w:sz="4" w:space="0" w:color="auto"/>
              <w:right w:val="single" w:sz="4" w:space="0" w:color="auto"/>
            </w:tcBorders>
            <w:tcMar>
              <w:left w:w="72" w:type="dxa"/>
              <w:right w:w="72" w:type="dxa"/>
            </w:tcMar>
            <w:hideMark/>
          </w:tcPr>
          <w:p w14:paraId="5D297743" w14:textId="77777777" w:rsidR="002D6935" w:rsidRPr="004F485A" w:rsidRDefault="002D6935" w:rsidP="00E26A7B">
            <w:pPr>
              <w:keepLines/>
              <w:jc w:val="right"/>
              <w:rPr>
                <w:sz w:val="20"/>
                <w:szCs w:val="20"/>
              </w:rPr>
            </w:pPr>
            <w:r w:rsidRPr="004F485A">
              <w:rPr>
                <w:sz w:val="20"/>
                <w:szCs w:val="20"/>
              </w:rPr>
              <w:t>15.000</w:t>
            </w:r>
          </w:p>
        </w:tc>
        <w:tc>
          <w:tcPr>
            <w:tcW w:w="1975" w:type="dxa"/>
            <w:tcBorders>
              <w:top w:val="single" w:sz="4" w:space="0" w:color="auto"/>
              <w:left w:val="single" w:sz="4" w:space="0" w:color="auto"/>
              <w:bottom w:val="single" w:sz="4" w:space="0" w:color="auto"/>
              <w:right w:val="single" w:sz="4" w:space="0" w:color="auto"/>
            </w:tcBorders>
            <w:tcMar>
              <w:left w:w="72" w:type="dxa"/>
              <w:right w:w="72" w:type="dxa"/>
            </w:tcMar>
          </w:tcPr>
          <w:p w14:paraId="1AD13908" w14:textId="2A4BCC46" w:rsidR="002D6935" w:rsidRPr="004F485A" w:rsidDel="00105EE1" w:rsidRDefault="002D6935" w:rsidP="00D87B5E">
            <w:pPr>
              <w:keepLines/>
              <w:jc w:val="left"/>
              <w:rPr>
                <w:sz w:val="20"/>
                <w:szCs w:val="20"/>
              </w:rPr>
            </w:pPr>
            <w:r w:rsidRPr="004F485A">
              <w:rPr>
                <w:sz w:val="20"/>
                <w:szCs w:val="20"/>
              </w:rPr>
              <w:t xml:space="preserve">Se contrata a una empresa de servicios para </w:t>
            </w:r>
            <w:r w:rsidR="00D87B5E">
              <w:rPr>
                <w:sz w:val="20"/>
                <w:szCs w:val="20"/>
              </w:rPr>
              <w:t xml:space="preserve">realizar </w:t>
            </w:r>
            <w:r w:rsidRPr="004F485A">
              <w:rPr>
                <w:sz w:val="20"/>
                <w:szCs w:val="20"/>
              </w:rPr>
              <w:t>el estudio del comportamiento de los consumidores</w:t>
            </w:r>
          </w:p>
        </w:tc>
        <w:tc>
          <w:tcPr>
            <w:tcW w:w="1624" w:type="dxa"/>
            <w:tcBorders>
              <w:top w:val="single" w:sz="4" w:space="0" w:color="auto"/>
              <w:left w:val="single" w:sz="4" w:space="0" w:color="auto"/>
              <w:bottom w:val="single" w:sz="4" w:space="0" w:color="auto"/>
              <w:right w:val="single" w:sz="4" w:space="0" w:color="auto"/>
            </w:tcBorders>
            <w:tcMar>
              <w:left w:w="43" w:type="dxa"/>
              <w:right w:w="43" w:type="dxa"/>
            </w:tcMar>
          </w:tcPr>
          <w:p w14:paraId="6785ACC3" w14:textId="77777777" w:rsidR="002D6935" w:rsidRPr="004F485A" w:rsidRDefault="002D6935" w:rsidP="00E26A7B">
            <w:pPr>
              <w:keepLines/>
              <w:jc w:val="right"/>
              <w:rPr>
                <w:sz w:val="20"/>
                <w:szCs w:val="20"/>
              </w:rPr>
            </w:pPr>
            <w:r w:rsidRPr="004F485A">
              <w:rPr>
                <w:sz w:val="20"/>
                <w:szCs w:val="20"/>
              </w:rPr>
              <w:t>Enero de 2025-marzo de 2025</w:t>
            </w:r>
          </w:p>
        </w:tc>
      </w:tr>
      <w:tr w:rsidR="002D6935" w:rsidRPr="003C1788" w14:paraId="32D6F8A7" w14:textId="77777777" w:rsidTr="008B1065">
        <w:tc>
          <w:tcPr>
            <w:tcW w:w="4770" w:type="dxa"/>
            <w:gridSpan w:val="2"/>
            <w:tcBorders>
              <w:top w:val="single" w:sz="4" w:space="0" w:color="auto"/>
              <w:left w:val="single" w:sz="4" w:space="0" w:color="auto"/>
              <w:bottom w:val="single" w:sz="4" w:space="0" w:color="auto"/>
              <w:right w:val="single" w:sz="4" w:space="0" w:color="auto"/>
            </w:tcBorders>
            <w:tcMar>
              <w:left w:w="72" w:type="dxa"/>
              <w:right w:w="72" w:type="dxa"/>
            </w:tcMar>
            <w:hideMark/>
          </w:tcPr>
          <w:p w14:paraId="0960DD75" w14:textId="77777777" w:rsidR="002D6935" w:rsidRPr="003C1788" w:rsidRDefault="002D6935" w:rsidP="00E26A7B">
            <w:pPr>
              <w:jc w:val="left"/>
              <w:rPr>
                <w:b/>
                <w:sz w:val="20"/>
                <w:szCs w:val="20"/>
              </w:rPr>
            </w:pPr>
            <w:r w:rsidRPr="003C1788">
              <w:rPr>
                <w:b/>
                <w:sz w:val="20"/>
                <w:szCs w:val="20"/>
              </w:rPr>
              <w:t>Total</w:t>
            </w:r>
          </w:p>
        </w:tc>
        <w:tc>
          <w:tcPr>
            <w:tcW w:w="990" w:type="dxa"/>
            <w:tcBorders>
              <w:top w:val="single" w:sz="4" w:space="0" w:color="auto"/>
              <w:left w:val="single" w:sz="4" w:space="0" w:color="auto"/>
              <w:bottom w:val="single" w:sz="4" w:space="0" w:color="auto"/>
              <w:right w:val="single" w:sz="4" w:space="0" w:color="auto"/>
            </w:tcBorders>
            <w:tcMar>
              <w:left w:w="72" w:type="dxa"/>
              <w:right w:w="72" w:type="dxa"/>
            </w:tcMar>
            <w:hideMark/>
          </w:tcPr>
          <w:p w14:paraId="641C838E" w14:textId="77777777" w:rsidR="002D6935" w:rsidRPr="003C1788" w:rsidRDefault="002D6935" w:rsidP="00E26A7B">
            <w:pPr>
              <w:jc w:val="right"/>
              <w:rPr>
                <w:b/>
                <w:sz w:val="20"/>
                <w:szCs w:val="20"/>
              </w:rPr>
            </w:pPr>
            <w:r w:rsidRPr="003C1788">
              <w:rPr>
                <w:b/>
                <w:sz w:val="20"/>
                <w:szCs w:val="20"/>
              </w:rPr>
              <w:t>100.000</w:t>
            </w:r>
          </w:p>
        </w:tc>
        <w:tc>
          <w:tcPr>
            <w:tcW w:w="1975" w:type="dxa"/>
            <w:tcBorders>
              <w:top w:val="single" w:sz="4" w:space="0" w:color="auto"/>
              <w:left w:val="single" w:sz="4" w:space="0" w:color="auto"/>
              <w:bottom w:val="single" w:sz="4" w:space="0" w:color="auto"/>
              <w:right w:val="single" w:sz="4" w:space="0" w:color="auto"/>
            </w:tcBorders>
            <w:tcMar>
              <w:left w:w="72" w:type="dxa"/>
              <w:right w:w="72" w:type="dxa"/>
            </w:tcMar>
          </w:tcPr>
          <w:p w14:paraId="34EFC550" w14:textId="77777777" w:rsidR="002D6935" w:rsidRPr="003C1788" w:rsidRDefault="002D6935" w:rsidP="00E26A7B">
            <w:pPr>
              <w:jc w:val="right"/>
              <w:rPr>
                <w:b/>
                <w:sz w:val="20"/>
                <w:szCs w:val="20"/>
              </w:rPr>
            </w:pPr>
          </w:p>
        </w:tc>
        <w:tc>
          <w:tcPr>
            <w:tcW w:w="1624" w:type="dxa"/>
            <w:tcBorders>
              <w:top w:val="single" w:sz="4" w:space="0" w:color="auto"/>
              <w:left w:val="single" w:sz="4" w:space="0" w:color="auto"/>
              <w:bottom w:val="single" w:sz="4" w:space="0" w:color="auto"/>
              <w:right w:val="single" w:sz="4" w:space="0" w:color="auto"/>
            </w:tcBorders>
            <w:tcMar>
              <w:left w:w="43" w:type="dxa"/>
              <w:right w:w="43" w:type="dxa"/>
            </w:tcMar>
          </w:tcPr>
          <w:p w14:paraId="6D716906" w14:textId="77777777" w:rsidR="002D6935" w:rsidRPr="003C1788" w:rsidRDefault="002D6935" w:rsidP="00E26A7B">
            <w:pPr>
              <w:jc w:val="right"/>
              <w:rPr>
                <w:b/>
                <w:sz w:val="20"/>
                <w:szCs w:val="20"/>
              </w:rPr>
            </w:pPr>
          </w:p>
        </w:tc>
      </w:tr>
    </w:tbl>
    <w:p w14:paraId="7C0DE0AD" w14:textId="6451AD99" w:rsidR="002D6935" w:rsidRPr="003C1788" w:rsidRDefault="00E26A7B" w:rsidP="002D6935">
      <w:pPr>
        <w:keepNext/>
        <w:outlineLvl w:val="0"/>
        <w:rPr>
          <w:rFonts w:eastAsiaTheme="minorEastAsia"/>
          <w:b/>
          <w:lang w:eastAsia="zh-CN"/>
        </w:rPr>
      </w:pPr>
      <w:r>
        <w:rPr>
          <w:rFonts w:eastAsiaTheme="minorEastAsia"/>
          <w:b/>
          <w:lang w:eastAsia="zh-CN"/>
        </w:rPr>
        <w:br w:type="textWrapping" w:clear="all"/>
      </w:r>
    </w:p>
    <w:p w14:paraId="3B714E06" w14:textId="77777777" w:rsidR="002D6935" w:rsidRPr="003C1788" w:rsidRDefault="002D6935" w:rsidP="002D6935">
      <w:pPr>
        <w:keepNext/>
        <w:spacing w:after="240"/>
        <w:outlineLvl w:val="0"/>
        <w:rPr>
          <w:rFonts w:eastAsiaTheme="minorEastAsia"/>
          <w:b/>
        </w:rPr>
      </w:pPr>
      <w:r w:rsidRPr="003C1788">
        <w:rPr>
          <w:b/>
        </w:rPr>
        <w:t>Recomendación</w:t>
      </w:r>
    </w:p>
    <w:p w14:paraId="421407EE" w14:textId="5648978B" w:rsidR="002D6935" w:rsidRPr="003C1788" w:rsidRDefault="002D6935" w:rsidP="00A14C3A">
      <w:pPr>
        <w:pStyle w:val="Heading1"/>
        <w:rPr>
          <w:rFonts w:eastAsiaTheme="minorEastAsia"/>
        </w:rPr>
      </w:pPr>
      <w:r w:rsidRPr="003C1788">
        <w:t xml:space="preserve">El Comité Ejecutivo tal vez desee tomar nota del informe sobre el avance del proyecto relacionado con las actividades adicionales para la introducción de alternativas a los HCFC con un potencial de calentamiento atmosférico bajo o nulo y sobre el mantenimiento de la eficiencia energética en el </w:t>
      </w:r>
      <w:r w:rsidR="009D5F59" w:rsidRPr="003C1788">
        <w:t>sector servicio</w:t>
      </w:r>
      <w:r w:rsidRPr="003C1788">
        <w:t xml:space="preserve"> técnico de equipos de refrigeración en Maldivas, presentado por el PNUMA e incluido en el documento UNEP/</w:t>
      </w:r>
      <w:proofErr w:type="spellStart"/>
      <w:r w:rsidRPr="003C1788">
        <w:t>OzL.Pro</w:t>
      </w:r>
      <w:proofErr w:type="spellEnd"/>
      <w:r w:rsidRPr="003C1788">
        <w:t>/</w:t>
      </w:r>
      <w:proofErr w:type="spellStart"/>
      <w:r w:rsidRPr="003C1788">
        <w:t>ExCom</w:t>
      </w:r>
      <w:proofErr w:type="spellEnd"/>
      <w:r w:rsidRPr="003C1788">
        <w:t>/95/20.</w:t>
      </w:r>
    </w:p>
    <w:p w14:paraId="78A3A421" w14:textId="77777777" w:rsidR="00F81A98" w:rsidRPr="003C1788" w:rsidRDefault="00F81A98" w:rsidP="00F81A98">
      <w:pPr>
        <w:rPr>
          <w:rFonts w:eastAsiaTheme="minorEastAsia"/>
          <w:lang w:eastAsia="zh-CN"/>
        </w:rPr>
      </w:pPr>
    </w:p>
    <w:p w14:paraId="5C0A8549" w14:textId="77777777" w:rsidR="00733751" w:rsidRPr="003C1788" w:rsidRDefault="00733751" w:rsidP="004E7F9C">
      <w:pPr>
        <w:sectPr w:rsidR="00733751" w:rsidRPr="003C1788" w:rsidSect="00CB1DBA">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5EBA8909" w14:textId="77777777" w:rsidR="00733751" w:rsidRPr="003C1788" w:rsidRDefault="00733751" w:rsidP="00733751">
      <w:pPr>
        <w:spacing w:after="240"/>
        <w:jc w:val="center"/>
        <w:rPr>
          <w:rFonts w:eastAsiaTheme="minorEastAsia"/>
          <w:b/>
          <w:bCs/>
        </w:rPr>
      </w:pPr>
      <w:r w:rsidRPr="003C1788">
        <w:rPr>
          <w:b/>
          <w:bCs/>
        </w:rPr>
        <w:lastRenderedPageBreak/>
        <w:t>Anexo I</w:t>
      </w:r>
    </w:p>
    <w:p w14:paraId="3527FB7B" w14:textId="30E5A7F2" w:rsidR="00733751" w:rsidRPr="003C1788" w:rsidRDefault="00733751" w:rsidP="00733751">
      <w:pPr>
        <w:autoSpaceDE w:val="0"/>
        <w:autoSpaceDN w:val="0"/>
        <w:adjustRightInd w:val="0"/>
        <w:jc w:val="center"/>
        <w:rPr>
          <w:rFonts w:eastAsiaTheme="minorEastAsia"/>
          <w:b/>
          <w:bCs/>
        </w:rPr>
      </w:pPr>
      <w:r w:rsidRPr="003C1788">
        <w:rPr>
          <w:b/>
          <w:bCs/>
        </w:rPr>
        <w:t>TEXTO A AGREGAR AL ACUERDO REVISADO Y ACTUALIZADO ENTRE LA REPÚBLICA ISLÁMICA DE</w:t>
      </w:r>
      <w:r w:rsidR="001375E2">
        <w:rPr>
          <w:b/>
          <w:bCs/>
        </w:rPr>
        <w:t>L</w:t>
      </w:r>
      <w:r w:rsidRPr="003C1788">
        <w:rPr>
          <w:b/>
          <w:bCs/>
        </w:rPr>
        <w:t xml:space="preserve"> AFGANISTÁN Y EL COMITÉ EJECUTIVO DEL FONDO MULTILATERAL PARA LA REDUCCIÓN DEL CONSUMO DE HIDROCLOROFLUOROCARBONOS</w:t>
      </w:r>
    </w:p>
    <w:p w14:paraId="59E77606" w14:textId="77777777" w:rsidR="00733751" w:rsidRPr="003C1788" w:rsidRDefault="00733751" w:rsidP="00733751">
      <w:pPr>
        <w:spacing w:after="360"/>
        <w:jc w:val="center"/>
        <w:rPr>
          <w:rFonts w:eastAsiaTheme="minorEastAsia"/>
        </w:rPr>
      </w:pPr>
      <w:r w:rsidRPr="003C1788">
        <w:t>(Los cambios pertinentes figuran en negrita para facilitar la consulta)</w:t>
      </w:r>
    </w:p>
    <w:p w14:paraId="1FA7A3F1" w14:textId="01DA4DBD" w:rsidR="00733751" w:rsidRPr="003C1788" w:rsidRDefault="00733751" w:rsidP="00733751">
      <w:pPr>
        <w:numPr>
          <w:ilvl w:val="0"/>
          <w:numId w:val="40"/>
        </w:numPr>
        <w:spacing w:after="240"/>
        <w:outlineLvl w:val="0"/>
      </w:pPr>
      <w:r w:rsidRPr="003C1788">
        <w:t xml:space="preserve">Este Acuerdo </w:t>
      </w:r>
      <w:r w:rsidRPr="003C1788">
        <w:rPr>
          <w:b/>
          <w:bCs/>
        </w:rPr>
        <w:t>revisado</w:t>
      </w:r>
      <w:r w:rsidRPr="003C1788">
        <w:t xml:space="preserve"> y actualizado sustituye al Acuerdo alcanzado entre la República Islámica de</w:t>
      </w:r>
      <w:r w:rsidR="00060084">
        <w:t>l</w:t>
      </w:r>
      <w:r w:rsidRPr="003C1788">
        <w:t xml:space="preserve"> Afganistán y el Comité Ejecutivo en la </w:t>
      </w:r>
      <w:r w:rsidRPr="003C1788">
        <w:rPr>
          <w:b/>
          <w:bCs/>
        </w:rPr>
        <w:t>79</w:t>
      </w:r>
      <w:r w:rsidRPr="003C1788">
        <w:rPr>
          <w:b/>
          <w:bCs/>
          <w:vertAlign w:val="superscript"/>
        </w:rPr>
        <w:t>a</w:t>
      </w:r>
      <w:r w:rsidRPr="003C1788">
        <w:rPr>
          <w:vertAlign w:val="superscript"/>
        </w:rPr>
        <w:t xml:space="preserve"> </w:t>
      </w:r>
      <w:r w:rsidRPr="003C1788">
        <w:rPr>
          <w:b/>
          <w:bCs/>
        </w:rPr>
        <w:t>reunión</w:t>
      </w:r>
      <w:r w:rsidRPr="003C1788">
        <w:t xml:space="preserve"> del Comité Ejecutivo.</w:t>
      </w:r>
    </w:p>
    <w:p w14:paraId="7D490D45" w14:textId="77777777" w:rsidR="00733751" w:rsidRPr="003C1788" w:rsidRDefault="00733751" w:rsidP="00733751">
      <w:pPr>
        <w:keepNext/>
        <w:outlineLvl w:val="0"/>
        <w:rPr>
          <w:b/>
        </w:rPr>
      </w:pPr>
      <w:r w:rsidRPr="003C1788">
        <w:rPr>
          <w:b/>
        </w:rPr>
        <w:t>APÉNDICE 2-A: METAS Y FINANCIAMIENTO</w:t>
      </w:r>
    </w:p>
    <w:tbl>
      <w:tblPr>
        <w:tblW w:w="5000" w:type="pct"/>
        <w:tblLayout w:type="fixed"/>
        <w:tblLook w:val="04A0" w:firstRow="1" w:lastRow="0" w:firstColumn="1" w:lastColumn="0" w:noHBand="0" w:noVBand="1"/>
      </w:tblPr>
      <w:tblGrid>
        <w:gridCol w:w="627"/>
        <w:gridCol w:w="1891"/>
        <w:gridCol w:w="628"/>
        <w:gridCol w:w="539"/>
        <w:gridCol w:w="451"/>
        <w:gridCol w:w="641"/>
        <w:gridCol w:w="540"/>
        <w:gridCol w:w="630"/>
        <w:gridCol w:w="623"/>
        <w:gridCol w:w="540"/>
        <w:gridCol w:w="540"/>
        <w:gridCol w:w="548"/>
        <w:gridCol w:w="535"/>
        <w:gridCol w:w="617"/>
      </w:tblGrid>
      <w:tr w:rsidR="009D5F59" w:rsidRPr="003C1788" w14:paraId="7B56B146" w14:textId="77777777" w:rsidTr="009D5F59">
        <w:trPr>
          <w:trHeight w:val="20"/>
        </w:trPr>
        <w:tc>
          <w:tcPr>
            <w:tcW w:w="335"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768EFD29" w14:textId="77777777" w:rsidR="00733751" w:rsidRPr="003C1788" w:rsidRDefault="00733751" w:rsidP="00733751">
            <w:pPr>
              <w:jc w:val="center"/>
              <w:rPr>
                <w:color w:val="000000"/>
                <w:sz w:val="16"/>
                <w:szCs w:val="16"/>
              </w:rPr>
            </w:pPr>
            <w:r w:rsidRPr="003C1788">
              <w:rPr>
                <w:color w:val="000000"/>
                <w:sz w:val="16"/>
                <w:szCs w:val="16"/>
              </w:rPr>
              <w:t>Renglón</w:t>
            </w:r>
          </w:p>
        </w:tc>
        <w:tc>
          <w:tcPr>
            <w:tcW w:w="1011"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692F9B7" w14:textId="77777777" w:rsidR="00733751" w:rsidRPr="003C1788" w:rsidRDefault="00733751" w:rsidP="00733751">
            <w:pPr>
              <w:jc w:val="center"/>
              <w:rPr>
                <w:color w:val="000000"/>
                <w:sz w:val="16"/>
                <w:szCs w:val="16"/>
              </w:rPr>
            </w:pPr>
            <w:r w:rsidRPr="003C1788">
              <w:rPr>
                <w:color w:val="000000"/>
                <w:sz w:val="16"/>
                <w:szCs w:val="16"/>
              </w:rPr>
              <w:t>Concepto</w:t>
            </w:r>
          </w:p>
        </w:tc>
        <w:tc>
          <w:tcPr>
            <w:tcW w:w="336"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F82CA02" w14:textId="77777777" w:rsidR="00733751" w:rsidRPr="003C1788" w:rsidRDefault="00733751" w:rsidP="00733751">
            <w:pPr>
              <w:jc w:val="center"/>
              <w:rPr>
                <w:color w:val="000000"/>
                <w:sz w:val="16"/>
                <w:szCs w:val="16"/>
              </w:rPr>
            </w:pPr>
            <w:r w:rsidRPr="003C1788">
              <w:rPr>
                <w:color w:val="000000"/>
                <w:sz w:val="16"/>
                <w:szCs w:val="16"/>
              </w:rPr>
              <w:t>2011</w:t>
            </w:r>
          </w:p>
        </w:tc>
        <w:tc>
          <w:tcPr>
            <w:tcW w:w="288"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78C711D" w14:textId="77777777" w:rsidR="00733751" w:rsidRPr="003C1788" w:rsidRDefault="00733751" w:rsidP="00733751">
            <w:pPr>
              <w:jc w:val="center"/>
              <w:rPr>
                <w:color w:val="000000"/>
                <w:sz w:val="16"/>
                <w:szCs w:val="16"/>
              </w:rPr>
            </w:pPr>
            <w:r w:rsidRPr="003C1788">
              <w:rPr>
                <w:color w:val="000000"/>
                <w:sz w:val="16"/>
                <w:szCs w:val="16"/>
              </w:rPr>
              <w:t>2012</w:t>
            </w:r>
          </w:p>
        </w:tc>
        <w:tc>
          <w:tcPr>
            <w:tcW w:w="241"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1DC3CD3" w14:textId="77777777" w:rsidR="00733751" w:rsidRPr="003C1788" w:rsidRDefault="00733751" w:rsidP="00733751">
            <w:pPr>
              <w:jc w:val="center"/>
              <w:rPr>
                <w:color w:val="000000"/>
                <w:sz w:val="16"/>
                <w:szCs w:val="16"/>
              </w:rPr>
            </w:pPr>
            <w:r w:rsidRPr="003C1788">
              <w:rPr>
                <w:color w:val="000000"/>
                <w:sz w:val="16"/>
                <w:szCs w:val="16"/>
              </w:rPr>
              <w:t>2013</w:t>
            </w:r>
          </w:p>
        </w:tc>
        <w:tc>
          <w:tcPr>
            <w:tcW w:w="343"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9165BF2" w14:textId="77777777" w:rsidR="00733751" w:rsidRPr="003C1788" w:rsidRDefault="00733751" w:rsidP="00733751">
            <w:pPr>
              <w:jc w:val="center"/>
              <w:rPr>
                <w:color w:val="000000"/>
                <w:sz w:val="16"/>
                <w:szCs w:val="16"/>
              </w:rPr>
            </w:pPr>
            <w:r w:rsidRPr="003C1788">
              <w:rPr>
                <w:color w:val="000000"/>
                <w:sz w:val="16"/>
                <w:szCs w:val="16"/>
              </w:rPr>
              <w:t>2014</w:t>
            </w:r>
          </w:p>
        </w:tc>
        <w:tc>
          <w:tcPr>
            <w:tcW w:w="289"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9D21EF7" w14:textId="77777777" w:rsidR="00733751" w:rsidRPr="003C1788" w:rsidRDefault="00733751" w:rsidP="00733751">
            <w:pPr>
              <w:jc w:val="center"/>
              <w:rPr>
                <w:color w:val="000000"/>
                <w:sz w:val="16"/>
                <w:szCs w:val="16"/>
              </w:rPr>
            </w:pPr>
            <w:r w:rsidRPr="003C1788">
              <w:rPr>
                <w:color w:val="000000"/>
                <w:sz w:val="16"/>
                <w:szCs w:val="16"/>
              </w:rPr>
              <w:t>2015</w:t>
            </w:r>
          </w:p>
        </w:tc>
        <w:tc>
          <w:tcPr>
            <w:tcW w:w="337"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CFAD194" w14:textId="77777777" w:rsidR="00733751" w:rsidRPr="003C1788" w:rsidRDefault="00733751" w:rsidP="00733751">
            <w:pPr>
              <w:jc w:val="center"/>
              <w:rPr>
                <w:color w:val="000000"/>
                <w:sz w:val="16"/>
                <w:szCs w:val="16"/>
              </w:rPr>
            </w:pPr>
            <w:r w:rsidRPr="003C1788">
              <w:rPr>
                <w:color w:val="000000"/>
                <w:sz w:val="16"/>
                <w:szCs w:val="16"/>
              </w:rPr>
              <w:t>2016</w:t>
            </w:r>
          </w:p>
        </w:tc>
        <w:tc>
          <w:tcPr>
            <w:tcW w:w="333"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D471186" w14:textId="77777777" w:rsidR="00733751" w:rsidRPr="003C1788" w:rsidRDefault="00733751" w:rsidP="00733751">
            <w:pPr>
              <w:jc w:val="center"/>
              <w:rPr>
                <w:color w:val="000000"/>
                <w:sz w:val="16"/>
                <w:szCs w:val="16"/>
              </w:rPr>
            </w:pPr>
            <w:r w:rsidRPr="003C1788">
              <w:rPr>
                <w:color w:val="000000"/>
                <w:sz w:val="16"/>
                <w:szCs w:val="16"/>
              </w:rPr>
              <w:t>2017</w:t>
            </w:r>
          </w:p>
        </w:tc>
        <w:tc>
          <w:tcPr>
            <w:tcW w:w="289"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A783E22" w14:textId="77777777" w:rsidR="00733751" w:rsidRPr="003C1788" w:rsidRDefault="00733751" w:rsidP="00733751">
            <w:pPr>
              <w:jc w:val="center"/>
              <w:rPr>
                <w:color w:val="000000"/>
                <w:sz w:val="16"/>
                <w:szCs w:val="16"/>
              </w:rPr>
            </w:pPr>
            <w:r w:rsidRPr="003C1788">
              <w:rPr>
                <w:color w:val="000000"/>
                <w:sz w:val="16"/>
                <w:szCs w:val="16"/>
              </w:rPr>
              <w:t>2018-2019</w:t>
            </w:r>
          </w:p>
        </w:tc>
        <w:tc>
          <w:tcPr>
            <w:tcW w:w="289"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1F49350" w14:textId="77777777" w:rsidR="00733751" w:rsidRPr="003C1788" w:rsidRDefault="00733751" w:rsidP="00733751">
            <w:pPr>
              <w:jc w:val="center"/>
              <w:rPr>
                <w:color w:val="000000"/>
                <w:sz w:val="16"/>
                <w:szCs w:val="16"/>
              </w:rPr>
            </w:pPr>
            <w:r w:rsidRPr="003C1788">
              <w:rPr>
                <w:color w:val="000000"/>
                <w:sz w:val="16"/>
                <w:szCs w:val="16"/>
              </w:rPr>
              <w:t>2020</w:t>
            </w:r>
          </w:p>
        </w:tc>
        <w:tc>
          <w:tcPr>
            <w:tcW w:w="293"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EC452A8" w14:textId="77777777" w:rsidR="00733751" w:rsidRPr="003C1788" w:rsidRDefault="00733751" w:rsidP="00733751">
            <w:pPr>
              <w:jc w:val="center"/>
              <w:rPr>
                <w:color w:val="000000"/>
                <w:sz w:val="16"/>
                <w:szCs w:val="16"/>
              </w:rPr>
            </w:pPr>
            <w:r w:rsidRPr="003C1788">
              <w:rPr>
                <w:color w:val="000000"/>
                <w:sz w:val="16"/>
                <w:szCs w:val="16"/>
              </w:rPr>
              <w:t>2021-2024</w:t>
            </w:r>
          </w:p>
        </w:tc>
        <w:tc>
          <w:tcPr>
            <w:tcW w:w="286"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CA3D4C4" w14:textId="77777777" w:rsidR="00733751" w:rsidRPr="003C1788" w:rsidRDefault="00733751" w:rsidP="00733751">
            <w:pPr>
              <w:jc w:val="center"/>
              <w:rPr>
                <w:color w:val="000000"/>
                <w:sz w:val="16"/>
                <w:szCs w:val="16"/>
              </w:rPr>
            </w:pPr>
            <w:r w:rsidRPr="003C1788">
              <w:rPr>
                <w:color w:val="000000"/>
                <w:sz w:val="16"/>
                <w:szCs w:val="16"/>
              </w:rPr>
              <w:t>2025</w:t>
            </w:r>
          </w:p>
        </w:tc>
        <w:tc>
          <w:tcPr>
            <w:tcW w:w="330"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42645F5" w14:textId="77777777" w:rsidR="00733751" w:rsidRPr="003C1788" w:rsidRDefault="00733751" w:rsidP="00733751">
            <w:pPr>
              <w:jc w:val="center"/>
              <w:rPr>
                <w:color w:val="000000"/>
                <w:sz w:val="16"/>
                <w:szCs w:val="16"/>
              </w:rPr>
            </w:pPr>
            <w:r w:rsidRPr="003C1788">
              <w:rPr>
                <w:color w:val="000000"/>
                <w:sz w:val="16"/>
                <w:szCs w:val="16"/>
              </w:rPr>
              <w:t>Total</w:t>
            </w:r>
          </w:p>
        </w:tc>
      </w:tr>
      <w:tr w:rsidR="009D5F59" w:rsidRPr="003C1788" w14:paraId="6B8DE097" w14:textId="77777777" w:rsidTr="009D5F59">
        <w:trPr>
          <w:trHeight w:val="20"/>
        </w:trPr>
        <w:tc>
          <w:tcPr>
            <w:tcW w:w="33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7DBD293" w14:textId="77777777" w:rsidR="00733751" w:rsidRPr="003C1788" w:rsidRDefault="00733751" w:rsidP="00733751">
            <w:pPr>
              <w:jc w:val="left"/>
              <w:rPr>
                <w:color w:val="000000"/>
                <w:sz w:val="16"/>
                <w:szCs w:val="16"/>
              </w:rPr>
            </w:pPr>
            <w:r w:rsidRPr="003C1788">
              <w:rPr>
                <w:color w:val="000000"/>
                <w:sz w:val="16"/>
                <w:szCs w:val="16"/>
              </w:rPr>
              <w:t>1.1</w:t>
            </w:r>
          </w:p>
        </w:tc>
        <w:tc>
          <w:tcPr>
            <w:tcW w:w="1011" w:type="pct"/>
            <w:tcBorders>
              <w:top w:val="nil"/>
              <w:left w:val="nil"/>
              <w:bottom w:val="single" w:sz="4" w:space="0" w:color="auto"/>
              <w:right w:val="single" w:sz="4" w:space="0" w:color="auto"/>
            </w:tcBorders>
            <w:shd w:val="clear" w:color="auto" w:fill="auto"/>
            <w:tcMar>
              <w:left w:w="29" w:type="dxa"/>
              <w:right w:w="29" w:type="dxa"/>
            </w:tcMar>
            <w:hideMark/>
          </w:tcPr>
          <w:p w14:paraId="572A2CE4" w14:textId="2CA9B708" w:rsidR="00733751" w:rsidRPr="003C1788" w:rsidRDefault="00733751" w:rsidP="005F22A2">
            <w:pPr>
              <w:jc w:val="left"/>
              <w:rPr>
                <w:color w:val="000000"/>
                <w:sz w:val="16"/>
                <w:szCs w:val="16"/>
              </w:rPr>
            </w:pPr>
            <w:r w:rsidRPr="003C1788">
              <w:rPr>
                <w:color w:val="000000"/>
                <w:sz w:val="16"/>
                <w:szCs w:val="16"/>
              </w:rPr>
              <w:t>Cronograma de reducción del</w:t>
            </w:r>
            <w:r w:rsidR="005F22A2">
              <w:rPr>
                <w:color w:val="000000"/>
                <w:sz w:val="16"/>
                <w:szCs w:val="16"/>
              </w:rPr>
              <w:t xml:space="preserve"> </w:t>
            </w:r>
            <w:r w:rsidRPr="003C1788">
              <w:rPr>
                <w:color w:val="000000"/>
                <w:sz w:val="16"/>
                <w:szCs w:val="16"/>
              </w:rPr>
              <w:t>Protocolo de Montreal para sustancias del Anexo C, Grupo I (tons. PAO)</w:t>
            </w:r>
          </w:p>
        </w:tc>
        <w:tc>
          <w:tcPr>
            <w:tcW w:w="336" w:type="pct"/>
            <w:tcBorders>
              <w:top w:val="nil"/>
              <w:left w:val="nil"/>
              <w:bottom w:val="single" w:sz="4" w:space="0" w:color="auto"/>
              <w:right w:val="single" w:sz="4" w:space="0" w:color="auto"/>
            </w:tcBorders>
            <w:shd w:val="clear" w:color="auto" w:fill="auto"/>
            <w:tcMar>
              <w:left w:w="29" w:type="dxa"/>
              <w:right w:w="29" w:type="dxa"/>
            </w:tcMar>
            <w:hideMark/>
          </w:tcPr>
          <w:p w14:paraId="0808F85B" w14:textId="77777777" w:rsidR="00733751" w:rsidRPr="003C1788" w:rsidRDefault="00733751" w:rsidP="00733751">
            <w:pPr>
              <w:jc w:val="right"/>
              <w:rPr>
                <w:color w:val="000000"/>
                <w:sz w:val="16"/>
                <w:szCs w:val="16"/>
                <w:lang w:eastAsia="zh-CN"/>
              </w:rPr>
            </w:pPr>
          </w:p>
        </w:tc>
        <w:tc>
          <w:tcPr>
            <w:tcW w:w="288" w:type="pct"/>
            <w:tcBorders>
              <w:top w:val="nil"/>
              <w:left w:val="nil"/>
              <w:bottom w:val="single" w:sz="4" w:space="0" w:color="auto"/>
              <w:right w:val="single" w:sz="4" w:space="0" w:color="auto"/>
            </w:tcBorders>
            <w:shd w:val="clear" w:color="auto" w:fill="auto"/>
            <w:tcMar>
              <w:left w:w="29" w:type="dxa"/>
              <w:right w:w="29" w:type="dxa"/>
            </w:tcMar>
            <w:hideMark/>
          </w:tcPr>
          <w:p w14:paraId="5B2C6026" w14:textId="77777777" w:rsidR="00733751" w:rsidRPr="003C1788" w:rsidRDefault="00733751" w:rsidP="00733751">
            <w:pPr>
              <w:jc w:val="right"/>
              <w:rPr>
                <w:color w:val="000000"/>
                <w:sz w:val="16"/>
                <w:szCs w:val="16"/>
                <w:lang w:eastAsia="zh-CN"/>
              </w:rPr>
            </w:pPr>
          </w:p>
        </w:tc>
        <w:tc>
          <w:tcPr>
            <w:tcW w:w="241" w:type="pct"/>
            <w:tcBorders>
              <w:top w:val="nil"/>
              <w:left w:val="nil"/>
              <w:bottom w:val="single" w:sz="4" w:space="0" w:color="auto"/>
              <w:right w:val="single" w:sz="4" w:space="0" w:color="auto"/>
            </w:tcBorders>
            <w:shd w:val="clear" w:color="auto" w:fill="auto"/>
            <w:tcMar>
              <w:left w:w="29" w:type="dxa"/>
              <w:right w:w="29" w:type="dxa"/>
            </w:tcMar>
            <w:hideMark/>
          </w:tcPr>
          <w:p w14:paraId="50716845" w14:textId="77777777" w:rsidR="00733751" w:rsidRPr="003C1788" w:rsidRDefault="00733751" w:rsidP="00733751">
            <w:pPr>
              <w:jc w:val="right"/>
              <w:rPr>
                <w:color w:val="000000"/>
                <w:sz w:val="16"/>
                <w:szCs w:val="16"/>
              </w:rPr>
            </w:pPr>
            <w:r w:rsidRPr="003C1788">
              <w:rPr>
                <w:color w:val="000000"/>
                <w:sz w:val="16"/>
                <w:szCs w:val="16"/>
              </w:rPr>
              <w:t>23,6</w:t>
            </w:r>
          </w:p>
        </w:tc>
        <w:tc>
          <w:tcPr>
            <w:tcW w:w="343" w:type="pct"/>
            <w:tcBorders>
              <w:top w:val="nil"/>
              <w:left w:val="nil"/>
              <w:bottom w:val="single" w:sz="4" w:space="0" w:color="auto"/>
              <w:right w:val="single" w:sz="4" w:space="0" w:color="auto"/>
            </w:tcBorders>
            <w:shd w:val="clear" w:color="auto" w:fill="auto"/>
            <w:tcMar>
              <w:left w:w="29" w:type="dxa"/>
              <w:right w:w="29" w:type="dxa"/>
            </w:tcMar>
            <w:hideMark/>
          </w:tcPr>
          <w:p w14:paraId="29BA106F" w14:textId="77777777" w:rsidR="00733751" w:rsidRPr="003C1788" w:rsidRDefault="00733751" w:rsidP="00733751">
            <w:pPr>
              <w:jc w:val="right"/>
              <w:rPr>
                <w:color w:val="000000"/>
                <w:sz w:val="16"/>
                <w:szCs w:val="16"/>
              </w:rPr>
            </w:pPr>
            <w:r w:rsidRPr="003C1788">
              <w:rPr>
                <w:color w:val="000000"/>
                <w:sz w:val="16"/>
                <w:szCs w:val="16"/>
              </w:rPr>
              <w:t>23,6</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62154558" w14:textId="77777777" w:rsidR="00733751" w:rsidRPr="003C1788" w:rsidRDefault="00733751" w:rsidP="00733751">
            <w:pPr>
              <w:jc w:val="right"/>
              <w:rPr>
                <w:color w:val="000000"/>
                <w:sz w:val="16"/>
                <w:szCs w:val="16"/>
              </w:rPr>
            </w:pPr>
            <w:r w:rsidRPr="003C1788">
              <w:rPr>
                <w:color w:val="000000"/>
                <w:sz w:val="16"/>
                <w:szCs w:val="16"/>
              </w:rPr>
              <w:t>21,24</w:t>
            </w:r>
          </w:p>
        </w:tc>
        <w:tc>
          <w:tcPr>
            <w:tcW w:w="337" w:type="pct"/>
            <w:tcBorders>
              <w:top w:val="nil"/>
              <w:left w:val="nil"/>
              <w:bottom w:val="single" w:sz="4" w:space="0" w:color="auto"/>
              <w:right w:val="single" w:sz="4" w:space="0" w:color="auto"/>
            </w:tcBorders>
            <w:shd w:val="clear" w:color="auto" w:fill="auto"/>
            <w:tcMar>
              <w:left w:w="29" w:type="dxa"/>
              <w:right w:w="29" w:type="dxa"/>
            </w:tcMar>
            <w:hideMark/>
          </w:tcPr>
          <w:p w14:paraId="651224B2" w14:textId="77777777" w:rsidR="00733751" w:rsidRPr="003C1788" w:rsidRDefault="00733751" w:rsidP="00733751">
            <w:pPr>
              <w:jc w:val="right"/>
              <w:rPr>
                <w:color w:val="000000"/>
                <w:sz w:val="16"/>
                <w:szCs w:val="16"/>
              </w:rPr>
            </w:pPr>
            <w:r w:rsidRPr="003C1788">
              <w:rPr>
                <w:color w:val="000000"/>
                <w:sz w:val="16"/>
                <w:szCs w:val="16"/>
              </w:rPr>
              <w:t>21,24</w:t>
            </w:r>
          </w:p>
        </w:tc>
        <w:tc>
          <w:tcPr>
            <w:tcW w:w="333" w:type="pct"/>
            <w:tcBorders>
              <w:top w:val="nil"/>
              <w:left w:val="nil"/>
              <w:bottom w:val="single" w:sz="4" w:space="0" w:color="auto"/>
              <w:right w:val="single" w:sz="4" w:space="0" w:color="auto"/>
            </w:tcBorders>
            <w:shd w:val="clear" w:color="auto" w:fill="auto"/>
            <w:tcMar>
              <w:left w:w="29" w:type="dxa"/>
              <w:right w:w="29" w:type="dxa"/>
            </w:tcMar>
            <w:hideMark/>
          </w:tcPr>
          <w:p w14:paraId="0416B7CE" w14:textId="77777777" w:rsidR="00733751" w:rsidRPr="003C1788" w:rsidRDefault="00733751" w:rsidP="00733751">
            <w:pPr>
              <w:jc w:val="right"/>
              <w:rPr>
                <w:color w:val="000000"/>
                <w:sz w:val="16"/>
                <w:szCs w:val="16"/>
              </w:rPr>
            </w:pPr>
            <w:r w:rsidRPr="003C1788">
              <w:rPr>
                <w:color w:val="000000"/>
                <w:sz w:val="16"/>
                <w:szCs w:val="16"/>
              </w:rPr>
              <w:t>21,24</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769605F7" w14:textId="77777777" w:rsidR="00733751" w:rsidRPr="003C1788" w:rsidRDefault="00733751" w:rsidP="00733751">
            <w:pPr>
              <w:jc w:val="right"/>
              <w:rPr>
                <w:color w:val="000000"/>
                <w:sz w:val="16"/>
                <w:szCs w:val="16"/>
              </w:rPr>
            </w:pPr>
            <w:r w:rsidRPr="003C1788">
              <w:rPr>
                <w:color w:val="000000"/>
                <w:sz w:val="16"/>
                <w:szCs w:val="16"/>
              </w:rPr>
              <w:t>21,24</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746FD468" w14:textId="77777777" w:rsidR="00733751" w:rsidRPr="003C1788" w:rsidRDefault="00733751" w:rsidP="00733751">
            <w:pPr>
              <w:jc w:val="right"/>
              <w:rPr>
                <w:color w:val="000000"/>
                <w:sz w:val="16"/>
                <w:szCs w:val="16"/>
              </w:rPr>
            </w:pPr>
            <w:r w:rsidRPr="003C1788">
              <w:rPr>
                <w:color w:val="000000"/>
                <w:sz w:val="16"/>
                <w:szCs w:val="16"/>
              </w:rPr>
              <w:t>15,34</w:t>
            </w:r>
          </w:p>
        </w:tc>
        <w:tc>
          <w:tcPr>
            <w:tcW w:w="293" w:type="pct"/>
            <w:tcBorders>
              <w:top w:val="nil"/>
              <w:left w:val="nil"/>
              <w:bottom w:val="single" w:sz="4" w:space="0" w:color="auto"/>
              <w:right w:val="single" w:sz="4" w:space="0" w:color="auto"/>
            </w:tcBorders>
            <w:shd w:val="clear" w:color="auto" w:fill="auto"/>
            <w:tcMar>
              <w:left w:w="29" w:type="dxa"/>
              <w:right w:w="29" w:type="dxa"/>
            </w:tcMar>
            <w:hideMark/>
          </w:tcPr>
          <w:p w14:paraId="01348768" w14:textId="77777777" w:rsidR="00733751" w:rsidRPr="003C1788" w:rsidRDefault="00733751" w:rsidP="00733751">
            <w:pPr>
              <w:jc w:val="right"/>
              <w:rPr>
                <w:color w:val="000000"/>
                <w:sz w:val="16"/>
                <w:szCs w:val="16"/>
              </w:rPr>
            </w:pPr>
            <w:r w:rsidRPr="003C1788">
              <w:rPr>
                <w:color w:val="000000"/>
                <w:sz w:val="16"/>
                <w:szCs w:val="16"/>
              </w:rPr>
              <w:t>15,34</w:t>
            </w:r>
          </w:p>
        </w:tc>
        <w:tc>
          <w:tcPr>
            <w:tcW w:w="286" w:type="pct"/>
            <w:tcBorders>
              <w:top w:val="nil"/>
              <w:left w:val="nil"/>
              <w:bottom w:val="single" w:sz="4" w:space="0" w:color="auto"/>
              <w:right w:val="single" w:sz="4" w:space="0" w:color="auto"/>
            </w:tcBorders>
            <w:shd w:val="clear" w:color="auto" w:fill="auto"/>
            <w:tcMar>
              <w:left w:w="29" w:type="dxa"/>
              <w:right w:w="29" w:type="dxa"/>
            </w:tcMar>
            <w:hideMark/>
          </w:tcPr>
          <w:p w14:paraId="573B4A5E" w14:textId="77777777" w:rsidR="00733751" w:rsidRPr="003C1788" w:rsidRDefault="00733751" w:rsidP="00733751">
            <w:pPr>
              <w:jc w:val="right"/>
              <w:rPr>
                <w:color w:val="000000"/>
                <w:sz w:val="16"/>
                <w:szCs w:val="16"/>
              </w:rPr>
            </w:pPr>
            <w:r w:rsidRPr="003C1788">
              <w:rPr>
                <w:color w:val="000000"/>
                <w:sz w:val="16"/>
                <w:szCs w:val="16"/>
              </w:rPr>
              <w:t>7,67</w:t>
            </w:r>
          </w:p>
        </w:tc>
        <w:tc>
          <w:tcPr>
            <w:tcW w:w="330" w:type="pct"/>
            <w:tcBorders>
              <w:top w:val="nil"/>
              <w:left w:val="nil"/>
              <w:bottom w:val="single" w:sz="4" w:space="0" w:color="auto"/>
              <w:right w:val="single" w:sz="4" w:space="0" w:color="auto"/>
            </w:tcBorders>
            <w:shd w:val="clear" w:color="auto" w:fill="auto"/>
            <w:tcMar>
              <w:left w:w="29" w:type="dxa"/>
              <w:right w:w="29" w:type="dxa"/>
            </w:tcMar>
            <w:hideMark/>
          </w:tcPr>
          <w:p w14:paraId="18A0CAB9" w14:textId="77777777" w:rsidR="00733751" w:rsidRPr="003C1788" w:rsidRDefault="00733751" w:rsidP="00733751">
            <w:pPr>
              <w:jc w:val="right"/>
              <w:rPr>
                <w:color w:val="000000"/>
                <w:sz w:val="16"/>
                <w:szCs w:val="16"/>
              </w:rPr>
            </w:pPr>
            <w:r w:rsidRPr="003C1788">
              <w:rPr>
                <w:color w:val="000000"/>
                <w:sz w:val="16"/>
                <w:szCs w:val="16"/>
              </w:rPr>
              <w:t>n. a.</w:t>
            </w:r>
          </w:p>
        </w:tc>
      </w:tr>
      <w:tr w:rsidR="009D5F59" w:rsidRPr="003C1788" w14:paraId="27EBF599" w14:textId="77777777" w:rsidTr="009D5F59">
        <w:trPr>
          <w:trHeight w:val="20"/>
        </w:trPr>
        <w:tc>
          <w:tcPr>
            <w:tcW w:w="33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CEDE256" w14:textId="77777777" w:rsidR="00733751" w:rsidRPr="003C1788" w:rsidRDefault="00733751" w:rsidP="00733751">
            <w:pPr>
              <w:jc w:val="left"/>
              <w:rPr>
                <w:color w:val="000000"/>
                <w:sz w:val="16"/>
                <w:szCs w:val="16"/>
              </w:rPr>
            </w:pPr>
            <w:r w:rsidRPr="003C1788">
              <w:rPr>
                <w:color w:val="000000"/>
                <w:sz w:val="16"/>
                <w:szCs w:val="16"/>
              </w:rPr>
              <w:t>1.2</w:t>
            </w:r>
          </w:p>
        </w:tc>
        <w:tc>
          <w:tcPr>
            <w:tcW w:w="1011" w:type="pct"/>
            <w:tcBorders>
              <w:top w:val="nil"/>
              <w:left w:val="nil"/>
              <w:bottom w:val="single" w:sz="4" w:space="0" w:color="auto"/>
              <w:right w:val="single" w:sz="4" w:space="0" w:color="auto"/>
            </w:tcBorders>
            <w:shd w:val="clear" w:color="auto" w:fill="auto"/>
            <w:tcMar>
              <w:left w:w="29" w:type="dxa"/>
              <w:right w:w="29" w:type="dxa"/>
            </w:tcMar>
            <w:hideMark/>
          </w:tcPr>
          <w:p w14:paraId="0D10E339" w14:textId="77777777" w:rsidR="00733751" w:rsidRPr="003C1788" w:rsidRDefault="00733751" w:rsidP="00733751">
            <w:pPr>
              <w:jc w:val="left"/>
              <w:rPr>
                <w:color w:val="000000"/>
                <w:sz w:val="16"/>
                <w:szCs w:val="16"/>
              </w:rPr>
            </w:pPr>
            <w:r w:rsidRPr="003C1788">
              <w:rPr>
                <w:color w:val="000000"/>
                <w:sz w:val="16"/>
                <w:szCs w:val="16"/>
              </w:rPr>
              <w:t>Consumo total máximo permitido de sustancias del Anexo C, Grupo I (tons. PAO)</w:t>
            </w:r>
          </w:p>
        </w:tc>
        <w:tc>
          <w:tcPr>
            <w:tcW w:w="336" w:type="pct"/>
            <w:tcBorders>
              <w:top w:val="nil"/>
              <w:left w:val="nil"/>
              <w:bottom w:val="single" w:sz="4" w:space="0" w:color="auto"/>
              <w:right w:val="single" w:sz="4" w:space="0" w:color="auto"/>
            </w:tcBorders>
            <w:shd w:val="clear" w:color="auto" w:fill="auto"/>
            <w:tcMar>
              <w:left w:w="29" w:type="dxa"/>
              <w:right w:w="29" w:type="dxa"/>
            </w:tcMar>
            <w:hideMark/>
          </w:tcPr>
          <w:p w14:paraId="5BE9BD59" w14:textId="77777777" w:rsidR="00733751" w:rsidRPr="003C1788" w:rsidRDefault="00733751" w:rsidP="00733751">
            <w:pPr>
              <w:jc w:val="right"/>
              <w:rPr>
                <w:color w:val="000000"/>
                <w:sz w:val="16"/>
                <w:szCs w:val="16"/>
                <w:lang w:eastAsia="zh-CN"/>
              </w:rPr>
            </w:pPr>
          </w:p>
        </w:tc>
        <w:tc>
          <w:tcPr>
            <w:tcW w:w="288" w:type="pct"/>
            <w:tcBorders>
              <w:top w:val="nil"/>
              <w:left w:val="nil"/>
              <w:bottom w:val="single" w:sz="4" w:space="0" w:color="auto"/>
              <w:right w:val="single" w:sz="4" w:space="0" w:color="auto"/>
            </w:tcBorders>
            <w:shd w:val="clear" w:color="auto" w:fill="auto"/>
            <w:tcMar>
              <w:left w:w="29" w:type="dxa"/>
              <w:right w:w="29" w:type="dxa"/>
            </w:tcMar>
            <w:hideMark/>
          </w:tcPr>
          <w:p w14:paraId="3111EFA7" w14:textId="77777777" w:rsidR="00733751" w:rsidRPr="003C1788" w:rsidRDefault="00733751" w:rsidP="00733751">
            <w:pPr>
              <w:jc w:val="right"/>
              <w:rPr>
                <w:color w:val="000000"/>
                <w:sz w:val="16"/>
                <w:szCs w:val="16"/>
                <w:lang w:eastAsia="zh-CN"/>
              </w:rPr>
            </w:pPr>
          </w:p>
        </w:tc>
        <w:tc>
          <w:tcPr>
            <w:tcW w:w="241" w:type="pct"/>
            <w:tcBorders>
              <w:top w:val="nil"/>
              <w:left w:val="nil"/>
              <w:bottom w:val="single" w:sz="4" w:space="0" w:color="auto"/>
              <w:right w:val="single" w:sz="4" w:space="0" w:color="auto"/>
            </w:tcBorders>
            <w:shd w:val="clear" w:color="auto" w:fill="auto"/>
            <w:tcMar>
              <w:left w:w="29" w:type="dxa"/>
              <w:right w:w="29" w:type="dxa"/>
            </w:tcMar>
            <w:hideMark/>
          </w:tcPr>
          <w:p w14:paraId="182397DC" w14:textId="77777777" w:rsidR="00733751" w:rsidRPr="003C1788" w:rsidRDefault="00733751" w:rsidP="00733751">
            <w:pPr>
              <w:jc w:val="right"/>
              <w:rPr>
                <w:color w:val="000000"/>
                <w:sz w:val="16"/>
                <w:szCs w:val="16"/>
              </w:rPr>
            </w:pPr>
            <w:r w:rsidRPr="003C1788">
              <w:rPr>
                <w:color w:val="000000"/>
                <w:sz w:val="16"/>
                <w:szCs w:val="16"/>
              </w:rPr>
              <w:t>23,6</w:t>
            </w:r>
          </w:p>
        </w:tc>
        <w:tc>
          <w:tcPr>
            <w:tcW w:w="343" w:type="pct"/>
            <w:tcBorders>
              <w:top w:val="nil"/>
              <w:left w:val="nil"/>
              <w:bottom w:val="single" w:sz="4" w:space="0" w:color="auto"/>
              <w:right w:val="single" w:sz="4" w:space="0" w:color="auto"/>
            </w:tcBorders>
            <w:shd w:val="clear" w:color="auto" w:fill="auto"/>
            <w:tcMar>
              <w:left w:w="29" w:type="dxa"/>
              <w:right w:w="29" w:type="dxa"/>
            </w:tcMar>
            <w:hideMark/>
          </w:tcPr>
          <w:p w14:paraId="2885A39F" w14:textId="77777777" w:rsidR="00733751" w:rsidRPr="003C1788" w:rsidRDefault="00733751" w:rsidP="00733751">
            <w:pPr>
              <w:jc w:val="right"/>
              <w:rPr>
                <w:color w:val="000000"/>
                <w:sz w:val="16"/>
                <w:szCs w:val="16"/>
              </w:rPr>
            </w:pPr>
            <w:r w:rsidRPr="003C1788">
              <w:rPr>
                <w:color w:val="000000"/>
                <w:sz w:val="16"/>
                <w:szCs w:val="16"/>
              </w:rPr>
              <w:t>23,6</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29E2D64B" w14:textId="77777777" w:rsidR="00733751" w:rsidRPr="003C1788" w:rsidRDefault="00733751" w:rsidP="00733751">
            <w:pPr>
              <w:jc w:val="right"/>
              <w:rPr>
                <w:color w:val="000000"/>
                <w:sz w:val="16"/>
                <w:szCs w:val="16"/>
              </w:rPr>
            </w:pPr>
            <w:r w:rsidRPr="003C1788">
              <w:rPr>
                <w:color w:val="000000"/>
                <w:sz w:val="16"/>
                <w:szCs w:val="16"/>
              </w:rPr>
              <w:t>21,24</w:t>
            </w:r>
          </w:p>
        </w:tc>
        <w:tc>
          <w:tcPr>
            <w:tcW w:w="337" w:type="pct"/>
            <w:tcBorders>
              <w:top w:val="nil"/>
              <w:left w:val="nil"/>
              <w:bottom w:val="single" w:sz="4" w:space="0" w:color="auto"/>
              <w:right w:val="single" w:sz="4" w:space="0" w:color="auto"/>
            </w:tcBorders>
            <w:shd w:val="clear" w:color="auto" w:fill="auto"/>
            <w:tcMar>
              <w:left w:w="29" w:type="dxa"/>
              <w:right w:w="29" w:type="dxa"/>
            </w:tcMar>
            <w:hideMark/>
          </w:tcPr>
          <w:p w14:paraId="7E43B251" w14:textId="77777777" w:rsidR="00733751" w:rsidRPr="003C1788" w:rsidRDefault="00733751" w:rsidP="00733751">
            <w:pPr>
              <w:jc w:val="right"/>
              <w:rPr>
                <w:color w:val="000000"/>
                <w:sz w:val="16"/>
                <w:szCs w:val="16"/>
              </w:rPr>
            </w:pPr>
            <w:r w:rsidRPr="003C1788">
              <w:rPr>
                <w:color w:val="000000"/>
                <w:sz w:val="16"/>
                <w:szCs w:val="16"/>
              </w:rPr>
              <w:t>21,24</w:t>
            </w:r>
          </w:p>
        </w:tc>
        <w:tc>
          <w:tcPr>
            <w:tcW w:w="333" w:type="pct"/>
            <w:tcBorders>
              <w:top w:val="nil"/>
              <w:left w:val="nil"/>
              <w:bottom w:val="single" w:sz="4" w:space="0" w:color="auto"/>
              <w:right w:val="single" w:sz="4" w:space="0" w:color="auto"/>
            </w:tcBorders>
            <w:shd w:val="clear" w:color="auto" w:fill="auto"/>
            <w:tcMar>
              <w:left w:w="29" w:type="dxa"/>
              <w:right w:w="29" w:type="dxa"/>
            </w:tcMar>
            <w:hideMark/>
          </w:tcPr>
          <w:p w14:paraId="061CBAAD" w14:textId="77777777" w:rsidR="00733751" w:rsidRPr="003C1788" w:rsidRDefault="00733751" w:rsidP="00733751">
            <w:pPr>
              <w:jc w:val="right"/>
              <w:rPr>
                <w:color w:val="000000"/>
                <w:sz w:val="16"/>
                <w:szCs w:val="16"/>
              </w:rPr>
            </w:pPr>
            <w:r w:rsidRPr="003C1788">
              <w:rPr>
                <w:color w:val="000000"/>
                <w:sz w:val="16"/>
                <w:szCs w:val="16"/>
              </w:rPr>
              <w:t>21,24</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17322C08" w14:textId="77777777" w:rsidR="00733751" w:rsidRPr="003C1788" w:rsidRDefault="00733751" w:rsidP="00733751">
            <w:pPr>
              <w:jc w:val="right"/>
              <w:rPr>
                <w:color w:val="000000"/>
                <w:sz w:val="16"/>
                <w:szCs w:val="16"/>
              </w:rPr>
            </w:pPr>
            <w:r w:rsidRPr="003C1788">
              <w:rPr>
                <w:color w:val="000000"/>
                <w:sz w:val="16"/>
                <w:szCs w:val="16"/>
              </w:rPr>
              <w:t>21,24</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7ACFF6AF" w14:textId="77777777" w:rsidR="00733751" w:rsidRPr="003C1788" w:rsidRDefault="00733751" w:rsidP="00733751">
            <w:pPr>
              <w:jc w:val="right"/>
              <w:rPr>
                <w:color w:val="000000"/>
                <w:sz w:val="16"/>
                <w:szCs w:val="16"/>
              </w:rPr>
            </w:pPr>
            <w:r w:rsidRPr="003C1788">
              <w:rPr>
                <w:color w:val="000000"/>
                <w:sz w:val="16"/>
                <w:szCs w:val="16"/>
              </w:rPr>
              <w:t>15,34</w:t>
            </w:r>
          </w:p>
        </w:tc>
        <w:tc>
          <w:tcPr>
            <w:tcW w:w="293" w:type="pct"/>
            <w:tcBorders>
              <w:top w:val="nil"/>
              <w:left w:val="nil"/>
              <w:bottom w:val="single" w:sz="4" w:space="0" w:color="auto"/>
              <w:right w:val="single" w:sz="4" w:space="0" w:color="auto"/>
            </w:tcBorders>
            <w:shd w:val="clear" w:color="auto" w:fill="auto"/>
            <w:tcMar>
              <w:left w:w="29" w:type="dxa"/>
              <w:right w:w="29" w:type="dxa"/>
            </w:tcMar>
            <w:hideMark/>
          </w:tcPr>
          <w:p w14:paraId="1737983B" w14:textId="77777777" w:rsidR="00733751" w:rsidRPr="003C1788" w:rsidRDefault="00733751" w:rsidP="00733751">
            <w:pPr>
              <w:jc w:val="right"/>
              <w:rPr>
                <w:color w:val="000000"/>
                <w:sz w:val="16"/>
                <w:szCs w:val="16"/>
              </w:rPr>
            </w:pPr>
            <w:r w:rsidRPr="003C1788">
              <w:rPr>
                <w:color w:val="000000"/>
                <w:sz w:val="16"/>
                <w:szCs w:val="16"/>
              </w:rPr>
              <w:t>15,34</w:t>
            </w:r>
          </w:p>
        </w:tc>
        <w:tc>
          <w:tcPr>
            <w:tcW w:w="286" w:type="pct"/>
            <w:tcBorders>
              <w:top w:val="nil"/>
              <w:left w:val="nil"/>
              <w:bottom w:val="single" w:sz="4" w:space="0" w:color="auto"/>
              <w:right w:val="single" w:sz="4" w:space="0" w:color="auto"/>
            </w:tcBorders>
            <w:shd w:val="clear" w:color="auto" w:fill="auto"/>
            <w:tcMar>
              <w:left w:w="29" w:type="dxa"/>
              <w:right w:w="29" w:type="dxa"/>
            </w:tcMar>
            <w:hideMark/>
          </w:tcPr>
          <w:p w14:paraId="4AD7BE43" w14:textId="77777777" w:rsidR="00733751" w:rsidRPr="003C1788" w:rsidRDefault="00733751" w:rsidP="00733751">
            <w:pPr>
              <w:jc w:val="right"/>
              <w:rPr>
                <w:color w:val="000000"/>
                <w:sz w:val="16"/>
                <w:szCs w:val="16"/>
              </w:rPr>
            </w:pPr>
            <w:r w:rsidRPr="003C1788">
              <w:rPr>
                <w:color w:val="000000"/>
                <w:sz w:val="16"/>
                <w:szCs w:val="16"/>
              </w:rPr>
              <w:t>7,67</w:t>
            </w:r>
          </w:p>
        </w:tc>
        <w:tc>
          <w:tcPr>
            <w:tcW w:w="330" w:type="pct"/>
            <w:tcBorders>
              <w:top w:val="nil"/>
              <w:left w:val="nil"/>
              <w:bottom w:val="single" w:sz="4" w:space="0" w:color="auto"/>
              <w:right w:val="single" w:sz="4" w:space="0" w:color="auto"/>
            </w:tcBorders>
            <w:shd w:val="clear" w:color="auto" w:fill="auto"/>
            <w:tcMar>
              <w:left w:w="29" w:type="dxa"/>
              <w:right w:w="29" w:type="dxa"/>
            </w:tcMar>
            <w:hideMark/>
          </w:tcPr>
          <w:p w14:paraId="51AAFE55" w14:textId="77777777" w:rsidR="00733751" w:rsidRPr="003C1788" w:rsidRDefault="00733751" w:rsidP="00733751">
            <w:pPr>
              <w:jc w:val="right"/>
              <w:rPr>
                <w:color w:val="000000"/>
                <w:sz w:val="16"/>
                <w:szCs w:val="16"/>
              </w:rPr>
            </w:pPr>
            <w:r w:rsidRPr="003C1788">
              <w:rPr>
                <w:color w:val="000000"/>
                <w:sz w:val="16"/>
                <w:szCs w:val="16"/>
              </w:rPr>
              <w:t>n. a.</w:t>
            </w:r>
          </w:p>
        </w:tc>
      </w:tr>
      <w:tr w:rsidR="009D5F59" w:rsidRPr="003C1788" w14:paraId="092ECBA2" w14:textId="77777777" w:rsidTr="009D5F59">
        <w:trPr>
          <w:trHeight w:val="20"/>
        </w:trPr>
        <w:tc>
          <w:tcPr>
            <w:tcW w:w="33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239A595" w14:textId="77777777" w:rsidR="00733751" w:rsidRPr="003C1788" w:rsidRDefault="00733751" w:rsidP="00733751">
            <w:pPr>
              <w:jc w:val="left"/>
              <w:rPr>
                <w:color w:val="000000"/>
                <w:sz w:val="16"/>
                <w:szCs w:val="16"/>
              </w:rPr>
            </w:pPr>
            <w:r w:rsidRPr="003C1788">
              <w:rPr>
                <w:color w:val="000000"/>
                <w:sz w:val="16"/>
                <w:szCs w:val="16"/>
              </w:rPr>
              <w:t>2.1</w:t>
            </w:r>
          </w:p>
        </w:tc>
        <w:tc>
          <w:tcPr>
            <w:tcW w:w="1011" w:type="pct"/>
            <w:tcBorders>
              <w:top w:val="nil"/>
              <w:left w:val="nil"/>
              <w:bottom w:val="single" w:sz="4" w:space="0" w:color="auto"/>
              <w:right w:val="single" w:sz="4" w:space="0" w:color="auto"/>
            </w:tcBorders>
            <w:shd w:val="clear" w:color="auto" w:fill="auto"/>
            <w:tcMar>
              <w:left w:w="29" w:type="dxa"/>
              <w:right w:w="29" w:type="dxa"/>
            </w:tcMar>
            <w:hideMark/>
          </w:tcPr>
          <w:p w14:paraId="1892050C" w14:textId="77777777" w:rsidR="00733751" w:rsidRPr="003C1788" w:rsidRDefault="00733751" w:rsidP="00733751">
            <w:pPr>
              <w:jc w:val="left"/>
              <w:rPr>
                <w:color w:val="000000"/>
                <w:sz w:val="16"/>
                <w:szCs w:val="16"/>
              </w:rPr>
            </w:pPr>
            <w:r w:rsidRPr="003C1788">
              <w:rPr>
                <w:color w:val="000000"/>
                <w:sz w:val="16"/>
                <w:szCs w:val="16"/>
              </w:rPr>
              <w:t xml:space="preserve">Financiamiento convenido para el </w:t>
            </w:r>
            <w:r w:rsidRPr="003C1788">
              <w:rPr>
                <w:b/>
                <w:bCs/>
                <w:color w:val="000000"/>
                <w:sz w:val="16"/>
                <w:szCs w:val="16"/>
              </w:rPr>
              <w:t>organismo principal (ONUDI)</w:t>
            </w:r>
            <w:r w:rsidRPr="003C1788">
              <w:rPr>
                <w:color w:val="000000"/>
                <w:sz w:val="16"/>
                <w:szCs w:val="16"/>
              </w:rPr>
              <w:t xml:space="preserve"> (USD)</w:t>
            </w:r>
          </w:p>
        </w:tc>
        <w:tc>
          <w:tcPr>
            <w:tcW w:w="336" w:type="pct"/>
            <w:tcBorders>
              <w:top w:val="nil"/>
              <w:left w:val="nil"/>
              <w:bottom w:val="single" w:sz="4" w:space="0" w:color="auto"/>
              <w:right w:val="single" w:sz="4" w:space="0" w:color="auto"/>
            </w:tcBorders>
            <w:shd w:val="clear" w:color="auto" w:fill="auto"/>
            <w:tcMar>
              <w:left w:w="29" w:type="dxa"/>
              <w:right w:w="29" w:type="dxa"/>
            </w:tcMar>
            <w:hideMark/>
          </w:tcPr>
          <w:p w14:paraId="34D84E83" w14:textId="77777777" w:rsidR="00733751" w:rsidRPr="003C1788" w:rsidRDefault="00733751" w:rsidP="00733751">
            <w:pPr>
              <w:jc w:val="right"/>
              <w:rPr>
                <w:color w:val="000000"/>
                <w:sz w:val="16"/>
                <w:szCs w:val="16"/>
              </w:rPr>
            </w:pPr>
            <w:r w:rsidRPr="003C1788">
              <w:rPr>
                <w:color w:val="000000"/>
                <w:sz w:val="16"/>
                <w:szCs w:val="16"/>
              </w:rPr>
              <w:t>0</w:t>
            </w:r>
          </w:p>
        </w:tc>
        <w:tc>
          <w:tcPr>
            <w:tcW w:w="288" w:type="pct"/>
            <w:tcBorders>
              <w:top w:val="nil"/>
              <w:left w:val="nil"/>
              <w:bottom w:val="single" w:sz="4" w:space="0" w:color="auto"/>
              <w:right w:val="single" w:sz="4" w:space="0" w:color="auto"/>
            </w:tcBorders>
            <w:shd w:val="clear" w:color="auto" w:fill="auto"/>
            <w:tcMar>
              <w:left w:w="29" w:type="dxa"/>
              <w:right w:w="29" w:type="dxa"/>
            </w:tcMar>
            <w:hideMark/>
          </w:tcPr>
          <w:p w14:paraId="6948D76C" w14:textId="77777777" w:rsidR="00733751" w:rsidRPr="003C1788" w:rsidRDefault="00733751" w:rsidP="00733751">
            <w:pPr>
              <w:jc w:val="right"/>
              <w:rPr>
                <w:color w:val="000000"/>
                <w:sz w:val="16"/>
                <w:szCs w:val="16"/>
              </w:rPr>
            </w:pPr>
            <w:r w:rsidRPr="003C1788">
              <w:rPr>
                <w:color w:val="000000"/>
                <w:sz w:val="16"/>
                <w:szCs w:val="16"/>
              </w:rPr>
              <w:t>0</w:t>
            </w:r>
          </w:p>
        </w:tc>
        <w:tc>
          <w:tcPr>
            <w:tcW w:w="241" w:type="pct"/>
            <w:tcBorders>
              <w:top w:val="nil"/>
              <w:left w:val="nil"/>
              <w:bottom w:val="single" w:sz="4" w:space="0" w:color="auto"/>
              <w:right w:val="single" w:sz="4" w:space="0" w:color="auto"/>
            </w:tcBorders>
            <w:shd w:val="clear" w:color="auto" w:fill="auto"/>
            <w:tcMar>
              <w:left w:w="29" w:type="dxa"/>
              <w:right w:w="29" w:type="dxa"/>
            </w:tcMar>
            <w:hideMark/>
          </w:tcPr>
          <w:p w14:paraId="2A7D304A" w14:textId="77777777" w:rsidR="00733751" w:rsidRPr="003C1788" w:rsidRDefault="00733751" w:rsidP="00733751">
            <w:pPr>
              <w:jc w:val="right"/>
              <w:rPr>
                <w:color w:val="000000"/>
                <w:sz w:val="16"/>
                <w:szCs w:val="16"/>
              </w:rPr>
            </w:pPr>
            <w:r w:rsidRPr="003C1788">
              <w:rPr>
                <w:color w:val="000000"/>
                <w:sz w:val="16"/>
                <w:szCs w:val="16"/>
              </w:rPr>
              <w:t>0</w:t>
            </w:r>
          </w:p>
        </w:tc>
        <w:tc>
          <w:tcPr>
            <w:tcW w:w="343" w:type="pct"/>
            <w:tcBorders>
              <w:top w:val="nil"/>
              <w:left w:val="nil"/>
              <w:bottom w:val="single" w:sz="4" w:space="0" w:color="auto"/>
              <w:right w:val="single" w:sz="4" w:space="0" w:color="auto"/>
            </w:tcBorders>
            <w:shd w:val="clear" w:color="auto" w:fill="auto"/>
            <w:tcMar>
              <w:left w:w="29" w:type="dxa"/>
              <w:right w:w="29" w:type="dxa"/>
            </w:tcMar>
            <w:hideMark/>
          </w:tcPr>
          <w:p w14:paraId="1FB2497F" w14:textId="77777777" w:rsidR="00733751" w:rsidRPr="003C1788" w:rsidRDefault="00733751" w:rsidP="00733751">
            <w:pPr>
              <w:jc w:val="right"/>
              <w:rPr>
                <w:color w:val="000000"/>
                <w:sz w:val="16"/>
                <w:szCs w:val="16"/>
              </w:rPr>
            </w:pPr>
            <w:r w:rsidRPr="003C1788">
              <w:rPr>
                <w:color w:val="000000"/>
                <w:sz w:val="16"/>
                <w:szCs w:val="16"/>
              </w:rPr>
              <w:t>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15BA52F9" w14:textId="77777777" w:rsidR="00733751" w:rsidRPr="003C1788" w:rsidRDefault="00733751" w:rsidP="00733751">
            <w:pPr>
              <w:jc w:val="right"/>
              <w:rPr>
                <w:color w:val="000000"/>
                <w:sz w:val="16"/>
                <w:szCs w:val="16"/>
              </w:rPr>
            </w:pPr>
            <w:r w:rsidRPr="003C1788">
              <w:rPr>
                <w:color w:val="000000"/>
                <w:sz w:val="16"/>
                <w:szCs w:val="16"/>
              </w:rPr>
              <w:t>0</w:t>
            </w:r>
          </w:p>
        </w:tc>
        <w:tc>
          <w:tcPr>
            <w:tcW w:w="337" w:type="pct"/>
            <w:tcBorders>
              <w:top w:val="nil"/>
              <w:left w:val="nil"/>
              <w:bottom w:val="single" w:sz="4" w:space="0" w:color="auto"/>
              <w:right w:val="single" w:sz="4" w:space="0" w:color="auto"/>
            </w:tcBorders>
            <w:shd w:val="clear" w:color="auto" w:fill="auto"/>
            <w:tcMar>
              <w:left w:w="29" w:type="dxa"/>
              <w:right w:w="29" w:type="dxa"/>
            </w:tcMar>
            <w:hideMark/>
          </w:tcPr>
          <w:p w14:paraId="280DD906" w14:textId="77777777" w:rsidR="00733751" w:rsidRPr="003C1788" w:rsidRDefault="00733751" w:rsidP="00733751">
            <w:pPr>
              <w:jc w:val="right"/>
              <w:rPr>
                <w:color w:val="000000"/>
                <w:sz w:val="16"/>
                <w:szCs w:val="16"/>
              </w:rPr>
            </w:pPr>
            <w:r w:rsidRPr="003C1788">
              <w:rPr>
                <w:color w:val="000000"/>
                <w:sz w:val="16"/>
                <w:szCs w:val="16"/>
              </w:rPr>
              <w:t>131.938</w:t>
            </w:r>
          </w:p>
        </w:tc>
        <w:tc>
          <w:tcPr>
            <w:tcW w:w="333" w:type="pct"/>
            <w:tcBorders>
              <w:top w:val="nil"/>
              <w:left w:val="nil"/>
              <w:bottom w:val="single" w:sz="4" w:space="0" w:color="auto"/>
              <w:right w:val="single" w:sz="4" w:space="0" w:color="auto"/>
            </w:tcBorders>
            <w:shd w:val="clear" w:color="auto" w:fill="auto"/>
            <w:tcMar>
              <w:left w:w="29" w:type="dxa"/>
              <w:right w:w="29" w:type="dxa"/>
            </w:tcMar>
            <w:hideMark/>
          </w:tcPr>
          <w:p w14:paraId="364B885B" w14:textId="77777777" w:rsidR="00733751" w:rsidRPr="003C1788" w:rsidRDefault="00733751" w:rsidP="00733751">
            <w:pPr>
              <w:jc w:val="right"/>
              <w:rPr>
                <w:color w:val="000000"/>
                <w:sz w:val="16"/>
                <w:szCs w:val="16"/>
              </w:rPr>
            </w:pPr>
            <w:r w:rsidRPr="003C1788">
              <w:rPr>
                <w:color w:val="000000"/>
                <w:sz w:val="16"/>
                <w:szCs w:val="16"/>
              </w:rPr>
              <w:t>83.000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0ABAE859" w14:textId="77777777" w:rsidR="00733751" w:rsidRPr="003C1788" w:rsidRDefault="00733751" w:rsidP="00733751">
            <w:pPr>
              <w:jc w:val="right"/>
              <w:rPr>
                <w:color w:val="000000"/>
                <w:sz w:val="16"/>
                <w:szCs w:val="16"/>
              </w:rPr>
            </w:pPr>
            <w:r w:rsidRPr="003C1788">
              <w:rPr>
                <w:color w:val="000000"/>
                <w:sz w:val="16"/>
                <w:szCs w:val="16"/>
              </w:rPr>
              <w:t>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3F705747" w14:textId="77777777" w:rsidR="00733751" w:rsidRPr="003C1788" w:rsidRDefault="00733751" w:rsidP="00733751">
            <w:pPr>
              <w:jc w:val="right"/>
              <w:rPr>
                <w:b/>
                <w:bCs/>
                <w:color w:val="000000"/>
                <w:sz w:val="16"/>
                <w:szCs w:val="16"/>
              </w:rPr>
            </w:pPr>
            <w:r w:rsidRPr="003C1788">
              <w:rPr>
                <w:b/>
                <w:bCs/>
                <w:color w:val="000000"/>
                <w:sz w:val="16"/>
                <w:szCs w:val="16"/>
              </w:rPr>
              <w:t>56.729</w:t>
            </w:r>
          </w:p>
        </w:tc>
        <w:tc>
          <w:tcPr>
            <w:tcW w:w="293" w:type="pct"/>
            <w:tcBorders>
              <w:top w:val="nil"/>
              <w:left w:val="nil"/>
              <w:bottom w:val="single" w:sz="4" w:space="0" w:color="auto"/>
              <w:right w:val="single" w:sz="4" w:space="0" w:color="auto"/>
            </w:tcBorders>
            <w:shd w:val="clear" w:color="auto" w:fill="auto"/>
            <w:tcMar>
              <w:left w:w="29" w:type="dxa"/>
              <w:right w:w="29" w:type="dxa"/>
            </w:tcMar>
            <w:hideMark/>
          </w:tcPr>
          <w:p w14:paraId="53D11A6E" w14:textId="77777777" w:rsidR="00733751" w:rsidRPr="003C1788" w:rsidRDefault="00733751" w:rsidP="00733751">
            <w:pPr>
              <w:jc w:val="right"/>
              <w:rPr>
                <w:color w:val="000000"/>
                <w:sz w:val="16"/>
                <w:szCs w:val="16"/>
              </w:rPr>
            </w:pPr>
            <w:r w:rsidRPr="003C1788">
              <w:rPr>
                <w:color w:val="000000"/>
                <w:sz w:val="16"/>
                <w:szCs w:val="16"/>
              </w:rPr>
              <w:t>0</w:t>
            </w:r>
          </w:p>
        </w:tc>
        <w:tc>
          <w:tcPr>
            <w:tcW w:w="286" w:type="pct"/>
            <w:tcBorders>
              <w:top w:val="nil"/>
              <w:left w:val="nil"/>
              <w:bottom w:val="single" w:sz="4" w:space="0" w:color="auto"/>
              <w:right w:val="single" w:sz="4" w:space="0" w:color="auto"/>
            </w:tcBorders>
            <w:shd w:val="clear" w:color="auto" w:fill="auto"/>
            <w:tcMar>
              <w:left w:w="29" w:type="dxa"/>
              <w:right w:w="29" w:type="dxa"/>
            </w:tcMar>
            <w:hideMark/>
          </w:tcPr>
          <w:p w14:paraId="17EFCD6C" w14:textId="77777777" w:rsidR="00733751" w:rsidRPr="003C1788" w:rsidRDefault="00733751" w:rsidP="00733751">
            <w:pPr>
              <w:jc w:val="right"/>
              <w:rPr>
                <w:color w:val="000000"/>
                <w:sz w:val="16"/>
                <w:szCs w:val="16"/>
              </w:rPr>
            </w:pPr>
            <w:r w:rsidRPr="003C1788">
              <w:rPr>
                <w:color w:val="000000"/>
                <w:sz w:val="16"/>
                <w:szCs w:val="16"/>
              </w:rPr>
              <w:t>0</w:t>
            </w:r>
          </w:p>
        </w:tc>
        <w:tc>
          <w:tcPr>
            <w:tcW w:w="330" w:type="pct"/>
            <w:tcBorders>
              <w:top w:val="nil"/>
              <w:left w:val="nil"/>
              <w:bottom w:val="single" w:sz="4" w:space="0" w:color="auto"/>
              <w:right w:val="single" w:sz="4" w:space="0" w:color="auto"/>
            </w:tcBorders>
            <w:shd w:val="clear" w:color="auto" w:fill="auto"/>
            <w:tcMar>
              <w:left w:w="29" w:type="dxa"/>
              <w:right w:w="29" w:type="dxa"/>
            </w:tcMar>
            <w:hideMark/>
          </w:tcPr>
          <w:p w14:paraId="65A86B71" w14:textId="77777777" w:rsidR="00733751" w:rsidRPr="003C1788" w:rsidRDefault="00733751" w:rsidP="00733751">
            <w:pPr>
              <w:jc w:val="right"/>
              <w:rPr>
                <w:b/>
                <w:bCs/>
                <w:color w:val="000000"/>
                <w:sz w:val="16"/>
                <w:szCs w:val="16"/>
              </w:rPr>
            </w:pPr>
            <w:r w:rsidRPr="003C1788">
              <w:rPr>
                <w:b/>
                <w:bCs/>
                <w:color w:val="000000"/>
                <w:sz w:val="16"/>
                <w:szCs w:val="16"/>
              </w:rPr>
              <w:t>271.667</w:t>
            </w:r>
          </w:p>
        </w:tc>
      </w:tr>
      <w:tr w:rsidR="009D5F59" w:rsidRPr="003C1788" w14:paraId="1004AF8F" w14:textId="77777777" w:rsidTr="009D5F59">
        <w:trPr>
          <w:trHeight w:val="20"/>
        </w:trPr>
        <w:tc>
          <w:tcPr>
            <w:tcW w:w="33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346C9CF" w14:textId="77777777" w:rsidR="00733751" w:rsidRPr="003C1788" w:rsidRDefault="00733751" w:rsidP="00733751">
            <w:pPr>
              <w:jc w:val="left"/>
              <w:rPr>
                <w:color w:val="000000"/>
                <w:sz w:val="16"/>
                <w:szCs w:val="16"/>
              </w:rPr>
            </w:pPr>
            <w:r w:rsidRPr="003C1788">
              <w:rPr>
                <w:color w:val="000000"/>
                <w:sz w:val="16"/>
                <w:szCs w:val="16"/>
              </w:rPr>
              <w:t>2.2</w:t>
            </w:r>
          </w:p>
        </w:tc>
        <w:tc>
          <w:tcPr>
            <w:tcW w:w="1011" w:type="pct"/>
            <w:tcBorders>
              <w:top w:val="nil"/>
              <w:left w:val="nil"/>
              <w:bottom w:val="single" w:sz="4" w:space="0" w:color="auto"/>
              <w:right w:val="single" w:sz="4" w:space="0" w:color="auto"/>
            </w:tcBorders>
            <w:shd w:val="clear" w:color="auto" w:fill="auto"/>
            <w:tcMar>
              <w:left w:w="29" w:type="dxa"/>
              <w:right w:w="29" w:type="dxa"/>
            </w:tcMar>
            <w:hideMark/>
          </w:tcPr>
          <w:p w14:paraId="2DB900BD" w14:textId="77777777" w:rsidR="00733751" w:rsidRPr="003C1788" w:rsidRDefault="00733751" w:rsidP="00733751">
            <w:pPr>
              <w:jc w:val="left"/>
              <w:rPr>
                <w:color w:val="000000"/>
                <w:sz w:val="16"/>
                <w:szCs w:val="16"/>
              </w:rPr>
            </w:pPr>
            <w:r w:rsidRPr="003C1788">
              <w:rPr>
                <w:color w:val="000000"/>
                <w:sz w:val="16"/>
                <w:szCs w:val="16"/>
              </w:rPr>
              <w:t>Gastos de apoyo para el organismo principal (USD)</w:t>
            </w:r>
          </w:p>
        </w:tc>
        <w:tc>
          <w:tcPr>
            <w:tcW w:w="336" w:type="pct"/>
            <w:tcBorders>
              <w:top w:val="nil"/>
              <w:left w:val="nil"/>
              <w:bottom w:val="single" w:sz="4" w:space="0" w:color="auto"/>
              <w:right w:val="single" w:sz="4" w:space="0" w:color="auto"/>
            </w:tcBorders>
            <w:shd w:val="clear" w:color="auto" w:fill="auto"/>
            <w:tcMar>
              <w:left w:w="29" w:type="dxa"/>
              <w:right w:w="29" w:type="dxa"/>
            </w:tcMar>
            <w:hideMark/>
          </w:tcPr>
          <w:p w14:paraId="2D5E13C6" w14:textId="77777777" w:rsidR="00733751" w:rsidRPr="003C1788" w:rsidRDefault="00733751" w:rsidP="00733751">
            <w:pPr>
              <w:jc w:val="right"/>
              <w:rPr>
                <w:color w:val="000000"/>
                <w:sz w:val="16"/>
                <w:szCs w:val="16"/>
              </w:rPr>
            </w:pPr>
            <w:r w:rsidRPr="003C1788">
              <w:rPr>
                <w:color w:val="000000"/>
                <w:sz w:val="16"/>
                <w:szCs w:val="16"/>
              </w:rPr>
              <w:t>0</w:t>
            </w:r>
          </w:p>
        </w:tc>
        <w:tc>
          <w:tcPr>
            <w:tcW w:w="288" w:type="pct"/>
            <w:tcBorders>
              <w:top w:val="nil"/>
              <w:left w:val="nil"/>
              <w:bottom w:val="single" w:sz="4" w:space="0" w:color="auto"/>
              <w:right w:val="single" w:sz="4" w:space="0" w:color="auto"/>
            </w:tcBorders>
            <w:shd w:val="clear" w:color="auto" w:fill="auto"/>
            <w:tcMar>
              <w:left w:w="29" w:type="dxa"/>
              <w:right w:w="29" w:type="dxa"/>
            </w:tcMar>
            <w:hideMark/>
          </w:tcPr>
          <w:p w14:paraId="0D2966DA" w14:textId="77777777" w:rsidR="00733751" w:rsidRPr="003C1788" w:rsidRDefault="00733751" w:rsidP="00733751">
            <w:pPr>
              <w:jc w:val="right"/>
              <w:rPr>
                <w:color w:val="000000"/>
                <w:sz w:val="16"/>
                <w:szCs w:val="16"/>
              </w:rPr>
            </w:pPr>
            <w:r w:rsidRPr="003C1788">
              <w:rPr>
                <w:color w:val="000000"/>
                <w:sz w:val="16"/>
                <w:szCs w:val="16"/>
              </w:rPr>
              <w:t>0</w:t>
            </w:r>
          </w:p>
        </w:tc>
        <w:tc>
          <w:tcPr>
            <w:tcW w:w="241" w:type="pct"/>
            <w:tcBorders>
              <w:top w:val="nil"/>
              <w:left w:val="nil"/>
              <w:bottom w:val="single" w:sz="4" w:space="0" w:color="auto"/>
              <w:right w:val="single" w:sz="4" w:space="0" w:color="auto"/>
            </w:tcBorders>
            <w:shd w:val="clear" w:color="auto" w:fill="auto"/>
            <w:tcMar>
              <w:left w:w="29" w:type="dxa"/>
              <w:right w:w="29" w:type="dxa"/>
            </w:tcMar>
            <w:hideMark/>
          </w:tcPr>
          <w:p w14:paraId="085B7D75" w14:textId="77777777" w:rsidR="00733751" w:rsidRPr="003C1788" w:rsidRDefault="00733751" w:rsidP="00733751">
            <w:pPr>
              <w:jc w:val="right"/>
              <w:rPr>
                <w:color w:val="000000"/>
                <w:sz w:val="16"/>
                <w:szCs w:val="16"/>
              </w:rPr>
            </w:pPr>
            <w:r w:rsidRPr="003C1788">
              <w:rPr>
                <w:color w:val="000000"/>
                <w:sz w:val="16"/>
                <w:szCs w:val="16"/>
              </w:rPr>
              <w:t>0</w:t>
            </w:r>
          </w:p>
        </w:tc>
        <w:tc>
          <w:tcPr>
            <w:tcW w:w="343" w:type="pct"/>
            <w:tcBorders>
              <w:top w:val="nil"/>
              <w:left w:val="nil"/>
              <w:bottom w:val="single" w:sz="4" w:space="0" w:color="auto"/>
              <w:right w:val="single" w:sz="4" w:space="0" w:color="auto"/>
            </w:tcBorders>
            <w:shd w:val="clear" w:color="auto" w:fill="auto"/>
            <w:tcMar>
              <w:left w:w="29" w:type="dxa"/>
              <w:right w:w="29" w:type="dxa"/>
            </w:tcMar>
            <w:hideMark/>
          </w:tcPr>
          <w:p w14:paraId="38E8B730" w14:textId="77777777" w:rsidR="00733751" w:rsidRPr="003C1788" w:rsidRDefault="00733751" w:rsidP="00733751">
            <w:pPr>
              <w:jc w:val="right"/>
              <w:rPr>
                <w:color w:val="000000"/>
                <w:sz w:val="16"/>
                <w:szCs w:val="16"/>
              </w:rPr>
            </w:pPr>
            <w:r w:rsidRPr="003C1788">
              <w:rPr>
                <w:color w:val="000000"/>
                <w:sz w:val="16"/>
                <w:szCs w:val="16"/>
              </w:rPr>
              <w:t>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52C8836E" w14:textId="77777777" w:rsidR="00733751" w:rsidRPr="003C1788" w:rsidRDefault="00733751" w:rsidP="00733751">
            <w:pPr>
              <w:jc w:val="right"/>
              <w:rPr>
                <w:color w:val="000000"/>
                <w:sz w:val="16"/>
                <w:szCs w:val="16"/>
              </w:rPr>
            </w:pPr>
            <w:r w:rsidRPr="003C1788">
              <w:rPr>
                <w:color w:val="000000"/>
                <w:sz w:val="16"/>
                <w:szCs w:val="16"/>
              </w:rPr>
              <w:t>0</w:t>
            </w:r>
          </w:p>
        </w:tc>
        <w:tc>
          <w:tcPr>
            <w:tcW w:w="337" w:type="pct"/>
            <w:tcBorders>
              <w:top w:val="nil"/>
              <w:left w:val="nil"/>
              <w:bottom w:val="single" w:sz="4" w:space="0" w:color="auto"/>
              <w:right w:val="single" w:sz="4" w:space="0" w:color="auto"/>
            </w:tcBorders>
            <w:shd w:val="clear" w:color="auto" w:fill="auto"/>
            <w:tcMar>
              <w:left w:w="29" w:type="dxa"/>
              <w:right w:w="29" w:type="dxa"/>
            </w:tcMar>
            <w:hideMark/>
          </w:tcPr>
          <w:p w14:paraId="7166E860" w14:textId="77777777" w:rsidR="00733751" w:rsidRPr="003C1788" w:rsidRDefault="00733751" w:rsidP="00733751">
            <w:pPr>
              <w:jc w:val="right"/>
              <w:rPr>
                <w:color w:val="000000"/>
                <w:sz w:val="16"/>
                <w:szCs w:val="16"/>
              </w:rPr>
            </w:pPr>
            <w:r w:rsidRPr="003C1788">
              <w:rPr>
                <w:color w:val="000000"/>
                <w:sz w:val="16"/>
                <w:szCs w:val="16"/>
              </w:rPr>
              <w:t>11.874</w:t>
            </w:r>
          </w:p>
        </w:tc>
        <w:tc>
          <w:tcPr>
            <w:tcW w:w="333" w:type="pct"/>
            <w:tcBorders>
              <w:top w:val="nil"/>
              <w:left w:val="nil"/>
              <w:bottom w:val="single" w:sz="4" w:space="0" w:color="auto"/>
              <w:right w:val="single" w:sz="4" w:space="0" w:color="auto"/>
            </w:tcBorders>
            <w:shd w:val="clear" w:color="auto" w:fill="auto"/>
            <w:tcMar>
              <w:left w:w="29" w:type="dxa"/>
              <w:right w:w="29" w:type="dxa"/>
            </w:tcMar>
            <w:hideMark/>
          </w:tcPr>
          <w:p w14:paraId="13EDADC7" w14:textId="77777777" w:rsidR="00733751" w:rsidRPr="003C1788" w:rsidRDefault="00733751" w:rsidP="00733751">
            <w:pPr>
              <w:jc w:val="right"/>
              <w:rPr>
                <w:color w:val="000000"/>
                <w:sz w:val="16"/>
                <w:szCs w:val="16"/>
              </w:rPr>
            </w:pPr>
            <w:r w:rsidRPr="003C1788">
              <w:rPr>
                <w:color w:val="000000"/>
                <w:sz w:val="16"/>
                <w:szCs w:val="16"/>
              </w:rPr>
              <w:t>7.470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20306B5C" w14:textId="77777777" w:rsidR="00733751" w:rsidRPr="003C1788" w:rsidRDefault="00733751" w:rsidP="00733751">
            <w:pPr>
              <w:jc w:val="right"/>
              <w:rPr>
                <w:color w:val="000000"/>
                <w:sz w:val="16"/>
                <w:szCs w:val="16"/>
              </w:rPr>
            </w:pPr>
            <w:r w:rsidRPr="003C1788">
              <w:rPr>
                <w:color w:val="000000"/>
                <w:sz w:val="16"/>
                <w:szCs w:val="16"/>
              </w:rPr>
              <w:t>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7C936782" w14:textId="77777777" w:rsidR="00733751" w:rsidRPr="003C1788" w:rsidRDefault="00733751" w:rsidP="00733751">
            <w:pPr>
              <w:jc w:val="right"/>
              <w:rPr>
                <w:b/>
                <w:bCs/>
                <w:color w:val="000000"/>
                <w:sz w:val="16"/>
                <w:szCs w:val="16"/>
              </w:rPr>
            </w:pPr>
            <w:r w:rsidRPr="003C1788">
              <w:rPr>
                <w:b/>
                <w:bCs/>
                <w:color w:val="000000"/>
                <w:sz w:val="16"/>
                <w:szCs w:val="16"/>
              </w:rPr>
              <w:t>5.106</w:t>
            </w:r>
          </w:p>
        </w:tc>
        <w:tc>
          <w:tcPr>
            <w:tcW w:w="293" w:type="pct"/>
            <w:tcBorders>
              <w:top w:val="nil"/>
              <w:left w:val="nil"/>
              <w:bottom w:val="single" w:sz="4" w:space="0" w:color="auto"/>
              <w:right w:val="single" w:sz="4" w:space="0" w:color="auto"/>
            </w:tcBorders>
            <w:shd w:val="clear" w:color="auto" w:fill="auto"/>
            <w:tcMar>
              <w:left w:w="29" w:type="dxa"/>
              <w:right w:w="29" w:type="dxa"/>
            </w:tcMar>
            <w:hideMark/>
          </w:tcPr>
          <w:p w14:paraId="3DF6E42E" w14:textId="77777777" w:rsidR="00733751" w:rsidRPr="003C1788" w:rsidRDefault="00733751" w:rsidP="00733751">
            <w:pPr>
              <w:jc w:val="right"/>
              <w:rPr>
                <w:color w:val="000000"/>
                <w:sz w:val="16"/>
                <w:szCs w:val="16"/>
              </w:rPr>
            </w:pPr>
            <w:r w:rsidRPr="003C1788">
              <w:rPr>
                <w:color w:val="000000"/>
                <w:sz w:val="16"/>
                <w:szCs w:val="16"/>
              </w:rPr>
              <w:t>0</w:t>
            </w:r>
          </w:p>
        </w:tc>
        <w:tc>
          <w:tcPr>
            <w:tcW w:w="286" w:type="pct"/>
            <w:tcBorders>
              <w:top w:val="nil"/>
              <w:left w:val="nil"/>
              <w:bottom w:val="single" w:sz="4" w:space="0" w:color="auto"/>
              <w:right w:val="single" w:sz="4" w:space="0" w:color="auto"/>
            </w:tcBorders>
            <w:shd w:val="clear" w:color="auto" w:fill="auto"/>
            <w:tcMar>
              <w:left w:w="29" w:type="dxa"/>
              <w:right w:w="29" w:type="dxa"/>
            </w:tcMar>
            <w:hideMark/>
          </w:tcPr>
          <w:p w14:paraId="439C9F96" w14:textId="77777777" w:rsidR="00733751" w:rsidRPr="003C1788" w:rsidRDefault="00733751" w:rsidP="00733751">
            <w:pPr>
              <w:jc w:val="right"/>
              <w:rPr>
                <w:color w:val="000000"/>
                <w:sz w:val="16"/>
                <w:szCs w:val="16"/>
              </w:rPr>
            </w:pPr>
            <w:r w:rsidRPr="003C1788">
              <w:rPr>
                <w:color w:val="000000"/>
                <w:sz w:val="16"/>
                <w:szCs w:val="16"/>
              </w:rPr>
              <w:t>0</w:t>
            </w:r>
          </w:p>
        </w:tc>
        <w:tc>
          <w:tcPr>
            <w:tcW w:w="330" w:type="pct"/>
            <w:tcBorders>
              <w:top w:val="nil"/>
              <w:left w:val="nil"/>
              <w:bottom w:val="single" w:sz="4" w:space="0" w:color="auto"/>
              <w:right w:val="single" w:sz="4" w:space="0" w:color="auto"/>
            </w:tcBorders>
            <w:shd w:val="clear" w:color="auto" w:fill="auto"/>
            <w:tcMar>
              <w:left w:w="29" w:type="dxa"/>
              <w:right w:w="29" w:type="dxa"/>
            </w:tcMar>
            <w:hideMark/>
          </w:tcPr>
          <w:p w14:paraId="6AA32664" w14:textId="77777777" w:rsidR="00733751" w:rsidRPr="003C1788" w:rsidRDefault="00733751" w:rsidP="00733751">
            <w:pPr>
              <w:jc w:val="right"/>
              <w:rPr>
                <w:b/>
                <w:bCs/>
                <w:color w:val="000000"/>
                <w:sz w:val="16"/>
                <w:szCs w:val="16"/>
              </w:rPr>
            </w:pPr>
            <w:r w:rsidRPr="003C1788">
              <w:rPr>
                <w:b/>
                <w:bCs/>
                <w:color w:val="000000"/>
                <w:sz w:val="16"/>
                <w:szCs w:val="16"/>
              </w:rPr>
              <w:t>24.450</w:t>
            </w:r>
          </w:p>
        </w:tc>
      </w:tr>
      <w:tr w:rsidR="009D5F59" w:rsidRPr="003C1788" w14:paraId="4E5EF6F7" w14:textId="77777777" w:rsidTr="009D5F59">
        <w:trPr>
          <w:trHeight w:val="20"/>
        </w:trPr>
        <w:tc>
          <w:tcPr>
            <w:tcW w:w="33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ECFC3A3" w14:textId="77777777" w:rsidR="00733751" w:rsidRPr="003C1788" w:rsidRDefault="00733751" w:rsidP="00733751">
            <w:pPr>
              <w:jc w:val="left"/>
              <w:rPr>
                <w:color w:val="000000"/>
                <w:sz w:val="16"/>
                <w:szCs w:val="16"/>
              </w:rPr>
            </w:pPr>
            <w:r w:rsidRPr="003C1788">
              <w:rPr>
                <w:color w:val="000000"/>
                <w:sz w:val="16"/>
                <w:szCs w:val="16"/>
              </w:rPr>
              <w:t>2.3</w:t>
            </w:r>
          </w:p>
        </w:tc>
        <w:tc>
          <w:tcPr>
            <w:tcW w:w="1011" w:type="pct"/>
            <w:tcBorders>
              <w:top w:val="nil"/>
              <w:left w:val="nil"/>
              <w:bottom w:val="single" w:sz="4" w:space="0" w:color="auto"/>
              <w:right w:val="single" w:sz="4" w:space="0" w:color="auto"/>
            </w:tcBorders>
            <w:shd w:val="clear" w:color="auto" w:fill="auto"/>
            <w:tcMar>
              <w:left w:w="29" w:type="dxa"/>
              <w:right w:w="29" w:type="dxa"/>
            </w:tcMar>
            <w:hideMark/>
          </w:tcPr>
          <w:p w14:paraId="23911105" w14:textId="77777777" w:rsidR="00733751" w:rsidRPr="003C1788" w:rsidRDefault="00733751" w:rsidP="00733751">
            <w:pPr>
              <w:jc w:val="left"/>
              <w:rPr>
                <w:color w:val="000000"/>
                <w:sz w:val="16"/>
                <w:szCs w:val="16"/>
              </w:rPr>
            </w:pPr>
            <w:r w:rsidRPr="003C1788">
              <w:rPr>
                <w:color w:val="000000"/>
                <w:sz w:val="16"/>
                <w:szCs w:val="16"/>
              </w:rPr>
              <w:t>Financiamiento convenido para el organismo cooperante (Alemania) (USD)</w:t>
            </w:r>
          </w:p>
        </w:tc>
        <w:tc>
          <w:tcPr>
            <w:tcW w:w="336" w:type="pct"/>
            <w:tcBorders>
              <w:top w:val="nil"/>
              <w:left w:val="nil"/>
              <w:bottom w:val="single" w:sz="4" w:space="0" w:color="auto"/>
              <w:right w:val="single" w:sz="4" w:space="0" w:color="auto"/>
            </w:tcBorders>
            <w:shd w:val="clear" w:color="auto" w:fill="auto"/>
            <w:tcMar>
              <w:left w:w="29" w:type="dxa"/>
              <w:right w:w="29" w:type="dxa"/>
            </w:tcMar>
            <w:hideMark/>
          </w:tcPr>
          <w:p w14:paraId="0F46A744" w14:textId="77777777" w:rsidR="00733751" w:rsidRPr="003C1788" w:rsidRDefault="00733751" w:rsidP="00733751">
            <w:pPr>
              <w:jc w:val="right"/>
              <w:rPr>
                <w:color w:val="000000"/>
                <w:sz w:val="16"/>
                <w:szCs w:val="16"/>
              </w:rPr>
            </w:pPr>
            <w:r w:rsidRPr="003C1788">
              <w:rPr>
                <w:color w:val="000000"/>
                <w:sz w:val="16"/>
                <w:szCs w:val="16"/>
              </w:rPr>
              <w:t>37.062</w:t>
            </w:r>
          </w:p>
        </w:tc>
        <w:tc>
          <w:tcPr>
            <w:tcW w:w="288" w:type="pct"/>
            <w:tcBorders>
              <w:top w:val="nil"/>
              <w:left w:val="nil"/>
              <w:bottom w:val="single" w:sz="4" w:space="0" w:color="auto"/>
              <w:right w:val="single" w:sz="4" w:space="0" w:color="auto"/>
            </w:tcBorders>
            <w:shd w:val="clear" w:color="auto" w:fill="auto"/>
            <w:tcMar>
              <w:left w:w="29" w:type="dxa"/>
              <w:right w:w="29" w:type="dxa"/>
            </w:tcMar>
            <w:hideMark/>
          </w:tcPr>
          <w:p w14:paraId="248B82E5" w14:textId="77777777" w:rsidR="00733751" w:rsidRPr="003C1788" w:rsidRDefault="00733751" w:rsidP="00733751">
            <w:pPr>
              <w:jc w:val="right"/>
              <w:rPr>
                <w:color w:val="000000"/>
                <w:sz w:val="16"/>
                <w:szCs w:val="16"/>
              </w:rPr>
            </w:pPr>
            <w:r w:rsidRPr="003C1788">
              <w:rPr>
                <w:color w:val="000000"/>
                <w:sz w:val="16"/>
                <w:szCs w:val="16"/>
              </w:rPr>
              <w:t>0</w:t>
            </w:r>
          </w:p>
        </w:tc>
        <w:tc>
          <w:tcPr>
            <w:tcW w:w="241" w:type="pct"/>
            <w:tcBorders>
              <w:top w:val="nil"/>
              <w:left w:val="nil"/>
              <w:bottom w:val="single" w:sz="4" w:space="0" w:color="auto"/>
              <w:right w:val="single" w:sz="4" w:space="0" w:color="auto"/>
            </w:tcBorders>
            <w:shd w:val="clear" w:color="auto" w:fill="auto"/>
            <w:tcMar>
              <w:left w:w="29" w:type="dxa"/>
              <w:right w:w="29" w:type="dxa"/>
            </w:tcMar>
            <w:hideMark/>
          </w:tcPr>
          <w:p w14:paraId="17293E98" w14:textId="77777777" w:rsidR="00733751" w:rsidRPr="003C1788" w:rsidRDefault="00733751" w:rsidP="00733751">
            <w:pPr>
              <w:jc w:val="right"/>
              <w:rPr>
                <w:color w:val="000000"/>
                <w:sz w:val="16"/>
                <w:szCs w:val="16"/>
              </w:rPr>
            </w:pPr>
            <w:r w:rsidRPr="003C1788">
              <w:rPr>
                <w:color w:val="000000"/>
                <w:sz w:val="16"/>
                <w:szCs w:val="16"/>
              </w:rPr>
              <w:t>0</w:t>
            </w:r>
          </w:p>
        </w:tc>
        <w:tc>
          <w:tcPr>
            <w:tcW w:w="343" w:type="pct"/>
            <w:tcBorders>
              <w:top w:val="nil"/>
              <w:left w:val="nil"/>
              <w:bottom w:val="single" w:sz="4" w:space="0" w:color="auto"/>
              <w:right w:val="single" w:sz="4" w:space="0" w:color="auto"/>
            </w:tcBorders>
            <w:shd w:val="clear" w:color="auto" w:fill="auto"/>
            <w:tcMar>
              <w:left w:w="29" w:type="dxa"/>
              <w:right w:w="29" w:type="dxa"/>
            </w:tcMar>
            <w:hideMark/>
          </w:tcPr>
          <w:p w14:paraId="245317ED" w14:textId="77777777" w:rsidR="00733751" w:rsidRPr="003C1788" w:rsidRDefault="00733751" w:rsidP="00733751">
            <w:pPr>
              <w:jc w:val="right"/>
              <w:rPr>
                <w:color w:val="000000"/>
                <w:sz w:val="16"/>
                <w:szCs w:val="16"/>
              </w:rPr>
            </w:pPr>
            <w:r w:rsidRPr="003C1788">
              <w:rPr>
                <w:color w:val="000000"/>
                <w:sz w:val="16"/>
                <w:szCs w:val="16"/>
              </w:rPr>
              <w:t>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22C9963F" w14:textId="77777777" w:rsidR="00733751" w:rsidRPr="003C1788" w:rsidRDefault="00733751" w:rsidP="00733751">
            <w:pPr>
              <w:jc w:val="right"/>
              <w:rPr>
                <w:color w:val="000000"/>
                <w:sz w:val="16"/>
                <w:szCs w:val="16"/>
              </w:rPr>
            </w:pPr>
            <w:r w:rsidRPr="003C1788">
              <w:rPr>
                <w:color w:val="000000"/>
                <w:sz w:val="16"/>
                <w:szCs w:val="16"/>
              </w:rPr>
              <w:t>0</w:t>
            </w:r>
          </w:p>
        </w:tc>
        <w:tc>
          <w:tcPr>
            <w:tcW w:w="337" w:type="pct"/>
            <w:tcBorders>
              <w:top w:val="nil"/>
              <w:left w:val="nil"/>
              <w:bottom w:val="single" w:sz="4" w:space="0" w:color="auto"/>
              <w:right w:val="single" w:sz="4" w:space="0" w:color="auto"/>
            </w:tcBorders>
            <w:shd w:val="clear" w:color="auto" w:fill="auto"/>
            <w:tcMar>
              <w:left w:w="29" w:type="dxa"/>
              <w:right w:w="29" w:type="dxa"/>
            </w:tcMar>
            <w:hideMark/>
          </w:tcPr>
          <w:p w14:paraId="2A95BCBD" w14:textId="77777777" w:rsidR="00733751" w:rsidRPr="003C1788" w:rsidRDefault="00733751" w:rsidP="00733751">
            <w:pPr>
              <w:jc w:val="right"/>
              <w:rPr>
                <w:color w:val="000000"/>
                <w:sz w:val="16"/>
                <w:szCs w:val="16"/>
              </w:rPr>
            </w:pPr>
            <w:r w:rsidRPr="003C1788">
              <w:rPr>
                <w:color w:val="000000"/>
                <w:sz w:val="16"/>
                <w:szCs w:val="16"/>
              </w:rPr>
              <w:t>0</w:t>
            </w:r>
          </w:p>
        </w:tc>
        <w:tc>
          <w:tcPr>
            <w:tcW w:w="333" w:type="pct"/>
            <w:tcBorders>
              <w:top w:val="nil"/>
              <w:left w:val="nil"/>
              <w:bottom w:val="single" w:sz="4" w:space="0" w:color="auto"/>
              <w:right w:val="single" w:sz="4" w:space="0" w:color="auto"/>
            </w:tcBorders>
            <w:shd w:val="clear" w:color="auto" w:fill="auto"/>
            <w:tcMar>
              <w:left w:w="29" w:type="dxa"/>
              <w:right w:w="29" w:type="dxa"/>
            </w:tcMar>
            <w:hideMark/>
          </w:tcPr>
          <w:p w14:paraId="4D766DEF" w14:textId="77777777" w:rsidR="00733751" w:rsidRPr="003C1788" w:rsidRDefault="00733751" w:rsidP="00733751">
            <w:pPr>
              <w:jc w:val="right"/>
              <w:rPr>
                <w:color w:val="000000"/>
                <w:sz w:val="16"/>
                <w:szCs w:val="16"/>
              </w:rPr>
            </w:pPr>
            <w:r w:rsidRPr="003C1788">
              <w:rPr>
                <w:color w:val="000000"/>
                <w:sz w:val="16"/>
                <w:szCs w:val="16"/>
              </w:rPr>
              <w:t>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53644A68" w14:textId="77777777" w:rsidR="00733751" w:rsidRPr="003C1788" w:rsidRDefault="00733751" w:rsidP="00733751">
            <w:pPr>
              <w:jc w:val="right"/>
              <w:rPr>
                <w:color w:val="000000"/>
                <w:sz w:val="16"/>
                <w:szCs w:val="16"/>
              </w:rPr>
            </w:pPr>
            <w:r w:rsidRPr="003C1788">
              <w:rPr>
                <w:color w:val="000000"/>
                <w:sz w:val="16"/>
                <w:szCs w:val="16"/>
              </w:rPr>
              <w:t>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498756CA" w14:textId="77777777" w:rsidR="00733751" w:rsidRPr="003C1788" w:rsidRDefault="00733751" w:rsidP="00733751">
            <w:pPr>
              <w:jc w:val="right"/>
              <w:rPr>
                <w:color w:val="000000"/>
                <w:sz w:val="16"/>
                <w:szCs w:val="16"/>
              </w:rPr>
            </w:pPr>
            <w:r w:rsidRPr="003C1788">
              <w:rPr>
                <w:color w:val="000000"/>
                <w:sz w:val="16"/>
                <w:szCs w:val="16"/>
              </w:rPr>
              <w:t>0</w:t>
            </w:r>
          </w:p>
        </w:tc>
        <w:tc>
          <w:tcPr>
            <w:tcW w:w="293" w:type="pct"/>
            <w:tcBorders>
              <w:top w:val="nil"/>
              <w:left w:val="nil"/>
              <w:bottom w:val="single" w:sz="4" w:space="0" w:color="auto"/>
              <w:right w:val="single" w:sz="4" w:space="0" w:color="auto"/>
            </w:tcBorders>
            <w:shd w:val="clear" w:color="auto" w:fill="auto"/>
            <w:tcMar>
              <w:left w:w="29" w:type="dxa"/>
              <w:right w:w="29" w:type="dxa"/>
            </w:tcMar>
            <w:hideMark/>
          </w:tcPr>
          <w:p w14:paraId="68196982" w14:textId="77777777" w:rsidR="00733751" w:rsidRPr="003C1788" w:rsidRDefault="00733751" w:rsidP="00733751">
            <w:pPr>
              <w:jc w:val="right"/>
              <w:rPr>
                <w:color w:val="000000"/>
                <w:sz w:val="16"/>
                <w:szCs w:val="16"/>
              </w:rPr>
            </w:pPr>
            <w:r w:rsidRPr="003C1788">
              <w:rPr>
                <w:color w:val="000000"/>
                <w:sz w:val="16"/>
                <w:szCs w:val="16"/>
              </w:rPr>
              <w:t>0</w:t>
            </w:r>
          </w:p>
        </w:tc>
        <w:tc>
          <w:tcPr>
            <w:tcW w:w="286" w:type="pct"/>
            <w:tcBorders>
              <w:top w:val="nil"/>
              <w:left w:val="nil"/>
              <w:bottom w:val="single" w:sz="4" w:space="0" w:color="auto"/>
              <w:right w:val="single" w:sz="4" w:space="0" w:color="auto"/>
            </w:tcBorders>
            <w:shd w:val="clear" w:color="auto" w:fill="auto"/>
            <w:tcMar>
              <w:left w:w="29" w:type="dxa"/>
              <w:right w:w="29" w:type="dxa"/>
            </w:tcMar>
            <w:hideMark/>
          </w:tcPr>
          <w:p w14:paraId="31F1902C" w14:textId="77777777" w:rsidR="00733751" w:rsidRPr="003C1788" w:rsidRDefault="00733751" w:rsidP="00733751">
            <w:pPr>
              <w:jc w:val="right"/>
              <w:rPr>
                <w:color w:val="000000"/>
                <w:sz w:val="16"/>
                <w:szCs w:val="16"/>
              </w:rPr>
            </w:pPr>
            <w:r w:rsidRPr="003C1788">
              <w:rPr>
                <w:color w:val="000000"/>
                <w:sz w:val="16"/>
                <w:szCs w:val="16"/>
              </w:rPr>
              <w:t>0</w:t>
            </w:r>
          </w:p>
        </w:tc>
        <w:tc>
          <w:tcPr>
            <w:tcW w:w="330" w:type="pct"/>
            <w:tcBorders>
              <w:top w:val="nil"/>
              <w:left w:val="nil"/>
              <w:bottom w:val="single" w:sz="4" w:space="0" w:color="auto"/>
              <w:right w:val="single" w:sz="4" w:space="0" w:color="auto"/>
            </w:tcBorders>
            <w:shd w:val="clear" w:color="auto" w:fill="auto"/>
            <w:tcMar>
              <w:left w:w="29" w:type="dxa"/>
              <w:right w:w="29" w:type="dxa"/>
            </w:tcMar>
            <w:hideMark/>
          </w:tcPr>
          <w:p w14:paraId="1B34A9B3" w14:textId="77777777" w:rsidR="00733751" w:rsidRPr="003C1788" w:rsidRDefault="00733751" w:rsidP="00733751">
            <w:pPr>
              <w:jc w:val="right"/>
              <w:rPr>
                <w:color w:val="000000"/>
                <w:sz w:val="16"/>
                <w:szCs w:val="16"/>
              </w:rPr>
            </w:pPr>
            <w:r w:rsidRPr="003C1788">
              <w:rPr>
                <w:color w:val="000000"/>
                <w:sz w:val="16"/>
                <w:szCs w:val="16"/>
              </w:rPr>
              <w:t>37.062</w:t>
            </w:r>
          </w:p>
        </w:tc>
      </w:tr>
      <w:tr w:rsidR="009D5F59" w:rsidRPr="003C1788" w14:paraId="28E034C3" w14:textId="77777777" w:rsidTr="009D5F59">
        <w:trPr>
          <w:trHeight w:val="20"/>
        </w:trPr>
        <w:tc>
          <w:tcPr>
            <w:tcW w:w="33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C3551C0" w14:textId="77777777" w:rsidR="00733751" w:rsidRPr="003C1788" w:rsidRDefault="00733751" w:rsidP="00733751">
            <w:pPr>
              <w:jc w:val="left"/>
              <w:rPr>
                <w:color w:val="000000"/>
                <w:sz w:val="16"/>
                <w:szCs w:val="16"/>
              </w:rPr>
            </w:pPr>
            <w:r w:rsidRPr="003C1788">
              <w:rPr>
                <w:color w:val="000000"/>
                <w:sz w:val="16"/>
                <w:szCs w:val="16"/>
              </w:rPr>
              <w:t>2.4</w:t>
            </w:r>
          </w:p>
        </w:tc>
        <w:tc>
          <w:tcPr>
            <w:tcW w:w="1011" w:type="pct"/>
            <w:tcBorders>
              <w:top w:val="nil"/>
              <w:left w:val="nil"/>
              <w:bottom w:val="single" w:sz="4" w:space="0" w:color="auto"/>
              <w:right w:val="single" w:sz="4" w:space="0" w:color="auto"/>
            </w:tcBorders>
            <w:shd w:val="clear" w:color="auto" w:fill="auto"/>
            <w:tcMar>
              <w:left w:w="29" w:type="dxa"/>
              <w:right w:w="29" w:type="dxa"/>
            </w:tcMar>
            <w:hideMark/>
          </w:tcPr>
          <w:p w14:paraId="148DFB6F" w14:textId="77777777" w:rsidR="00733751" w:rsidRPr="003C1788" w:rsidRDefault="00733751" w:rsidP="00733751">
            <w:pPr>
              <w:jc w:val="left"/>
              <w:rPr>
                <w:color w:val="000000"/>
                <w:sz w:val="16"/>
                <w:szCs w:val="16"/>
              </w:rPr>
            </w:pPr>
            <w:r w:rsidRPr="003C1788">
              <w:rPr>
                <w:color w:val="000000"/>
                <w:sz w:val="16"/>
                <w:szCs w:val="16"/>
              </w:rPr>
              <w:t>Gastos de apoyo para el organismo cooperante (USD)</w:t>
            </w:r>
          </w:p>
        </w:tc>
        <w:tc>
          <w:tcPr>
            <w:tcW w:w="336" w:type="pct"/>
            <w:tcBorders>
              <w:top w:val="nil"/>
              <w:left w:val="nil"/>
              <w:bottom w:val="single" w:sz="4" w:space="0" w:color="auto"/>
              <w:right w:val="single" w:sz="4" w:space="0" w:color="auto"/>
            </w:tcBorders>
            <w:shd w:val="clear" w:color="auto" w:fill="auto"/>
            <w:tcMar>
              <w:left w:w="29" w:type="dxa"/>
              <w:right w:w="29" w:type="dxa"/>
            </w:tcMar>
            <w:hideMark/>
          </w:tcPr>
          <w:p w14:paraId="25F38C25" w14:textId="77777777" w:rsidR="00733751" w:rsidRPr="003C1788" w:rsidRDefault="00733751" w:rsidP="00733751">
            <w:pPr>
              <w:jc w:val="right"/>
              <w:rPr>
                <w:color w:val="000000"/>
                <w:sz w:val="16"/>
                <w:szCs w:val="16"/>
              </w:rPr>
            </w:pPr>
            <w:r w:rsidRPr="003C1788">
              <w:rPr>
                <w:color w:val="000000"/>
                <w:sz w:val="16"/>
                <w:szCs w:val="16"/>
              </w:rPr>
              <w:t>4.818</w:t>
            </w:r>
          </w:p>
        </w:tc>
        <w:tc>
          <w:tcPr>
            <w:tcW w:w="288" w:type="pct"/>
            <w:tcBorders>
              <w:top w:val="nil"/>
              <w:left w:val="nil"/>
              <w:bottom w:val="single" w:sz="4" w:space="0" w:color="auto"/>
              <w:right w:val="single" w:sz="4" w:space="0" w:color="auto"/>
            </w:tcBorders>
            <w:shd w:val="clear" w:color="auto" w:fill="auto"/>
            <w:tcMar>
              <w:left w:w="29" w:type="dxa"/>
              <w:right w:w="29" w:type="dxa"/>
            </w:tcMar>
            <w:hideMark/>
          </w:tcPr>
          <w:p w14:paraId="0B543179" w14:textId="77777777" w:rsidR="00733751" w:rsidRPr="003C1788" w:rsidRDefault="00733751" w:rsidP="00733751">
            <w:pPr>
              <w:jc w:val="right"/>
              <w:rPr>
                <w:color w:val="000000"/>
                <w:sz w:val="16"/>
                <w:szCs w:val="16"/>
              </w:rPr>
            </w:pPr>
            <w:r w:rsidRPr="003C1788">
              <w:rPr>
                <w:color w:val="000000"/>
                <w:sz w:val="16"/>
                <w:szCs w:val="16"/>
              </w:rPr>
              <w:t>0</w:t>
            </w:r>
          </w:p>
        </w:tc>
        <w:tc>
          <w:tcPr>
            <w:tcW w:w="241" w:type="pct"/>
            <w:tcBorders>
              <w:top w:val="nil"/>
              <w:left w:val="nil"/>
              <w:bottom w:val="single" w:sz="4" w:space="0" w:color="auto"/>
              <w:right w:val="single" w:sz="4" w:space="0" w:color="auto"/>
            </w:tcBorders>
            <w:shd w:val="clear" w:color="auto" w:fill="auto"/>
            <w:tcMar>
              <w:left w:w="29" w:type="dxa"/>
              <w:right w:w="29" w:type="dxa"/>
            </w:tcMar>
            <w:hideMark/>
          </w:tcPr>
          <w:p w14:paraId="37FAB41E" w14:textId="77777777" w:rsidR="00733751" w:rsidRPr="003C1788" w:rsidRDefault="00733751" w:rsidP="00733751">
            <w:pPr>
              <w:jc w:val="right"/>
              <w:rPr>
                <w:color w:val="000000"/>
                <w:sz w:val="16"/>
                <w:szCs w:val="16"/>
              </w:rPr>
            </w:pPr>
            <w:r w:rsidRPr="003C1788">
              <w:rPr>
                <w:color w:val="000000"/>
                <w:sz w:val="16"/>
                <w:szCs w:val="16"/>
              </w:rPr>
              <w:t>0</w:t>
            </w:r>
          </w:p>
        </w:tc>
        <w:tc>
          <w:tcPr>
            <w:tcW w:w="343" w:type="pct"/>
            <w:tcBorders>
              <w:top w:val="nil"/>
              <w:left w:val="nil"/>
              <w:bottom w:val="single" w:sz="4" w:space="0" w:color="auto"/>
              <w:right w:val="single" w:sz="4" w:space="0" w:color="auto"/>
            </w:tcBorders>
            <w:shd w:val="clear" w:color="auto" w:fill="auto"/>
            <w:tcMar>
              <w:left w:w="29" w:type="dxa"/>
              <w:right w:w="29" w:type="dxa"/>
            </w:tcMar>
            <w:hideMark/>
          </w:tcPr>
          <w:p w14:paraId="27DCAF7A" w14:textId="77777777" w:rsidR="00733751" w:rsidRPr="003C1788" w:rsidRDefault="00733751" w:rsidP="00733751">
            <w:pPr>
              <w:jc w:val="right"/>
              <w:rPr>
                <w:color w:val="000000"/>
                <w:sz w:val="16"/>
                <w:szCs w:val="16"/>
              </w:rPr>
            </w:pPr>
            <w:r w:rsidRPr="003C1788">
              <w:rPr>
                <w:color w:val="000000"/>
                <w:sz w:val="16"/>
                <w:szCs w:val="16"/>
              </w:rPr>
              <w:t>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5844A739" w14:textId="77777777" w:rsidR="00733751" w:rsidRPr="003C1788" w:rsidRDefault="00733751" w:rsidP="00733751">
            <w:pPr>
              <w:jc w:val="right"/>
              <w:rPr>
                <w:color w:val="000000"/>
                <w:sz w:val="16"/>
                <w:szCs w:val="16"/>
              </w:rPr>
            </w:pPr>
            <w:r w:rsidRPr="003C1788">
              <w:rPr>
                <w:color w:val="000000"/>
                <w:sz w:val="16"/>
                <w:szCs w:val="16"/>
              </w:rPr>
              <w:t>0</w:t>
            </w:r>
          </w:p>
        </w:tc>
        <w:tc>
          <w:tcPr>
            <w:tcW w:w="337" w:type="pct"/>
            <w:tcBorders>
              <w:top w:val="nil"/>
              <w:left w:val="nil"/>
              <w:bottom w:val="single" w:sz="4" w:space="0" w:color="auto"/>
              <w:right w:val="single" w:sz="4" w:space="0" w:color="auto"/>
            </w:tcBorders>
            <w:shd w:val="clear" w:color="auto" w:fill="auto"/>
            <w:tcMar>
              <w:left w:w="29" w:type="dxa"/>
              <w:right w:w="29" w:type="dxa"/>
            </w:tcMar>
            <w:hideMark/>
          </w:tcPr>
          <w:p w14:paraId="5CD00F9F" w14:textId="77777777" w:rsidR="00733751" w:rsidRPr="003C1788" w:rsidRDefault="00733751" w:rsidP="00733751">
            <w:pPr>
              <w:jc w:val="right"/>
              <w:rPr>
                <w:color w:val="000000"/>
                <w:sz w:val="16"/>
                <w:szCs w:val="16"/>
              </w:rPr>
            </w:pPr>
            <w:r w:rsidRPr="003C1788">
              <w:rPr>
                <w:color w:val="000000"/>
                <w:sz w:val="16"/>
                <w:szCs w:val="16"/>
              </w:rPr>
              <w:t>0</w:t>
            </w:r>
          </w:p>
        </w:tc>
        <w:tc>
          <w:tcPr>
            <w:tcW w:w="333" w:type="pct"/>
            <w:tcBorders>
              <w:top w:val="nil"/>
              <w:left w:val="nil"/>
              <w:bottom w:val="single" w:sz="4" w:space="0" w:color="auto"/>
              <w:right w:val="single" w:sz="4" w:space="0" w:color="auto"/>
            </w:tcBorders>
            <w:shd w:val="clear" w:color="auto" w:fill="auto"/>
            <w:tcMar>
              <w:left w:w="29" w:type="dxa"/>
              <w:right w:w="29" w:type="dxa"/>
            </w:tcMar>
            <w:hideMark/>
          </w:tcPr>
          <w:p w14:paraId="34F41F67" w14:textId="77777777" w:rsidR="00733751" w:rsidRPr="003C1788" w:rsidRDefault="00733751" w:rsidP="00733751">
            <w:pPr>
              <w:jc w:val="right"/>
              <w:rPr>
                <w:color w:val="000000"/>
                <w:sz w:val="16"/>
                <w:szCs w:val="16"/>
              </w:rPr>
            </w:pPr>
            <w:r w:rsidRPr="003C1788">
              <w:rPr>
                <w:color w:val="000000"/>
                <w:sz w:val="16"/>
                <w:szCs w:val="16"/>
              </w:rPr>
              <w:t>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146587B0" w14:textId="77777777" w:rsidR="00733751" w:rsidRPr="003C1788" w:rsidRDefault="00733751" w:rsidP="00733751">
            <w:pPr>
              <w:jc w:val="right"/>
              <w:rPr>
                <w:color w:val="000000"/>
                <w:sz w:val="16"/>
                <w:szCs w:val="16"/>
              </w:rPr>
            </w:pPr>
            <w:r w:rsidRPr="003C1788">
              <w:rPr>
                <w:color w:val="000000"/>
                <w:sz w:val="16"/>
                <w:szCs w:val="16"/>
              </w:rPr>
              <w:t>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1613398A" w14:textId="77777777" w:rsidR="00733751" w:rsidRPr="003C1788" w:rsidRDefault="00733751" w:rsidP="00733751">
            <w:pPr>
              <w:jc w:val="right"/>
              <w:rPr>
                <w:color w:val="000000"/>
                <w:sz w:val="16"/>
                <w:szCs w:val="16"/>
              </w:rPr>
            </w:pPr>
            <w:r w:rsidRPr="003C1788">
              <w:rPr>
                <w:color w:val="000000"/>
                <w:sz w:val="16"/>
                <w:szCs w:val="16"/>
              </w:rPr>
              <w:t>0</w:t>
            </w:r>
          </w:p>
        </w:tc>
        <w:tc>
          <w:tcPr>
            <w:tcW w:w="293" w:type="pct"/>
            <w:tcBorders>
              <w:top w:val="nil"/>
              <w:left w:val="nil"/>
              <w:bottom w:val="single" w:sz="4" w:space="0" w:color="auto"/>
              <w:right w:val="single" w:sz="4" w:space="0" w:color="auto"/>
            </w:tcBorders>
            <w:shd w:val="clear" w:color="auto" w:fill="auto"/>
            <w:tcMar>
              <w:left w:w="29" w:type="dxa"/>
              <w:right w:w="29" w:type="dxa"/>
            </w:tcMar>
            <w:hideMark/>
          </w:tcPr>
          <w:p w14:paraId="7A932B5C" w14:textId="77777777" w:rsidR="00733751" w:rsidRPr="003C1788" w:rsidRDefault="00733751" w:rsidP="00733751">
            <w:pPr>
              <w:jc w:val="right"/>
              <w:rPr>
                <w:color w:val="000000"/>
                <w:sz w:val="16"/>
                <w:szCs w:val="16"/>
              </w:rPr>
            </w:pPr>
            <w:r w:rsidRPr="003C1788">
              <w:rPr>
                <w:color w:val="000000"/>
                <w:sz w:val="16"/>
                <w:szCs w:val="16"/>
              </w:rPr>
              <w:t>0</w:t>
            </w:r>
          </w:p>
        </w:tc>
        <w:tc>
          <w:tcPr>
            <w:tcW w:w="286" w:type="pct"/>
            <w:tcBorders>
              <w:top w:val="nil"/>
              <w:left w:val="nil"/>
              <w:bottom w:val="single" w:sz="4" w:space="0" w:color="auto"/>
              <w:right w:val="single" w:sz="4" w:space="0" w:color="auto"/>
            </w:tcBorders>
            <w:shd w:val="clear" w:color="auto" w:fill="auto"/>
            <w:tcMar>
              <w:left w:w="29" w:type="dxa"/>
              <w:right w:w="29" w:type="dxa"/>
            </w:tcMar>
            <w:hideMark/>
          </w:tcPr>
          <w:p w14:paraId="7AF36C84" w14:textId="77777777" w:rsidR="00733751" w:rsidRPr="003C1788" w:rsidRDefault="00733751" w:rsidP="00733751">
            <w:pPr>
              <w:jc w:val="right"/>
              <w:rPr>
                <w:color w:val="000000"/>
                <w:sz w:val="16"/>
                <w:szCs w:val="16"/>
              </w:rPr>
            </w:pPr>
            <w:r w:rsidRPr="003C1788">
              <w:rPr>
                <w:color w:val="000000"/>
                <w:sz w:val="16"/>
                <w:szCs w:val="16"/>
              </w:rPr>
              <w:t>0</w:t>
            </w:r>
          </w:p>
        </w:tc>
        <w:tc>
          <w:tcPr>
            <w:tcW w:w="330" w:type="pct"/>
            <w:tcBorders>
              <w:top w:val="nil"/>
              <w:left w:val="nil"/>
              <w:bottom w:val="single" w:sz="4" w:space="0" w:color="auto"/>
              <w:right w:val="single" w:sz="4" w:space="0" w:color="auto"/>
            </w:tcBorders>
            <w:shd w:val="clear" w:color="auto" w:fill="auto"/>
            <w:tcMar>
              <w:left w:w="29" w:type="dxa"/>
              <w:right w:w="29" w:type="dxa"/>
            </w:tcMar>
            <w:hideMark/>
          </w:tcPr>
          <w:p w14:paraId="67970D25" w14:textId="77777777" w:rsidR="00733751" w:rsidRPr="003C1788" w:rsidRDefault="00733751" w:rsidP="00733751">
            <w:pPr>
              <w:jc w:val="right"/>
              <w:rPr>
                <w:color w:val="000000"/>
                <w:sz w:val="16"/>
                <w:szCs w:val="16"/>
              </w:rPr>
            </w:pPr>
            <w:r w:rsidRPr="003C1788">
              <w:rPr>
                <w:color w:val="000000"/>
                <w:sz w:val="16"/>
                <w:szCs w:val="16"/>
              </w:rPr>
              <w:t>4.818</w:t>
            </w:r>
          </w:p>
        </w:tc>
      </w:tr>
      <w:tr w:rsidR="009D5F59" w:rsidRPr="003C1788" w14:paraId="71B82206" w14:textId="77777777" w:rsidTr="009D5F59">
        <w:trPr>
          <w:trHeight w:val="20"/>
        </w:trPr>
        <w:tc>
          <w:tcPr>
            <w:tcW w:w="33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C54DB08" w14:textId="77777777" w:rsidR="00733751" w:rsidRPr="003C1788" w:rsidRDefault="00733751" w:rsidP="00733751">
            <w:pPr>
              <w:jc w:val="left"/>
              <w:rPr>
                <w:color w:val="000000"/>
                <w:sz w:val="16"/>
                <w:szCs w:val="16"/>
              </w:rPr>
            </w:pPr>
            <w:r w:rsidRPr="003C1788">
              <w:rPr>
                <w:color w:val="000000"/>
                <w:sz w:val="16"/>
                <w:szCs w:val="16"/>
              </w:rPr>
              <w:t>2.5</w:t>
            </w:r>
          </w:p>
        </w:tc>
        <w:tc>
          <w:tcPr>
            <w:tcW w:w="1011" w:type="pct"/>
            <w:tcBorders>
              <w:top w:val="nil"/>
              <w:left w:val="nil"/>
              <w:bottom w:val="single" w:sz="4" w:space="0" w:color="auto"/>
              <w:right w:val="single" w:sz="4" w:space="0" w:color="auto"/>
            </w:tcBorders>
            <w:shd w:val="clear" w:color="auto" w:fill="auto"/>
            <w:tcMar>
              <w:left w:w="29" w:type="dxa"/>
              <w:right w:w="29" w:type="dxa"/>
            </w:tcMar>
            <w:hideMark/>
          </w:tcPr>
          <w:p w14:paraId="1E63929B" w14:textId="77777777" w:rsidR="00733751" w:rsidRPr="003C1788" w:rsidRDefault="00733751" w:rsidP="00733751">
            <w:pPr>
              <w:jc w:val="left"/>
              <w:rPr>
                <w:color w:val="000000"/>
                <w:sz w:val="16"/>
                <w:szCs w:val="16"/>
              </w:rPr>
            </w:pPr>
            <w:r w:rsidRPr="003C1788">
              <w:rPr>
                <w:color w:val="000000"/>
                <w:sz w:val="16"/>
                <w:szCs w:val="16"/>
              </w:rPr>
              <w:t xml:space="preserve">Financiamiento convenido para el </w:t>
            </w:r>
            <w:r w:rsidRPr="003C1788">
              <w:rPr>
                <w:b/>
                <w:bCs/>
                <w:color w:val="000000"/>
                <w:sz w:val="16"/>
                <w:szCs w:val="16"/>
              </w:rPr>
              <w:t>organismo cooperante (PNUMA)</w:t>
            </w:r>
            <w:r w:rsidRPr="003C1788">
              <w:rPr>
                <w:color w:val="000000"/>
                <w:sz w:val="16"/>
                <w:szCs w:val="16"/>
              </w:rPr>
              <w:t xml:space="preserve"> (USD)*</w:t>
            </w:r>
          </w:p>
        </w:tc>
        <w:tc>
          <w:tcPr>
            <w:tcW w:w="336" w:type="pct"/>
            <w:tcBorders>
              <w:top w:val="nil"/>
              <w:left w:val="nil"/>
              <w:bottom w:val="single" w:sz="4" w:space="0" w:color="auto"/>
              <w:right w:val="single" w:sz="4" w:space="0" w:color="auto"/>
            </w:tcBorders>
            <w:shd w:val="clear" w:color="auto" w:fill="auto"/>
            <w:tcMar>
              <w:left w:w="29" w:type="dxa"/>
              <w:right w:w="29" w:type="dxa"/>
            </w:tcMar>
            <w:hideMark/>
          </w:tcPr>
          <w:p w14:paraId="6CFC0FD5" w14:textId="77777777" w:rsidR="00733751" w:rsidRPr="003C1788" w:rsidRDefault="00733751" w:rsidP="00733751">
            <w:pPr>
              <w:jc w:val="right"/>
              <w:rPr>
                <w:color w:val="000000"/>
                <w:sz w:val="16"/>
                <w:szCs w:val="16"/>
              </w:rPr>
            </w:pPr>
            <w:r w:rsidRPr="003C1788">
              <w:rPr>
                <w:color w:val="000000"/>
                <w:sz w:val="16"/>
                <w:szCs w:val="16"/>
              </w:rPr>
              <w:t>120.000</w:t>
            </w:r>
          </w:p>
        </w:tc>
        <w:tc>
          <w:tcPr>
            <w:tcW w:w="288" w:type="pct"/>
            <w:tcBorders>
              <w:top w:val="nil"/>
              <w:left w:val="nil"/>
              <w:bottom w:val="single" w:sz="4" w:space="0" w:color="auto"/>
              <w:right w:val="single" w:sz="4" w:space="0" w:color="auto"/>
            </w:tcBorders>
            <w:shd w:val="clear" w:color="auto" w:fill="auto"/>
            <w:tcMar>
              <w:left w:w="29" w:type="dxa"/>
              <w:right w:w="29" w:type="dxa"/>
            </w:tcMar>
            <w:hideMark/>
          </w:tcPr>
          <w:p w14:paraId="1CF8622E" w14:textId="77777777" w:rsidR="00733751" w:rsidRPr="003C1788" w:rsidRDefault="00733751" w:rsidP="00733751">
            <w:pPr>
              <w:jc w:val="right"/>
              <w:rPr>
                <w:color w:val="000000"/>
                <w:sz w:val="16"/>
                <w:szCs w:val="16"/>
              </w:rPr>
            </w:pPr>
            <w:r w:rsidRPr="003C1788">
              <w:rPr>
                <w:color w:val="000000"/>
                <w:sz w:val="16"/>
                <w:szCs w:val="16"/>
              </w:rPr>
              <w:t>0</w:t>
            </w:r>
          </w:p>
        </w:tc>
        <w:tc>
          <w:tcPr>
            <w:tcW w:w="241" w:type="pct"/>
            <w:tcBorders>
              <w:top w:val="nil"/>
              <w:left w:val="nil"/>
              <w:bottom w:val="single" w:sz="4" w:space="0" w:color="auto"/>
              <w:right w:val="single" w:sz="4" w:space="0" w:color="auto"/>
            </w:tcBorders>
            <w:shd w:val="clear" w:color="auto" w:fill="auto"/>
            <w:tcMar>
              <w:left w:w="29" w:type="dxa"/>
              <w:right w:w="29" w:type="dxa"/>
            </w:tcMar>
            <w:hideMark/>
          </w:tcPr>
          <w:p w14:paraId="7FDB45AA" w14:textId="77777777" w:rsidR="00733751" w:rsidRPr="003C1788" w:rsidRDefault="00733751" w:rsidP="00733751">
            <w:pPr>
              <w:jc w:val="right"/>
              <w:rPr>
                <w:color w:val="000000"/>
                <w:sz w:val="16"/>
                <w:szCs w:val="16"/>
              </w:rPr>
            </w:pPr>
            <w:r w:rsidRPr="003C1788">
              <w:rPr>
                <w:color w:val="000000"/>
                <w:sz w:val="16"/>
                <w:szCs w:val="16"/>
              </w:rPr>
              <w:t>0</w:t>
            </w:r>
          </w:p>
        </w:tc>
        <w:tc>
          <w:tcPr>
            <w:tcW w:w="343" w:type="pct"/>
            <w:tcBorders>
              <w:top w:val="nil"/>
              <w:left w:val="nil"/>
              <w:bottom w:val="single" w:sz="4" w:space="0" w:color="auto"/>
              <w:right w:val="single" w:sz="4" w:space="0" w:color="auto"/>
            </w:tcBorders>
            <w:shd w:val="clear" w:color="auto" w:fill="auto"/>
            <w:tcMar>
              <w:left w:w="29" w:type="dxa"/>
              <w:right w:w="29" w:type="dxa"/>
            </w:tcMar>
            <w:hideMark/>
          </w:tcPr>
          <w:p w14:paraId="1A0C8B7D" w14:textId="77777777" w:rsidR="00733751" w:rsidRPr="003C1788" w:rsidRDefault="00733751" w:rsidP="00733751">
            <w:pPr>
              <w:jc w:val="right"/>
              <w:rPr>
                <w:color w:val="000000"/>
                <w:sz w:val="16"/>
                <w:szCs w:val="16"/>
              </w:rPr>
            </w:pPr>
            <w:r w:rsidRPr="003C1788">
              <w:rPr>
                <w:color w:val="000000"/>
                <w:sz w:val="16"/>
                <w:szCs w:val="16"/>
              </w:rPr>
              <w:t>118.000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6E4FF048" w14:textId="77777777" w:rsidR="00733751" w:rsidRPr="003C1788" w:rsidRDefault="00733751" w:rsidP="00733751">
            <w:pPr>
              <w:jc w:val="right"/>
              <w:rPr>
                <w:color w:val="000000"/>
                <w:sz w:val="16"/>
                <w:szCs w:val="16"/>
              </w:rPr>
            </w:pPr>
            <w:r w:rsidRPr="003C1788">
              <w:rPr>
                <w:color w:val="000000"/>
                <w:sz w:val="16"/>
                <w:szCs w:val="16"/>
              </w:rPr>
              <w:t>0</w:t>
            </w:r>
          </w:p>
        </w:tc>
        <w:tc>
          <w:tcPr>
            <w:tcW w:w="337" w:type="pct"/>
            <w:tcBorders>
              <w:top w:val="nil"/>
              <w:left w:val="nil"/>
              <w:bottom w:val="single" w:sz="4" w:space="0" w:color="auto"/>
              <w:right w:val="single" w:sz="4" w:space="0" w:color="auto"/>
            </w:tcBorders>
            <w:shd w:val="clear" w:color="auto" w:fill="auto"/>
            <w:tcMar>
              <w:left w:w="29" w:type="dxa"/>
              <w:right w:w="29" w:type="dxa"/>
            </w:tcMar>
            <w:hideMark/>
          </w:tcPr>
          <w:p w14:paraId="0BC1EB00" w14:textId="77777777" w:rsidR="00733751" w:rsidRPr="003C1788" w:rsidRDefault="00733751" w:rsidP="00733751">
            <w:pPr>
              <w:jc w:val="right"/>
              <w:rPr>
                <w:color w:val="000000"/>
                <w:sz w:val="16"/>
                <w:szCs w:val="16"/>
              </w:rPr>
            </w:pPr>
            <w:r w:rsidRPr="003C1788">
              <w:rPr>
                <w:color w:val="000000"/>
                <w:sz w:val="16"/>
                <w:szCs w:val="16"/>
              </w:rPr>
              <w:t>0</w:t>
            </w:r>
          </w:p>
        </w:tc>
        <w:tc>
          <w:tcPr>
            <w:tcW w:w="333" w:type="pct"/>
            <w:tcBorders>
              <w:top w:val="nil"/>
              <w:left w:val="nil"/>
              <w:bottom w:val="single" w:sz="4" w:space="0" w:color="auto"/>
              <w:right w:val="single" w:sz="4" w:space="0" w:color="auto"/>
            </w:tcBorders>
            <w:shd w:val="clear" w:color="auto" w:fill="auto"/>
            <w:tcMar>
              <w:left w:w="29" w:type="dxa"/>
              <w:right w:w="29" w:type="dxa"/>
            </w:tcMar>
            <w:hideMark/>
          </w:tcPr>
          <w:p w14:paraId="296127C2" w14:textId="77777777" w:rsidR="00733751" w:rsidRPr="003C1788" w:rsidRDefault="00733751" w:rsidP="00733751">
            <w:pPr>
              <w:jc w:val="right"/>
              <w:rPr>
                <w:color w:val="000000"/>
                <w:sz w:val="16"/>
                <w:szCs w:val="16"/>
              </w:rPr>
            </w:pPr>
            <w:r w:rsidRPr="003C1788">
              <w:rPr>
                <w:color w:val="000000"/>
                <w:sz w:val="16"/>
                <w:szCs w:val="16"/>
              </w:rPr>
              <w:t>120.000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0F3EFF44" w14:textId="77777777" w:rsidR="00733751" w:rsidRPr="003C1788" w:rsidRDefault="00733751" w:rsidP="00733751">
            <w:pPr>
              <w:jc w:val="right"/>
              <w:rPr>
                <w:color w:val="000000"/>
                <w:sz w:val="16"/>
                <w:szCs w:val="16"/>
              </w:rPr>
            </w:pPr>
            <w:r w:rsidRPr="003C1788">
              <w:rPr>
                <w:color w:val="000000"/>
                <w:sz w:val="16"/>
                <w:szCs w:val="16"/>
              </w:rPr>
              <w:t>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7ED3999C" w14:textId="77777777" w:rsidR="00733751" w:rsidRPr="003C1788" w:rsidRDefault="00733751" w:rsidP="00733751">
            <w:pPr>
              <w:jc w:val="right"/>
              <w:rPr>
                <w:b/>
                <w:bCs/>
                <w:color w:val="000000"/>
                <w:sz w:val="16"/>
                <w:szCs w:val="16"/>
              </w:rPr>
            </w:pPr>
            <w:r w:rsidRPr="003C1788">
              <w:rPr>
                <w:b/>
                <w:bCs/>
                <w:color w:val="000000"/>
                <w:sz w:val="16"/>
                <w:szCs w:val="16"/>
              </w:rPr>
              <w:t>12.372</w:t>
            </w:r>
          </w:p>
        </w:tc>
        <w:tc>
          <w:tcPr>
            <w:tcW w:w="293" w:type="pct"/>
            <w:tcBorders>
              <w:top w:val="nil"/>
              <w:left w:val="nil"/>
              <w:bottom w:val="single" w:sz="4" w:space="0" w:color="auto"/>
              <w:right w:val="single" w:sz="4" w:space="0" w:color="auto"/>
            </w:tcBorders>
            <w:shd w:val="clear" w:color="auto" w:fill="auto"/>
            <w:tcMar>
              <w:left w:w="29" w:type="dxa"/>
              <w:right w:w="29" w:type="dxa"/>
            </w:tcMar>
            <w:hideMark/>
          </w:tcPr>
          <w:p w14:paraId="16B8E192" w14:textId="77777777" w:rsidR="00733751" w:rsidRPr="003C1788" w:rsidRDefault="00733751" w:rsidP="00733751">
            <w:pPr>
              <w:jc w:val="right"/>
              <w:rPr>
                <w:color w:val="000000"/>
                <w:sz w:val="16"/>
                <w:szCs w:val="16"/>
              </w:rPr>
            </w:pPr>
            <w:r w:rsidRPr="003C1788">
              <w:rPr>
                <w:color w:val="000000"/>
                <w:sz w:val="16"/>
                <w:szCs w:val="16"/>
              </w:rPr>
              <w:t>0</w:t>
            </w:r>
          </w:p>
        </w:tc>
        <w:tc>
          <w:tcPr>
            <w:tcW w:w="286" w:type="pct"/>
            <w:tcBorders>
              <w:top w:val="nil"/>
              <w:left w:val="nil"/>
              <w:bottom w:val="single" w:sz="4" w:space="0" w:color="auto"/>
              <w:right w:val="single" w:sz="4" w:space="0" w:color="auto"/>
            </w:tcBorders>
            <w:shd w:val="clear" w:color="auto" w:fill="auto"/>
            <w:tcMar>
              <w:left w:w="29" w:type="dxa"/>
              <w:right w:w="29" w:type="dxa"/>
            </w:tcMar>
            <w:hideMark/>
          </w:tcPr>
          <w:p w14:paraId="4DB26718" w14:textId="77777777" w:rsidR="00733751" w:rsidRPr="003C1788" w:rsidRDefault="00733751" w:rsidP="00733751">
            <w:pPr>
              <w:jc w:val="right"/>
              <w:rPr>
                <w:color w:val="000000"/>
                <w:sz w:val="16"/>
                <w:szCs w:val="16"/>
              </w:rPr>
            </w:pPr>
            <w:r w:rsidRPr="003C1788">
              <w:rPr>
                <w:color w:val="000000"/>
                <w:sz w:val="16"/>
                <w:szCs w:val="16"/>
              </w:rPr>
              <w:t>0</w:t>
            </w:r>
          </w:p>
        </w:tc>
        <w:tc>
          <w:tcPr>
            <w:tcW w:w="330" w:type="pct"/>
            <w:tcBorders>
              <w:top w:val="nil"/>
              <w:left w:val="nil"/>
              <w:bottom w:val="single" w:sz="4" w:space="0" w:color="auto"/>
              <w:right w:val="single" w:sz="4" w:space="0" w:color="auto"/>
            </w:tcBorders>
            <w:shd w:val="clear" w:color="auto" w:fill="auto"/>
            <w:tcMar>
              <w:left w:w="29" w:type="dxa"/>
              <w:right w:w="29" w:type="dxa"/>
            </w:tcMar>
            <w:hideMark/>
          </w:tcPr>
          <w:p w14:paraId="5029E161" w14:textId="77777777" w:rsidR="00733751" w:rsidRPr="003C1788" w:rsidRDefault="00733751" w:rsidP="00733751">
            <w:pPr>
              <w:jc w:val="right"/>
              <w:rPr>
                <w:b/>
                <w:bCs/>
                <w:color w:val="000000"/>
                <w:sz w:val="16"/>
                <w:szCs w:val="16"/>
              </w:rPr>
            </w:pPr>
            <w:r w:rsidRPr="003C1788">
              <w:rPr>
                <w:b/>
                <w:bCs/>
                <w:color w:val="000000"/>
                <w:sz w:val="16"/>
                <w:szCs w:val="16"/>
              </w:rPr>
              <w:t>370.372</w:t>
            </w:r>
          </w:p>
        </w:tc>
      </w:tr>
      <w:tr w:rsidR="009D5F59" w:rsidRPr="003C1788" w14:paraId="454948D2" w14:textId="77777777" w:rsidTr="009D5F59">
        <w:trPr>
          <w:trHeight w:val="20"/>
        </w:trPr>
        <w:tc>
          <w:tcPr>
            <w:tcW w:w="33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FFE2D93" w14:textId="77777777" w:rsidR="00733751" w:rsidRPr="003C1788" w:rsidRDefault="00733751" w:rsidP="00733751">
            <w:pPr>
              <w:jc w:val="left"/>
              <w:rPr>
                <w:color w:val="000000"/>
                <w:sz w:val="16"/>
                <w:szCs w:val="16"/>
              </w:rPr>
            </w:pPr>
            <w:r w:rsidRPr="003C1788">
              <w:rPr>
                <w:color w:val="000000"/>
                <w:sz w:val="16"/>
                <w:szCs w:val="16"/>
              </w:rPr>
              <w:t>2.6</w:t>
            </w:r>
          </w:p>
        </w:tc>
        <w:tc>
          <w:tcPr>
            <w:tcW w:w="1011" w:type="pct"/>
            <w:tcBorders>
              <w:top w:val="nil"/>
              <w:left w:val="nil"/>
              <w:bottom w:val="single" w:sz="4" w:space="0" w:color="auto"/>
              <w:right w:val="single" w:sz="4" w:space="0" w:color="auto"/>
            </w:tcBorders>
            <w:shd w:val="clear" w:color="auto" w:fill="auto"/>
            <w:tcMar>
              <w:left w:w="29" w:type="dxa"/>
              <w:right w:w="29" w:type="dxa"/>
            </w:tcMar>
            <w:hideMark/>
          </w:tcPr>
          <w:p w14:paraId="152741BD" w14:textId="77777777" w:rsidR="00733751" w:rsidRPr="003C1788" w:rsidRDefault="00733751" w:rsidP="00733751">
            <w:pPr>
              <w:jc w:val="left"/>
              <w:rPr>
                <w:color w:val="000000"/>
                <w:sz w:val="16"/>
                <w:szCs w:val="16"/>
              </w:rPr>
            </w:pPr>
            <w:r w:rsidRPr="003C1788">
              <w:rPr>
                <w:color w:val="000000"/>
                <w:sz w:val="16"/>
                <w:szCs w:val="16"/>
              </w:rPr>
              <w:t>Gastos de apoyo para el organismo cooperante (USD)</w:t>
            </w:r>
          </w:p>
        </w:tc>
        <w:tc>
          <w:tcPr>
            <w:tcW w:w="336" w:type="pct"/>
            <w:tcBorders>
              <w:top w:val="nil"/>
              <w:left w:val="nil"/>
              <w:bottom w:val="single" w:sz="4" w:space="0" w:color="auto"/>
              <w:right w:val="single" w:sz="4" w:space="0" w:color="auto"/>
            </w:tcBorders>
            <w:shd w:val="clear" w:color="auto" w:fill="auto"/>
            <w:tcMar>
              <w:left w:w="29" w:type="dxa"/>
              <w:right w:w="29" w:type="dxa"/>
            </w:tcMar>
            <w:hideMark/>
          </w:tcPr>
          <w:p w14:paraId="1E11A144" w14:textId="77777777" w:rsidR="00733751" w:rsidRPr="003C1788" w:rsidRDefault="00733751" w:rsidP="00733751">
            <w:pPr>
              <w:jc w:val="right"/>
              <w:rPr>
                <w:color w:val="000000"/>
                <w:sz w:val="16"/>
                <w:szCs w:val="16"/>
              </w:rPr>
            </w:pPr>
            <w:r w:rsidRPr="003C1788">
              <w:rPr>
                <w:color w:val="000000"/>
                <w:sz w:val="16"/>
                <w:szCs w:val="16"/>
              </w:rPr>
              <w:t>15.600</w:t>
            </w:r>
          </w:p>
        </w:tc>
        <w:tc>
          <w:tcPr>
            <w:tcW w:w="288" w:type="pct"/>
            <w:tcBorders>
              <w:top w:val="nil"/>
              <w:left w:val="nil"/>
              <w:bottom w:val="single" w:sz="4" w:space="0" w:color="auto"/>
              <w:right w:val="single" w:sz="4" w:space="0" w:color="auto"/>
            </w:tcBorders>
            <w:shd w:val="clear" w:color="auto" w:fill="auto"/>
            <w:tcMar>
              <w:left w:w="29" w:type="dxa"/>
              <w:right w:w="29" w:type="dxa"/>
            </w:tcMar>
            <w:hideMark/>
          </w:tcPr>
          <w:p w14:paraId="25646A9F" w14:textId="77777777" w:rsidR="00733751" w:rsidRPr="003C1788" w:rsidRDefault="00733751" w:rsidP="00733751">
            <w:pPr>
              <w:jc w:val="right"/>
              <w:rPr>
                <w:color w:val="000000"/>
                <w:sz w:val="16"/>
                <w:szCs w:val="16"/>
              </w:rPr>
            </w:pPr>
            <w:r w:rsidRPr="003C1788">
              <w:rPr>
                <w:color w:val="000000"/>
                <w:sz w:val="16"/>
                <w:szCs w:val="16"/>
              </w:rPr>
              <w:t>0</w:t>
            </w:r>
          </w:p>
        </w:tc>
        <w:tc>
          <w:tcPr>
            <w:tcW w:w="241" w:type="pct"/>
            <w:tcBorders>
              <w:top w:val="nil"/>
              <w:left w:val="nil"/>
              <w:bottom w:val="single" w:sz="4" w:space="0" w:color="auto"/>
              <w:right w:val="single" w:sz="4" w:space="0" w:color="auto"/>
            </w:tcBorders>
            <w:shd w:val="clear" w:color="auto" w:fill="auto"/>
            <w:tcMar>
              <w:left w:w="29" w:type="dxa"/>
              <w:right w:w="29" w:type="dxa"/>
            </w:tcMar>
            <w:hideMark/>
          </w:tcPr>
          <w:p w14:paraId="185B2317" w14:textId="77777777" w:rsidR="00733751" w:rsidRPr="003C1788" w:rsidRDefault="00733751" w:rsidP="00733751">
            <w:pPr>
              <w:jc w:val="right"/>
              <w:rPr>
                <w:color w:val="000000"/>
                <w:sz w:val="16"/>
                <w:szCs w:val="16"/>
              </w:rPr>
            </w:pPr>
            <w:r w:rsidRPr="003C1788">
              <w:rPr>
                <w:color w:val="000000"/>
                <w:sz w:val="16"/>
                <w:szCs w:val="16"/>
              </w:rPr>
              <w:t>0</w:t>
            </w:r>
          </w:p>
        </w:tc>
        <w:tc>
          <w:tcPr>
            <w:tcW w:w="343" w:type="pct"/>
            <w:tcBorders>
              <w:top w:val="nil"/>
              <w:left w:val="nil"/>
              <w:bottom w:val="single" w:sz="4" w:space="0" w:color="auto"/>
              <w:right w:val="single" w:sz="4" w:space="0" w:color="auto"/>
            </w:tcBorders>
            <w:shd w:val="clear" w:color="auto" w:fill="auto"/>
            <w:tcMar>
              <w:left w:w="29" w:type="dxa"/>
              <w:right w:w="29" w:type="dxa"/>
            </w:tcMar>
            <w:hideMark/>
          </w:tcPr>
          <w:p w14:paraId="7B5DEE36" w14:textId="77777777" w:rsidR="00733751" w:rsidRPr="003C1788" w:rsidRDefault="00733751" w:rsidP="00733751">
            <w:pPr>
              <w:jc w:val="right"/>
              <w:rPr>
                <w:color w:val="000000"/>
                <w:sz w:val="16"/>
                <w:szCs w:val="16"/>
              </w:rPr>
            </w:pPr>
            <w:r w:rsidRPr="003C1788">
              <w:rPr>
                <w:color w:val="000000"/>
                <w:sz w:val="16"/>
                <w:szCs w:val="16"/>
              </w:rPr>
              <w:t>15.340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5D888B0C" w14:textId="77777777" w:rsidR="00733751" w:rsidRPr="003C1788" w:rsidRDefault="00733751" w:rsidP="00733751">
            <w:pPr>
              <w:jc w:val="right"/>
              <w:rPr>
                <w:color w:val="000000"/>
                <w:sz w:val="16"/>
                <w:szCs w:val="16"/>
              </w:rPr>
            </w:pPr>
            <w:r w:rsidRPr="003C1788">
              <w:rPr>
                <w:color w:val="000000"/>
                <w:sz w:val="16"/>
                <w:szCs w:val="16"/>
              </w:rPr>
              <w:t>0</w:t>
            </w:r>
          </w:p>
        </w:tc>
        <w:tc>
          <w:tcPr>
            <w:tcW w:w="337" w:type="pct"/>
            <w:tcBorders>
              <w:top w:val="nil"/>
              <w:left w:val="nil"/>
              <w:bottom w:val="single" w:sz="4" w:space="0" w:color="auto"/>
              <w:right w:val="single" w:sz="4" w:space="0" w:color="auto"/>
            </w:tcBorders>
            <w:shd w:val="clear" w:color="auto" w:fill="auto"/>
            <w:tcMar>
              <w:left w:w="29" w:type="dxa"/>
              <w:right w:w="29" w:type="dxa"/>
            </w:tcMar>
            <w:hideMark/>
          </w:tcPr>
          <w:p w14:paraId="5A4B27E5" w14:textId="77777777" w:rsidR="00733751" w:rsidRPr="003C1788" w:rsidRDefault="00733751" w:rsidP="00733751">
            <w:pPr>
              <w:jc w:val="right"/>
              <w:rPr>
                <w:color w:val="000000"/>
                <w:sz w:val="16"/>
                <w:szCs w:val="16"/>
              </w:rPr>
            </w:pPr>
            <w:r w:rsidRPr="003C1788">
              <w:rPr>
                <w:color w:val="000000"/>
                <w:sz w:val="16"/>
                <w:szCs w:val="16"/>
              </w:rPr>
              <w:t>0</w:t>
            </w:r>
          </w:p>
        </w:tc>
        <w:tc>
          <w:tcPr>
            <w:tcW w:w="333" w:type="pct"/>
            <w:tcBorders>
              <w:top w:val="nil"/>
              <w:left w:val="nil"/>
              <w:bottom w:val="single" w:sz="4" w:space="0" w:color="auto"/>
              <w:right w:val="single" w:sz="4" w:space="0" w:color="auto"/>
            </w:tcBorders>
            <w:shd w:val="clear" w:color="auto" w:fill="auto"/>
            <w:tcMar>
              <w:left w:w="29" w:type="dxa"/>
              <w:right w:w="29" w:type="dxa"/>
            </w:tcMar>
            <w:hideMark/>
          </w:tcPr>
          <w:p w14:paraId="1046628C" w14:textId="77777777" w:rsidR="00733751" w:rsidRPr="003C1788" w:rsidRDefault="00733751" w:rsidP="00733751">
            <w:pPr>
              <w:jc w:val="right"/>
              <w:rPr>
                <w:color w:val="000000"/>
                <w:sz w:val="16"/>
                <w:szCs w:val="16"/>
              </w:rPr>
            </w:pPr>
            <w:r w:rsidRPr="003C1788">
              <w:rPr>
                <w:color w:val="000000"/>
                <w:sz w:val="16"/>
                <w:szCs w:val="16"/>
              </w:rPr>
              <w:t>15.600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773F4CFA" w14:textId="77777777" w:rsidR="00733751" w:rsidRPr="003C1788" w:rsidRDefault="00733751" w:rsidP="00733751">
            <w:pPr>
              <w:jc w:val="right"/>
              <w:rPr>
                <w:color w:val="000000"/>
                <w:sz w:val="16"/>
                <w:szCs w:val="16"/>
              </w:rPr>
            </w:pPr>
            <w:r w:rsidRPr="003C1788">
              <w:rPr>
                <w:color w:val="000000"/>
                <w:sz w:val="16"/>
                <w:szCs w:val="16"/>
              </w:rPr>
              <w:t>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527914E5" w14:textId="77777777" w:rsidR="00733751" w:rsidRPr="003C1788" w:rsidRDefault="00733751" w:rsidP="00733751">
            <w:pPr>
              <w:jc w:val="right"/>
              <w:rPr>
                <w:b/>
                <w:bCs/>
                <w:color w:val="000000"/>
                <w:sz w:val="16"/>
                <w:szCs w:val="16"/>
              </w:rPr>
            </w:pPr>
            <w:r w:rsidRPr="003C1788">
              <w:rPr>
                <w:b/>
                <w:bCs/>
                <w:color w:val="000000"/>
                <w:sz w:val="16"/>
                <w:szCs w:val="16"/>
              </w:rPr>
              <w:t>1.608</w:t>
            </w:r>
          </w:p>
        </w:tc>
        <w:tc>
          <w:tcPr>
            <w:tcW w:w="293" w:type="pct"/>
            <w:tcBorders>
              <w:top w:val="nil"/>
              <w:left w:val="nil"/>
              <w:bottom w:val="single" w:sz="4" w:space="0" w:color="auto"/>
              <w:right w:val="single" w:sz="4" w:space="0" w:color="auto"/>
            </w:tcBorders>
            <w:shd w:val="clear" w:color="auto" w:fill="auto"/>
            <w:tcMar>
              <w:left w:w="29" w:type="dxa"/>
              <w:right w:w="29" w:type="dxa"/>
            </w:tcMar>
            <w:hideMark/>
          </w:tcPr>
          <w:p w14:paraId="0A237B9F" w14:textId="77777777" w:rsidR="00733751" w:rsidRPr="003C1788" w:rsidRDefault="00733751" w:rsidP="00733751">
            <w:pPr>
              <w:jc w:val="right"/>
              <w:rPr>
                <w:color w:val="000000"/>
                <w:sz w:val="16"/>
                <w:szCs w:val="16"/>
              </w:rPr>
            </w:pPr>
            <w:r w:rsidRPr="003C1788">
              <w:rPr>
                <w:color w:val="000000"/>
                <w:sz w:val="16"/>
                <w:szCs w:val="16"/>
              </w:rPr>
              <w:t>0</w:t>
            </w:r>
          </w:p>
        </w:tc>
        <w:tc>
          <w:tcPr>
            <w:tcW w:w="286" w:type="pct"/>
            <w:tcBorders>
              <w:top w:val="nil"/>
              <w:left w:val="nil"/>
              <w:bottom w:val="single" w:sz="4" w:space="0" w:color="auto"/>
              <w:right w:val="single" w:sz="4" w:space="0" w:color="auto"/>
            </w:tcBorders>
            <w:shd w:val="clear" w:color="auto" w:fill="auto"/>
            <w:tcMar>
              <w:left w:w="29" w:type="dxa"/>
              <w:right w:w="29" w:type="dxa"/>
            </w:tcMar>
            <w:hideMark/>
          </w:tcPr>
          <w:p w14:paraId="0E4A41DB" w14:textId="77777777" w:rsidR="00733751" w:rsidRPr="003C1788" w:rsidRDefault="00733751" w:rsidP="00733751">
            <w:pPr>
              <w:jc w:val="right"/>
              <w:rPr>
                <w:color w:val="000000"/>
                <w:sz w:val="16"/>
                <w:szCs w:val="16"/>
              </w:rPr>
            </w:pPr>
            <w:r w:rsidRPr="003C1788">
              <w:rPr>
                <w:color w:val="000000"/>
                <w:sz w:val="16"/>
                <w:szCs w:val="16"/>
              </w:rPr>
              <w:t>0</w:t>
            </w:r>
          </w:p>
        </w:tc>
        <w:tc>
          <w:tcPr>
            <w:tcW w:w="330" w:type="pct"/>
            <w:tcBorders>
              <w:top w:val="nil"/>
              <w:left w:val="nil"/>
              <w:bottom w:val="single" w:sz="4" w:space="0" w:color="auto"/>
              <w:right w:val="single" w:sz="4" w:space="0" w:color="auto"/>
            </w:tcBorders>
            <w:shd w:val="clear" w:color="auto" w:fill="auto"/>
            <w:tcMar>
              <w:left w:w="29" w:type="dxa"/>
              <w:right w:w="29" w:type="dxa"/>
            </w:tcMar>
            <w:hideMark/>
          </w:tcPr>
          <w:p w14:paraId="51CD1FC9" w14:textId="77777777" w:rsidR="00733751" w:rsidRPr="003C1788" w:rsidRDefault="00733751" w:rsidP="00733751">
            <w:pPr>
              <w:jc w:val="right"/>
              <w:rPr>
                <w:b/>
                <w:bCs/>
                <w:color w:val="000000"/>
                <w:sz w:val="16"/>
                <w:szCs w:val="16"/>
              </w:rPr>
            </w:pPr>
            <w:r w:rsidRPr="003C1788">
              <w:rPr>
                <w:b/>
                <w:bCs/>
                <w:color w:val="000000"/>
                <w:sz w:val="16"/>
                <w:szCs w:val="16"/>
              </w:rPr>
              <w:t>48.148</w:t>
            </w:r>
          </w:p>
        </w:tc>
      </w:tr>
      <w:tr w:rsidR="009D5F59" w:rsidRPr="003C1788" w14:paraId="4D85C87C" w14:textId="77777777" w:rsidTr="009D5F59">
        <w:trPr>
          <w:trHeight w:val="20"/>
        </w:trPr>
        <w:tc>
          <w:tcPr>
            <w:tcW w:w="33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77B8239" w14:textId="77777777" w:rsidR="00733751" w:rsidRPr="003C1788" w:rsidRDefault="00733751" w:rsidP="00733751">
            <w:pPr>
              <w:jc w:val="left"/>
              <w:rPr>
                <w:color w:val="000000"/>
                <w:sz w:val="16"/>
                <w:szCs w:val="16"/>
              </w:rPr>
            </w:pPr>
            <w:r w:rsidRPr="003C1788">
              <w:rPr>
                <w:color w:val="000000"/>
                <w:sz w:val="16"/>
                <w:szCs w:val="16"/>
              </w:rPr>
              <w:t>3.1</w:t>
            </w:r>
          </w:p>
        </w:tc>
        <w:tc>
          <w:tcPr>
            <w:tcW w:w="1011" w:type="pct"/>
            <w:tcBorders>
              <w:top w:val="nil"/>
              <w:left w:val="nil"/>
              <w:bottom w:val="single" w:sz="4" w:space="0" w:color="auto"/>
              <w:right w:val="single" w:sz="4" w:space="0" w:color="auto"/>
            </w:tcBorders>
            <w:shd w:val="clear" w:color="auto" w:fill="auto"/>
            <w:tcMar>
              <w:left w:w="29" w:type="dxa"/>
              <w:right w:w="29" w:type="dxa"/>
            </w:tcMar>
            <w:hideMark/>
          </w:tcPr>
          <w:p w14:paraId="483F87B1" w14:textId="77777777" w:rsidR="00733751" w:rsidRPr="003C1788" w:rsidRDefault="00733751" w:rsidP="00733751">
            <w:pPr>
              <w:jc w:val="left"/>
              <w:rPr>
                <w:color w:val="000000"/>
                <w:sz w:val="16"/>
                <w:szCs w:val="16"/>
              </w:rPr>
            </w:pPr>
            <w:r w:rsidRPr="003C1788">
              <w:rPr>
                <w:color w:val="000000"/>
                <w:sz w:val="16"/>
                <w:szCs w:val="16"/>
              </w:rPr>
              <w:t>Financiamiento convenido total (USD)</w:t>
            </w:r>
          </w:p>
        </w:tc>
        <w:tc>
          <w:tcPr>
            <w:tcW w:w="336" w:type="pct"/>
            <w:tcBorders>
              <w:top w:val="nil"/>
              <w:left w:val="nil"/>
              <w:bottom w:val="single" w:sz="4" w:space="0" w:color="auto"/>
              <w:right w:val="single" w:sz="4" w:space="0" w:color="auto"/>
            </w:tcBorders>
            <w:shd w:val="clear" w:color="auto" w:fill="auto"/>
            <w:tcMar>
              <w:left w:w="29" w:type="dxa"/>
              <w:right w:w="29" w:type="dxa"/>
            </w:tcMar>
            <w:hideMark/>
          </w:tcPr>
          <w:p w14:paraId="484579FA" w14:textId="77777777" w:rsidR="00733751" w:rsidRPr="003C1788" w:rsidRDefault="00733751" w:rsidP="00733751">
            <w:pPr>
              <w:jc w:val="right"/>
              <w:rPr>
                <w:color w:val="000000"/>
                <w:sz w:val="16"/>
                <w:szCs w:val="16"/>
              </w:rPr>
            </w:pPr>
            <w:r w:rsidRPr="003C1788">
              <w:rPr>
                <w:color w:val="000000"/>
                <w:sz w:val="16"/>
                <w:szCs w:val="16"/>
              </w:rPr>
              <w:t>157.062</w:t>
            </w:r>
          </w:p>
        </w:tc>
        <w:tc>
          <w:tcPr>
            <w:tcW w:w="288" w:type="pct"/>
            <w:tcBorders>
              <w:top w:val="nil"/>
              <w:left w:val="nil"/>
              <w:bottom w:val="single" w:sz="4" w:space="0" w:color="auto"/>
              <w:right w:val="single" w:sz="4" w:space="0" w:color="auto"/>
            </w:tcBorders>
            <w:shd w:val="clear" w:color="auto" w:fill="auto"/>
            <w:tcMar>
              <w:left w:w="29" w:type="dxa"/>
              <w:right w:w="29" w:type="dxa"/>
            </w:tcMar>
            <w:hideMark/>
          </w:tcPr>
          <w:p w14:paraId="2C653C25" w14:textId="77777777" w:rsidR="00733751" w:rsidRPr="003C1788" w:rsidRDefault="00733751" w:rsidP="00733751">
            <w:pPr>
              <w:jc w:val="right"/>
              <w:rPr>
                <w:color w:val="000000"/>
                <w:sz w:val="16"/>
                <w:szCs w:val="16"/>
              </w:rPr>
            </w:pPr>
            <w:r w:rsidRPr="003C1788">
              <w:rPr>
                <w:color w:val="000000"/>
                <w:sz w:val="16"/>
                <w:szCs w:val="16"/>
              </w:rPr>
              <w:t>0</w:t>
            </w:r>
          </w:p>
        </w:tc>
        <w:tc>
          <w:tcPr>
            <w:tcW w:w="241" w:type="pct"/>
            <w:tcBorders>
              <w:top w:val="nil"/>
              <w:left w:val="nil"/>
              <w:bottom w:val="single" w:sz="4" w:space="0" w:color="auto"/>
              <w:right w:val="single" w:sz="4" w:space="0" w:color="auto"/>
            </w:tcBorders>
            <w:shd w:val="clear" w:color="auto" w:fill="auto"/>
            <w:tcMar>
              <w:left w:w="29" w:type="dxa"/>
              <w:right w:w="29" w:type="dxa"/>
            </w:tcMar>
            <w:hideMark/>
          </w:tcPr>
          <w:p w14:paraId="42C1267E" w14:textId="77777777" w:rsidR="00733751" w:rsidRPr="003C1788" w:rsidRDefault="00733751" w:rsidP="00733751">
            <w:pPr>
              <w:jc w:val="right"/>
              <w:rPr>
                <w:color w:val="000000"/>
                <w:sz w:val="16"/>
                <w:szCs w:val="16"/>
              </w:rPr>
            </w:pPr>
            <w:r w:rsidRPr="003C1788">
              <w:rPr>
                <w:color w:val="000000"/>
                <w:sz w:val="16"/>
                <w:szCs w:val="16"/>
              </w:rPr>
              <w:t>0</w:t>
            </w:r>
          </w:p>
        </w:tc>
        <w:tc>
          <w:tcPr>
            <w:tcW w:w="343" w:type="pct"/>
            <w:tcBorders>
              <w:top w:val="nil"/>
              <w:left w:val="nil"/>
              <w:bottom w:val="single" w:sz="4" w:space="0" w:color="auto"/>
              <w:right w:val="single" w:sz="4" w:space="0" w:color="auto"/>
            </w:tcBorders>
            <w:shd w:val="clear" w:color="auto" w:fill="auto"/>
            <w:tcMar>
              <w:left w:w="29" w:type="dxa"/>
              <w:right w:w="29" w:type="dxa"/>
            </w:tcMar>
            <w:hideMark/>
          </w:tcPr>
          <w:p w14:paraId="06EE7B74" w14:textId="77777777" w:rsidR="00733751" w:rsidRPr="003C1788" w:rsidRDefault="00733751" w:rsidP="00733751">
            <w:pPr>
              <w:jc w:val="right"/>
              <w:rPr>
                <w:color w:val="000000"/>
                <w:sz w:val="16"/>
                <w:szCs w:val="16"/>
              </w:rPr>
            </w:pPr>
            <w:r w:rsidRPr="003C1788">
              <w:rPr>
                <w:color w:val="000000"/>
                <w:sz w:val="16"/>
                <w:szCs w:val="16"/>
              </w:rPr>
              <w:t>118.000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0602D627" w14:textId="77777777" w:rsidR="00733751" w:rsidRPr="003C1788" w:rsidRDefault="00733751" w:rsidP="00733751">
            <w:pPr>
              <w:jc w:val="right"/>
              <w:rPr>
                <w:color w:val="000000"/>
                <w:sz w:val="16"/>
                <w:szCs w:val="16"/>
              </w:rPr>
            </w:pPr>
            <w:r w:rsidRPr="003C1788">
              <w:rPr>
                <w:color w:val="000000"/>
                <w:sz w:val="16"/>
                <w:szCs w:val="16"/>
              </w:rPr>
              <w:t>0</w:t>
            </w:r>
          </w:p>
        </w:tc>
        <w:tc>
          <w:tcPr>
            <w:tcW w:w="337" w:type="pct"/>
            <w:tcBorders>
              <w:top w:val="nil"/>
              <w:left w:val="nil"/>
              <w:bottom w:val="single" w:sz="4" w:space="0" w:color="auto"/>
              <w:right w:val="single" w:sz="4" w:space="0" w:color="auto"/>
            </w:tcBorders>
            <w:shd w:val="clear" w:color="auto" w:fill="auto"/>
            <w:tcMar>
              <w:left w:w="29" w:type="dxa"/>
              <w:right w:w="29" w:type="dxa"/>
            </w:tcMar>
            <w:hideMark/>
          </w:tcPr>
          <w:p w14:paraId="35DE54CF" w14:textId="77777777" w:rsidR="00733751" w:rsidRPr="003C1788" w:rsidRDefault="00733751" w:rsidP="00733751">
            <w:pPr>
              <w:jc w:val="right"/>
              <w:rPr>
                <w:color w:val="000000"/>
                <w:sz w:val="16"/>
                <w:szCs w:val="16"/>
              </w:rPr>
            </w:pPr>
            <w:r w:rsidRPr="003C1788">
              <w:rPr>
                <w:color w:val="000000"/>
                <w:sz w:val="16"/>
                <w:szCs w:val="16"/>
              </w:rPr>
              <w:t>131.938</w:t>
            </w:r>
          </w:p>
        </w:tc>
        <w:tc>
          <w:tcPr>
            <w:tcW w:w="333" w:type="pct"/>
            <w:tcBorders>
              <w:top w:val="nil"/>
              <w:left w:val="nil"/>
              <w:bottom w:val="single" w:sz="4" w:space="0" w:color="auto"/>
              <w:right w:val="single" w:sz="4" w:space="0" w:color="auto"/>
            </w:tcBorders>
            <w:shd w:val="clear" w:color="auto" w:fill="auto"/>
            <w:tcMar>
              <w:left w:w="29" w:type="dxa"/>
              <w:right w:w="29" w:type="dxa"/>
            </w:tcMar>
            <w:hideMark/>
          </w:tcPr>
          <w:p w14:paraId="2D685D58" w14:textId="77777777" w:rsidR="00733751" w:rsidRPr="003C1788" w:rsidRDefault="00733751" w:rsidP="00733751">
            <w:pPr>
              <w:jc w:val="right"/>
              <w:rPr>
                <w:color w:val="000000"/>
                <w:sz w:val="16"/>
                <w:szCs w:val="16"/>
              </w:rPr>
            </w:pPr>
            <w:r w:rsidRPr="003C1788">
              <w:rPr>
                <w:color w:val="000000"/>
                <w:sz w:val="16"/>
                <w:szCs w:val="16"/>
              </w:rPr>
              <w:t>203.000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17D1D223" w14:textId="77777777" w:rsidR="00733751" w:rsidRPr="003C1788" w:rsidRDefault="00733751" w:rsidP="00733751">
            <w:pPr>
              <w:jc w:val="right"/>
              <w:rPr>
                <w:color w:val="000000"/>
                <w:sz w:val="16"/>
                <w:szCs w:val="16"/>
              </w:rPr>
            </w:pPr>
            <w:r w:rsidRPr="003C1788">
              <w:rPr>
                <w:color w:val="000000"/>
                <w:sz w:val="16"/>
                <w:szCs w:val="16"/>
              </w:rPr>
              <w:t>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67774208" w14:textId="77777777" w:rsidR="00733751" w:rsidRPr="003C1788" w:rsidRDefault="00733751" w:rsidP="00733751">
            <w:pPr>
              <w:jc w:val="right"/>
              <w:rPr>
                <w:color w:val="000000"/>
                <w:sz w:val="16"/>
                <w:szCs w:val="16"/>
              </w:rPr>
            </w:pPr>
            <w:r w:rsidRPr="003C1788">
              <w:rPr>
                <w:color w:val="000000"/>
                <w:sz w:val="16"/>
                <w:szCs w:val="16"/>
              </w:rPr>
              <w:t>69.101</w:t>
            </w:r>
          </w:p>
        </w:tc>
        <w:tc>
          <w:tcPr>
            <w:tcW w:w="293" w:type="pct"/>
            <w:tcBorders>
              <w:top w:val="nil"/>
              <w:left w:val="nil"/>
              <w:bottom w:val="single" w:sz="4" w:space="0" w:color="auto"/>
              <w:right w:val="single" w:sz="4" w:space="0" w:color="auto"/>
            </w:tcBorders>
            <w:shd w:val="clear" w:color="auto" w:fill="auto"/>
            <w:tcMar>
              <w:left w:w="29" w:type="dxa"/>
              <w:right w:w="29" w:type="dxa"/>
            </w:tcMar>
            <w:hideMark/>
          </w:tcPr>
          <w:p w14:paraId="652D2B62" w14:textId="77777777" w:rsidR="00733751" w:rsidRPr="003C1788" w:rsidRDefault="00733751" w:rsidP="00733751">
            <w:pPr>
              <w:jc w:val="right"/>
              <w:rPr>
                <w:color w:val="000000"/>
                <w:sz w:val="16"/>
                <w:szCs w:val="16"/>
              </w:rPr>
            </w:pPr>
            <w:r w:rsidRPr="003C1788">
              <w:rPr>
                <w:color w:val="000000"/>
                <w:sz w:val="16"/>
                <w:szCs w:val="16"/>
              </w:rPr>
              <w:t>0</w:t>
            </w:r>
          </w:p>
        </w:tc>
        <w:tc>
          <w:tcPr>
            <w:tcW w:w="286" w:type="pct"/>
            <w:tcBorders>
              <w:top w:val="nil"/>
              <w:left w:val="nil"/>
              <w:bottom w:val="single" w:sz="4" w:space="0" w:color="auto"/>
              <w:right w:val="single" w:sz="4" w:space="0" w:color="auto"/>
            </w:tcBorders>
            <w:shd w:val="clear" w:color="auto" w:fill="auto"/>
            <w:tcMar>
              <w:left w:w="29" w:type="dxa"/>
              <w:right w:w="29" w:type="dxa"/>
            </w:tcMar>
            <w:hideMark/>
          </w:tcPr>
          <w:p w14:paraId="10E63FD2" w14:textId="77777777" w:rsidR="00733751" w:rsidRPr="003C1788" w:rsidRDefault="00733751" w:rsidP="00733751">
            <w:pPr>
              <w:jc w:val="right"/>
              <w:rPr>
                <w:color w:val="000000"/>
                <w:sz w:val="16"/>
                <w:szCs w:val="16"/>
              </w:rPr>
            </w:pPr>
            <w:r w:rsidRPr="003C1788">
              <w:rPr>
                <w:color w:val="000000"/>
                <w:sz w:val="16"/>
                <w:szCs w:val="16"/>
              </w:rPr>
              <w:t>0</w:t>
            </w:r>
          </w:p>
        </w:tc>
        <w:tc>
          <w:tcPr>
            <w:tcW w:w="330" w:type="pct"/>
            <w:tcBorders>
              <w:top w:val="nil"/>
              <w:left w:val="nil"/>
              <w:bottom w:val="single" w:sz="4" w:space="0" w:color="auto"/>
              <w:right w:val="single" w:sz="4" w:space="0" w:color="auto"/>
            </w:tcBorders>
            <w:shd w:val="clear" w:color="auto" w:fill="auto"/>
            <w:tcMar>
              <w:left w:w="29" w:type="dxa"/>
              <w:right w:w="29" w:type="dxa"/>
            </w:tcMar>
            <w:hideMark/>
          </w:tcPr>
          <w:p w14:paraId="6C2B205F" w14:textId="77777777" w:rsidR="00733751" w:rsidRPr="003C1788" w:rsidRDefault="00733751" w:rsidP="00733751">
            <w:pPr>
              <w:jc w:val="right"/>
              <w:rPr>
                <w:color w:val="000000"/>
                <w:sz w:val="16"/>
                <w:szCs w:val="16"/>
              </w:rPr>
            </w:pPr>
            <w:r w:rsidRPr="003C1788">
              <w:rPr>
                <w:color w:val="000000"/>
                <w:sz w:val="16"/>
                <w:szCs w:val="16"/>
              </w:rPr>
              <w:t>679.101</w:t>
            </w:r>
          </w:p>
        </w:tc>
      </w:tr>
      <w:tr w:rsidR="009D5F59" w:rsidRPr="003C1788" w14:paraId="46AA11FA" w14:textId="77777777" w:rsidTr="009D5F59">
        <w:trPr>
          <w:trHeight w:val="20"/>
        </w:trPr>
        <w:tc>
          <w:tcPr>
            <w:tcW w:w="33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0690D26" w14:textId="77777777" w:rsidR="00733751" w:rsidRPr="003C1788" w:rsidRDefault="00733751" w:rsidP="00733751">
            <w:pPr>
              <w:jc w:val="left"/>
              <w:rPr>
                <w:color w:val="000000"/>
                <w:sz w:val="16"/>
                <w:szCs w:val="16"/>
              </w:rPr>
            </w:pPr>
            <w:r w:rsidRPr="003C1788">
              <w:rPr>
                <w:color w:val="000000"/>
                <w:sz w:val="16"/>
                <w:szCs w:val="16"/>
              </w:rPr>
              <w:t>3.2</w:t>
            </w:r>
          </w:p>
        </w:tc>
        <w:tc>
          <w:tcPr>
            <w:tcW w:w="1011" w:type="pct"/>
            <w:tcBorders>
              <w:top w:val="nil"/>
              <w:left w:val="nil"/>
              <w:bottom w:val="single" w:sz="4" w:space="0" w:color="auto"/>
              <w:right w:val="single" w:sz="4" w:space="0" w:color="auto"/>
            </w:tcBorders>
            <w:shd w:val="clear" w:color="auto" w:fill="auto"/>
            <w:tcMar>
              <w:left w:w="29" w:type="dxa"/>
              <w:right w:w="29" w:type="dxa"/>
            </w:tcMar>
            <w:hideMark/>
          </w:tcPr>
          <w:p w14:paraId="792A24F2" w14:textId="77777777" w:rsidR="00733751" w:rsidRPr="003C1788" w:rsidRDefault="00733751" w:rsidP="00733751">
            <w:pPr>
              <w:jc w:val="left"/>
              <w:rPr>
                <w:color w:val="000000"/>
                <w:sz w:val="16"/>
                <w:szCs w:val="16"/>
              </w:rPr>
            </w:pPr>
            <w:r w:rsidRPr="003C1788">
              <w:rPr>
                <w:color w:val="000000"/>
                <w:sz w:val="16"/>
                <w:szCs w:val="16"/>
              </w:rPr>
              <w:t>Total gastos de apoyo (USD)</w:t>
            </w:r>
          </w:p>
        </w:tc>
        <w:tc>
          <w:tcPr>
            <w:tcW w:w="336" w:type="pct"/>
            <w:tcBorders>
              <w:top w:val="nil"/>
              <w:left w:val="nil"/>
              <w:bottom w:val="single" w:sz="4" w:space="0" w:color="auto"/>
              <w:right w:val="single" w:sz="4" w:space="0" w:color="auto"/>
            </w:tcBorders>
            <w:shd w:val="clear" w:color="auto" w:fill="auto"/>
            <w:tcMar>
              <w:left w:w="29" w:type="dxa"/>
              <w:right w:w="29" w:type="dxa"/>
            </w:tcMar>
            <w:hideMark/>
          </w:tcPr>
          <w:p w14:paraId="60D85651" w14:textId="77777777" w:rsidR="00733751" w:rsidRPr="003C1788" w:rsidRDefault="00733751" w:rsidP="00733751">
            <w:pPr>
              <w:jc w:val="right"/>
              <w:rPr>
                <w:color w:val="000000"/>
                <w:sz w:val="16"/>
                <w:szCs w:val="16"/>
              </w:rPr>
            </w:pPr>
            <w:r w:rsidRPr="003C1788">
              <w:rPr>
                <w:color w:val="000000"/>
                <w:sz w:val="16"/>
                <w:szCs w:val="16"/>
              </w:rPr>
              <w:t>20.418</w:t>
            </w:r>
          </w:p>
        </w:tc>
        <w:tc>
          <w:tcPr>
            <w:tcW w:w="288" w:type="pct"/>
            <w:tcBorders>
              <w:top w:val="nil"/>
              <w:left w:val="nil"/>
              <w:bottom w:val="single" w:sz="4" w:space="0" w:color="auto"/>
              <w:right w:val="single" w:sz="4" w:space="0" w:color="auto"/>
            </w:tcBorders>
            <w:shd w:val="clear" w:color="auto" w:fill="auto"/>
            <w:tcMar>
              <w:left w:w="29" w:type="dxa"/>
              <w:right w:w="29" w:type="dxa"/>
            </w:tcMar>
            <w:hideMark/>
          </w:tcPr>
          <w:p w14:paraId="66744BBF" w14:textId="77777777" w:rsidR="00733751" w:rsidRPr="003C1788" w:rsidRDefault="00733751" w:rsidP="00733751">
            <w:pPr>
              <w:jc w:val="right"/>
              <w:rPr>
                <w:color w:val="000000"/>
                <w:sz w:val="16"/>
                <w:szCs w:val="16"/>
              </w:rPr>
            </w:pPr>
            <w:r w:rsidRPr="003C1788">
              <w:rPr>
                <w:color w:val="000000"/>
                <w:sz w:val="16"/>
                <w:szCs w:val="16"/>
              </w:rPr>
              <w:t>0</w:t>
            </w:r>
          </w:p>
        </w:tc>
        <w:tc>
          <w:tcPr>
            <w:tcW w:w="241" w:type="pct"/>
            <w:tcBorders>
              <w:top w:val="nil"/>
              <w:left w:val="nil"/>
              <w:bottom w:val="single" w:sz="4" w:space="0" w:color="auto"/>
              <w:right w:val="single" w:sz="4" w:space="0" w:color="auto"/>
            </w:tcBorders>
            <w:shd w:val="clear" w:color="auto" w:fill="auto"/>
            <w:tcMar>
              <w:left w:w="29" w:type="dxa"/>
              <w:right w:w="29" w:type="dxa"/>
            </w:tcMar>
            <w:hideMark/>
          </w:tcPr>
          <w:p w14:paraId="168AD4ED" w14:textId="77777777" w:rsidR="00733751" w:rsidRPr="003C1788" w:rsidRDefault="00733751" w:rsidP="00733751">
            <w:pPr>
              <w:jc w:val="right"/>
              <w:rPr>
                <w:color w:val="000000"/>
                <w:sz w:val="16"/>
                <w:szCs w:val="16"/>
              </w:rPr>
            </w:pPr>
            <w:r w:rsidRPr="003C1788">
              <w:rPr>
                <w:color w:val="000000"/>
                <w:sz w:val="16"/>
                <w:szCs w:val="16"/>
              </w:rPr>
              <w:t>0</w:t>
            </w:r>
          </w:p>
        </w:tc>
        <w:tc>
          <w:tcPr>
            <w:tcW w:w="343" w:type="pct"/>
            <w:tcBorders>
              <w:top w:val="nil"/>
              <w:left w:val="nil"/>
              <w:bottom w:val="single" w:sz="4" w:space="0" w:color="auto"/>
              <w:right w:val="single" w:sz="4" w:space="0" w:color="auto"/>
            </w:tcBorders>
            <w:shd w:val="clear" w:color="auto" w:fill="auto"/>
            <w:tcMar>
              <w:left w:w="29" w:type="dxa"/>
              <w:right w:w="29" w:type="dxa"/>
            </w:tcMar>
            <w:hideMark/>
          </w:tcPr>
          <w:p w14:paraId="67174935" w14:textId="77777777" w:rsidR="00733751" w:rsidRPr="003C1788" w:rsidRDefault="00733751" w:rsidP="00733751">
            <w:pPr>
              <w:jc w:val="right"/>
              <w:rPr>
                <w:color w:val="000000"/>
                <w:sz w:val="16"/>
                <w:szCs w:val="16"/>
              </w:rPr>
            </w:pPr>
            <w:r w:rsidRPr="003C1788">
              <w:rPr>
                <w:color w:val="000000"/>
                <w:sz w:val="16"/>
                <w:szCs w:val="16"/>
              </w:rPr>
              <w:t>15.340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0360708A" w14:textId="77777777" w:rsidR="00733751" w:rsidRPr="003C1788" w:rsidRDefault="00733751" w:rsidP="00733751">
            <w:pPr>
              <w:jc w:val="right"/>
              <w:rPr>
                <w:color w:val="000000"/>
                <w:sz w:val="16"/>
                <w:szCs w:val="16"/>
              </w:rPr>
            </w:pPr>
            <w:r w:rsidRPr="003C1788">
              <w:rPr>
                <w:color w:val="000000"/>
                <w:sz w:val="16"/>
                <w:szCs w:val="16"/>
              </w:rPr>
              <w:t>0</w:t>
            </w:r>
          </w:p>
        </w:tc>
        <w:tc>
          <w:tcPr>
            <w:tcW w:w="337" w:type="pct"/>
            <w:tcBorders>
              <w:top w:val="nil"/>
              <w:left w:val="nil"/>
              <w:bottom w:val="single" w:sz="4" w:space="0" w:color="auto"/>
              <w:right w:val="single" w:sz="4" w:space="0" w:color="auto"/>
            </w:tcBorders>
            <w:shd w:val="clear" w:color="auto" w:fill="auto"/>
            <w:tcMar>
              <w:left w:w="29" w:type="dxa"/>
              <w:right w:w="29" w:type="dxa"/>
            </w:tcMar>
            <w:hideMark/>
          </w:tcPr>
          <w:p w14:paraId="25CA2265" w14:textId="77777777" w:rsidR="00733751" w:rsidRPr="003C1788" w:rsidRDefault="00733751" w:rsidP="00733751">
            <w:pPr>
              <w:jc w:val="right"/>
              <w:rPr>
                <w:color w:val="000000"/>
                <w:sz w:val="16"/>
                <w:szCs w:val="16"/>
              </w:rPr>
            </w:pPr>
            <w:r w:rsidRPr="003C1788">
              <w:rPr>
                <w:color w:val="000000"/>
                <w:sz w:val="16"/>
                <w:szCs w:val="16"/>
              </w:rPr>
              <w:t>11.874</w:t>
            </w:r>
          </w:p>
        </w:tc>
        <w:tc>
          <w:tcPr>
            <w:tcW w:w="333" w:type="pct"/>
            <w:tcBorders>
              <w:top w:val="nil"/>
              <w:left w:val="nil"/>
              <w:bottom w:val="single" w:sz="4" w:space="0" w:color="auto"/>
              <w:right w:val="single" w:sz="4" w:space="0" w:color="auto"/>
            </w:tcBorders>
            <w:shd w:val="clear" w:color="auto" w:fill="auto"/>
            <w:tcMar>
              <w:left w:w="29" w:type="dxa"/>
              <w:right w:w="29" w:type="dxa"/>
            </w:tcMar>
            <w:hideMark/>
          </w:tcPr>
          <w:p w14:paraId="56964260" w14:textId="77777777" w:rsidR="00733751" w:rsidRPr="003C1788" w:rsidRDefault="00733751" w:rsidP="00733751">
            <w:pPr>
              <w:jc w:val="right"/>
              <w:rPr>
                <w:color w:val="000000"/>
                <w:sz w:val="16"/>
                <w:szCs w:val="16"/>
              </w:rPr>
            </w:pPr>
            <w:r w:rsidRPr="003C1788">
              <w:rPr>
                <w:color w:val="000000"/>
                <w:sz w:val="16"/>
                <w:szCs w:val="16"/>
              </w:rPr>
              <w:t>23.070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5D7D33DE" w14:textId="77777777" w:rsidR="00733751" w:rsidRPr="003C1788" w:rsidRDefault="00733751" w:rsidP="00733751">
            <w:pPr>
              <w:jc w:val="right"/>
              <w:rPr>
                <w:color w:val="000000"/>
                <w:sz w:val="16"/>
                <w:szCs w:val="16"/>
              </w:rPr>
            </w:pPr>
            <w:r w:rsidRPr="003C1788">
              <w:rPr>
                <w:color w:val="000000"/>
                <w:sz w:val="16"/>
                <w:szCs w:val="16"/>
              </w:rPr>
              <w:t>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273BA112" w14:textId="77777777" w:rsidR="00733751" w:rsidRPr="003C1788" w:rsidRDefault="00733751" w:rsidP="00733751">
            <w:pPr>
              <w:jc w:val="right"/>
              <w:rPr>
                <w:b/>
                <w:bCs/>
                <w:color w:val="000000"/>
                <w:sz w:val="16"/>
                <w:szCs w:val="16"/>
              </w:rPr>
            </w:pPr>
            <w:r w:rsidRPr="003C1788">
              <w:rPr>
                <w:b/>
                <w:bCs/>
                <w:color w:val="000000"/>
                <w:sz w:val="16"/>
                <w:szCs w:val="16"/>
              </w:rPr>
              <w:t>6.714</w:t>
            </w:r>
          </w:p>
        </w:tc>
        <w:tc>
          <w:tcPr>
            <w:tcW w:w="293" w:type="pct"/>
            <w:tcBorders>
              <w:top w:val="nil"/>
              <w:left w:val="nil"/>
              <w:bottom w:val="single" w:sz="4" w:space="0" w:color="auto"/>
              <w:right w:val="single" w:sz="4" w:space="0" w:color="auto"/>
            </w:tcBorders>
            <w:shd w:val="clear" w:color="auto" w:fill="auto"/>
            <w:tcMar>
              <w:left w:w="29" w:type="dxa"/>
              <w:right w:w="29" w:type="dxa"/>
            </w:tcMar>
            <w:hideMark/>
          </w:tcPr>
          <w:p w14:paraId="359EE5B7" w14:textId="77777777" w:rsidR="00733751" w:rsidRPr="003C1788" w:rsidRDefault="00733751" w:rsidP="00733751">
            <w:pPr>
              <w:jc w:val="right"/>
              <w:rPr>
                <w:color w:val="000000"/>
                <w:sz w:val="16"/>
                <w:szCs w:val="16"/>
              </w:rPr>
            </w:pPr>
            <w:r w:rsidRPr="003C1788">
              <w:rPr>
                <w:color w:val="000000"/>
                <w:sz w:val="16"/>
                <w:szCs w:val="16"/>
              </w:rPr>
              <w:t>0</w:t>
            </w:r>
          </w:p>
        </w:tc>
        <w:tc>
          <w:tcPr>
            <w:tcW w:w="286" w:type="pct"/>
            <w:tcBorders>
              <w:top w:val="nil"/>
              <w:left w:val="nil"/>
              <w:bottom w:val="single" w:sz="4" w:space="0" w:color="auto"/>
              <w:right w:val="single" w:sz="4" w:space="0" w:color="auto"/>
            </w:tcBorders>
            <w:shd w:val="clear" w:color="auto" w:fill="auto"/>
            <w:tcMar>
              <w:left w:w="29" w:type="dxa"/>
              <w:right w:w="29" w:type="dxa"/>
            </w:tcMar>
            <w:hideMark/>
          </w:tcPr>
          <w:p w14:paraId="2BDF5D79" w14:textId="77777777" w:rsidR="00733751" w:rsidRPr="003C1788" w:rsidRDefault="00733751" w:rsidP="00733751">
            <w:pPr>
              <w:jc w:val="right"/>
              <w:rPr>
                <w:color w:val="000000"/>
                <w:sz w:val="16"/>
                <w:szCs w:val="16"/>
              </w:rPr>
            </w:pPr>
            <w:r w:rsidRPr="003C1788">
              <w:rPr>
                <w:color w:val="000000"/>
                <w:sz w:val="16"/>
                <w:szCs w:val="16"/>
              </w:rPr>
              <w:t>0</w:t>
            </w:r>
          </w:p>
        </w:tc>
        <w:tc>
          <w:tcPr>
            <w:tcW w:w="330" w:type="pct"/>
            <w:tcBorders>
              <w:top w:val="nil"/>
              <w:left w:val="nil"/>
              <w:bottom w:val="single" w:sz="4" w:space="0" w:color="auto"/>
              <w:right w:val="single" w:sz="4" w:space="0" w:color="auto"/>
            </w:tcBorders>
            <w:shd w:val="clear" w:color="auto" w:fill="auto"/>
            <w:tcMar>
              <w:left w:w="29" w:type="dxa"/>
              <w:right w:w="29" w:type="dxa"/>
            </w:tcMar>
            <w:hideMark/>
          </w:tcPr>
          <w:p w14:paraId="3311A314" w14:textId="77777777" w:rsidR="00733751" w:rsidRPr="003C1788" w:rsidRDefault="00733751" w:rsidP="00733751">
            <w:pPr>
              <w:jc w:val="right"/>
              <w:rPr>
                <w:b/>
                <w:bCs/>
                <w:color w:val="000000"/>
                <w:sz w:val="16"/>
                <w:szCs w:val="16"/>
              </w:rPr>
            </w:pPr>
            <w:r w:rsidRPr="003C1788">
              <w:rPr>
                <w:b/>
                <w:bCs/>
                <w:color w:val="000000"/>
                <w:sz w:val="16"/>
                <w:szCs w:val="16"/>
              </w:rPr>
              <w:t>77.416</w:t>
            </w:r>
          </w:p>
        </w:tc>
      </w:tr>
      <w:tr w:rsidR="009D5F59" w:rsidRPr="003C1788" w14:paraId="099F779A" w14:textId="77777777" w:rsidTr="009D5F59">
        <w:trPr>
          <w:trHeight w:val="20"/>
        </w:trPr>
        <w:tc>
          <w:tcPr>
            <w:tcW w:w="33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5808A40" w14:textId="77777777" w:rsidR="00733751" w:rsidRPr="003C1788" w:rsidRDefault="00733751" w:rsidP="00733751">
            <w:pPr>
              <w:jc w:val="left"/>
              <w:rPr>
                <w:color w:val="000000"/>
                <w:sz w:val="16"/>
                <w:szCs w:val="16"/>
              </w:rPr>
            </w:pPr>
            <w:r w:rsidRPr="003C1788">
              <w:rPr>
                <w:color w:val="000000"/>
                <w:sz w:val="16"/>
                <w:szCs w:val="16"/>
              </w:rPr>
              <w:t>3.3</w:t>
            </w:r>
          </w:p>
        </w:tc>
        <w:tc>
          <w:tcPr>
            <w:tcW w:w="1011" w:type="pct"/>
            <w:tcBorders>
              <w:top w:val="nil"/>
              <w:left w:val="nil"/>
              <w:bottom w:val="single" w:sz="4" w:space="0" w:color="auto"/>
              <w:right w:val="single" w:sz="4" w:space="0" w:color="auto"/>
            </w:tcBorders>
            <w:shd w:val="clear" w:color="auto" w:fill="auto"/>
            <w:tcMar>
              <w:left w:w="29" w:type="dxa"/>
              <w:right w:w="29" w:type="dxa"/>
            </w:tcMar>
            <w:hideMark/>
          </w:tcPr>
          <w:p w14:paraId="2F447857" w14:textId="77777777" w:rsidR="00733751" w:rsidRPr="003C1788" w:rsidRDefault="00733751" w:rsidP="00733751">
            <w:pPr>
              <w:jc w:val="left"/>
              <w:rPr>
                <w:color w:val="000000"/>
                <w:sz w:val="16"/>
                <w:szCs w:val="16"/>
              </w:rPr>
            </w:pPr>
            <w:r w:rsidRPr="003C1788">
              <w:rPr>
                <w:color w:val="000000"/>
                <w:sz w:val="16"/>
                <w:szCs w:val="16"/>
              </w:rPr>
              <w:t>Total de costos convenidos (USD)</w:t>
            </w:r>
          </w:p>
        </w:tc>
        <w:tc>
          <w:tcPr>
            <w:tcW w:w="336" w:type="pct"/>
            <w:tcBorders>
              <w:top w:val="nil"/>
              <w:left w:val="nil"/>
              <w:bottom w:val="single" w:sz="4" w:space="0" w:color="auto"/>
              <w:right w:val="single" w:sz="4" w:space="0" w:color="auto"/>
            </w:tcBorders>
            <w:shd w:val="clear" w:color="auto" w:fill="auto"/>
            <w:tcMar>
              <w:left w:w="29" w:type="dxa"/>
              <w:right w:w="29" w:type="dxa"/>
            </w:tcMar>
            <w:hideMark/>
          </w:tcPr>
          <w:p w14:paraId="70C97932" w14:textId="77777777" w:rsidR="00733751" w:rsidRPr="003C1788" w:rsidRDefault="00733751" w:rsidP="00733751">
            <w:pPr>
              <w:jc w:val="right"/>
              <w:rPr>
                <w:color w:val="000000"/>
                <w:sz w:val="16"/>
                <w:szCs w:val="16"/>
              </w:rPr>
            </w:pPr>
            <w:r w:rsidRPr="003C1788">
              <w:rPr>
                <w:color w:val="000000"/>
                <w:sz w:val="16"/>
                <w:szCs w:val="16"/>
              </w:rPr>
              <w:t>177.480</w:t>
            </w:r>
          </w:p>
        </w:tc>
        <w:tc>
          <w:tcPr>
            <w:tcW w:w="288" w:type="pct"/>
            <w:tcBorders>
              <w:top w:val="nil"/>
              <w:left w:val="nil"/>
              <w:bottom w:val="single" w:sz="4" w:space="0" w:color="auto"/>
              <w:right w:val="single" w:sz="4" w:space="0" w:color="auto"/>
            </w:tcBorders>
            <w:shd w:val="clear" w:color="auto" w:fill="auto"/>
            <w:tcMar>
              <w:left w:w="29" w:type="dxa"/>
              <w:right w:w="29" w:type="dxa"/>
            </w:tcMar>
            <w:hideMark/>
          </w:tcPr>
          <w:p w14:paraId="7C3B59F6" w14:textId="77777777" w:rsidR="00733751" w:rsidRPr="003C1788" w:rsidRDefault="00733751" w:rsidP="00733751">
            <w:pPr>
              <w:jc w:val="right"/>
              <w:rPr>
                <w:color w:val="000000"/>
                <w:sz w:val="16"/>
                <w:szCs w:val="16"/>
              </w:rPr>
            </w:pPr>
            <w:r w:rsidRPr="003C1788">
              <w:rPr>
                <w:color w:val="000000"/>
                <w:sz w:val="16"/>
                <w:szCs w:val="16"/>
              </w:rPr>
              <w:t>0</w:t>
            </w:r>
          </w:p>
        </w:tc>
        <w:tc>
          <w:tcPr>
            <w:tcW w:w="241" w:type="pct"/>
            <w:tcBorders>
              <w:top w:val="nil"/>
              <w:left w:val="nil"/>
              <w:bottom w:val="single" w:sz="4" w:space="0" w:color="auto"/>
              <w:right w:val="single" w:sz="4" w:space="0" w:color="auto"/>
            </w:tcBorders>
            <w:shd w:val="clear" w:color="auto" w:fill="auto"/>
            <w:tcMar>
              <w:left w:w="29" w:type="dxa"/>
              <w:right w:w="29" w:type="dxa"/>
            </w:tcMar>
            <w:hideMark/>
          </w:tcPr>
          <w:p w14:paraId="0BF73AAA" w14:textId="77777777" w:rsidR="00733751" w:rsidRPr="003C1788" w:rsidRDefault="00733751" w:rsidP="00733751">
            <w:pPr>
              <w:jc w:val="right"/>
              <w:rPr>
                <w:color w:val="000000"/>
                <w:sz w:val="16"/>
                <w:szCs w:val="16"/>
              </w:rPr>
            </w:pPr>
            <w:r w:rsidRPr="003C1788">
              <w:rPr>
                <w:color w:val="000000"/>
                <w:sz w:val="16"/>
                <w:szCs w:val="16"/>
              </w:rPr>
              <w:t>0</w:t>
            </w:r>
          </w:p>
        </w:tc>
        <w:tc>
          <w:tcPr>
            <w:tcW w:w="343" w:type="pct"/>
            <w:tcBorders>
              <w:top w:val="nil"/>
              <w:left w:val="nil"/>
              <w:bottom w:val="single" w:sz="4" w:space="0" w:color="auto"/>
              <w:right w:val="single" w:sz="4" w:space="0" w:color="auto"/>
            </w:tcBorders>
            <w:shd w:val="clear" w:color="auto" w:fill="auto"/>
            <w:tcMar>
              <w:left w:w="29" w:type="dxa"/>
              <w:right w:w="29" w:type="dxa"/>
            </w:tcMar>
            <w:hideMark/>
          </w:tcPr>
          <w:p w14:paraId="26924ED2" w14:textId="77777777" w:rsidR="00733751" w:rsidRPr="003C1788" w:rsidRDefault="00733751" w:rsidP="00733751">
            <w:pPr>
              <w:jc w:val="right"/>
              <w:rPr>
                <w:color w:val="000000"/>
                <w:sz w:val="16"/>
                <w:szCs w:val="16"/>
              </w:rPr>
            </w:pPr>
            <w:r w:rsidRPr="003C1788">
              <w:rPr>
                <w:color w:val="000000"/>
                <w:sz w:val="16"/>
                <w:szCs w:val="16"/>
              </w:rPr>
              <w:t>133.340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55E69791" w14:textId="77777777" w:rsidR="00733751" w:rsidRPr="003C1788" w:rsidRDefault="00733751" w:rsidP="00733751">
            <w:pPr>
              <w:jc w:val="right"/>
              <w:rPr>
                <w:color w:val="000000"/>
                <w:sz w:val="16"/>
                <w:szCs w:val="16"/>
              </w:rPr>
            </w:pPr>
            <w:r w:rsidRPr="003C1788">
              <w:rPr>
                <w:color w:val="000000"/>
                <w:sz w:val="16"/>
                <w:szCs w:val="16"/>
              </w:rPr>
              <w:t>0</w:t>
            </w:r>
          </w:p>
        </w:tc>
        <w:tc>
          <w:tcPr>
            <w:tcW w:w="337" w:type="pct"/>
            <w:tcBorders>
              <w:top w:val="nil"/>
              <w:left w:val="nil"/>
              <w:bottom w:val="single" w:sz="4" w:space="0" w:color="auto"/>
              <w:right w:val="single" w:sz="4" w:space="0" w:color="auto"/>
            </w:tcBorders>
            <w:shd w:val="clear" w:color="auto" w:fill="auto"/>
            <w:tcMar>
              <w:left w:w="29" w:type="dxa"/>
              <w:right w:w="29" w:type="dxa"/>
            </w:tcMar>
            <w:hideMark/>
          </w:tcPr>
          <w:p w14:paraId="0A51883F" w14:textId="77777777" w:rsidR="00733751" w:rsidRPr="003C1788" w:rsidRDefault="00733751" w:rsidP="00733751">
            <w:pPr>
              <w:jc w:val="right"/>
              <w:rPr>
                <w:color w:val="000000"/>
                <w:sz w:val="16"/>
                <w:szCs w:val="16"/>
              </w:rPr>
            </w:pPr>
            <w:r w:rsidRPr="003C1788">
              <w:rPr>
                <w:color w:val="000000"/>
                <w:sz w:val="16"/>
                <w:szCs w:val="16"/>
              </w:rPr>
              <w:t>143.812</w:t>
            </w:r>
          </w:p>
        </w:tc>
        <w:tc>
          <w:tcPr>
            <w:tcW w:w="333" w:type="pct"/>
            <w:tcBorders>
              <w:top w:val="nil"/>
              <w:left w:val="nil"/>
              <w:bottom w:val="single" w:sz="4" w:space="0" w:color="auto"/>
              <w:right w:val="single" w:sz="4" w:space="0" w:color="auto"/>
            </w:tcBorders>
            <w:shd w:val="clear" w:color="auto" w:fill="auto"/>
            <w:tcMar>
              <w:left w:w="29" w:type="dxa"/>
              <w:right w:w="29" w:type="dxa"/>
            </w:tcMar>
            <w:hideMark/>
          </w:tcPr>
          <w:p w14:paraId="74E481F2" w14:textId="77777777" w:rsidR="00733751" w:rsidRPr="003C1788" w:rsidRDefault="00733751" w:rsidP="00733751">
            <w:pPr>
              <w:jc w:val="right"/>
              <w:rPr>
                <w:color w:val="000000"/>
                <w:sz w:val="16"/>
                <w:szCs w:val="16"/>
              </w:rPr>
            </w:pPr>
            <w:r w:rsidRPr="003C1788">
              <w:rPr>
                <w:color w:val="000000"/>
                <w:sz w:val="16"/>
                <w:szCs w:val="16"/>
              </w:rPr>
              <w:t>226.070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7D5A0F6E" w14:textId="77777777" w:rsidR="00733751" w:rsidRPr="003C1788" w:rsidRDefault="00733751" w:rsidP="00733751">
            <w:pPr>
              <w:jc w:val="right"/>
              <w:rPr>
                <w:color w:val="000000"/>
                <w:sz w:val="16"/>
                <w:szCs w:val="16"/>
              </w:rPr>
            </w:pPr>
            <w:r w:rsidRPr="003C1788">
              <w:rPr>
                <w:color w:val="000000"/>
                <w:sz w:val="16"/>
                <w:szCs w:val="16"/>
              </w:rPr>
              <w:t>0</w:t>
            </w:r>
          </w:p>
        </w:tc>
        <w:tc>
          <w:tcPr>
            <w:tcW w:w="289" w:type="pct"/>
            <w:tcBorders>
              <w:top w:val="nil"/>
              <w:left w:val="nil"/>
              <w:bottom w:val="single" w:sz="4" w:space="0" w:color="auto"/>
              <w:right w:val="single" w:sz="4" w:space="0" w:color="auto"/>
            </w:tcBorders>
            <w:shd w:val="clear" w:color="auto" w:fill="auto"/>
            <w:tcMar>
              <w:left w:w="29" w:type="dxa"/>
              <w:right w:w="29" w:type="dxa"/>
            </w:tcMar>
            <w:hideMark/>
          </w:tcPr>
          <w:p w14:paraId="030EEC2C" w14:textId="77777777" w:rsidR="00733751" w:rsidRPr="003C1788" w:rsidRDefault="00733751" w:rsidP="00733751">
            <w:pPr>
              <w:jc w:val="right"/>
              <w:rPr>
                <w:b/>
                <w:bCs/>
                <w:color w:val="000000"/>
                <w:sz w:val="16"/>
                <w:szCs w:val="16"/>
              </w:rPr>
            </w:pPr>
            <w:r w:rsidRPr="003C1788">
              <w:rPr>
                <w:b/>
                <w:bCs/>
                <w:color w:val="000000"/>
                <w:sz w:val="16"/>
                <w:szCs w:val="16"/>
              </w:rPr>
              <w:t>75.815</w:t>
            </w:r>
          </w:p>
        </w:tc>
        <w:tc>
          <w:tcPr>
            <w:tcW w:w="293" w:type="pct"/>
            <w:tcBorders>
              <w:top w:val="nil"/>
              <w:left w:val="nil"/>
              <w:bottom w:val="single" w:sz="4" w:space="0" w:color="auto"/>
              <w:right w:val="single" w:sz="4" w:space="0" w:color="auto"/>
            </w:tcBorders>
            <w:shd w:val="clear" w:color="auto" w:fill="auto"/>
            <w:tcMar>
              <w:left w:w="29" w:type="dxa"/>
              <w:right w:w="29" w:type="dxa"/>
            </w:tcMar>
            <w:hideMark/>
          </w:tcPr>
          <w:p w14:paraId="6E86F52D" w14:textId="77777777" w:rsidR="00733751" w:rsidRPr="003C1788" w:rsidRDefault="00733751" w:rsidP="00733751">
            <w:pPr>
              <w:jc w:val="right"/>
              <w:rPr>
                <w:color w:val="000000"/>
                <w:sz w:val="16"/>
                <w:szCs w:val="16"/>
              </w:rPr>
            </w:pPr>
            <w:r w:rsidRPr="003C1788">
              <w:rPr>
                <w:color w:val="000000"/>
                <w:sz w:val="16"/>
                <w:szCs w:val="16"/>
              </w:rPr>
              <w:t>0</w:t>
            </w:r>
          </w:p>
        </w:tc>
        <w:tc>
          <w:tcPr>
            <w:tcW w:w="286" w:type="pct"/>
            <w:tcBorders>
              <w:top w:val="nil"/>
              <w:left w:val="nil"/>
              <w:bottom w:val="single" w:sz="4" w:space="0" w:color="auto"/>
              <w:right w:val="single" w:sz="4" w:space="0" w:color="auto"/>
            </w:tcBorders>
            <w:shd w:val="clear" w:color="auto" w:fill="auto"/>
            <w:tcMar>
              <w:left w:w="29" w:type="dxa"/>
              <w:right w:w="29" w:type="dxa"/>
            </w:tcMar>
            <w:hideMark/>
          </w:tcPr>
          <w:p w14:paraId="4A78AB19" w14:textId="77777777" w:rsidR="00733751" w:rsidRPr="003C1788" w:rsidRDefault="00733751" w:rsidP="00733751">
            <w:pPr>
              <w:jc w:val="right"/>
              <w:rPr>
                <w:color w:val="000000"/>
                <w:sz w:val="16"/>
                <w:szCs w:val="16"/>
              </w:rPr>
            </w:pPr>
            <w:r w:rsidRPr="003C1788">
              <w:rPr>
                <w:color w:val="000000"/>
                <w:sz w:val="16"/>
                <w:szCs w:val="16"/>
              </w:rPr>
              <w:t>0</w:t>
            </w:r>
          </w:p>
        </w:tc>
        <w:tc>
          <w:tcPr>
            <w:tcW w:w="330" w:type="pct"/>
            <w:tcBorders>
              <w:top w:val="nil"/>
              <w:left w:val="nil"/>
              <w:bottom w:val="single" w:sz="4" w:space="0" w:color="auto"/>
              <w:right w:val="single" w:sz="4" w:space="0" w:color="auto"/>
            </w:tcBorders>
            <w:shd w:val="clear" w:color="auto" w:fill="auto"/>
            <w:tcMar>
              <w:left w:w="29" w:type="dxa"/>
              <w:right w:w="29" w:type="dxa"/>
            </w:tcMar>
            <w:hideMark/>
          </w:tcPr>
          <w:p w14:paraId="1248B048" w14:textId="77777777" w:rsidR="00733751" w:rsidRPr="003C1788" w:rsidRDefault="00733751" w:rsidP="00733751">
            <w:pPr>
              <w:jc w:val="right"/>
              <w:rPr>
                <w:b/>
                <w:bCs/>
                <w:color w:val="000000"/>
                <w:sz w:val="16"/>
                <w:szCs w:val="16"/>
              </w:rPr>
            </w:pPr>
            <w:r w:rsidRPr="003C1788">
              <w:rPr>
                <w:b/>
                <w:bCs/>
                <w:color w:val="000000"/>
                <w:sz w:val="16"/>
                <w:szCs w:val="16"/>
              </w:rPr>
              <w:t>756.517</w:t>
            </w:r>
          </w:p>
        </w:tc>
      </w:tr>
      <w:tr w:rsidR="009D5F59" w:rsidRPr="003C1788" w14:paraId="4768E208" w14:textId="77777777" w:rsidTr="009D5F59">
        <w:trPr>
          <w:trHeight w:val="20"/>
        </w:trPr>
        <w:tc>
          <w:tcPr>
            <w:tcW w:w="335"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45BC0053" w14:textId="77777777" w:rsidR="00733751" w:rsidRPr="003C1788" w:rsidRDefault="00733751" w:rsidP="00733751">
            <w:pPr>
              <w:jc w:val="left"/>
              <w:rPr>
                <w:color w:val="000000"/>
                <w:sz w:val="16"/>
                <w:szCs w:val="16"/>
              </w:rPr>
            </w:pPr>
            <w:r w:rsidRPr="003C1788">
              <w:rPr>
                <w:color w:val="000000"/>
                <w:sz w:val="16"/>
                <w:szCs w:val="16"/>
              </w:rPr>
              <w:t>4.1.1</w:t>
            </w:r>
          </w:p>
        </w:tc>
        <w:tc>
          <w:tcPr>
            <w:tcW w:w="4335" w:type="pct"/>
            <w:gridSpan w:val="12"/>
            <w:tcBorders>
              <w:top w:val="single" w:sz="4" w:space="0" w:color="auto"/>
              <w:left w:val="nil"/>
              <w:bottom w:val="single" w:sz="4" w:space="0" w:color="auto"/>
              <w:right w:val="single" w:sz="4" w:space="0" w:color="000000"/>
            </w:tcBorders>
            <w:shd w:val="clear" w:color="auto" w:fill="auto"/>
            <w:tcMar>
              <w:left w:w="29" w:type="dxa"/>
              <w:right w:w="29" w:type="dxa"/>
            </w:tcMar>
          </w:tcPr>
          <w:p w14:paraId="58653E87" w14:textId="77777777" w:rsidR="00733751" w:rsidRPr="003C1788" w:rsidRDefault="00733751" w:rsidP="00733751">
            <w:pPr>
              <w:jc w:val="left"/>
              <w:rPr>
                <w:color w:val="000000"/>
                <w:sz w:val="16"/>
                <w:szCs w:val="16"/>
              </w:rPr>
            </w:pPr>
            <w:r w:rsidRPr="003C1788">
              <w:rPr>
                <w:color w:val="000000"/>
                <w:sz w:val="16"/>
                <w:szCs w:val="16"/>
              </w:rPr>
              <w:t>Eliminación total de HCFC-22 convenida en el presente Acuerdo (tons. PAO)</w:t>
            </w:r>
          </w:p>
        </w:tc>
        <w:tc>
          <w:tcPr>
            <w:tcW w:w="330" w:type="pct"/>
            <w:tcBorders>
              <w:top w:val="nil"/>
              <w:left w:val="nil"/>
              <w:bottom w:val="single" w:sz="4" w:space="0" w:color="auto"/>
              <w:right w:val="single" w:sz="4" w:space="0" w:color="auto"/>
            </w:tcBorders>
            <w:shd w:val="clear" w:color="auto" w:fill="auto"/>
            <w:tcMar>
              <w:left w:w="29" w:type="dxa"/>
              <w:right w:w="29" w:type="dxa"/>
            </w:tcMar>
          </w:tcPr>
          <w:p w14:paraId="3F1C9ABC" w14:textId="77777777" w:rsidR="00733751" w:rsidRPr="003C1788" w:rsidRDefault="00733751" w:rsidP="00733751">
            <w:pPr>
              <w:jc w:val="right"/>
              <w:rPr>
                <w:b/>
                <w:bCs/>
                <w:color w:val="000000"/>
                <w:sz w:val="16"/>
                <w:szCs w:val="16"/>
              </w:rPr>
            </w:pPr>
            <w:r w:rsidRPr="003C1788">
              <w:rPr>
                <w:color w:val="000000"/>
                <w:sz w:val="16"/>
                <w:szCs w:val="16"/>
              </w:rPr>
              <w:t>8,26</w:t>
            </w:r>
          </w:p>
        </w:tc>
      </w:tr>
      <w:tr w:rsidR="009D5F59" w:rsidRPr="003C1788" w14:paraId="6364CA6B" w14:textId="77777777" w:rsidTr="009D5F59">
        <w:trPr>
          <w:trHeight w:val="20"/>
        </w:trPr>
        <w:tc>
          <w:tcPr>
            <w:tcW w:w="335"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1DB42E8A" w14:textId="77777777" w:rsidR="00733751" w:rsidRPr="003C1788" w:rsidRDefault="00733751" w:rsidP="00733751">
            <w:pPr>
              <w:jc w:val="left"/>
              <w:rPr>
                <w:color w:val="000000"/>
                <w:sz w:val="16"/>
                <w:szCs w:val="16"/>
              </w:rPr>
            </w:pPr>
            <w:r w:rsidRPr="003C1788">
              <w:rPr>
                <w:color w:val="000000"/>
                <w:sz w:val="16"/>
                <w:szCs w:val="16"/>
              </w:rPr>
              <w:t>4.1.2</w:t>
            </w:r>
          </w:p>
        </w:tc>
        <w:tc>
          <w:tcPr>
            <w:tcW w:w="4335" w:type="pct"/>
            <w:gridSpan w:val="12"/>
            <w:tcBorders>
              <w:top w:val="single" w:sz="4" w:space="0" w:color="auto"/>
              <w:left w:val="nil"/>
              <w:bottom w:val="single" w:sz="4" w:space="0" w:color="auto"/>
              <w:right w:val="single" w:sz="4" w:space="0" w:color="000000"/>
            </w:tcBorders>
            <w:shd w:val="clear" w:color="auto" w:fill="auto"/>
            <w:tcMar>
              <w:left w:w="29" w:type="dxa"/>
              <w:right w:w="29" w:type="dxa"/>
            </w:tcMar>
          </w:tcPr>
          <w:p w14:paraId="246A319C" w14:textId="77777777" w:rsidR="00733751" w:rsidRPr="003C1788" w:rsidRDefault="00733751" w:rsidP="00733751">
            <w:pPr>
              <w:jc w:val="left"/>
              <w:rPr>
                <w:color w:val="000000"/>
                <w:sz w:val="16"/>
                <w:szCs w:val="16"/>
              </w:rPr>
            </w:pPr>
            <w:r w:rsidRPr="003C1788">
              <w:rPr>
                <w:color w:val="000000"/>
                <w:sz w:val="16"/>
                <w:szCs w:val="16"/>
              </w:rPr>
              <w:t>Eliminación de HCFC-22 prevista en proyectos previamente aprobados (tons. PAO)</w:t>
            </w:r>
          </w:p>
        </w:tc>
        <w:tc>
          <w:tcPr>
            <w:tcW w:w="330" w:type="pct"/>
            <w:tcBorders>
              <w:top w:val="nil"/>
              <w:left w:val="nil"/>
              <w:bottom w:val="single" w:sz="4" w:space="0" w:color="auto"/>
              <w:right w:val="single" w:sz="4" w:space="0" w:color="auto"/>
            </w:tcBorders>
            <w:shd w:val="clear" w:color="auto" w:fill="auto"/>
            <w:tcMar>
              <w:left w:w="29" w:type="dxa"/>
              <w:right w:w="29" w:type="dxa"/>
            </w:tcMar>
          </w:tcPr>
          <w:p w14:paraId="18FE0078" w14:textId="77777777" w:rsidR="00733751" w:rsidRPr="003C1788" w:rsidRDefault="00733751" w:rsidP="00733751">
            <w:pPr>
              <w:jc w:val="right"/>
              <w:rPr>
                <w:b/>
                <w:bCs/>
                <w:color w:val="000000"/>
                <w:sz w:val="16"/>
                <w:szCs w:val="16"/>
              </w:rPr>
            </w:pPr>
            <w:r w:rsidRPr="003C1788">
              <w:rPr>
                <w:color w:val="000000"/>
                <w:sz w:val="16"/>
                <w:szCs w:val="16"/>
              </w:rPr>
              <w:t>n. a.</w:t>
            </w:r>
          </w:p>
        </w:tc>
      </w:tr>
      <w:tr w:rsidR="009D5F59" w:rsidRPr="003C1788" w14:paraId="568A8C13" w14:textId="77777777" w:rsidTr="009D5F59">
        <w:trPr>
          <w:trHeight w:val="20"/>
        </w:trPr>
        <w:tc>
          <w:tcPr>
            <w:tcW w:w="335"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2CB64802" w14:textId="77777777" w:rsidR="00733751" w:rsidRPr="003C1788" w:rsidRDefault="00733751" w:rsidP="00733751">
            <w:pPr>
              <w:jc w:val="left"/>
              <w:rPr>
                <w:color w:val="000000"/>
                <w:sz w:val="16"/>
                <w:szCs w:val="16"/>
              </w:rPr>
            </w:pPr>
            <w:r w:rsidRPr="003C1788">
              <w:rPr>
                <w:color w:val="000000"/>
                <w:sz w:val="16"/>
                <w:szCs w:val="16"/>
              </w:rPr>
              <w:t>4.1.3</w:t>
            </w:r>
          </w:p>
        </w:tc>
        <w:tc>
          <w:tcPr>
            <w:tcW w:w="4335" w:type="pct"/>
            <w:gridSpan w:val="12"/>
            <w:tcBorders>
              <w:top w:val="single" w:sz="4" w:space="0" w:color="auto"/>
              <w:left w:val="nil"/>
              <w:bottom w:val="single" w:sz="4" w:space="0" w:color="auto"/>
              <w:right w:val="single" w:sz="4" w:space="0" w:color="000000"/>
            </w:tcBorders>
            <w:shd w:val="clear" w:color="auto" w:fill="auto"/>
            <w:tcMar>
              <w:left w:w="29" w:type="dxa"/>
              <w:right w:w="29" w:type="dxa"/>
            </w:tcMar>
          </w:tcPr>
          <w:p w14:paraId="67F54619" w14:textId="77777777" w:rsidR="00733751" w:rsidRPr="003C1788" w:rsidRDefault="00733751" w:rsidP="00733751">
            <w:pPr>
              <w:jc w:val="left"/>
              <w:rPr>
                <w:color w:val="000000"/>
                <w:sz w:val="16"/>
                <w:szCs w:val="16"/>
              </w:rPr>
            </w:pPr>
            <w:r w:rsidRPr="003C1788">
              <w:rPr>
                <w:color w:val="000000"/>
                <w:sz w:val="16"/>
                <w:szCs w:val="16"/>
              </w:rPr>
              <w:t>Consumo admisible remanente de HCFC-22 (tons. PAO)</w:t>
            </w:r>
          </w:p>
        </w:tc>
        <w:tc>
          <w:tcPr>
            <w:tcW w:w="330" w:type="pct"/>
            <w:tcBorders>
              <w:top w:val="nil"/>
              <w:left w:val="nil"/>
              <w:bottom w:val="single" w:sz="4" w:space="0" w:color="auto"/>
              <w:right w:val="single" w:sz="4" w:space="0" w:color="auto"/>
            </w:tcBorders>
            <w:shd w:val="clear" w:color="auto" w:fill="auto"/>
            <w:tcMar>
              <w:left w:w="29" w:type="dxa"/>
              <w:right w:w="29" w:type="dxa"/>
            </w:tcMar>
          </w:tcPr>
          <w:p w14:paraId="478F10F6" w14:textId="77777777" w:rsidR="00733751" w:rsidRPr="003C1788" w:rsidRDefault="00733751" w:rsidP="00733751">
            <w:pPr>
              <w:jc w:val="right"/>
              <w:rPr>
                <w:b/>
                <w:bCs/>
                <w:color w:val="000000"/>
                <w:sz w:val="16"/>
                <w:szCs w:val="16"/>
              </w:rPr>
            </w:pPr>
            <w:r w:rsidRPr="003C1788">
              <w:rPr>
                <w:color w:val="000000"/>
                <w:sz w:val="16"/>
                <w:szCs w:val="16"/>
              </w:rPr>
              <w:t>15,34</w:t>
            </w:r>
          </w:p>
        </w:tc>
      </w:tr>
    </w:tbl>
    <w:p w14:paraId="1C2CA586" w14:textId="77777777" w:rsidR="00733751" w:rsidRPr="003C1788" w:rsidRDefault="00733751" w:rsidP="00733751">
      <w:pPr>
        <w:rPr>
          <w:rFonts w:eastAsiaTheme="minorEastAsia"/>
          <w:b/>
          <w:bCs/>
          <w:sz w:val="15"/>
          <w:szCs w:val="15"/>
        </w:rPr>
      </w:pPr>
      <w:r w:rsidRPr="003C1788">
        <w:rPr>
          <w:b/>
          <w:bCs/>
          <w:sz w:val="15"/>
          <w:szCs w:val="15"/>
        </w:rPr>
        <w:t>* El PNUMA dejó de ser el principal organismo de ejecución en la 94ª reunión y reintegró USD 28.453 más gastos de apoyo por USD 4.734 del cuarto tramo (AFG/PHA/85/TAS/27).</w:t>
      </w:r>
    </w:p>
    <w:p w14:paraId="77D6B961" w14:textId="77777777" w:rsidR="00733751" w:rsidRPr="003C1788" w:rsidRDefault="00733751" w:rsidP="00733751">
      <w:pPr>
        <w:widowControl w:val="0"/>
        <w:autoSpaceDE w:val="0"/>
        <w:autoSpaceDN w:val="0"/>
        <w:spacing w:before="24" w:after="1"/>
        <w:jc w:val="left"/>
        <w:rPr>
          <w:b/>
          <w:sz w:val="20"/>
        </w:rPr>
      </w:pPr>
    </w:p>
    <w:p w14:paraId="0392A4D2" w14:textId="77777777" w:rsidR="00733751" w:rsidRPr="003C1788" w:rsidRDefault="00733751" w:rsidP="00733751">
      <w:pPr>
        <w:jc w:val="left"/>
        <w:rPr>
          <w:rFonts w:eastAsiaTheme="minorEastAsia"/>
          <w:b/>
          <w:sz w:val="14"/>
          <w:szCs w:val="14"/>
          <w:lang w:eastAsia="zh-CN"/>
        </w:rPr>
        <w:sectPr w:rsidR="00733751" w:rsidRPr="003C1788" w:rsidSect="00733751">
          <w:headerReference w:type="even" r:id="rId19"/>
          <w:headerReference w:type="default" r:id="rId20"/>
          <w:footerReference w:type="even" r:id="rId21"/>
          <w:footerReference w:type="default" r:id="rId22"/>
          <w:footerReference w:type="first" r:id="rId23"/>
          <w:pgSz w:w="12240" w:h="15840" w:code="1"/>
          <w:pgMar w:top="720" w:right="1440" w:bottom="864" w:left="1440" w:header="720" w:footer="475" w:gutter="0"/>
          <w:pgNumType w:start="1"/>
          <w:cols w:space="720"/>
          <w:docGrid w:linePitch="299"/>
        </w:sectPr>
      </w:pPr>
    </w:p>
    <w:p w14:paraId="2BC9B307" w14:textId="6974668C" w:rsidR="00733751" w:rsidRPr="003C1788" w:rsidRDefault="00733751" w:rsidP="00733751">
      <w:pPr>
        <w:spacing w:after="240"/>
        <w:jc w:val="center"/>
        <w:rPr>
          <w:rFonts w:eastAsiaTheme="minorEastAsia"/>
          <w:b/>
          <w:bCs/>
        </w:rPr>
      </w:pPr>
      <w:r w:rsidRPr="003C1788">
        <w:rPr>
          <w:b/>
          <w:bCs/>
        </w:rPr>
        <w:lastRenderedPageBreak/>
        <w:t>Anexo II</w:t>
      </w:r>
    </w:p>
    <w:p w14:paraId="73E5E9DC" w14:textId="351AD26D" w:rsidR="00733751" w:rsidRPr="003C1788" w:rsidRDefault="00733751" w:rsidP="00733751">
      <w:pPr>
        <w:autoSpaceDE w:val="0"/>
        <w:autoSpaceDN w:val="0"/>
        <w:adjustRightInd w:val="0"/>
        <w:jc w:val="center"/>
        <w:rPr>
          <w:rFonts w:eastAsiaTheme="minorEastAsia"/>
          <w:b/>
          <w:bCs/>
        </w:rPr>
      </w:pPr>
      <w:r w:rsidRPr="003C1788">
        <w:rPr>
          <w:b/>
          <w:bCs/>
        </w:rPr>
        <w:t>TEXTO A AGREGAR AL ACUERDO ACTUALIZADO ENTRE LA REPÚBLICA ISLÁMICA DE</w:t>
      </w:r>
      <w:r w:rsidR="008F712C">
        <w:rPr>
          <w:b/>
          <w:bCs/>
        </w:rPr>
        <w:t>L</w:t>
      </w:r>
      <w:r w:rsidRPr="003C1788">
        <w:rPr>
          <w:b/>
          <w:bCs/>
        </w:rPr>
        <w:t xml:space="preserve"> AFGANISTÁN Y EL COMITÉ EJECUTIVO DEL FONDO MULTILATERAL </w:t>
      </w:r>
      <w:r w:rsidR="008F712C">
        <w:rPr>
          <w:b/>
          <w:bCs/>
        </w:rPr>
        <w:br/>
      </w:r>
      <w:r w:rsidRPr="003C1788">
        <w:rPr>
          <w:b/>
          <w:bCs/>
        </w:rPr>
        <w:t>PARA LA REDUCCIÓN DEL CONSUMO DE HIDROCLOROFLUOROCARBONOS</w:t>
      </w:r>
      <w:r w:rsidR="008158C3">
        <w:rPr>
          <w:b/>
          <w:bCs/>
        </w:rPr>
        <w:t>,</w:t>
      </w:r>
      <w:r w:rsidRPr="003C1788">
        <w:rPr>
          <w:b/>
          <w:bCs/>
        </w:rPr>
        <w:t xml:space="preserve"> </w:t>
      </w:r>
      <w:r w:rsidR="008F712C">
        <w:rPr>
          <w:b/>
          <w:bCs/>
        </w:rPr>
        <w:br/>
      </w:r>
      <w:r w:rsidRPr="003C1788">
        <w:rPr>
          <w:b/>
          <w:bCs/>
        </w:rPr>
        <w:t>DE CONFORMIDAD CON LA ETAPA II DEL PLAN DE GESTIÓN PARA LA</w:t>
      </w:r>
      <w:r w:rsidR="008F712C">
        <w:rPr>
          <w:b/>
          <w:bCs/>
        </w:rPr>
        <w:br/>
      </w:r>
      <w:r w:rsidRPr="003C1788">
        <w:rPr>
          <w:b/>
          <w:bCs/>
        </w:rPr>
        <w:t xml:space="preserve"> ELIMINACIÓN DE HCFC</w:t>
      </w:r>
    </w:p>
    <w:p w14:paraId="5649805A" w14:textId="77777777" w:rsidR="00733751" w:rsidRPr="003C1788" w:rsidRDefault="00733751" w:rsidP="00733751">
      <w:pPr>
        <w:spacing w:after="240"/>
        <w:jc w:val="center"/>
        <w:rPr>
          <w:rFonts w:eastAsiaTheme="minorEastAsia"/>
        </w:rPr>
      </w:pPr>
      <w:r w:rsidRPr="003C1788">
        <w:t>(Los cambios pertinentes figuran en negrita para facilitar la consulta)</w:t>
      </w:r>
    </w:p>
    <w:p w14:paraId="5CCDD808" w14:textId="5A069147" w:rsidR="00733751" w:rsidRPr="003C1788" w:rsidRDefault="00733751" w:rsidP="00733751">
      <w:pPr>
        <w:pStyle w:val="Heading1"/>
        <w:numPr>
          <w:ilvl w:val="0"/>
          <w:numId w:val="41"/>
        </w:numPr>
        <w:rPr>
          <w:b/>
          <w:bCs/>
        </w:rPr>
      </w:pPr>
      <w:r w:rsidRPr="003C1788">
        <w:rPr>
          <w:b/>
          <w:bCs/>
        </w:rPr>
        <w:t>Este Acuerdo actualizado sustituye al Acuerdo alcanzado entre la República Islámica de</w:t>
      </w:r>
      <w:r w:rsidR="008F712C">
        <w:rPr>
          <w:b/>
          <w:bCs/>
        </w:rPr>
        <w:t>l</w:t>
      </w:r>
      <w:r w:rsidRPr="003C1788">
        <w:rPr>
          <w:b/>
          <w:bCs/>
        </w:rPr>
        <w:t xml:space="preserve"> Afganistán y el Comité Ejecutivo en la 85</w:t>
      </w:r>
      <w:r w:rsidRPr="003C1788">
        <w:rPr>
          <w:b/>
          <w:bCs/>
          <w:vertAlign w:val="superscript"/>
        </w:rPr>
        <w:t xml:space="preserve">a </w:t>
      </w:r>
      <w:r w:rsidRPr="003C1788">
        <w:rPr>
          <w:b/>
          <w:bCs/>
        </w:rPr>
        <w:t>reunión del Comité Ejecutivo.</w:t>
      </w:r>
    </w:p>
    <w:p w14:paraId="5FE594DA" w14:textId="77777777" w:rsidR="00733751" w:rsidRPr="003C1788" w:rsidRDefault="00733751" w:rsidP="00733751">
      <w:pPr>
        <w:keepNext/>
        <w:outlineLvl w:val="0"/>
      </w:pPr>
      <w:r w:rsidRPr="003C1788">
        <w:rPr>
          <w:b/>
        </w:rPr>
        <w:t>APÉNDICE 2-A: METAS Y FINANCIAMIENTO</w:t>
      </w:r>
    </w:p>
    <w:tbl>
      <w:tblPr>
        <w:tblW w:w="5000" w:type="pct"/>
        <w:tblLook w:val="04A0" w:firstRow="1" w:lastRow="0" w:firstColumn="1" w:lastColumn="0" w:noHBand="0" w:noVBand="1"/>
      </w:tblPr>
      <w:tblGrid>
        <w:gridCol w:w="755"/>
        <w:gridCol w:w="3800"/>
        <w:gridCol w:w="799"/>
        <w:gridCol w:w="799"/>
        <w:gridCol w:w="799"/>
        <w:gridCol w:w="799"/>
        <w:gridCol w:w="777"/>
        <w:gridCol w:w="822"/>
      </w:tblGrid>
      <w:tr w:rsidR="00733751" w:rsidRPr="003C1788" w14:paraId="78758B0E" w14:textId="77777777" w:rsidTr="00F02708">
        <w:trPr>
          <w:trHeight w:val="98"/>
          <w:tblHeader/>
        </w:trPr>
        <w:tc>
          <w:tcPr>
            <w:tcW w:w="30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058C6942" w14:textId="77777777" w:rsidR="00733751" w:rsidRPr="003C1788" w:rsidRDefault="00733751" w:rsidP="00733751">
            <w:pPr>
              <w:keepNext/>
              <w:keepLines/>
              <w:jc w:val="center"/>
              <w:rPr>
                <w:rFonts w:eastAsiaTheme="minorEastAsia"/>
                <w:b/>
                <w:bCs/>
                <w:color w:val="000000"/>
                <w:sz w:val="18"/>
                <w:szCs w:val="18"/>
              </w:rPr>
            </w:pPr>
            <w:r w:rsidRPr="003C1788">
              <w:rPr>
                <w:b/>
                <w:bCs/>
                <w:color w:val="000000"/>
                <w:sz w:val="18"/>
                <w:szCs w:val="18"/>
              </w:rPr>
              <w:t>Renglón</w:t>
            </w:r>
          </w:p>
        </w:tc>
        <w:tc>
          <w:tcPr>
            <w:tcW w:w="2047"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6AEB854" w14:textId="77777777" w:rsidR="00733751" w:rsidRPr="003C1788" w:rsidRDefault="00733751" w:rsidP="00733751">
            <w:pPr>
              <w:keepNext/>
              <w:keepLines/>
              <w:jc w:val="center"/>
              <w:rPr>
                <w:rFonts w:eastAsiaTheme="minorEastAsia"/>
                <w:b/>
                <w:bCs/>
                <w:color w:val="000000"/>
                <w:sz w:val="18"/>
                <w:szCs w:val="18"/>
              </w:rPr>
            </w:pPr>
            <w:r w:rsidRPr="003C1788">
              <w:rPr>
                <w:b/>
                <w:bCs/>
                <w:color w:val="000000"/>
                <w:sz w:val="18"/>
                <w:szCs w:val="18"/>
              </w:rPr>
              <w:t>Concepto</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7E266ED" w14:textId="77777777" w:rsidR="00733751" w:rsidRPr="003C1788" w:rsidRDefault="00733751" w:rsidP="00733751">
            <w:pPr>
              <w:keepNext/>
              <w:keepLines/>
              <w:jc w:val="center"/>
              <w:rPr>
                <w:rFonts w:eastAsiaTheme="minorEastAsia"/>
                <w:b/>
                <w:bCs/>
                <w:color w:val="000000"/>
                <w:sz w:val="18"/>
                <w:szCs w:val="18"/>
              </w:rPr>
            </w:pPr>
            <w:r w:rsidRPr="003C1788">
              <w:rPr>
                <w:b/>
                <w:bCs/>
                <w:color w:val="000000"/>
                <w:sz w:val="18"/>
                <w:szCs w:val="18"/>
              </w:rPr>
              <w:t>2020</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393680B" w14:textId="77777777" w:rsidR="00733751" w:rsidRPr="003C1788" w:rsidRDefault="00733751" w:rsidP="00733751">
            <w:pPr>
              <w:keepNext/>
              <w:keepLines/>
              <w:jc w:val="center"/>
              <w:rPr>
                <w:rFonts w:eastAsiaTheme="minorEastAsia"/>
                <w:b/>
                <w:bCs/>
                <w:color w:val="000000"/>
                <w:sz w:val="18"/>
                <w:szCs w:val="18"/>
              </w:rPr>
            </w:pPr>
            <w:r w:rsidRPr="003C1788">
              <w:rPr>
                <w:b/>
                <w:bCs/>
                <w:color w:val="000000"/>
                <w:sz w:val="18"/>
                <w:szCs w:val="18"/>
              </w:rPr>
              <w:t>2021-2024</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90B2E96" w14:textId="77777777" w:rsidR="00733751" w:rsidRPr="003C1788" w:rsidRDefault="00733751" w:rsidP="00733751">
            <w:pPr>
              <w:keepNext/>
              <w:keepLines/>
              <w:jc w:val="center"/>
              <w:rPr>
                <w:rFonts w:eastAsiaTheme="minorEastAsia"/>
                <w:b/>
                <w:bCs/>
                <w:color w:val="000000"/>
                <w:sz w:val="18"/>
                <w:szCs w:val="18"/>
              </w:rPr>
            </w:pPr>
            <w:r w:rsidRPr="003C1788">
              <w:rPr>
                <w:b/>
                <w:bCs/>
                <w:color w:val="000000"/>
                <w:sz w:val="18"/>
                <w:szCs w:val="18"/>
              </w:rPr>
              <w:t>2025</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D06F9FE" w14:textId="77777777" w:rsidR="00733751" w:rsidRPr="003C1788" w:rsidRDefault="00733751" w:rsidP="00733751">
            <w:pPr>
              <w:keepNext/>
              <w:keepLines/>
              <w:jc w:val="center"/>
              <w:rPr>
                <w:rFonts w:eastAsiaTheme="minorEastAsia"/>
                <w:b/>
                <w:bCs/>
                <w:color w:val="000000"/>
                <w:sz w:val="18"/>
                <w:szCs w:val="18"/>
              </w:rPr>
            </w:pPr>
            <w:r w:rsidRPr="003C1788">
              <w:rPr>
                <w:b/>
                <w:bCs/>
                <w:color w:val="000000"/>
                <w:sz w:val="18"/>
                <w:szCs w:val="18"/>
              </w:rPr>
              <w:t>2026</w:t>
            </w:r>
          </w:p>
        </w:tc>
        <w:tc>
          <w:tcPr>
            <w:tcW w:w="430"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FB18CBF" w14:textId="77777777" w:rsidR="00733751" w:rsidRPr="003C1788" w:rsidRDefault="00733751" w:rsidP="00733751">
            <w:pPr>
              <w:keepNext/>
              <w:keepLines/>
              <w:jc w:val="center"/>
              <w:rPr>
                <w:rFonts w:eastAsiaTheme="minorEastAsia"/>
                <w:b/>
                <w:bCs/>
                <w:color w:val="000000"/>
                <w:sz w:val="18"/>
                <w:szCs w:val="18"/>
              </w:rPr>
            </w:pPr>
            <w:r w:rsidRPr="003C1788">
              <w:rPr>
                <w:b/>
                <w:bCs/>
                <w:color w:val="000000"/>
                <w:sz w:val="18"/>
                <w:szCs w:val="18"/>
              </w:rPr>
              <w:t>2027</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9713E73" w14:textId="77777777" w:rsidR="00733751" w:rsidRPr="003C1788" w:rsidRDefault="00733751" w:rsidP="00733751">
            <w:pPr>
              <w:keepNext/>
              <w:keepLines/>
              <w:jc w:val="center"/>
              <w:rPr>
                <w:rFonts w:eastAsiaTheme="minorEastAsia"/>
                <w:b/>
                <w:bCs/>
                <w:color w:val="000000"/>
                <w:sz w:val="18"/>
                <w:szCs w:val="18"/>
              </w:rPr>
            </w:pPr>
            <w:r w:rsidRPr="003C1788">
              <w:rPr>
                <w:b/>
                <w:bCs/>
                <w:color w:val="000000"/>
                <w:sz w:val="18"/>
                <w:szCs w:val="18"/>
              </w:rPr>
              <w:t>Total</w:t>
            </w:r>
          </w:p>
        </w:tc>
      </w:tr>
      <w:tr w:rsidR="00733751" w:rsidRPr="003C1788" w14:paraId="3E8B48AF" w14:textId="77777777" w:rsidTr="00F02708">
        <w:trPr>
          <w:trHeight w:val="408"/>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0648AA7" w14:textId="77777777" w:rsidR="00733751" w:rsidRPr="003C1788" w:rsidRDefault="00733751" w:rsidP="00733751">
            <w:pPr>
              <w:keepNext/>
              <w:keepLines/>
              <w:jc w:val="left"/>
              <w:rPr>
                <w:rFonts w:eastAsiaTheme="minorEastAsia"/>
                <w:color w:val="000000"/>
                <w:sz w:val="18"/>
                <w:szCs w:val="18"/>
              </w:rPr>
            </w:pPr>
            <w:r w:rsidRPr="003C1788">
              <w:rPr>
                <w:color w:val="000000"/>
                <w:sz w:val="18"/>
                <w:szCs w:val="18"/>
              </w:rPr>
              <w:t>1.1</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3C27F82B" w14:textId="77777777" w:rsidR="00733751" w:rsidRPr="003C1788" w:rsidRDefault="00733751" w:rsidP="00733751">
            <w:pPr>
              <w:keepNext/>
              <w:keepLines/>
              <w:jc w:val="left"/>
              <w:rPr>
                <w:rFonts w:eastAsiaTheme="minorEastAsia"/>
                <w:color w:val="000000"/>
                <w:sz w:val="18"/>
                <w:szCs w:val="18"/>
              </w:rPr>
            </w:pPr>
            <w:r w:rsidRPr="003C1788">
              <w:rPr>
                <w:color w:val="000000"/>
                <w:sz w:val="18"/>
                <w:szCs w:val="18"/>
              </w:rPr>
              <w:t>Cronograma de reducción del Protocolo de Montreal para sustancias del Anexo C, Grupo I (tons. PAO)</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646858BE" w14:textId="77777777" w:rsidR="00733751" w:rsidRPr="003C1788" w:rsidRDefault="00733751" w:rsidP="00733751">
            <w:pPr>
              <w:keepNext/>
              <w:keepLines/>
              <w:jc w:val="right"/>
              <w:rPr>
                <w:rFonts w:eastAsiaTheme="minorEastAsia"/>
                <w:color w:val="000000"/>
                <w:sz w:val="18"/>
                <w:szCs w:val="18"/>
              </w:rPr>
            </w:pPr>
            <w:r w:rsidRPr="003C1788">
              <w:rPr>
                <w:color w:val="000000"/>
                <w:sz w:val="18"/>
                <w:szCs w:val="18"/>
              </w:rPr>
              <w:t>15,34</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12216A09" w14:textId="77777777" w:rsidR="00733751" w:rsidRPr="003C1788" w:rsidRDefault="00733751" w:rsidP="00733751">
            <w:pPr>
              <w:keepNext/>
              <w:keepLines/>
              <w:jc w:val="right"/>
              <w:rPr>
                <w:rFonts w:eastAsiaTheme="minorEastAsia"/>
                <w:color w:val="000000"/>
                <w:sz w:val="18"/>
                <w:szCs w:val="18"/>
              </w:rPr>
            </w:pPr>
            <w:r w:rsidRPr="003C1788">
              <w:rPr>
                <w:color w:val="000000"/>
                <w:sz w:val="18"/>
                <w:szCs w:val="18"/>
              </w:rPr>
              <w:t>15,34</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26ED9C29" w14:textId="77777777" w:rsidR="00733751" w:rsidRPr="003C1788" w:rsidRDefault="00733751" w:rsidP="00733751">
            <w:pPr>
              <w:keepNext/>
              <w:keepLines/>
              <w:jc w:val="right"/>
              <w:rPr>
                <w:rFonts w:eastAsiaTheme="minorEastAsia"/>
                <w:color w:val="000000"/>
                <w:sz w:val="18"/>
                <w:szCs w:val="18"/>
              </w:rPr>
            </w:pPr>
            <w:r w:rsidRPr="003C1788">
              <w:rPr>
                <w:color w:val="000000"/>
                <w:sz w:val="18"/>
                <w:szCs w:val="18"/>
              </w:rPr>
              <w:t>7,67</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048C8FEA" w14:textId="77777777" w:rsidR="00733751" w:rsidRPr="003C1788" w:rsidRDefault="00733751" w:rsidP="00733751">
            <w:pPr>
              <w:keepNext/>
              <w:keepLines/>
              <w:jc w:val="right"/>
              <w:rPr>
                <w:rFonts w:eastAsiaTheme="minorEastAsia"/>
                <w:color w:val="000000"/>
                <w:sz w:val="18"/>
                <w:szCs w:val="18"/>
              </w:rPr>
            </w:pPr>
            <w:r w:rsidRPr="003C1788">
              <w:rPr>
                <w:color w:val="000000"/>
                <w:sz w:val="18"/>
                <w:szCs w:val="18"/>
              </w:rPr>
              <w:t>7,67</w:t>
            </w: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1F79AE45" w14:textId="77777777" w:rsidR="00733751" w:rsidRPr="003C1788" w:rsidRDefault="00733751" w:rsidP="00733751">
            <w:pPr>
              <w:keepNext/>
              <w:keepLines/>
              <w:jc w:val="right"/>
              <w:rPr>
                <w:rFonts w:eastAsiaTheme="minorEastAsia"/>
                <w:color w:val="000000"/>
                <w:sz w:val="18"/>
                <w:szCs w:val="18"/>
              </w:rPr>
            </w:pPr>
            <w:r w:rsidRPr="003C1788">
              <w:rPr>
                <w:color w:val="000000"/>
                <w:sz w:val="18"/>
                <w:szCs w:val="18"/>
              </w:rPr>
              <w:t>7,67</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A1F51A1" w14:textId="77777777" w:rsidR="00733751" w:rsidRPr="003C1788" w:rsidRDefault="00733751" w:rsidP="00733751">
            <w:pPr>
              <w:keepNext/>
              <w:keepLines/>
              <w:jc w:val="right"/>
              <w:rPr>
                <w:rFonts w:eastAsiaTheme="minorEastAsia"/>
                <w:color w:val="000000"/>
                <w:sz w:val="18"/>
                <w:szCs w:val="18"/>
              </w:rPr>
            </w:pPr>
            <w:r w:rsidRPr="003C1788">
              <w:rPr>
                <w:color w:val="000000"/>
                <w:sz w:val="18"/>
                <w:szCs w:val="18"/>
              </w:rPr>
              <w:t>n. a.</w:t>
            </w:r>
          </w:p>
        </w:tc>
      </w:tr>
      <w:tr w:rsidR="00733751" w:rsidRPr="003C1788" w14:paraId="1C19F6F0" w14:textId="77777777" w:rsidTr="00F02708">
        <w:trPr>
          <w:trHeight w:val="408"/>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0702816" w14:textId="77777777" w:rsidR="00733751" w:rsidRPr="003C1788" w:rsidRDefault="00733751" w:rsidP="00733751">
            <w:pPr>
              <w:jc w:val="left"/>
              <w:rPr>
                <w:rFonts w:eastAsiaTheme="minorEastAsia"/>
                <w:color w:val="000000"/>
                <w:sz w:val="18"/>
                <w:szCs w:val="18"/>
              </w:rPr>
            </w:pPr>
            <w:r w:rsidRPr="003C1788">
              <w:rPr>
                <w:color w:val="000000"/>
                <w:sz w:val="18"/>
                <w:szCs w:val="18"/>
              </w:rPr>
              <w:t>1.2</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69BE848B" w14:textId="77777777" w:rsidR="00733751" w:rsidRPr="003C1788" w:rsidRDefault="00733751" w:rsidP="00733751">
            <w:pPr>
              <w:jc w:val="left"/>
              <w:rPr>
                <w:rFonts w:eastAsiaTheme="minorEastAsia"/>
                <w:color w:val="000000"/>
                <w:sz w:val="18"/>
                <w:szCs w:val="18"/>
              </w:rPr>
            </w:pPr>
            <w:r w:rsidRPr="003C1788">
              <w:rPr>
                <w:color w:val="000000"/>
                <w:sz w:val="18"/>
                <w:szCs w:val="18"/>
              </w:rPr>
              <w:t>Consumo total máximo permitido de sustancias del Anexo C, Grupo I (tons. PAO)</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4CEFBD4F" w14:textId="77777777" w:rsidR="00733751" w:rsidRPr="003C1788" w:rsidRDefault="00733751" w:rsidP="00733751">
            <w:pPr>
              <w:jc w:val="right"/>
              <w:rPr>
                <w:rFonts w:eastAsiaTheme="minorEastAsia"/>
                <w:color w:val="000000"/>
                <w:sz w:val="18"/>
                <w:szCs w:val="18"/>
              </w:rPr>
            </w:pPr>
            <w:r w:rsidRPr="003C1788">
              <w:rPr>
                <w:color w:val="000000"/>
                <w:sz w:val="18"/>
                <w:szCs w:val="18"/>
              </w:rPr>
              <w:t>15,34</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243E6BD3" w14:textId="77777777" w:rsidR="00733751" w:rsidRPr="003C1788" w:rsidRDefault="00733751" w:rsidP="00733751">
            <w:pPr>
              <w:jc w:val="right"/>
              <w:rPr>
                <w:rFonts w:eastAsiaTheme="minorEastAsia"/>
                <w:color w:val="000000"/>
                <w:sz w:val="18"/>
                <w:szCs w:val="18"/>
              </w:rPr>
            </w:pPr>
            <w:r w:rsidRPr="003C1788">
              <w:rPr>
                <w:color w:val="000000"/>
                <w:sz w:val="18"/>
                <w:szCs w:val="18"/>
              </w:rPr>
              <w:t>15,34</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09BB3541" w14:textId="77777777" w:rsidR="00733751" w:rsidRPr="003C1788" w:rsidRDefault="00733751" w:rsidP="00733751">
            <w:pPr>
              <w:jc w:val="right"/>
              <w:rPr>
                <w:rFonts w:eastAsiaTheme="minorEastAsia"/>
                <w:color w:val="000000"/>
                <w:sz w:val="18"/>
                <w:szCs w:val="18"/>
              </w:rPr>
            </w:pPr>
            <w:r w:rsidRPr="003C1788">
              <w:rPr>
                <w:color w:val="000000"/>
                <w:sz w:val="18"/>
                <w:szCs w:val="18"/>
              </w:rPr>
              <w:t>7,67</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6DF6A98B" w14:textId="77777777" w:rsidR="00733751" w:rsidRPr="003C1788" w:rsidRDefault="00733751" w:rsidP="00733751">
            <w:pPr>
              <w:jc w:val="right"/>
              <w:rPr>
                <w:rFonts w:eastAsiaTheme="minorEastAsia"/>
                <w:color w:val="000000"/>
                <w:sz w:val="18"/>
                <w:szCs w:val="18"/>
              </w:rPr>
            </w:pPr>
            <w:r w:rsidRPr="003C1788">
              <w:rPr>
                <w:color w:val="000000"/>
                <w:sz w:val="18"/>
                <w:szCs w:val="18"/>
              </w:rPr>
              <w:t>7,67</w:t>
            </w: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2AD33CC6" w14:textId="77777777" w:rsidR="00733751" w:rsidRPr="003C1788" w:rsidRDefault="00733751" w:rsidP="00733751">
            <w:pPr>
              <w:jc w:val="right"/>
              <w:rPr>
                <w:rFonts w:eastAsiaTheme="minorEastAsia"/>
                <w:color w:val="000000"/>
                <w:sz w:val="18"/>
                <w:szCs w:val="18"/>
              </w:rPr>
            </w:pPr>
            <w:r w:rsidRPr="003C1788">
              <w:rPr>
                <w:color w:val="000000"/>
                <w:sz w:val="18"/>
                <w:szCs w:val="18"/>
              </w:rPr>
              <w:t>7,67</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04CF3467" w14:textId="77777777" w:rsidR="00733751" w:rsidRPr="003C1788" w:rsidRDefault="00733751" w:rsidP="00733751">
            <w:pPr>
              <w:jc w:val="right"/>
              <w:rPr>
                <w:rFonts w:eastAsiaTheme="minorEastAsia"/>
                <w:color w:val="000000"/>
                <w:sz w:val="18"/>
                <w:szCs w:val="18"/>
              </w:rPr>
            </w:pPr>
            <w:r w:rsidRPr="003C1788">
              <w:rPr>
                <w:color w:val="000000"/>
                <w:sz w:val="18"/>
                <w:szCs w:val="18"/>
              </w:rPr>
              <w:t>n. a.</w:t>
            </w:r>
          </w:p>
        </w:tc>
      </w:tr>
      <w:tr w:rsidR="00733751" w:rsidRPr="003C1788" w14:paraId="4207CC23" w14:textId="77777777" w:rsidTr="00F02708">
        <w:trPr>
          <w:trHeight w:val="116"/>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B230C69" w14:textId="36A5D805" w:rsidR="00733751" w:rsidRPr="003C1788" w:rsidRDefault="00733751" w:rsidP="00CE2E21">
            <w:pPr>
              <w:jc w:val="left"/>
              <w:rPr>
                <w:rFonts w:eastAsiaTheme="minorEastAsia"/>
                <w:color w:val="000000"/>
                <w:sz w:val="18"/>
                <w:szCs w:val="18"/>
              </w:rPr>
            </w:pPr>
            <w:r w:rsidRPr="003C1788">
              <w:rPr>
                <w:color w:val="000000"/>
                <w:sz w:val="18"/>
                <w:szCs w:val="18"/>
              </w:rPr>
              <w:t>2.1</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7A9FECF6" w14:textId="77777777" w:rsidR="00733751" w:rsidRPr="003C1788" w:rsidRDefault="00733751" w:rsidP="00733751">
            <w:pPr>
              <w:jc w:val="left"/>
              <w:rPr>
                <w:rFonts w:eastAsiaTheme="minorEastAsia"/>
                <w:color w:val="000000"/>
                <w:sz w:val="18"/>
                <w:szCs w:val="18"/>
              </w:rPr>
            </w:pPr>
            <w:r w:rsidRPr="003C1788">
              <w:rPr>
                <w:color w:val="000000"/>
                <w:sz w:val="18"/>
                <w:szCs w:val="18"/>
              </w:rPr>
              <w:t xml:space="preserve">Financiamiento convenido para el </w:t>
            </w:r>
            <w:r w:rsidRPr="003C1788">
              <w:rPr>
                <w:b/>
                <w:bCs/>
                <w:color w:val="000000"/>
                <w:sz w:val="18"/>
                <w:szCs w:val="18"/>
              </w:rPr>
              <w:t>organismo principal (ONUDI</w:t>
            </w:r>
            <w:r w:rsidRPr="003C1788">
              <w:rPr>
                <w:color w:val="000000"/>
                <w:sz w:val="18"/>
                <w:szCs w:val="18"/>
              </w:rPr>
              <w:t>) (USD)</w:t>
            </w:r>
          </w:p>
        </w:tc>
        <w:tc>
          <w:tcPr>
            <w:tcW w:w="44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4528AE2"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270.908</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4DA6E122" w14:textId="77777777" w:rsidR="00733751" w:rsidRPr="003C1788" w:rsidRDefault="00733751" w:rsidP="00733751">
            <w:pPr>
              <w:jc w:val="right"/>
              <w:rPr>
                <w:rFonts w:eastAsiaTheme="minorEastAsia"/>
                <w:color w:val="000000"/>
                <w:sz w:val="18"/>
                <w:szCs w:val="18"/>
              </w:rPr>
            </w:pPr>
            <w:r w:rsidRPr="003C1788">
              <w:rPr>
                <w:color w:val="000000"/>
                <w:sz w:val="18"/>
                <w:szCs w:val="18"/>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1617B7CF"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280.500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26F34D9A" w14:textId="77777777" w:rsidR="00733751" w:rsidRPr="003C1788" w:rsidRDefault="00733751" w:rsidP="00733751">
            <w:pPr>
              <w:jc w:val="right"/>
              <w:rPr>
                <w:rFonts w:eastAsiaTheme="minorEastAsia"/>
                <w:b/>
                <w:bCs/>
                <w:color w:val="000000"/>
                <w:sz w:val="18"/>
                <w:szCs w:val="18"/>
                <w:lang w:eastAsia="en-CA"/>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5EF4D8C5"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69.315</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22CF6DF"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620.723</w:t>
            </w:r>
          </w:p>
        </w:tc>
      </w:tr>
      <w:tr w:rsidR="00733751" w:rsidRPr="003C1788" w14:paraId="4F3E4918" w14:textId="77777777" w:rsidTr="00F02708">
        <w:trPr>
          <w:trHeight w:val="56"/>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02F2FC2" w14:textId="77777777" w:rsidR="00733751" w:rsidRPr="003C1788" w:rsidRDefault="00733751" w:rsidP="00733751">
            <w:pPr>
              <w:jc w:val="left"/>
              <w:rPr>
                <w:rFonts w:eastAsiaTheme="minorEastAsia"/>
                <w:color w:val="000000"/>
                <w:sz w:val="18"/>
                <w:szCs w:val="18"/>
              </w:rPr>
            </w:pPr>
            <w:r w:rsidRPr="003C1788">
              <w:rPr>
                <w:color w:val="000000"/>
                <w:sz w:val="18"/>
                <w:szCs w:val="18"/>
              </w:rPr>
              <w:t>2.2</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6D480588" w14:textId="77777777" w:rsidR="00733751" w:rsidRPr="003C1788" w:rsidRDefault="00733751" w:rsidP="00733751">
            <w:pPr>
              <w:jc w:val="left"/>
              <w:rPr>
                <w:rFonts w:eastAsiaTheme="minorEastAsia"/>
                <w:color w:val="000000"/>
                <w:sz w:val="18"/>
                <w:szCs w:val="18"/>
              </w:rPr>
            </w:pPr>
            <w:r w:rsidRPr="003C1788">
              <w:rPr>
                <w:color w:val="000000"/>
                <w:sz w:val="18"/>
                <w:szCs w:val="18"/>
              </w:rPr>
              <w:t>Gastos de apoyo para el organismo principal (USD)</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F092D5C"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18.964</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1E1E2579" w14:textId="77777777" w:rsidR="00733751" w:rsidRPr="003C1788" w:rsidRDefault="00733751" w:rsidP="00733751">
            <w:pPr>
              <w:jc w:val="right"/>
              <w:rPr>
                <w:rFonts w:eastAsiaTheme="minorEastAsia"/>
                <w:color w:val="000000"/>
                <w:sz w:val="18"/>
                <w:szCs w:val="18"/>
              </w:rPr>
            </w:pPr>
            <w:r w:rsidRPr="003C1788">
              <w:rPr>
                <w:color w:val="000000"/>
                <w:sz w:val="18"/>
                <w:szCs w:val="18"/>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059060F6"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19.635</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0EE47438" w14:textId="77777777" w:rsidR="00733751" w:rsidRPr="003C1788" w:rsidRDefault="00733751" w:rsidP="00733751">
            <w:pPr>
              <w:jc w:val="right"/>
              <w:rPr>
                <w:rFonts w:eastAsiaTheme="minorEastAsia"/>
                <w:b/>
                <w:bCs/>
                <w:color w:val="000000"/>
                <w:sz w:val="18"/>
                <w:szCs w:val="18"/>
                <w:lang w:eastAsia="en-CA"/>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6D4B3A52"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4.852</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A093B8B"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43.451</w:t>
            </w:r>
          </w:p>
        </w:tc>
      </w:tr>
      <w:tr w:rsidR="00733751" w:rsidRPr="003C1788" w14:paraId="0FD7131C" w14:textId="77777777" w:rsidTr="00F02708">
        <w:trPr>
          <w:trHeight w:val="161"/>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386F277" w14:textId="77777777" w:rsidR="00733751" w:rsidRPr="003C1788" w:rsidRDefault="00733751" w:rsidP="00733751">
            <w:pPr>
              <w:jc w:val="left"/>
              <w:rPr>
                <w:rFonts w:eastAsiaTheme="minorEastAsia"/>
                <w:color w:val="000000"/>
                <w:sz w:val="18"/>
                <w:szCs w:val="18"/>
              </w:rPr>
            </w:pPr>
            <w:r w:rsidRPr="003C1788">
              <w:rPr>
                <w:color w:val="000000"/>
                <w:sz w:val="18"/>
                <w:szCs w:val="18"/>
              </w:rPr>
              <w:t>2.3</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0B10836B" w14:textId="77777777" w:rsidR="00733751" w:rsidRPr="003C1788" w:rsidRDefault="00733751" w:rsidP="00733751">
            <w:pPr>
              <w:jc w:val="left"/>
              <w:rPr>
                <w:rFonts w:eastAsiaTheme="minorEastAsia"/>
                <w:color w:val="000000"/>
                <w:sz w:val="18"/>
                <w:szCs w:val="18"/>
              </w:rPr>
            </w:pPr>
            <w:r w:rsidRPr="003C1788">
              <w:rPr>
                <w:color w:val="000000"/>
                <w:sz w:val="18"/>
                <w:szCs w:val="18"/>
              </w:rPr>
              <w:t xml:space="preserve">Financiamiento convenido para el </w:t>
            </w:r>
            <w:r w:rsidRPr="003C1788">
              <w:rPr>
                <w:b/>
                <w:bCs/>
                <w:color w:val="000000"/>
                <w:sz w:val="18"/>
                <w:szCs w:val="18"/>
              </w:rPr>
              <w:t>organismo cooperante (PNUMA)</w:t>
            </w:r>
            <w:r w:rsidRPr="003C1788">
              <w:rPr>
                <w:color w:val="000000"/>
                <w:sz w:val="18"/>
                <w:szCs w:val="18"/>
              </w:rPr>
              <w:t xml:space="preserve"> (USD)*</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38E5E97"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48.659</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57CF7B9B" w14:textId="77777777" w:rsidR="00733751" w:rsidRPr="003C1788" w:rsidRDefault="00733751" w:rsidP="00733751">
            <w:pPr>
              <w:jc w:val="right"/>
              <w:rPr>
                <w:rFonts w:eastAsiaTheme="minorEastAsia"/>
                <w:color w:val="000000"/>
                <w:sz w:val="18"/>
                <w:szCs w:val="18"/>
              </w:rPr>
            </w:pPr>
            <w:r w:rsidRPr="003C1788">
              <w:rPr>
                <w:color w:val="000000"/>
                <w:sz w:val="18"/>
                <w:szCs w:val="18"/>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4DC5BE5A"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362462C1" w14:textId="77777777" w:rsidR="00733751" w:rsidRPr="003C1788" w:rsidRDefault="00733751" w:rsidP="00733751">
            <w:pPr>
              <w:jc w:val="right"/>
              <w:rPr>
                <w:rFonts w:eastAsiaTheme="minorEastAsia"/>
                <w:b/>
                <w:bCs/>
                <w:color w:val="000000"/>
                <w:sz w:val="18"/>
                <w:szCs w:val="18"/>
                <w:lang w:eastAsia="en-CA"/>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2CED5AB5"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0</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8BDAE5E"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48.659</w:t>
            </w:r>
          </w:p>
        </w:tc>
      </w:tr>
      <w:tr w:rsidR="00733751" w:rsidRPr="003C1788" w14:paraId="50FBD168" w14:textId="77777777" w:rsidTr="00F02708">
        <w:trPr>
          <w:trHeight w:val="60"/>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904CD2C" w14:textId="77777777" w:rsidR="00733751" w:rsidRPr="003C1788" w:rsidRDefault="00733751" w:rsidP="00733751">
            <w:pPr>
              <w:jc w:val="left"/>
              <w:rPr>
                <w:rFonts w:eastAsiaTheme="minorEastAsia"/>
                <w:color w:val="000000"/>
                <w:sz w:val="18"/>
                <w:szCs w:val="18"/>
              </w:rPr>
            </w:pPr>
            <w:r w:rsidRPr="003C1788">
              <w:rPr>
                <w:color w:val="000000"/>
                <w:sz w:val="18"/>
                <w:szCs w:val="18"/>
              </w:rPr>
              <w:t>2.4</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583FED12" w14:textId="77777777" w:rsidR="00733751" w:rsidRPr="003C1788" w:rsidRDefault="00733751" w:rsidP="00733751">
            <w:pPr>
              <w:jc w:val="left"/>
              <w:rPr>
                <w:rFonts w:eastAsiaTheme="minorEastAsia"/>
                <w:color w:val="000000"/>
                <w:sz w:val="18"/>
                <w:szCs w:val="18"/>
              </w:rPr>
            </w:pPr>
            <w:r w:rsidRPr="003C1788">
              <w:rPr>
                <w:color w:val="000000"/>
                <w:sz w:val="18"/>
                <w:szCs w:val="18"/>
              </w:rPr>
              <w:t>Gastos de apoyo para el organismo cooperante (USD)</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776AE72"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6.326</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0F0F1C44" w14:textId="77777777" w:rsidR="00733751" w:rsidRPr="003C1788" w:rsidRDefault="00733751" w:rsidP="00733751">
            <w:pPr>
              <w:jc w:val="right"/>
              <w:rPr>
                <w:rFonts w:eastAsiaTheme="minorEastAsia"/>
                <w:color w:val="000000"/>
                <w:sz w:val="18"/>
                <w:szCs w:val="18"/>
              </w:rPr>
            </w:pPr>
            <w:r w:rsidRPr="003C1788">
              <w:rPr>
                <w:color w:val="000000"/>
                <w:sz w:val="18"/>
                <w:szCs w:val="18"/>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51BC0FCE"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36B72708" w14:textId="77777777" w:rsidR="00733751" w:rsidRPr="003C1788" w:rsidRDefault="00733751" w:rsidP="00733751">
            <w:pPr>
              <w:jc w:val="right"/>
              <w:rPr>
                <w:rFonts w:eastAsiaTheme="minorEastAsia"/>
                <w:b/>
                <w:bCs/>
                <w:color w:val="000000"/>
                <w:sz w:val="18"/>
                <w:szCs w:val="18"/>
                <w:lang w:eastAsia="en-CA"/>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2B61258A"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0</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8E9EB7C"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6.326</w:t>
            </w:r>
          </w:p>
        </w:tc>
      </w:tr>
      <w:tr w:rsidR="00733751" w:rsidRPr="003C1788" w14:paraId="1EAC2EDD" w14:textId="77777777" w:rsidTr="00F02708">
        <w:trPr>
          <w:trHeight w:val="62"/>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79D690E" w14:textId="77777777" w:rsidR="00733751" w:rsidRPr="003C1788" w:rsidRDefault="00733751" w:rsidP="00733751">
            <w:pPr>
              <w:jc w:val="left"/>
              <w:rPr>
                <w:rFonts w:eastAsiaTheme="minorEastAsia"/>
                <w:color w:val="000000"/>
                <w:sz w:val="18"/>
                <w:szCs w:val="18"/>
              </w:rPr>
            </w:pPr>
            <w:r w:rsidRPr="003C1788">
              <w:rPr>
                <w:color w:val="000000"/>
                <w:sz w:val="18"/>
                <w:szCs w:val="18"/>
              </w:rPr>
              <w:t>3.1</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1CD43BF8" w14:textId="77777777" w:rsidR="00733751" w:rsidRPr="003C1788" w:rsidRDefault="00733751" w:rsidP="00733751">
            <w:pPr>
              <w:jc w:val="left"/>
              <w:rPr>
                <w:rFonts w:eastAsiaTheme="minorEastAsia"/>
                <w:color w:val="000000"/>
                <w:sz w:val="18"/>
                <w:szCs w:val="18"/>
              </w:rPr>
            </w:pPr>
            <w:r w:rsidRPr="003C1788">
              <w:rPr>
                <w:color w:val="000000"/>
                <w:sz w:val="18"/>
                <w:szCs w:val="18"/>
              </w:rPr>
              <w:t>Financiamiento convenido total (USD)</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50D5291" w14:textId="77777777" w:rsidR="00733751" w:rsidRPr="003C1788" w:rsidRDefault="00733751" w:rsidP="00733751">
            <w:pPr>
              <w:jc w:val="right"/>
              <w:rPr>
                <w:rFonts w:eastAsiaTheme="minorEastAsia"/>
                <w:color w:val="000000"/>
                <w:sz w:val="18"/>
                <w:szCs w:val="18"/>
              </w:rPr>
            </w:pPr>
            <w:r w:rsidRPr="003C1788">
              <w:rPr>
                <w:color w:val="000000"/>
                <w:sz w:val="18"/>
                <w:szCs w:val="18"/>
              </w:rPr>
              <w:t>319.567</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3B25445E" w14:textId="77777777" w:rsidR="00733751" w:rsidRPr="003C1788" w:rsidRDefault="00733751" w:rsidP="00733751">
            <w:pPr>
              <w:jc w:val="right"/>
              <w:rPr>
                <w:rFonts w:eastAsiaTheme="minorEastAsia"/>
                <w:color w:val="000000"/>
                <w:sz w:val="18"/>
                <w:szCs w:val="18"/>
              </w:rPr>
            </w:pPr>
            <w:r w:rsidRPr="003C1788">
              <w:rPr>
                <w:color w:val="000000"/>
                <w:sz w:val="18"/>
                <w:szCs w:val="18"/>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1FBC8CC3" w14:textId="77777777" w:rsidR="00733751" w:rsidRPr="003C1788" w:rsidRDefault="00733751" w:rsidP="00733751">
            <w:pPr>
              <w:jc w:val="right"/>
              <w:rPr>
                <w:rFonts w:eastAsiaTheme="minorEastAsia"/>
                <w:color w:val="000000"/>
                <w:sz w:val="18"/>
                <w:szCs w:val="18"/>
              </w:rPr>
            </w:pPr>
            <w:r w:rsidRPr="003C1788">
              <w:rPr>
                <w:color w:val="000000"/>
                <w:sz w:val="18"/>
                <w:szCs w:val="18"/>
              </w:rPr>
              <w:t>280.500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1F70DAAD" w14:textId="77777777" w:rsidR="00733751" w:rsidRPr="003C1788" w:rsidRDefault="00733751" w:rsidP="00733751">
            <w:pPr>
              <w:jc w:val="right"/>
              <w:rPr>
                <w:rFonts w:eastAsiaTheme="minorEastAsia"/>
                <w:color w:val="000000"/>
                <w:sz w:val="18"/>
                <w:szCs w:val="18"/>
                <w:lang w:eastAsia="en-CA"/>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4781DD6A" w14:textId="77777777" w:rsidR="00733751" w:rsidRPr="003C1788" w:rsidRDefault="00733751" w:rsidP="00733751">
            <w:pPr>
              <w:jc w:val="right"/>
              <w:rPr>
                <w:rFonts w:eastAsiaTheme="minorEastAsia"/>
                <w:color w:val="000000"/>
                <w:sz w:val="18"/>
                <w:szCs w:val="18"/>
              </w:rPr>
            </w:pPr>
            <w:r w:rsidRPr="003C1788">
              <w:rPr>
                <w:color w:val="000000"/>
                <w:sz w:val="18"/>
                <w:szCs w:val="18"/>
              </w:rPr>
              <w:t>69.315</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C17F8AF" w14:textId="77777777" w:rsidR="00733751" w:rsidRPr="003C1788" w:rsidRDefault="00733751" w:rsidP="00733751">
            <w:pPr>
              <w:jc w:val="right"/>
              <w:rPr>
                <w:rFonts w:eastAsiaTheme="minorEastAsia"/>
                <w:color w:val="000000"/>
                <w:sz w:val="18"/>
                <w:szCs w:val="18"/>
              </w:rPr>
            </w:pPr>
            <w:r w:rsidRPr="003C1788">
              <w:rPr>
                <w:color w:val="000000"/>
                <w:sz w:val="18"/>
                <w:szCs w:val="18"/>
              </w:rPr>
              <w:t>669.382</w:t>
            </w:r>
          </w:p>
        </w:tc>
      </w:tr>
      <w:tr w:rsidR="00733751" w:rsidRPr="003C1788" w14:paraId="5A83354D" w14:textId="77777777" w:rsidTr="00F02708">
        <w:trPr>
          <w:trHeight w:val="50"/>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E8E8D3B" w14:textId="77777777" w:rsidR="00733751" w:rsidRPr="003C1788" w:rsidRDefault="00733751" w:rsidP="00733751">
            <w:pPr>
              <w:jc w:val="left"/>
              <w:rPr>
                <w:rFonts w:eastAsiaTheme="minorEastAsia"/>
                <w:color w:val="000000"/>
                <w:sz w:val="18"/>
                <w:szCs w:val="18"/>
              </w:rPr>
            </w:pPr>
            <w:r w:rsidRPr="003C1788">
              <w:rPr>
                <w:color w:val="000000"/>
                <w:sz w:val="18"/>
                <w:szCs w:val="18"/>
              </w:rPr>
              <w:t>3.2</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4DCCEC12" w14:textId="77777777" w:rsidR="00733751" w:rsidRPr="003C1788" w:rsidRDefault="00733751" w:rsidP="00733751">
            <w:pPr>
              <w:jc w:val="left"/>
              <w:rPr>
                <w:rFonts w:eastAsiaTheme="minorEastAsia"/>
                <w:color w:val="000000"/>
                <w:sz w:val="18"/>
                <w:szCs w:val="18"/>
              </w:rPr>
            </w:pPr>
            <w:r w:rsidRPr="003C1788">
              <w:rPr>
                <w:color w:val="000000"/>
                <w:sz w:val="18"/>
                <w:szCs w:val="18"/>
              </w:rPr>
              <w:t>Total gastos de apoyo (USD)</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9894DFF"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25.289</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33821936" w14:textId="77777777" w:rsidR="00733751" w:rsidRPr="003C1788" w:rsidRDefault="00733751" w:rsidP="00733751">
            <w:pPr>
              <w:jc w:val="right"/>
              <w:rPr>
                <w:rFonts w:eastAsiaTheme="minorEastAsia"/>
                <w:color w:val="000000"/>
                <w:sz w:val="18"/>
                <w:szCs w:val="18"/>
              </w:rPr>
            </w:pPr>
            <w:r w:rsidRPr="003C1788">
              <w:rPr>
                <w:color w:val="000000"/>
                <w:sz w:val="18"/>
                <w:szCs w:val="18"/>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210E03D6"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19.635</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31B5ECB4" w14:textId="77777777" w:rsidR="00733751" w:rsidRPr="003C1788" w:rsidRDefault="00733751" w:rsidP="00733751">
            <w:pPr>
              <w:jc w:val="right"/>
              <w:rPr>
                <w:rFonts w:eastAsiaTheme="minorEastAsia"/>
                <w:b/>
                <w:bCs/>
                <w:color w:val="000000"/>
                <w:sz w:val="18"/>
                <w:szCs w:val="18"/>
                <w:lang w:eastAsia="en-CA"/>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2B468591"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4.852</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B7ECCCA"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49.776</w:t>
            </w:r>
          </w:p>
        </w:tc>
      </w:tr>
      <w:tr w:rsidR="00733751" w:rsidRPr="003C1788" w14:paraId="57E47E42" w14:textId="77777777" w:rsidTr="00F02708">
        <w:trPr>
          <w:trHeight w:val="53"/>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6A0B598" w14:textId="77777777" w:rsidR="00733751" w:rsidRPr="003C1788" w:rsidRDefault="00733751" w:rsidP="00733751">
            <w:pPr>
              <w:jc w:val="left"/>
              <w:rPr>
                <w:rFonts w:eastAsiaTheme="minorEastAsia"/>
                <w:color w:val="000000"/>
                <w:sz w:val="18"/>
                <w:szCs w:val="18"/>
              </w:rPr>
            </w:pPr>
            <w:r w:rsidRPr="003C1788">
              <w:rPr>
                <w:color w:val="000000"/>
                <w:sz w:val="18"/>
                <w:szCs w:val="18"/>
              </w:rPr>
              <w:t>3.3</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0E637445" w14:textId="77777777" w:rsidR="00733751" w:rsidRPr="003C1788" w:rsidRDefault="00733751" w:rsidP="00733751">
            <w:pPr>
              <w:jc w:val="left"/>
              <w:rPr>
                <w:rFonts w:eastAsiaTheme="minorEastAsia"/>
                <w:color w:val="000000"/>
                <w:sz w:val="18"/>
                <w:szCs w:val="18"/>
              </w:rPr>
            </w:pPr>
            <w:r w:rsidRPr="003C1788">
              <w:rPr>
                <w:color w:val="000000"/>
                <w:sz w:val="18"/>
                <w:szCs w:val="18"/>
              </w:rPr>
              <w:t>Total de costos convenidos (USD)</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8702BD9"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344.856</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224EE0D3" w14:textId="77777777" w:rsidR="00733751" w:rsidRPr="003C1788" w:rsidRDefault="00733751" w:rsidP="00733751">
            <w:pPr>
              <w:jc w:val="right"/>
              <w:rPr>
                <w:rFonts w:eastAsiaTheme="minorEastAsia"/>
                <w:color w:val="000000"/>
                <w:sz w:val="18"/>
                <w:szCs w:val="18"/>
              </w:rPr>
            </w:pPr>
            <w:r w:rsidRPr="003C1788">
              <w:rPr>
                <w:color w:val="000000"/>
                <w:sz w:val="18"/>
                <w:szCs w:val="18"/>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4713D2F2"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300.135</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5E907504" w14:textId="77777777" w:rsidR="00733751" w:rsidRPr="003C1788" w:rsidRDefault="00733751" w:rsidP="00733751">
            <w:pPr>
              <w:jc w:val="right"/>
              <w:rPr>
                <w:rFonts w:eastAsiaTheme="minorEastAsia"/>
                <w:b/>
                <w:bCs/>
                <w:color w:val="000000"/>
                <w:sz w:val="18"/>
                <w:szCs w:val="18"/>
                <w:lang w:eastAsia="en-CA"/>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66E5F1E4"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74.167</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E7DB70F" w14:textId="77777777" w:rsidR="00733751" w:rsidRPr="003C1788" w:rsidRDefault="00733751" w:rsidP="00733751">
            <w:pPr>
              <w:jc w:val="right"/>
              <w:rPr>
                <w:rFonts w:eastAsiaTheme="minorEastAsia"/>
                <w:b/>
                <w:bCs/>
                <w:color w:val="000000"/>
                <w:sz w:val="18"/>
                <w:szCs w:val="18"/>
              </w:rPr>
            </w:pPr>
            <w:r w:rsidRPr="003C1788">
              <w:rPr>
                <w:b/>
                <w:bCs/>
                <w:color w:val="000000"/>
                <w:sz w:val="18"/>
                <w:szCs w:val="18"/>
              </w:rPr>
              <w:t>719.158</w:t>
            </w:r>
          </w:p>
        </w:tc>
      </w:tr>
      <w:tr w:rsidR="00733751" w:rsidRPr="003C1788" w14:paraId="5B26AE7F" w14:textId="77777777" w:rsidTr="00F02708">
        <w:trPr>
          <w:trHeight w:val="53"/>
        </w:trPr>
        <w:tc>
          <w:tcPr>
            <w:tcW w:w="30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3CC9293" w14:textId="77777777" w:rsidR="00733751" w:rsidRPr="003C1788" w:rsidRDefault="00733751" w:rsidP="00733751">
            <w:pPr>
              <w:jc w:val="left"/>
              <w:rPr>
                <w:rFonts w:eastAsiaTheme="minorEastAsia"/>
                <w:color w:val="000000"/>
                <w:sz w:val="18"/>
                <w:szCs w:val="18"/>
              </w:rPr>
            </w:pPr>
            <w:r w:rsidRPr="003C1788">
              <w:rPr>
                <w:color w:val="000000"/>
                <w:sz w:val="18"/>
                <w:szCs w:val="18"/>
              </w:rPr>
              <w:t>4.1.1</w:t>
            </w:r>
          </w:p>
        </w:tc>
        <w:tc>
          <w:tcPr>
            <w:tcW w:w="4245" w:type="pct"/>
            <w:gridSpan w:val="6"/>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A200120" w14:textId="77777777" w:rsidR="00733751" w:rsidRPr="003C1788" w:rsidRDefault="00733751" w:rsidP="00733751">
            <w:pPr>
              <w:jc w:val="left"/>
              <w:rPr>
                <w:rFonts w:eastAsiaTheme="minorEastAsia"/>
                <w:color w:val="000000"/>
                <w:sz w:val="18"/>
                <w:szCs w:val="18"/>
              </w:rPr>
            </w:pPr>
            <w:r w:rsidRPr="003C1788">
              <w:rPr>
                <w:color w:val="000000"/>
                <w:sz w:val="18"/>
                <w:szCs w:val="18"/>
              </w:rPr>
              <w:t>Eliminación total de HCFC-22 convenida en el presente Acuerdo (tons. PAO)</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8D7D583" w14:textId="77777777" w:rsidR="00733751" w:rsidRPr="003C1788" w:rsidRDefault="00733751" w:rsidP="00733751">
            <w:pPr>
              <w:jc w:val="right"/>
              <w:rPr>
                <w:rFonts w:eastAsiaTheme="minorEastAsia"/>
                <w:color w:val="000000"/>
                <w:sz w:val="18"/>
                <w:szCs w:val="18"/>
              </w:rPr>
            </w:pPr>
            <w:r w:rsidRPr="003C1788">
              <w:rPr>
                <w:color w:val="000000"/>
                <w:sz w:val="18"/>
                <w:szCs w:val="18"/>
              </w:rPr>
              <w:t>7,67</w:t>
            </w:r>
          </w:p>
        </w:tc>
      </w:tr>
      <w:tr w:rsidR="00733751" w:rsidRPr="003C1788" w14:paraId="635AD14E" w14:textId="77777777" w:rsidTr="00F02708">
        <w:trPr>
          <w:trHeight w:val="116"/>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60128E8" w14:textId="77777777" w:rsidR="00733751" w:rsidRPr="003C1788" w:rsidRDefault="00733751" w:rsidP="00733751">
            <w:pPr>
              <w:jc w:val="left"/>
              <w:rPr>
                <w:rFonts w:eastAsiaTheme="minorEastAsia"/>
                <w:color w:val="000000"/>
                <w:sz w:val="18"/>
                <w:szCs w:val="18"/>
              </w:rPr>
            </w:pPr>
            <w:r w:rsidRPr="003C1788">
              <w:rPr>
                <w:color w:val="000000"/>
                <w:sz w:val="18"/>
                <w:szCs w:val="18"/>
              </w:rPr>
              <w:t>4.1.2</w:t>
            </w:r>
          </w:p>
        </w:tc>
        <w:tc>
          <w:tcPr>
            <w:tcW w:w="4245" w:type="pct"/>
            <w:gridSpan w:val="6"/>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58B4644" w14:textId="77777777" w:rsidR="00733751" w:rsidRPr="003C1788" w:rsidRDefault="00733751" w:rsidP="00733751">
            <w:pPr>
              <w:jc w:val="left"/>
              <w:rPr>
                <w:rFonts w:eastAsiaTheme="minorEastAsia"/>
                <w:color w:val="000000"/>
                <w:sz w:val="18"/>
                <w:szCs w:val="18"/>
              </w:rPr>
            </w:pPr>
            <w:r w:rsidRPr="003C1788">
              <w:rPr>
                <w:color w:val="000000"/>
                <w:sz w:val="18"/>
                <w:szCs w:val="18"/>
              </w:rPr>
              <w:t>Eliminación de HCFC-22 prevista para la etapa anterior (tons. PAO)</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6B136D73" w14:textId="77777777" w:rsidR="00733751" w:rsidRPr="003C1788" w:rsidRDefault="00733751" w:rsidP="00733751">
            <w:pPr>
              <w:jc w:val="right"/>
              <w:rPr>
                <w:rFonts w:eastAsiaTheme="minorEastAsia"/>
                <w:color w:val="000000"/>
                <w:sz w:val="18"/>
                <w:szCs w:val="18"/>
              </w:rPr>
            </w:pPr>
            <w:r w:rsidRPr="003C1788">
              <w:rPr>
                <w:color w:val="000000"/>
                <w:sz w:val="18"/>
                <w:szCs w:val="18"/>
              </w:rPr>
              <w:t>8,26</w:t>
            </w:r>
          </w:p>
        </w:tc>
      </w:tr>
      <w:tr w:rsidR="00733751" w:rsidRPr="003C1788" w14:paraId="2FDC93F1" w14:textId="77777777" w:rsidTr="00F02708">
        <w:trPr>
          <w:trHeight w:val="98"/>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E1C9958" w14:textId="77777777" w:rsidR="00733751" w:rsidRPr="003C1788" w:rsidRDefault="00733751" w:rsidP="00733751">
            <w:pPr>
              <w:jc w:val="left"/>
              <w:rPr>
                <w:rFonts w:eastAsiaTheme="minorEastAsia"/>
                <w:color w:val="000000"/>
                <w:sz w:val="18"/>
                <w:szCs w:val="18"/>
              </w:rPr>
            </w:pPr>
            <w:r w:rsidRPr="003C1788">
              <w:rPr>
                <w:color w:val="000000"/>
                <w:sz w:val="18"/>
                <w:szCs w:val="18"/>
              </w:rPr>
              <w:t>4.1.3</w:t>
            </w:r>
          </w:p>
        </w:tc>
        <w:tc>
          <w:tcPr>
            <w:tcW w:w="4245" w:type="pct"/>
            <w:gridSpan w:val="6"/>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A33900D" w14:textId="77777777" w:rsidR="00733751" w:rsidRPr="003C1788" w:rsidRDefault="00733751" w:rsidP="00733751">
            <w:pPr>
              <w:jc w:val="left"/>
              <w:rPr>
                <w:rFonts w:eastAsiaTheme="minorEastAsia"/>
                <w:color w:val="000000"/>
                <w:sz w:val="18"/>
                <w:szCs w:val="18"/>
              </w:rPr>
            </w:pPr>
            <w:r w:rsidRPr="003C1788">
              <w:rPr>
                <w:color w:val="000000"/>
                <w:sz w:val="18"/>
                <w:szCs w:val="18"/>
              </w:rPr>
              <w:t>Consumo admisible remanente de HCFC-22 (tons. PAO)</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729F659" w14:textId="77777777" w:rsidR="00733751" w:rsidRPr="003C1788" w:rsidRDefault="00733751" w:rsidP="00733751">
            <w:pPr>
              <w:jc w:val="right"/>
              <w:rPr>
                <w:rFonts w:eastAsiaTheme="minorEastAsia"/>
                <w:color w:val="000000"/>
                <w:sz w:val="18"/>
                <w:szCs w:val="18"/>
              </w:rPr>
            </w:pPr>
            <w:r w:rsidRPr="003C1788">
              <w:rPr>
                <w:color w:val="000000"/>
                <w:sz w:val="18"/>
                <w:szCs w:val="18"/>
              </w:rPr>
              <w:t>7,67</w:t>
            </w:r>
          </w:p>
        </w:tc>
      </w:tr>
    </w:tbl>
    <w:p w14:paraId="3C2455B3" w14:textId="5BC9DAA2" w:rsidR="00733751" w:rsidRPr="003C1788" w:rsidRDefault="00733751" w:rsidP="00733751">
      <w:pPr>
        <w:rPr>
          <w:rFonts w:eastAsiaTheme="minorEastAsia"/>
          <w:b/>
          <w:bCs/>
          <w:sz w:val="16"/>
          <w:szCs w:val="16"/>
        </w:rPr>
      </w:pPr>
      <w:r w:rsidRPr="003C1788">
        <w:rPr>
          <w:b/>
          <w:bCs/>
          <w:sz w:val="16"/>
          <w:szCs w:val="16"/>
        </w:rPr>
        <w:t>* El PNUMA dejó de ser el principal organismo de ejecución en la 94ª reunión y reintegró USD 180.908 más gastos de apoyo por USD</w:t>
      </w:r>
      <w:r w:rsidR="000B76E6">
        <w:rPr>
          <w:b/>
          <w:bCs/>
          <w:sz w:val="16"/>
          <w:szCs w:val="16"/>
        </w:rPr>
        <w:t> </w:t>
      </w:r>
      <w:r w:rsidRPr="003C1788">
        <w:rPr>
          <w:b/>
          <w:bCs/>
          <w:sz w:val="16"/>
          <w:szCs w:val="16"/>
        </w:rPr>
        <w:t>23.518 del primer tramo (AFG/PHA/85/TAS/29).</w:t>
      </w:r>
    </w:p>
    <w:p w14:paraId="58F88300" w14:textId="77777777" w:rsidR="00733751" w:rsidRPr="003C1788" w:rsidRDefault="00733751" w:rsidP="00733751">
      <w:pPr>
        <w:rPr>
          <w:rFonts w:eastAsiaTheme="minorEastAsia"/>
          <w:lang w:eastAsia="zh-CN"/>
        </w:rPr>
      </w:pPr>
    </w:p>
    <w:p w14:paraId="17147DA0" w14:textId="77777777" w:rsidR="00E85409" w:rsidRPr="003C1788"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C1788" w14:paraId="5F7FCED8" w14:textId="77777777" w:rsidTr="000B76E6">
        <w:trPr>
          <w:trHeight w:val="702"/>
        </w:trPr>
        <w:tc>
          <w:tcPr>
            <w:tcW w:w="1915" w:type="dxa"/>
          </w:tcPr>
          <w:p w14:paraId="08241A33" w14:textId="77777777" w:rsidR="00E85409" w:rsidRPr="003C1788" w:rsidRDefault="00E85409" w:rsidP="00F02708"/>
        </w:tc>
        <w:tc>
          <w:tcPr>
            <w:tcW w:w="1915" w:type="dxa"/>
          </w:tcPr>
          <w:p w14:paraId="6C0DDD68" w14:textId="77777777" w:rsidR="00E85409" w:rsidRPr="003C1788" w:rsidRDefault="00E85409" w:rsidP="00F02708"/>
        </w:tc>
        <w:tc>
          <w:tcPr>
            <w:tcW w:w="1915" w:type="dxa"/>
            <w:tcBorders>
              <w:bottom w:val="single" w:sz="4" w:space="0" w:color="auto"/>
            </w:tcBorders>
          </w:tcPr>
          <w:p w14:paraId="6AF3D88A" w14:textId="77777777" w:rsidR="00E85409" w:rsidRPr="003C1788" w:rsidRDefault="00E85409" w:rsidP="00F02708"/>
        </w:tc>
        <w:tc>
          <w:tcPr>
            <w:tcW w:w="1915" w:type="dxa"/>
          </w:tcPr>
          <w:p w14:paraId="27C7066B" w14:textId="77777777" w:rsidR="00E85409" w:rsidRPr="003C1788" w:rsidRDefault="00E85409" w:rsidP="00F02708"/>
        </w:tc>
        <w:tc>
          <w:tcPr>
            <w:tcW w:w="1916" w:type="dxa"/>
          </w:tcPr>
          <w:p w14:paraId="194DFA16" w14:textId="77777777" w:rsidR="00E85409" w:rsidRPr="003C1788" w:rsidRDefault="00E85409" w:rsidP="00F02708"/>
        </w:tc>
      </w:tr>
    </w:tbl>
    <w:p w14:paraId="452F1ECB" w14:textId="77777777" w:rsidR="00E85409" w:rsidRPr="003C1788" w:rsidRDefault="00E85409" w:rsidP="004E7F9C"/>
    <w:sectPr w:rsidR="00E85409" w:rsidRPr="003C1788" w:rsidSect="000B76E6">
      <w:headerReference w:type="even" r:id="rId24"/>
      <w:headerReference w:type="default" r:id="rId25"/>
      <w:footerReference w:type="even" r:id="rId26"/>
      <w:footerReference w:type="default" r:id="rId27"/>
      <w:headerReference w:type="first" r:id="rId28"/>
      <w:pgSz w:w="12240" w:h="15840" w:code="1"/>
      <w:pgMar w:top="720" w:right="1440" w:bottom="864" w:left="144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DFA45C" w14:textId="77777777" w:rsidR="00D81892" w:rsidRDefault="00D81892" w:rsidP="004A504B">
      <w:r>
        <w:separator/>
      </w:r>
    </w:p>
  </w:endnote>
  <w:endnote w:type="continuationSeparator" w:id="0">
    <w:p w14:paraId="5F28C56C" w14:textId="77777777" w:rsidR="00D81892" w:rsidRDefault="00D8189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5FF36" w14:textId="4FB366D8" w:rsidR="00E8522B" w:rsidRPr="0033525D" w:rsidRDefault="00E8522B">
    <w:pPr>
      <w:jc w:val="center"/>
    </w:pPr>
    <w:r>
      <w:fldChar w:fldCharType="begin"/>
    </w:r>
    <w:r>
      <w:instrText xml:space="preserve"> PAGE </w:instrText>
    </w:r>
    <w:r>
      <w:fldChar w:fldCharType="separate"/>
    </w:r>
    <w:r w:rsidR="00CE2E21">
      <w:rPr>
        <w:noProof/>
      </w:rPr>
      <w:t>18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FB039" w14:textId="4BD3022F" w:rsidR="00E8522B" w:rsidRPr="0033525D" w:rsidRDefault="00E8522B">
    <w:pPr>
      <w:jc w:val="center"/>
    </w:pPr>
    <w:r>
      <w:fldChar w:fldCharType="begin"/>
    </w:r>
    <w:r>
      <w:instrText xml:space="preserve"> PAGE </w:instrText>
    </w:r>
    <w:r>
      <w:fldChar w:fldCharType="separate"/>
    </w:r>
    <w:r w:rsidR="00CE2E21">
      <w:rPr>
        <w:noProof/>
      </w:rPr>
      <w:t>19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F4C129" w14:textId="6FF1F1C0" w:rsidR="00E8522B" w:rsidRDefault="00E8522B" w:rsidP="005427BE">
    <w:pPr>
      <w:pBdr>
        <w:top w:val="single" w:sz="4" w:space="1" w:color="auto"/>
        <w:left w:val="single" w:sz="4" w:space="4" w:color="auto"/>
        <w:bottom w:val="single" w:sz="4" w:space="1" w:color="auto"/>
        <w:right w:val="single" w:sz="4" w:space="8" w:color="auto"/>
      </w:pBdr>
      <w:ind w:left="-90"/>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FD4513B" w14:textId="77777777" w:rsidR="00E8522B" w:rsidRDefault="00E8522B" w:rsidP="005427BE">
    <w:pPr>
      <w:pBdr>
        <w:top w:val="single" w:sz="4" w:space="1" w:color="auto"/>
        <w:left w:val="single" w:sz="4" w:space="4" w:color="auto"/>
        <w:bottom w:val="single" w:sz="4" w:space="1" w:color="auto"/>
        <w:right w:val="single" w:sz="4" w:space="8" w:color="auto"/>
      </w:pBdr>
      <w:ind w:left="-90"/>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EE957" w14:textId="51A3C8C9" w:rsidR="00E8522B" w:rsidRPr="0033525D" w:rsidRDefault="00E8522B">
    <w:pPr>
      <w:jc w:val="center"/>
    </w:pPr>
    <w:r>
      <w:fldChar w:fldCharType="begin"/>
    </w:r>
    <w:r>
      <w:instrText xml:space="preserve"> PAGE </w:instrText>
    </w:r>
    <w:r>
      <w:fldChar w:fldCharType="separate"/>
    </w:r>
    <w:r w:rsidR="00CE2E21">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59A215" w14:textId="330DEE6C" w:rsidR="00E8522B" w:rsidRPr="0033525D" w:rsidRDefault="00E8522B">
    <w:pPr>
      <w:jc w:val="center"/>
    </w:pPr>
    <w:r>
      <w:fldChar w:fldCharType="begin"/>
    </w:r>
    <w:r>
      <w:instrText xml:space="preserve"> PAGE </w:instrText>
    </w:r>
    <w:r>
      <w:fldChar w:fldCharType="separate"/>
    </w:r>
    <w:r w:rsidR="008158C3">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DFC65" w14:textId="77777777" w:rsidR="00E8522B" w:rsidRDefault="00E8522B"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1E48562E" w14:textId="77777777" w:rsidR="00E8522B" w:rsidRDefault="00E8522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E6DCD3" w14:textId="4B039F98" w:rsidR="000B76E6" w:rsidRPr="0033525D" w:rsidRDefault="000B76E6">
    <w:pP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61C35E" w14:textId="77777777" w:rsidR="000B76E6" w:rsidRPr="0033525D" w:rsidRDefault="000B76E6">
    <w:pPr>
      <w:jc w:val="cent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52033F" w14:textId="77777777" w:rsidR="00D81892" w:rsidRDefault="00D81892" w:rsidP="004A504B">
      <w:r>
        <w:separator/>
      </w:r>
    </w:p>
  </w:footnote>
  <w:footnote w:type="continuationSeparator" w:id="0">
    <w:p w14:paraId="545A486C" w14:textId="77777777" w:rsidR="00D81892" w:rsidRDefault="00D81892" w:rsidP="004A504B">
      <w:r>
        <w:continuationSeparator/>
      </w:r>
    </w:p>
  </w:footnote>
  <w:footnote w:id="1">
    <w:p w14:paraId="453F72F4" w14:textId="77777777" w:rsidR="00E8522B" w:rsidRPr="001E1147" w:rsidRDefault="00E8522B" w:rsidP="00335282">
      <w:pPr>
        <w:pStyle w:val="FootnoteText"/>
      </w:pPr>
      <w:r>
        <w:rPr>
          <w:rStyle w:val="FootnoteReference"/>
        </w:rPr>
        <w:footnoteRef/>
      </w:r>
      <w:r>
        <w:t xml:space="preserve"> UNEP/</w:t>
      </w:r>
      <w:proofErr w:type="spellStart"/>
      <w:r>
        <w:t>OzL.Pro</w:t>
      </w:r>
      <w:proofErr w:type="spellEnd"/>
      <w:r>
        <w:t>/</w:t>
      </w:r>
      <w:proofErr w:type="spellStart"/>
      <w:r>
        <w:t>ExCom</w:t>
      </w:r>
      <w:proofErr w:type="spellEnd"/>
      <w:r>
        <w:t>/95/1</w:t>
      </w:r>
    </w:p>
  </w:footnote>
  <w:footnote w:id="2">
    <w:p w14:paraId="5F95918A" w14:textId="0F9B9F0B" w:rsidR="00E8522B" w:rsidRPr="001110B7" w:rsidRDefault="00E8522B" w:rsidP="00786042">
      <w:pPr>
        <w:pStyle w:val="FootnoteText"/>
      </w:pPr>
      <w:r>
        <w:rPr>
          <w:rStyle w:val="FootnoteReference"/>
        </w:rPr>
        <w:footnoteRef/>
      </w:r>
      <w:r>
        <w:t xml:space="preserve"> De conformidad con la decisión 94/16 b), Argelia también presentó a la 95ª reunión un informe sobre todas las actividades restantes en curso en el marco de la etapa I del PGEH. El informe se presenta en el documento de propuesta de proyecto para Argelia (UNEP/</w:t>
      </w:r>
      <w:proofErr w:type="spellStart"/>
      <w:r>
        <w:t>OzL.Pro</w:t>
      </w:r>
      <w:proofErr w:type="spellEnd"/>
      <w:r>
        <w:t>/</w:t>
      </w:r>
      <w:proofErr w:type="spellStart"/>
      <w:r>
        <w:t>ExCom</w:t>
      </w:r>
      <w:proofErr w:type="spellEnd"/>
      <w:r>
        <w:t>/95/39).</w:t>
      </w:r>
    </w:p>
  </w:footnote>
  <w:footnote w:id="3">
    <w:p w14:paraId="75410C61" w14:textId="77777777" w:rsidR="00E8522B" w:rsidRPr="00DE41D9" w:rsidRDefault="00E8522B" w:rsidP="00891C0E">
      <w:pPr>
        <w:pStyle w:val="FootnoteText"/>
      </w:pPr>
      <w:r>
        <w:rPr>
          <w:rStyle w:val="FootnoteReference"/>
        </w:rPr>
        <w:footnoteRef/>
      </w:r>
      <w:r>
        <w:t xml:space="preserve"> Decisión 63/52</w:t>
      </w:r>
    </w:p>
  </w:footnote>
  <w:footnote w:id="4">
    <w:p w14:paraId="5B84D1F5" w14:textId="77777777" w:rsidR="00E8522B" w:rsidRPr="00DE41D9" w:rsidRDefault="00E8522B" w:rsidP="00891C0E">
      <w:pPr>
        <w:pStyle w:val="FootnoteText"/>
      </w:pPr>
      <w:r>
        <w:rPr>
          <w:rStyle w:val="FootnoteReference"/>
        </w:rPr>
        <w:footnoteRef/>
      </w:r>
      <w:r>
        <w:t xml:space="preserve"> Decisión 79/27 a) i)</w:t>
      </w:r>
    </w:p>
  </w:footnote>
  <w:footnote w:id="5">
    <w:p w14:paraId="1177936D" w14:textId="77777777" w:rsidR="00E8522B" w:rsidRPr="00DE41D9" w:rsidRDefault="00E8522B" w:rsidP="00891C0E">
      <w:pPr>
        <w:pStyle w:val="FootnoteText"/>
      </w:pPr>
      <w:r>
        <w:rPr>
          <w:rStyle w:val="FootnoteReference"/>
        </w:rPr>
        <w:footnoteRef/>
      </w:r>
      <w:r>
        <w:t xml:space="preserve"> Decisión 85/24</w:t>
      </w:r>
    </w:p>
  </w:footnote>
  <w:footnote w:id="6">
    <w:p w14:paraId="335F73E5" w14:textId="4323024C" w:rsidR="00E8522B" w:rsidRPr="00DD0D4C" w:rsidRDefault="00E8522B" w:rsidP="00891C0E">
      <w:pPr>
        <w:pStyle w:val="FootnoteText"/>
      </w:pPr>
      <w:r>
        <w:rPr>
          <w:rStyle w:val="FootnoteReference"/>
        </w:rPr>
        <w:footnoteRef/>
      </w:r>
      <w:r>
        <w:t xml:space="preserve"> Véanse también los párrafos 4 a 6 del documento UNEP/</w:t>
      </w:r>
      <w:proofErr w:type="spellStart"/>
      <w:r>
        <w:t>OzL.Pro</w:t>
      </w:r>
      <w:proofErr w:type="spellEnd"/>
      <w:r>
        <w:t>/</w:t>
      </w:r>
      <w:proofErr w:type="spellStart"/>
      <w:r>
        <w:t>ExCom</w:t>
      </w:r>
      <w:proofErr w:type="spellEnd"/>
      <w:r>
        <w:t>/95/4.</w:t>
      </w:r>
    </w:p>
  </w:footnote>
  <w:footnote w:id="7">
    <w:p w14:paraId="2DC3F285" w14:textId="77777777" w:rsidR="00E8522B" w:rsidRPr="004C3364" w:rsidRDefault="00E8522B" w:rsidP="006C61E1">
      <w:pPr>
        <w:pStyle w:val="FootnoteText"/>
      </w:pPr>
      <w:r>
        <w:rPr>
          <w:rStyle w:val="FootnoteReference"/>
        </w:rPr>
        <w:footnoteRef/>
      </w:r>
      <w:r>
        <w:t xml:space="preserve"> Documento UNEP/</w:t>
      </w:r>
      <w:proofErr w:type="spellStart"/>
      <w:r>
        <w:t>OzL.Pro</w:t>
      </w:r>
      <w:proofErr w:type="spellEnd"/>
      <w:r>
        <w:t>/</w:t>
      </w:r>
      <w:proofErr w:type="spellStart"/>
      <w:r>
        <w:t>ExCom</w:t>
      </w:r>
      <w:proofErr w:type="spellEnd"/>
      <w:r>
        <w:t>/93/43</w:t>
      </w:r>
    </w:p>
  </w:footnote>
  <w:footnote w:id="8">
    <w:p w14:paraId="513BA2CB" w14:textId="0514790C" w:rsidR="00E8522B" w:rsidRPr="006C17AA" w:rsidRDefault="00E8522B" w:rsidP="009122FC">
      <w:pPr>
        <w:pStyle w:val="FootnoteText"/>
        <w:jc w:val="left"/>
      </w:pPr>
      <w:r>
        <w:rPr>
          <w:rStyle w:val="FootnoteReference"/>
        </w:rPr>
        <w:footnoteRef/>
      </w:r>
      <w:r>
        <w:t xml:space="preserve"> Decisión de aprobación general y disposición contenida en el anexo XIV del documento UNEP/</w:t>
      </w:r>
      <w:proofErr w:type="spellStart"/>
      <w:r>
        <w:t>OzL.Pro</w:t>
      </w:r>
      <w:proofErr w:type="spellEnd"/>
      <w:r>
        <w:t>/</w:t>
      </w:r>
      <w:proofErr w:type="spellStart"/>
      <w:r>
        <w:t>ExCom</w:t>
      </w:r>
      <w:proofErr w:type="spellEnd"/>
      <w:r>
        <w:t>/93/105.</w:t>
      </w:r>
    </w:p>
  </w:footnote>
  <w:footnote w:id="9">
    <w:p w14:paraId="6D1ABBB7" w14:textId="77777777" w:rsidR="00E8522B" w:rsidRPr="00EF1DAE" w:rsidRDefault="00E8522B" w:rsidP="00CA4D81">
      <w:pPr>
        <w:pStyle w:val="FootnoteText"/>
      </w:pPr>
      <w:r>
        <w:rPr>
          <w:rStyle w:val="FootnoteReference"/>
        </w:rPr>
        <w:footnoteRef/>
      </w:r>
      <w:r>
        <w:t xml:space="preserve"> Decisión de aprobación general y disposición contenida en el anexo IX del documento UNEP/</w:t>
      </w:r>
      <w:proofErr w:type="spellStart"/>
      <w:r>
        <w:t>OzL.Pro</w:t>
      </w:r>
      <w:proofErr w:type="spellEnd"/>
      <w:r>
        <w:t>/</w:t>
      </w:r>
      <w:proofErr w:type="spellStart"/>
      <w:r>
        <w:t>ExCom</w:t>
      </w:r>
      <w:proofErr w:type="spellEnd"/>
      <w:r>
        <w:t>/92/56.</w:t>
      </w:r>
    </w:p>
  </w:footnote>
  <w:footnote w:id="10">
    <w:p w14:paraId="50733080" w14:textId="77777777" w:rsidR="00E8522B" w:rsidRPr="00DC142F" w:rsidRDefault="00E8522B" w:rsidP="00483708">
      <w:pPr>
        <w:pStyle w:val="FootnoteText"/>
      </w:pPr>
      <w:r>
        <w:rPr>
          <w:rStyle w:val="FootnoteReference"/>
        </w:rPr>
        <w:footnoteRef/>
      </w:r>
      <w:r>
        <w:t xml:space="preserve"> En la 94ª reunión, el Comité Ejecutivo tomó nota de la presentación, que sería revisada por la Secretaría y presentada en la 95ª reunión (párrafo 61 del documento UNEP/</w:t>
      </w:r>
      <w:proofErr w:type="spellStart"/>
      <w:r>
        <w:t>OzL.Pro</w:t>
      </w:r>
      <w:proofErr w:type="spellEnd"/>
      <w:r>
        <w:t>/</w:t>
      </w:r>
      <w:proofErr w:type="spellStart"/>
      <w:r>
        <w:t>ExCom</w:t>
      </w:r>
      <w:proofErr w:type="spellEnd"/>
      <w:r>
        <w:t>/94/67).</w:t>
      </w:r>
    </w:p>
  </w:footnote>
  <w:footnote w:id="11">
    <w:p w14:paraId="6E1888D2" w14:textId="77777777" w:rsidR="00E8522B" w:rsidRPr="008D2C91" w:rsidRDefault="00E8522B" w:rsidP="00483708">
      <w:pPr>
        <w:pStyle w:val="FootnoteText"/>
      </w:pPr>
      <w:r>
        <w:rPr>
          <w:rStyle w:val="FootnoteReference"/>
        </w:rPr>
        <w:footnoteRef/>
      </w:r>
      <w:r>
        <w:t xml:space="preserve"> Como se refleja en el documento UNEP/</w:t>
      </w:r>
      <w:proofErr w:type="spellStart"/>
      <w:r>
        <w:t>OzL.Pro</w:t>
      </w:r>
      <w:proofErr w:type="spellEnd"/>
      <w:r>
        <w:t>/</w:t>
      </w:r>
      <w:proofErr w:type="spellStart"/>
      <w:r>
        <w:t>ExCom</w:t>
      </w:r>
      <w:proofErr w:type="spellEnd"/>
      <w:r>
        <w:t>/95/4.</w:t>
      </w:r>
    </w:p>
  </w:footnote>
  <w:footnote w:id="12">
    <w:p w14:paraId="4C2CF77D" w14:textId="77777777" w:rsidR="00E8522B" w:rsidRDefault="00E8522B" w:rsidP="001604E7">
      <w:pPr>
        <w:pStyle w:val="FootnoteText"/>
      </w:pPr>
      <w:r>
        <w:rPr>
          <w:rStyle w:val="FootnoteReference"/>
        </w:rPr>
        <w:footnoteRef/>
      </w:r>
      <w:r>
        <w:t xml:space="preserve"> Climatizadores monofásicos, de dos bloques y unitarios, tanto de velocidad fija como variable, hasta potencias nominales de 24.226 BTU/h (equivalentes a 7,1 kW).</w:t>
      </w:r>
    </w:p>
  </w:footnote>
  <w:footnote w:id="13">
    <w:p w14:paraId="741F612E" w14:textId="77777777" w:rsidR="00E8522B" w:rsidRDefault="00E8522B" w:rsidP="001604E7">
      <w:pPr>
        <w:pStyle w:val="FootnoteText"/>
      </w:pPr>
      <w:r>
        <w:rPr>
          <w:rStyle w:val="FootnoteReference"/>
        </w:rPr>
        <w:footnoteRef/>
      </w:r>
      <w:r>
        <w:t xml:space="preserve"> Las pruebas se realizan en un laboratorio acreditado por una autoridad reconocida que sea signataria de un Acuerdo de Reconocimiento Mutuo (ARM), como la Cooperación Internacional en Acreditación de Laboratorios (ILAC, por sus siglas en inglés) y Cooperación en Acreditación de Laboratorios de Asia y el Pacífico (APLAC, por sus siglas en inglés), de acuerdo con determinadas normas o protocolos para laboratorios de pruebas (según la norma ISO/IEC 17025).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A8AF0" w14:textId="07B589ED" w:rsidR="00E8522B" w:rsidRPr="0033525D" w:rsidRDefault="00E8522B">
    <w:r>
      <w:fldChar w:fldCharType="begin"/>
    </w:r>
    <w:r>
      <w:instrText xml:space="preserve"> DOCPROPERTY "Document number"  \* MERGEFORMAT </w:instrText>
    </w:r>
    <w:r>
      <w:fldChar w:fldCharType="separate"/>
    </w:r>
    <w:r w:rsidR="00786042">
      <w:t>UNEP/</w:t>
    </w:r>
    <w:proofErr w:type="spellStart"/>
    <w:r w:rsidR="00786042">
      <w:t>OzL.Pro</w:t>
    </w:r>
    <w:proofErr w:type="spellEnd"/>
    <w:r w:rsidR="00786042">
      <w:t>/</w:t>
    </w:r>
    <w:proofErr w:type="spellStart"/>
    <w:r w:rsidR="00786042">
      <w:t>ExCom</w:t>
    </w:r>
    <w:proofErr w:type="spellEnd"/>
    <w:r w:rsidR="00786042">
      <w:t>/95/20</w:t>
    </w:r>
    <w:r>
      <w:fldChar w:fldCharType="end"/>
    </w:r>
  </w:p>
  <w:p w14:paraId="6860EB02" w14:textId="77777777" w:rsidR="00E8522B" w:rsidRPr="0033525D" w:rsidRDefault="00E8522B"/>
  <w:p w14:paraId="6924930D" w14:textId="77777777" w:rsidR="00E8522B" w:rsidRPr="0033525D" w:rsidRDefault="00E8522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EED0A" w14:textId="6802187E" w:rsidR="00E8522B" w:rsidRPr="0033525D" w:rsidRDefault="00E8522B">
    <w:pPr>
      <w:jc w:val="right"/>
    </w:pPr>
    <w:r>
      <w:fldChar w:fldCharType="begin"/>
    </w:r>
    <w:r>
      <w:instrText xml:space="preserve"> DOCPROPERTY "Document number"  \* MERGEFORMAT </w:instrText>
    </w:r>
    <w:r>
      <w:fldChar w:fldCharType="separate"/>
    </w:r>
    <w:r w:rsidR="00786042">
      <w:t>UNEP/</w:t>
    </w:r>
    <w:proofErr w:type="spellStart"/>
    <w:r w:rsidR="00786042">
      <w:t>OzL.Pro</w:t>
    </w:r>
    <w:proofErr w:type="spellEnd"/>
    <w:r w:rsidR="00786042">
      <w:t>/</w:t>
    </w:r>
    <w:proofErr w:type="spellStart"/>
    <w:r w:rsidR="00786042">
      <w:t>ExCom</w:t>
    </w:r>
    <w:proofErr w:type="spellEnd"/>
    <w:r w:rsidR="00786042">
      <w:t>/95/20</w:t>
    </w:r>
    <w:r>
      <w:fldChar w:fldCharType="end"/>
    </w:r>
  </w:p>
  <w:p w14:paraId="206883EF" w14:textId="77777777" w:rsidR="00E8522B" w:rsidRPr="0033525D" w:rsidRDefault="00E8522B"/>
  <w:p w14:paraId="649A1F7E" w14:textId="77777777" w:rsidR="00E8522B" w:rsidRPr="0033525D" w:rsidRDefault="00E852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68212" w14:textId="6AF37FD9" w:rsidR="00E8522B" w:rsidRPr="0080530B" w:rsidRDefault="00E8522B" w:rsidP="00F02708">
    <w:pPr>
      <w:jc w:val="right"/>
      <w:rPr>
        <w:lang w:val="pt-BR"/>
      </w:rPr>
    </w:pPr>
    <w:r>
      <w:fldChar w:fldCharType="begin"/>
    </w:r>
    <w:r w:rsidRPr="0080530B">
      <w:rPr>
        <w:lang w:val="pt-BR"/>
      </w:rPr>
      <w:instrText xml:space="preserve"> DOCPROPERTY "Document number"  \* MERGEFORMAT </w:instrText>
    </w:r>
    <w:r>
      <w:fldChar w:fldCharType="separate"/>
    </w:r>
    <w:r w:rsidR="000B76E6">
      <w:rPr>
        <w:lang w:val="pt-BR"/>
      </w:rPr>
      <w:t>UNEP/OzL.Pro/ExCom/95/20</w:t>
    </w:r>
    <w:r>
      <w:fldChar w:fldCharType="end"/>
    </w:r>
  </w:p>
  <w:p w14:paraId="6A78DC08" w14:textId="0A6C2DB6" w:rsidR="00E8522B" w:rsidRPr="0080530B" w:rsidRDefault="00E8522B" w:rsidP="00F02708">
    <w:pPr>
      <w:jc w:val="right"/>
      <w:rPr>
        <w:lang w:val="pt-BR"/>
      </w:rPr>
    </w:pPr>
    <w:r w:rsidRPr="0080530B">
      <w:rPr>
        <w:lang w:val="pt-BR"/>
      </w:rPr>
      <w:t>Anexo II</w:t>
    </w:r>
  </w:p>
  <w:p w14:paraId="399E0389" w14:textId="77777777" w:rsidR="00E8522B" w:rsidRPr="0080530B" w:rsidRDefault="00E8522B" w:rsidP="00F02708">
    <w:pPr>
      <w:jc w:val="right"/>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E6E19" w14:textId="5B03380A" w:rsidR="00E8522B" w:rsidRPr="0080530B" w:rsidRDefault="00E8522B">
    <w:pPr>
      <w:jc w:val="right"/>
      <w:rPr>
        <w:lang w:val="pt-BR"/>
      </w:rPr>
    </w:pPr>
    <w:r>
      <w:fldChar w:fldCharType="begin"/>
    </w:r>
    <w:r w:rsidRPr="0080530B">
      <w:rPr>
        <w:lang w:val="pt-BR"/>
      </w:rPr>
      <w:instrText xml:space="preserve"> DOCPROPERTY "Document number"  \* MERGEFORMAT </w:instrText>
    </w:r>
    <w:r>
      <w:fldChar w:fldCharType="separate"/>
    </w:r>
    <w:r w:rsidR="000B76E6">
      <w:rPr>
        <w:lang w:val="pt-BR"/>
      </w:rPr>
      <w:t>UNEP/OzL.Pro/ExCom/95/20</w:t>
    </w:r>
    <w:r>
      <w:fldChar w:fldCharType="end"/>
    </w:r>
  </w:p>
  <w:p w14:paraId="34F26C9B" w14:textId="146035C3" w:rsidR="00E8522B" w:rsidRPr="0080530B" w:rsidRDefault="00E8522B" w:rsidP="00F02708">
    <w:pPr>
      <w:jc w:val="right"/>
      <w:rPr>
        <w:lang w:val="pt-BR"/>
      </w:rPr>
    </w:pPr>
    <w:r w:rsidRPr="0080530B">
      <w:rPr>
        <w:lang w:val="pt-BR"/>
      </w:rPr>
      <w:t>Anexo I</w:t>
    </w:r>
  </w:p>
  <w:p w14:paraId="533D40A3" w14:textId="77777777" w:rsidR="00E8522B" w:rsidRPr="0080530B" w:rsidRDefault="00E8522B" w:rsidP="00F02708">
    <w:pPr>
      <w:pStyle w:val="Header"/>
      <w:jc w:val="right"/>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4445A3" w14:textId="77777777" w:rsidR="000B76E6" w:rsidRPr="0080530B" w:rsidRDefault="000B76E6" w:rsidP="00F02708">
    <w:pPr>
      <w:jc w:val="right"/>
      <w:rPr>
        <w:lang w:val="pt-BR"/>
      </w:rPr>
    </w:pPr>
    <w:r>
      <w:fldChar w:fldCharType="begin"/>
    </w:r>
    <w:r w:rsidRPr="0080530B">
      <w:rPr>
        <w:lang w:val="pt-BR"/>
      </w:rPr>
      <w:instrText xml:space="preserve"> DOCPROPERTY "Document number"  \* MERGEFORMAT </w:instrText>
    </w:r>
    <w:r>
      <w:fldChar w:fldCharType="separate"/>
    </w:r>
    <w:r>
      <w:rPr>
        <w:lang w:val="pt-BR"/>
      </w:rPr>
      <w:t>UNEP/OzL.Pro/ExCom/95/20</w:t>
    </w:r>
    <w:r>
      <w:fldChar w:fldCharType="end"/>
    </w:r>
  </w:p>
  <w:p w14:paraId="5F30307D" w14:textId="77777777" w:rsidR="000B76E6" w:rsidRPr="0080530B" w:rsidRDefault="000B76E6" w:rsidP="00F02708">
    <w:pPr>
      <w:jc w:val="right"/>
      <w:rPr>
        <w:lang w:val="pt-BR"/>
      </w:rPr>
    </w:pPr>
    <w:r w:rsidRPr="0080530B">
      <w:rPr>
        <w:lang w:val="pt-BR"/>
      </w:rPr>
      <w:t>Anexo II</w:t>
    </w:r>
  </w:p>
  <w:p w14:paraId="56C1270A" w14:textId="77777777" w:rsidR="000B76E6" w:rsidRPr="0080530B" w:rsidRDefault="000B76E6" w:rsidP="00F02708">
    <w:pPr>
      <w:jc w:val="right"/>
      <w:rPr>
        <w:lang w:val="pt-B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874D1B" w14:textId="77777777" w:rsidR="00BC25CF" w:rsidRPr="0080530B" w:rsidRDefault="00BC25CF">
    <w:pPr>
      <w:jc w:val="right"/>
      <w:rPr>
        <w:lang w:val="pt-BR"/>
      </w:rPr>
    </w:pPr>
    <w:r>
      <w:fldChar w:fldCharType="begin"/>
    </w:r>
    <w:r w:rsidRPr="0080530B">
      <w:rPr>
        <w:lang w:val="pt-BR"/>
      </w:rPr>
      <w:instrText xml:space="preserve"> DOCPROPERTY "Document number"  \* MERGEFORMAT </w:instrText>
    </w:r>
    <w:r>
      <w:fldChar w:fldCharType="separate"/>
    </w:r>
    <w:r>
      <w:rPr>
        <w:lang w:val="pt-BR"/>
      </w:rPr>
      <w:t>UNEP/OzL.Pro/ExCom/95/20</w:t>
    </w:r>
    <w:r>
      <w:fldChar w:fldCharType="end"/>
    </w:r>
  </w:p>
  <w:p w14:paraId="3AA5C6F9" w14:textId="77777777" w:rsidR="00BC25CF" w:rsidRPr="0080530B" w:rsidRDefault="00BC25CF" w:rsidP="00F02708">
    <w:pPr>
      <w:jc w:val="right"/>
      <w:rPr>
        <w:lang w:val="pt-BR"/>
      </w:rPr>
    </w:pPr>
    <w:r w:rsidRPr="0080530B">
      <w:rPr>
        <w:lang w:val="pt-BR"/>
      </w:rPr>
      <w:t>Anexo I</w:t>
    </w:r>
    <w:r>
      <w:rPr>
        <w:lang w:val="pt-BR"/>
      </w:rPr>
      <w:t>I</w:t>
    </w:r>
  </w:p>
  <w:p w14:paraId="04CF00D9" w14:textId="77777777" w:rsidR="00BC25CF" w:rsidRPr="0080530B" w:rsidRDefault="00BC25CF" w:rsidP="00F02708">
    <w:pPr>
      <w:pStyle w:val="Header"/>
      <w:jc w:val="right"/>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72EEA" w14:textId="77777777" w:rsidR="00E8522B" w:rsidRDefault="00E852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81CFDF4"/>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 %3)"/>
      <w:lvlJc w:val="righ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0EB27533"/>
    <w:multiLevelType w:val="multilevel"/>
    <w:tmpl w:val="D660D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4220362"/>
    <w:multiLevelType w:val="hybridMultilevel"/>
    <w:tmpl w:val="52D0859E"/>
    <w:lvl w:ilvl="0" w:tplc="70E22596">
      <w:start w:val="1"/>
      <w:numFmt w:val="upperLetter"/>
      <w:pStyle w:val="Style4"/>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2B105298"/>
    <w:multiLevelType w:val="multilevel"/>
    <w:tmpl w:val="96C219F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C83503C"/>
    <w:multiLevelType w:val="multilevel"/>
    <w:tmpl w:val="A058D91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6" w15:restartNumberingAfterBreak="0">
    <w:nsid w:val="2DD03945"/>
    <w:multiLevelType w:val="hybridMultilevel"/>
    <w:tmpl w:val="AAB2ED4E"/>
    <w:lvl w:ilvl="0" w:tplc="BA5E3D8C">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D6C265C"/>
    <w:multiLevelType w:val="multilevel"/>
    <w:tmpl w:val="C5DC3F0E"/>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45064D07"/>
    <w:multiLevelType w:val="multilevel"/>
    <w:tmpl w:val="B64C11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D011EC"/>
    <w:multiLevelType w:val="multilevel"/>
    <w:tmpl w:val="E2208650"/>
    <w:lvl w:ilvl="0">
      <w:start w:val="40"/>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4D446E72"/>
    <w:multiLevelType w:val="multilevel"/>
    <w:tmpl w:val="6F962EC2"/>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F7E523F"/>
    <w:multiLevelType w:val="multilevel"/>
    <w:tmpl w:val="4D8C77B6"/>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 %3)"/>
      <w:lvlJc w:val="righ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6AD95806"/>
    <w:multiLevelType w:val="multilevel"/>
    <w:tmpl w:val="4FC24F80"/>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6" w15:restartNumberingAfterBreak="0">
    <w:nsid w:val="6D9B2BE3"/>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72737E13"/>
    <w:multiLevelType w:val="multilevel"/>
    <w:tmpl w:val="F9BC4852"/>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 w15:restartNumberingAfterBreak="0">
    <w:nsid w:val="77F720BC"/>
    <w:multiLevelType w:val="multilevel"/>
    <w:tmpl w:val="F37EBCF0"/>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08527985">
    <w:abstractNumId w:val="10"/>
  </w:num>
  <w:num w:numId="2" w16cid:durableId="24643976">
    <w:abstractNumId w:val="10"/>
  </w:num>
  <w:num w:numId="3" w16cid:durableId="2100444695">
    <w:abstractNumId w:val="10"/>
  </w:num>
  <w:num w:numId="4" w16cid:durableId="1681539313">
    <w:abstractNumId w:val="10"/>
  </w:num>
  <w:num w:numId="5" w16cid:durableId="1183469927">
    <w:abstractNumId w:val="10"/>
  </w:num>
  <w:num w:numId="6" w16cid:durableId="302202596">
    <w:abstractNumId w:val="9"/>
  </w:num>
  <w:num w:numId="7" w16cid:durableId="733968506">
    <w:abstractNumId w:val="7"/>
  </w:num>
  <w:num w:numId="8" w16cid:durableId="524826090">
    <w:abstractNumId w:val="6"/>
  </w:num>
  <w:num w:numId="9" w16cid:durableId="281960435">
    <w:abstractNumId w:val="5"/>
  </w:num>
  <w:num w:numId="10" w16cid:durableId="1111129196">
    <w:abstractNumId w:val="4"/>
  </w:num>
  <w:num w:numId="11" w16cid:durableId="116728186">
    <w:abstractNumId w:val="8"/>
  </w:num>
  <w:num w:numId="12" w16cid:durableId="1915359860">
    <w:abstractNumId w:val="3"/>
  </w:num>
  <w:num w:numId="13" w16cid:durableId="1182552767">
    <w:abstractNumId w:val="2"/>
  </w:num>
  <w:num w:numId="14" w16cid:durableId="1394501251">
    <w:abstractNumId w:val="1"/>
  </w:num>
  <w:num w:numId="15" w16cid:durableId="1099184278">
    <w:abstractNumId w:val="0"/>
  </w:num>
  <w:num w:numId="16" w16cid:durableId="353043910">
    <w:abstractNumId w:val="14"/>
  </w:num>
  <w:num w:numId="17" w16cid:durableId="397286919">
    <w:abstractNumId w:val="22"/>
  </w:num>
  <w:num w:numId="18" w16cid:durableId="130438584">
    <w:abstractNumId w:val="24"/>
  </w:num>
  <w:num w:numId="19" w16cid:durableId="1900049557">
    <w:abstractNumId w:val="29"/>
  </w:num>
  <w:num w:numId="20" w16cid:durableId="1047143504">
    <w:abstractNumId w:val="17"/>
  </w:num>
  <w:num w:numId="21" w16cid:durableId="1246722068">
    <w:abstractNumId w:val="11"/>
  </w:num>
  <w:num w:numId="22" w16cid:durableId="1248610983">
    <w:abstractNumId w:val="15"/>
  </w:num>
  <w:num w:numId="23" w16cid:durableId="1918975111">
    <w:abstractNumId w:val="18"/>
  </w:num>
  <w:num w:numId="24" w16cid:durableId="2102143463">
    <w:abstractNumId w:val="25"/>
  </w:num>
  <w:num w:numId="25" w16cid:durableId="945961025">
    <w:abstractNumId w:val="28"/>
  </w:num>
  <w:num w:numId="26" w16cid:durableId="371542611">
    <w:abstractNumId w:val="27"/>
  </w:num>
  <w:num w:numId="27" w16cid:durableId="1494102930">
    <w:abstractNumId w:val="13"/>
  </w:num>
  <w:num w:numId="28" w16cid:durableId="1855537826">
    <w:abstractNumId w:val="19"/>
  </w:num>
  <w:num w:numId="29" w16cid:durableId="1366642366">
    <w:abstractNumId w:val="16"/>
  </w:num>
  <w:num w:numId="30" w16cid:durableId="647898137">
    <w:abstractNumId w:val="12"/>
  </w:num>
  <w:num w:numId="31" w16cid:durableId="236983809">
    <w:abstractNumId w:val="23"/>
  </w:num>
  <w:num w:numId="32" w16cid:durableId="21367912">
    <w:abstractNumId w:val="26"/>
  </w:num>
  <w:num w:numId="33" w16cid:durableId="993217292">
    <w:abstractNumId w:val="20"/>
  </w:num>
  <w:num w:numId="34" w16cid:durableId="2108840054">
    <w:abstractNumId w:val="23"/>
  </w:num>
  <w:num w:numId="35" w16cid:durableId="1397127501">
    <w:abstractNumId w:val="10"/>
  </w:num>
  <w:num w:numId="36" w16cid:durableId="1908300593">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23006318">
    <w:abstractNumId w:val="1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67655232">
    <w:abstractNumId w:val="2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29227042">
    <w:abstractNumId w:val="23"/>
  </w:num>
  <w:num w:numId="40" w16cid:durableId="1258556030">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47475287">
    <w:abstractNumId w:val="2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19312394">
    <w:abstractNumId w:val="23"/>
  </w:num>
  <w:num w:numId="43" w16cid:durableId="2035039054">
    <w:abstractNumId w:val="23"/>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4466719">
    <w:abstractNumId w:val="21"/>
  </w:num>
  <w:num w:numId="45" w16cid:durableId="1102460686">
    <w:abstractNumId w:val="2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07E"/>
    <w:rsid w:val="00000FED"/>
    <w:rsid w:val="00003465"/>
    <w:rsid w:val="0000434E"/>
    <w:rsid w:val="000051F7"/>
    <w:rsid w:val="00012A75"/>
    <w:rsid w:val="000211A9"/>
    <w:rsid w:val="00021238"/>
    <w:rsid w:val="00022071"/>
    <w:rsid w:val="00031260"/>
    <w:rsid w:val="0003681A"/>
    <w:rsid w:val="000372B7"/>
    <w:rsid w:val="00050F6E"/>
    <w:rsid w:val="00060084"/>
    <w:rsid w:val="00061EC2"/>
    <w:rsid w:val="00064BA1"/>
    <w:rsid w:val="00066CE8"/>
    <w:rsid w:val="0007145D"/>
    <w:rsid w:val="00075F0D"/>
    <w:rsid w:val="00077FD6"/>
    <w:rsid w:val="00080ED0"/>
    <w:rsid w:val="00085B8F"/>
    <w:rsid w:val="00090481"/>
    <w:rsid w:val="000913AA"/>
    <w:rsid w:val="000A3826"/>
    <w:rsid w:val="000A6C26"/>
    <w:rsid w:val="000B36C8"/>
    <w:rsid w:val="000B4FC7"/>
    <w:rsid w:val="000B76E6"/>
    <w:rsid w:val="000D2496"/>
    <w:rsid w:val="000D3197"/>
    <w:rsid w:val="000D4422"/>
    <w:rsid w:val="000D52A4"/>
    <w:rsid w:val="000E07BC"/>
    <w:rsid w:val="000E14BF"/>
    <w:rsid w:val="000E2E21"/>
    <w:rsid w:val="000F1CD4"/>
    <w:rsid w:val="000F4103"/>
    <w:rsid w:val="000F70A7"/>
    <w:rsid w:val="00104B1D"/>
    <w:rsid w:val="00113CCA"/>
    <w:rsid w:val="00122F25"/>
    <w:rsid w:val="0012394C"/>
    <w:rsid w:val="00124BF7"/>
    <w:rsid w:val="00135980"/>
    <w:rsid w:val="00136F54"/>
    <w:rsid w:val="001375E2"/>
    <w:rsid w:val="0013786F"/>
    <w:rsid w:val="001445DC"/>
    <w:rsid w:val="00144BF7"/>
    <w:rsid w:val="001563A5"/>
    <w:rsid w:val="001604E7"/>
    <w:rsid w:val="00164719"/>
    <w:rsid w:val="00165387"/>
    <w:rsid w:val="00166FC4"/>
    <w:rsid w:val="001677AC"/>
    <w:rsid w:val="001804EA"/>
    <w:rsid w:val="001830EB"/>
    <w:rsid w:val="00190A61"/>
    <w:rsid w:val="00191C31"/>
    <w:rsid w:val="00195CF0"/>
    <w:rsid w:val="00197179"/>
    <w:rsid w:val="001A2215"/>
    <w:rsid w:val="001A2301"/>
    <w:rsid w:val="001A2F97"/>
    <w:rsid w:val="001A3342"/>
    <w:rsid w:val="001A3E3D"/>
    <w:rsid w:val="001A7049"/>
    <w:rsid w:val="001B1E40"/>
    <w:rsid w:val="001C764E"/>
    <w:rsid w:val="001D35A9"/>
    <w:rsid w:val="001D363D"/>
    <w:rsid w:val="001D4E83"/>
    <w:rsid w:val="001E1052"/>
    <w:rsid w:val="001E21B1"/>
    <w:rsid w:val="001E276A"/>
    <w:rsid w:val="001E2F93"/>
    <w:rsid w:val="001E4554"/>
    <w:rsid w:val="001E5321"/>
    <w:rsid w:val="001E61E5"/>
    <w:rsid w:val="001E754E"/>
    <w:rsid w:val="001F1E1D"/>
    <w:rsid w:val="001F2159"/>
    <w:rsid w:val="001F42C2"/>
    <w:rsid w:val="001F53FD"/>
    <w:rsid w:val="001F64A7"/>
    <w:rsid w:val="00210B8B"/>
    <w:rsid w:val="0021283B"/>
    <w:rsid w:val="00214863"/>
    <w:rsid w:val="002156B4"/>
    <w:rsid w:val="00217D4B"/>
    <w:rsid w:val="00222D9A"/>
    <w:rsid w:val="00224FCD"/>
    <w:rsid w:val="00226E41"/>
    <w:rsid w:val="002347CB"/>
    <w:rsid w:val="00246A17"/>
    <w:rsid w:val="00253222"/>
    <w:rsid w:val="002542A7"/>
    <w:rsid w:val="00261C13"/>
    <w:rsid w:val="00262847"/>
    <w:rsid w:val="0026462D"/>
    <w:rsid w:val="0027109A"/>
    <w:rsid w:val="002767B2"/>
    <w:rsid w:val="0028015E"/>
    <w:rsid w:val="00280816"/>
    <w:rsid w:val="00281BB2"/>
    <w:rsid w:val="00290BEB"/>
    <w:rsid w:val="002A03C3"/>
    <w:rsid w:val="002B254E"/>
    <w:rsid w:val="002B4CE8"/>
    <w:rsid w:val="002B72E9"/>
    <w:rsid w:val="002C2749"/>
    <w:rsid w:val="002C7998"/>
    <w:rsid w:val="002D6935"/>
    <w:rsid w:val="002F1B43"/>
    <w:rsid w:val="002F1E53"/>
    <w:rsid w:val="002F2B23"/>
    <w:rsid w:val="002F2CAA"/>
    <w:rsid w:val="002F353C"/>
    <w:rsid w:val="0030052C"/>
    <w:rsid w:val="00303DE8"/>
    <w:rsid w:val="00316FE0"/>
    <w:rsid w:val="00323DDB"/>
    <w:rsid w:val="00326EDC"/>
    <w:rsid w:val="00327028"/>
    <w:rsid w:val="003306E1"/>
    <w:rsid w:val="00330CDE"/>
    <w:rsid w:val="003320E4"/>
    <w:rsid w:val="00332AF0"/>
    <w:rsid w:val="0033525D"/>
    <w:rsid w:val="00335282"/>
    <w:rsid w:val="00337497"/>
    <w:rsid w:val="003414F3"/>
    <w:rsid w:val="003479EB"/>
    <w:rsid w:val="003548CB"/>
    <w:rsid w:val="0035613E"/>
    <w:rsid w:val="00360BB9"/>
    <w:rsid w:val="00363EE9"/>
    <w:rsid w:val="00376128"/>
    <w:rsid w:val="0037742E"/>
    <w:rsid w:val="0037757A"/>
    <w:rsid w:val="00377D56"/>
    <w:rsid w:val="0038245A"/>
    <w:rsid w:val="003840E6"/>
    <w:rsid w:val="00385CFC"/>
    <w:rsid w:val="0039337A"/>
    <w:rsid w:val="00393478"/>
    <w:rsid w:val="0039764E"/>
    <w:rsid w:val="003A3189"/>
    <w:rsid w:val="003A3CA7"/>
    <w:rsid w:val="003B33BD"/>
    <w:rsid w:val="003B4CE8"/>
    <w:rsid w:val="003B569D"/>
    <w:rsid w:val="003C1788"/>
    <w:rsid w:val="003C3C0E"/>
    <w:rsid w:val="003D42A6"/>
    <w:rsid w:val="003D4F21"/>
    <w:rsid w:val="003D4FAC"/>
    <w:rsid w:val="003E1885"/>
    <w:rsid w:val="003E70FB"/>
    <w:rsid w:val="003E7906"/>
    <w:rsid w:val="003F000F"/>
    <w:rsid w:val="003F3C50"/>
    <w:rsid w:val="00400A46"/>
    <w:rsid w:val="00401D5B"/>
    <w:rsid w:val="00403295"/>
    <w:rsid w:val="00406202"/>
    <w:rsid w:val="00406A6A"/>
    <w:rsid w:val="00406B22"/>
    <w:rsid w:val="00407147"/>
    <w:rsid w:val="004078FA"/>
    <w:rsid w:val="00431E08"/>
    <w:rsid w:val="004328A7"/>
    <w:rsid w:val="00434C74"/>
    <w:rsid w:val="00444100"/>
    <w:rsid w:val="004477C0"/>
    <w:rsid w:val="004504A9"/>
    <w:rsid w:val="004564A4"/>
    <w:rsid w:val="00456EB4"/>
    <w:rsid w:val="00457827"/>
    <w:rsid w:val="004718F3"/>
    <w:rsid w:val="00474DBD"/>
    <w:rsid w:val="00475040"/>
    <w:rsid w:val="00481C71"/>
    <w:rsid w:val="004834E1"/>
    <w:rsid w:val="00483708"/>
    <w:rsid w:val="004845DE"/>
    <w:rsid w:val="00490C06"/>
    <w:rsid w:val="00493D40"/>
    <w:rsid w:val="00493EE3"/>
    <w:rsid w:val="004967B6"/>
    <w:rsid w:val="004A265E"/>
    <w:rsid w:val="004A504B"/>
    <w:rsid w:val="004A6911"/>
    <w:rsid w:val="004B3652"/>
    <w:rsid w:val="004B54E0"/>
    <w:rsid w:val="004B7384"/>
    <w:rsid w:val="004C3364"/>
    <w:rsid w:val="004C4269"/>
    <w:rsid w:val="004D6033"/>
    <w:rsid w:val="004D6236"/>
    <w:rsid w:val="004D7F90"/>
    <w:rsid w:val="004E4C5B"/>
    <w:rsid w:val="004E4DBB"/>
    <w:rsid w:val="004E4E41"/>
    <w:rsid w:val="004E6922"/>
    <w:rsid w:val="004E73DB"/>
    <w:rsid w:val="004E7F9C"/>
    <w:rsid w:val="004F3493"/>
    <w:rsid w:val="004F485A"/>
    <w:rsid w:val="004F4C1A"/>
    <w:rsid w:val="004F5143"/>
    <w:rsid w:val="005051F0"/>
    <w:rsid w:val="00512B09"/>
    <w:rsid w:val="005220ED"/>
    <w:rsid w:val="00527619"/>
    <w:rsid w:val="00532B8A"/>
    <w:rsid w:val="00533796"/>
    <w:rsid w:val="00537343"/>
    <w:rsid w:val="005427BE"/>
    <w:rsid w:val="0054735D"/>
    <w:rsid w:val="00547DBB"/>
    <w:rsid w:val="005505B6"/>
    <w:rsid w:val="005516F3"/>
    <w:rsid w:val="00555D75"/>
    <w:rsid w:val="00560D2A"/>
    <w:rsid w:val="00560DF0"/>
    <w:rsid w:val="0056759C"/>
    <w:rsid w:val="00572365"/>
    <w:rsid w:val="005775C2"/>
    <w:rsid w:val="0059513E"/>
    <w:rsid w:val="005A44B5"/>
    <w:rsid w:val="005A6A82"/>
    <w:rsid w:val="005A6AA4"/>
    <w:rsid w:val="005A6D9F"/>
    <w:rsid w:val="005B48FF"/>
    <w:rsid w:val="005C1E32"/>
    <w:rsid w:val="005C670D"/>
    <w:rsid w:val="005D363F"/>
    <w:rsid w:val="005E2C67"/>
    <w:rsid w:val="005F22A2"/>
    <w:rsid w:val="005F62F7"/>
    <w:rsid w:val="005F7F55"/>
    <w:rsid w:val="00604C15"/>
    <w:rsid w:val="00610E6C"/>
    <w:rsid w:val="006158D5"/>
    <w:rsid w:val="006227A4"/>
    <w:rsid w:val="006235F7"/>
    <w:rsid w:val="00625D83"/>
    <w:rsid w:val="0063131D"/>
    <w:rsid w:val="00631A53"/>
    <w:rsid w:val="00634A63"/>
    <w:rsid w:val="00651984"/>
    <w:rsid w:val="00652CC6"/>
    <w:rsid w:val="00653AF4"/>
    <w:rsid w:val="006621AB"/>
    <w:rsid w:val="006623E7"/>
    <w:rsid w:val="00662B80"/>
    <w:rsid w:val="0066768F"/>
    <w:rsid w:val="006709E3"/>
    <w:rsid w:val="00670F6C"/>
    <w:rsid w:val="0067205E"/>
    <w:rsid w:val="00676E58"/>
    <w:rsid w:val="006852C7"/>
    <w:rsid w:val="006852CE"/>
    <w:rsid w:val="00692D14"/>
    <w:rsid w:val="006958CE"/>
    <w:rsid w:val="006A2A9E"/>
    <w:rsid w:val="006A7A3B"/>
    <w:rsid w:val="006B65C7"/>
    <w:rsid w:val="006C1727"/>
    <w:rsid w:val="006C32FD"/>
    <w:rsid w:val="006C39CE"/>
    <w:rsid w:val="006C61E1"/>
    <w:rsid w:val="006D0FCC"/>
    <w:rsid w:val="006D21F5"/>
    <w:rsid w:val="006D3089"/>
    <w:rsid w:val="006D7C1B"/>
    <w:rsid w:val="006E126D"/>
    <w:rsid w:val="006E1FC3"/>
    <w:rsid w:val="006F03D0"/>
    <w:rsid w:val="006F2381"/>
    <w:rsid w:val="00704CE9"/>
    <w:rsid w:val="0070616B"/>
    <w:rsid w:val="00706295"/>
    <w:rsid w:val="00706FDA"/>
    <w:rsid w:val="00711F9A"/>
    <w:rsid w:val="00713810"/>
    <w:rsid w:val="0072218E"/>
    <w:rsid w:val="007303A5"/>
    <w:rsid w:val="00730B3E"/>
    <w:rsid w:val="00733751"/>
    <w:rsid w:val="0073420B"/>
    <w:rsid w:val="00736367"/>
    <w:rsid w:val="0074760E"/>
    <w:rsid w:val="007546E4"/>
    <w:rsid w:val="007548C4"/>
    <w:rsid w:val="00754ABA"/>
    <w:rsid w:val="00755500"/>
    <w:rsid w:val="00755715"/>
    <w:rsid w:val="00757E2E"/>
    <w:rsid w:val="00780779"/>
    <w:rsid w:val="00782B0D"/>
    <w:rsid w:val="00786042"/>
    <w:rsid w:val="00792803"/>
    <w:rsid w:val="0079781A"/>
    <w:rsid w:val="007A1546"/>
    <w:rsid w:val="007A228C"/>
    <w:rsid w:val="007A368E"/>
    <w:rsid w:val="007A3BC3"/>
    <w:rsid w:val="007A5868"/>
    <w:rsid w:val="007A73A6"/>
    <w:rsid w:val="007B04CE"/>
    <w:rsid w:val="007B2497"/>
    <w:rsid w:val="007B6871"/>
    <w:rsid w:val="007B7A2F"/>
    <w:rsid w:val="007C18FF"/>
    <w:rsid w:val="007C2B69"/>
    <w:rsid w:val="007C32EE"/>
    <w:rsid w:val="007C3D33"/>
    <w:rsid w:val="007D1B9F"/>
    <w:rsid w:val="007D294A"/>
    <w:rsid w:val="007D47D2"/>
    <w:rsid w:val="007D6EC0"/>
    <w:rsid w:val="007D7E1D"/>
    <w:rsid w:val="007E0144"/>
    <w:rsid w:val="007E503C"/>
    <w:rsid w:val="007E640E"/>
    <w:rsid w:val="008029C8"/>
    <w:rsid w:val="0080345C"/>
    <w:rsid w:val="008034BF"/>
    <w:rsid w:val="008044E1"/>
    <w:rsid w:val="0080530B"/>
    <w:rsid w:val="008078B4"/>
    <w:rsid w:val="008158C3"/>
    <w:rsid w:val="0082522F"/>
    <w:rsid w:val="00831979"/>
    <w:rsid w:val="008338AA"/>
    <w:rsid w:val="00851352"/>
    <w:rsid w:val="00856260"/>
    <w:rsid w:val="00857077"/>
    <w:rsid w:val="00863230"/>
    <w:rsid w:val="00865BD0"/>
    <w:rsid w:val="008717D8"/>
    <w:rsid w:val="0087215C"/>
    <w:rsid w:val="00875D25"/>
    <w:rsid w:val="00880E35"/>
    <w:rsid w:val="008875FE"/>
    <w:rsid w:val="00887AA5"/>
    <w:rsid w:val="00887F8E"/>
    <w:rsid w:val="00891C0E"/>
    <w:rsid w:val="00896234"/>
    <w:rsid w:val="00897E43"/>
    <w:rsid w:val="008A28B4"/>
    <w:rsid w:val="008B1065"/>
    <w:rsid w:val="008C222B"/>
    <w:rsid w:val="008C5738"/>
    <w:rsid w:val="008C73A0"/>
    <w:rsid w:val="008C7EAD"/>
    <w:rsid w:val="008D0CFE"/>
    <w:rsid w:val="008D6152"/>
    <w:rsid w:val="008D7076"/>
    <w:rsid w:val="008E6C42"/>
    <w:rsid w:val="008E7BA9"/>
    <w:rsid w:val="008F0F81"/>
    <w:rsid w:val="008F27BF"/>
    <w:rsid w:val="008F2E64"/>
    <w:rsid w:val="008F4CF8"/>
    <w:rsid w:val="008F712C"/>
    <w:rsid w:val="00901456"/>
    <w:rsid w:val="009060C9"/>
    <w:rsid w:val="009122FC"/>
    <w:rsid w:val="009142EC"/>
    <w:rsid w:val="009145E4"/>
    <w:rsid w:val="009154C3"/>
    <w:rsid w:val="00923540"/>
    <w:rsid w:val="009239F8"/>
    <w:rsid w:val="00926767"/>
    <w:rsid w:val="009361D5"/>
    <w:rsid w:val="00941B79"/>
    <w:rsid w:val="009428A4"/>
    <w:rsid w:val="00943F87"/>
    <w:rsid w:val="00960D12"/>
    <w:rsid w:val="009659F4"/>
    <w:rsid w:val="00970D60"/>
    <w:rsid w:val="00980E4B"/>
    <w:rsid w:val="00984275"/>
    <w:rsid w:val="009874D0"/>
    <w:rsid w:val="0099390E"/>
    <w:rsid w:val="009953B5"/>
    <w:rsid w:val="00995ADF"/>
    <w:rsid w:val="009960E5"/>
    <w:rsid w:val="00996AE8"/>
    <w:rsid w:val="009A0B3B"/>
    <w:rsid w:val="009A7ADC"/>
    <w:rsid w:val="009A7E60"/>
    <w:rsid w:val="009B0D30"/>
    <w:rsid w:val="009C19B7"/>
    <w:rsid w:val="009C5ABB"/>
    <w:rsid w:val="009D5F59"/>
    <w:rsid w:val="009D7C51"/>
    <w:rsid w:val="009E196C"/>
    <w:rsid w:val="009E6A0A"/>
    <w:rsid w:val="009F36BF"/>
    <w:rsid w:val="009F76A3"/>
    <w:rsid w:val="009F7A85"/>
    <w:rsid w:val="00A111B6"/>
    <w:rsid w:val="00A14C3A"/>
    <w:rsid w:val="00A14F41"/>
    <w:rsid w:val="00A23764"/>
    <w:rsid w:val="00A26D27"/>
    <w:rsid w:val="00A30F47"/>
    <w:rsid w:val="00A376EE"/>
    <w:rsid w:val="00A42A99"/>
    <w:rsid w:val="00A43AA6"/>
    <w:rsid w:val="00A5151A"/>
    <w:rsid w:val="00A5180D"/>
    <w:rsid w:val="00A530B0"/>
    <w:rsid w:val="00A53E24"/>
    <w:rsid w:val="00A55ABD"/>
    <w:rsid w:val="00A57943"/>
    <w:rsid w:val="00A57E0A"/>
    <w:rsid w:val="00A66E3B"/>
    <w:rsid w:val="00A7036F"/>
    <w:rsid w:val="00A77919"/>
    <w:rsid w:val="00A823F6"/>
    <w:rsid w:val="00A855AA"/>
    <w:rsid w:val="00A8719E"/>
    <w:rsid w:val="00A979A7"/>
    <w:rsid w:val="00AA0455"/>
    <w:rsid w:val="00AA0A89"/>
    <w:rsid w:val="00AA5368"/>
    <w:rsid w:val="00AA6429"/>
    <w:rsid w:val="00AB5229"/>
    <w:rsid w:val="00AB5296"/>
    <w:rsid w:val="00AC01AA"/>
    <w:rsid w:val="00AC3EE9"/>
    <w:rsid w:val="00AC4F72"/>
    <w:rsid w:val="00AC5041"/>
    <w:rsid w:val="00AC5601"/>
    <w:rsid w:val="00AE09BC"/>
    <w:rsid w:val="00AE482E"/>
    <w:rsid w:val="00AF1B39"/>
    <w:rsid w:val="00AF741A"/>
    <w:rsid w:val="00B00788"/>
    <w:rsid w:val="00B01ADB"/>
    <w:rsid w:val="00B04161"/>
    <w:rsid w:val="00B056F9"/>
    <w:rsid w:val="00B117F5"/>
    <w:rsid w:val="00B11E3D"/>
    <w:rsid w:val="00B14211"/>
    <w:rsid w:val="00B14D2C"/>
    <w:rsid w:val="00B17E82"/>
    <w:rsid w:val="00B20214"/>
    <w:rsid w:val="00B25547"/>
    <w:rsid w:val="00B32392"/>
    <w:rsid w:val="00B44427"/>
    <w:rsid w:val="00B4575A"/>
    <w:rsid w:val="00B46A93"/>
    <w:rsid w:val="00B51312"/>
    <w:rsid w:val="00B51D38"/>
    <w:rsid w:val="00B575BA"/>
    <w:rsid w:val="00B61A68"/>
    <w:rsid w:val="00B62DF1"/>
    <w:rsid w:val="00B71608"/>
    <w:rsid w:val="00B75F88"/>
    <w:rsid w:val="00B76429"/>
    <w:rsid w:val="00B86471"/>
    <w:rsid w:val="00B956D4"/>
    <w:rsid w:val="00B96631"/>
    <w:rsid w:val="00B97446"/>
    <w:rsid w:val="00BA354C"/>
    <w:rsid w:val="00BA7432"/>
    <w:rsid w:val="00BB2764"/>
    <w:rsid w:val="00BB318F"/>
    <w:rsid w:val="00BC1AA0"/>
    <w:rsid w:val="00BC2495"/>
    <w:rsid w:val="00BC25CF"/>
    <w:rsid w:val="00BC28CC"/>
    <w:rsid w:val="00BC2F55"/>
    <w:rsid w:val="00BC314A"/>
    <w:rsid w:val="00BC52DA"/>
    <w:rsid w:val="00BC7EB9"/>
    <w:rsid w:val="00BD2643"/>
    <w:rsid w:val="00BD56B1"/>
    <w:rsid w:val="00BD6558"/>
    <w:rsid w:val="00BE5726"/>
    <w:rsid w:val="00BF2AD7"/>
    <w:rsid w:val="00BF2D04"/>
    <w:rsid w:val="00BF2F76"/>
    <w:rsid w:val="00BF3022"/>
    <w:rsid w:val="00BF3214"/>
    <w:rsid w:val="00BF5573"/>
    <w:rsid w:val="00BF63B9"/>
    <w:rsid w:val="00C15867"/>
    <w:rsid w:val="00C22398"/>
    <w:rsid w:val="00C2296D"/>
    <w:rsid w:val="00C23155"/>
    <w:rsid w:val="00C257C4"/>
    <w:rsid w:val="00C272D6"/>
    <w:rsid w:val="00C40C41"/>
    <w:rsid w:val="00C415BB"/>
    <w:rsid w:val="00C45885"/>
    <w:rsid w:val="00C50F22"/>
    <w:rsid w:val="00C528A2"/>
    <w:rsid w:val="00C57971"/>
    <w:rsid w:val="00C5799C"/>
    <w:rsid w:val="00C60C33"/>
    <w:rsid w:val="00C615BD"/>
    <w:rsid w:val="00C6485E"/>
    <w:rsid w:val="00C65BD7"/>
    <w:rsid w:val="00C708D5"/>
    <w:rsid w:val="00C75679"/>
    <w:rsid w:val="00C76BA4"/>
    <w:rsid w:val="00C83A48"/>
    <w:rsid w:val="00C85865"/>
    <w:rsid w:val="00C85E85"/>
    <w:rsid w:val="00C926C8"/>
    <w:rsid w:val="00C9281E"/>
    <w:rsid w:val="00C9699B"/>
    <w:rsid w:val="00CA0EFE"/>
    <w:rsid w:val="00CA2C53"/>
    <w:rsid w:val="00CA2EAE"/>
    <w:rsid w:val="00CA4AC1"/>
    <w:rsid w:val="00CA4D81"/>
    <w:rsid w:val="00CA59FB"/>
    <w:rsid w:val="00CB0316"/>
    <w:rsid w:val="00CB0B11"/>
    <w:rsid w:val="00CB1DBA"/>
    <w:rsid w:val="00CB3962"/>
    <w:rsid w:val="00CB3E43"/>
    <w:rsid w:val="00CB426A"/>
    <w:rsid w:val="00CB5354"/>
    <w:rsid w:val="00CB65AB"/>
    <w:rsid w:val="00CC3C9E"/>
    <w:rsid w:val="00CC4350"/>
    <w:rsid w:val="00CC6A14"/>
    <w:rsid w:val="00CC70A3"/>
    <w:rsid w:val="00CC7CF1"/>
    <w:rsid w:val="00CD19A8"/>
    <w:rsid w:val="00CD4442"/>
    <w:rsid w:val="00CD53C3"/>
    <w:rsid w:val="00CD574E"/>
    <w:rsid w:val="00CD5F30"/>
    <w:rsid w:val="00CE02E2"/>
    <w:rsid w:val="00CE2E21"/>
    <w:rsid w:val="00CE4C22"/>
    <w:rsid w:val="00CE76E5"/>
    <w:rsid w:val="00CF2A76"/>
    <w:rsid w:val="00CF41EC"/>
    <w:rsid w:val="00CF5D04"/>
    <w:rsid w:val="00D04DE4"/>
    <w:rsid w:val="00D063F1"/>
    <w:rsid w:val="00D11735"/>
    <w:rsid w:val="00D14F22"/>
    <w:rsid w:val="00D25253"/>
    <w:rsid w:val="00D25368"/>
    <w:rsid w:val="00D307C6"/>
    <w:rsid w:val="00D323CC"/>
    <w:rsid w:val="00D340F2"/>
    <w:rsid w:val="00D42926"/>
    <w:rsid w:val="00D4741C"/>
    <w:rsid w:val="00D522A2"/>
    <w:rsid w:val="00D57918"/>
    <w:rsid w:val="00D72D2A"/>
    <w:rsid w:val="00D73DC6"/>
    <w:rsid w:val="00D747BB"/>
    <w:rsid w:val="00D749B2"/>
    <w:rsid w:val="00D74C1A"/>
    <w:rsid w:val="00D754C1"/>
    <w:rsid w:val="00D7676B"/>
    <w:rsid w:val="00D77393"/>
    <w:rsid w:val="00D77A35"/>
    <w:rsid w:val="00D808CA"/>
    <w:rsid w:val="00D81892"/>
    <w:rsid w:val="00D81B3E"/>
    <w:rsid w:val="00D87B5E"/>
    <w:rsid w:val="00D90C70"/>
    <w:rsid w:val="00D90E49"/>
    <w:rsid w:val="00D93362"/>
    <w:rsid w:val="00D9697C"/>
    <w:rsid w:val="00D96ADE"/>
    <w:rsid w:val="00DA0CE2"/>
    <w:rsid w:val="00DA2387"/>
    <w:rsid w:val="00DC5B5E"/>
    <w:rsid w:val="00DC6A10"/>
    <w:rsid w:val="00DD23E7"/>
    <w:rsid w:val="00DE41D9"/>
    <w:rsid w:val="00DE657E"/>
    <w:rsid w:val="00DF4704"/>
    <w:rsid w:val="00E024AA"/>
    <w:rsid w:val="00E03D73"/>
    <w:rsid w:val="00E056AA"/>
    <w:rsid w:val="00E12B67"/>
    <w:rsid w:val="00E139C9"/>
    <w:rsid w:val="00E14C57"/>
    <w:rsid w:val="00E15C77"/>
    <w:rsid w:val="00E1693E"/>
    <w:rsid w:val="00E2044C"/>
    <w:rsid w:val="00E22287"/>
    <w:rsid w:val="00E250F1"/>
    <w:rsid w:val="00E26A7B"/>
    <w:rsid w:val="00E33263"/>
    <w:rsid w:val="00E3550D"/>
    <w:rsid w:val="00E35F8C"/>
    <w:rsid w:val="00E44C93"/>
    <w:rsid w:val="00E478E9"/>
    <w:rsid w:val="00E52838"/>
    <w:rsid w:val="00E61330"/>
    <w:rsid w:val="00E614E0"/>
    <w:rsid w:val="00E61DEE"/>
    <w:rsid w:val="00E62175"/>
    <w:rsid w:val="00E63A73"/>
    <w:rsid w:val="00E6715F"/>
    <w:rsid w:val="00E73F7F"/>
    <w:rsid w:val="00E753E8"/>
    <w:rsid w:val="00E761E1"/>
    <w:rsid w:val="00E83D37"/>
    <w:rsid w:val="00E8522B"/>
    <w:rsid w:val="00E85409"/>
    <w:rsid w:val="00E91643"/>
    <w:rsid w:val="00E9339B"/>
    <w:rsid w:val="00EA23D6"/>
    <w:rsid w:val="00EA429F"/>
    <w:rsid w:val="00EA4F9E"/>
    <w:rsid w:val="00EA63CA"/>
    <w:rsid w:val="00EA6D3B"/>
    <w:rsid w:val="00EB00AD"/>
    <w:rsid w:val="00EB136C"/>
    <w:rsid w:val="00EB480E"/>
    <w:rsid w:val="00EB5EC6"/>
    <w:rsid w:val="00EB7FC9"/>
    <w:rsid w:val="00ED0D96"/>
    <w:rsid w:val="00ED27E8"/>
    <w:rsid w:val="00ED390D"/>
    <w:rsid w:val="00ED3A44"/>
    <w:rsid w:val="00ED7137"/>
    <w:rsid w:val="00EE0AC0"/>
    <w:rsid w:val="00EE2FA2"/>
    <w:rsid w:val="00EE7300"/>
    <w:rsid w:val="00EF06EA"/>
    <w:rsid w:val="00EF428B"/>
    <w:rsid w:val="00F00FE7"/>
    <w:rsid w:val="00F01A7D"/>
    <w:rsid w:val="00F02708"/>
    <w:rsid w:val="00F07604"/>
    <w:rsid w:val="00F21088"/>
    <w:rsid w:val="00F318CD"/>
    <w:rsid w:val="00F326BF"/>
    <w:rsid w:val="00F327E7"/>
    <w:rsid w:val="00F35746"/>
    <w:rsid w:val="00F40DD7"/>
    <w:rsid w:val="00F447C2"/>
    <w:rsid w:val="00F447C7"/>
    <w:rsid w:val="00F459B4"/>
    <w:rsid w:val="00F5211B"/>
    <w:rsid w:val="00F554A9"/>
    <w:rsid w:val="00F57901"/>
    <w:rsid w:val="00F6334C"/>
    <w:rsid w:val="00F7025C"/>
    <w:rsid w:val="00F716FD"/>
    <w:rsid w:val="00F73A66"/>
    <w:rsid w:val="00F80355"/>
    <w:rsid w:val="00F81A98"/>
    <w:rsid w:val="00F84F0D"/>
    <w:rsid w:val="00F86E2B"/>
    <w:rsid w:val="00F87C43"/>
    <w:rsid w:val="00F91DD8"/>
    <w:rsid w:val="00F94FA7"/>
    <w:rsid w:val="00FA0F94"/>
    <w:rsid w:val="00FA5722"/>
    <w:rsid w:val="00FB0C81"/>
    <w:rsid w:val="00FB1020"/>
    <w:rsid w:val="00FC2200"/>
    <w:rsid w:val="00FC2540"/>
    <w:rsid w:val="00FC37F3"/>
    <w:rsid w:val="00FD6DEB"/>
    <w:rsid w:val="00FE0DE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2E0FC22"/>
  <w15:docId w15:val="{560211BF-FE62-462D-B2D4-84094E3D1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UY"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3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39"/>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9"/>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39"/>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39"/>
      </w:numPr>
      <w:spacing w:before="240" w:after="60"/>
      <w:outlineLvl w:val="5"/>
    </w:pPr>
    <w:rPr>
      <w:rFonts w:ascii="Arial" w:hAnsi="Arial"/>
      <w:i/>
    </w:rPr>
  </w:style>
  <w:style w:type="paragraph" w:styleId="Heading7">
    <w:name w:val="heading 7"/>
    <w:basedOn w:val="Normal"/>
    <w:next w:val="Normal"/>
    <w:qFormat/>
    <w:rsid w:val="00A5151A"/>
    <w:pPr>
      <w:numPr>
        <w:ilvl w:val="6"/>
        <w:numId w:val="3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UY"/>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UY"/>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UY"/>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UY"/>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Geneva "/>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E126D"/>
    <w:rPr>
      <w:lang w:val="es-UY"/>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note TESI"/>
    <w:basedOn w:val="DefaultParagraphFont"/>
    <w:link w:val="BVIfn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paragraph">
    <w:name w:val="paragraph"/>
    <w:basedOn w:val="Normal"/>
    <w:rsid w:val="00217D4B"/>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217D4B"/>
  </w:style>
  <w:style w:type="character" w:customStyle="1" w:styleId="eop">
    <w:name w:val="eop"/>
    <w:basedOn w:val="DefaultParagraphFont"/>
    <w:rsid w:val="00217D4B"/>
  </w:style>
  <w:style w:type="paragraph" w:styleId="ListParagraph">
    <w:name w:val="List Paragraph"/>
    <w:basedOn w:val="Normal"/>
    <w:uiPriority w:val="34"/>
    <w:qFormat/>
    <w:rsid w:val="007A3BC3"/>
    <w:pPr>
      <w:ind w:left="720"/>
      <w:contextualSpacing/>
    </w:pPr>
  </w:style>
  <w:style w:type="character" w:customStyle="1" w:styleId="Style4Char">
    <w:name w:val="Style 4 Char"/>
    <w:basedOn w:val="DefaultParagraphFont"/>
    <w:link w:val="Style4"/>
    <w:locked/>
    <w:rsid w:val="00891C0E"/>
    <w:rPr>
      <w:b/>
      <w:sz w:val="22"/>
      <w:szCs w:val="22"/>
      <w:lang w:val="es-UY"/>
    </w:rPr>
  </w:style>
  <w:style w:type="paragraph" w:customStyle="1" w:styleId="Style4">
    <w:name w:val="Style 4"/>
    <w:basedOn w:val="Normal"/>
    <w:link w:val="Style4Char"/>
    <w:autoRedefine/>
    <w:qFormat/>
    <w:rsid w:val="00891C0E"/>
    <w:pPr>
      <w:keepNext/>
      <w:numPr>
        <w:numId w:val="30"/>
      </w:numPr>
      <w:spacing w:after="240"/>
      <w:ind w:hanging="720"/>
    </w:pPr>
    <w:rPr>
      <w:b/>
    </w:rPr>
  </w:style>
  <w:style w:type="paragraph" w:customStyle="1" w:styleId="BVIfnrChar">
    <w:name w:val="BVI fnr Char"/>
    <w:aliases w:val="BVI fnr Car Car Char,BVI fnr Car Char,BVI fnr Car Car Car Car Char,4_G Char Char"/>
    <w:basedOn w:val="Normal"/>
    <w:link w:val="FootnoteReference"/>
    <w:uiPriority w:val="99"/>
    <w:rsid w:val="006C61E1"/>
    <w:pPr>
      <w:spacing w:after="160" w:line="240" w:lineRule="exact"/>
      <w:jc w:val="left"/>
    </w:pPr>
    <w:rPr>
      <w:sz w:val="20"/>
      <w:szCs w:val="20"/>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CB65AB"/>
    <w:pPr>
      <w:spacing w:after="160" w:line="240" w:lineRule="exact"/>
    </w:pPr>
    <w:rPr>
      <w:sz w:val="20"/>
      <w:szCs w:val="20"/>
      <w:vertAlign w:val="superscript"/>
    </w:rPr>
  </w:style>
  <w:style w:type="paragraph" w:styleId="BodyText">
    <w:name w:val="Body Text"/>
    <w:basedOn w:val="Normal"/>
    <w:link w:val="BodyTextChar"/>
    <w:uiPriority w:val="99"/>
    <w:semiHidden/>
    <w:unhideWhenUsed/>
    <w:rsid w:val="00733751"/>
    <w:pPr>
      <w:spacing w:after="120"/>
    </w:pPr>
  </w:style>
  <w:style w:type="character" w:customStyle="1" w:styleId="BodyTextChar">
    <w:name w:val="Body Text Char"/>
    <w:basedOn w:val="DefaultParagraphFont"/>
    <w:link w:val="BodyText"/>
    <w:uiPriority w:val="99"/>
    <w:semiHidden/>
    <w:rsid w:val="00733751"/>
    <w:rPr>
      <w:sz w:val="22"/>
      <w:szCs w:val="22"/>
      <w:lang w:val="es-UY"/>
    </w:rPr>
  </w:style>
  <w:style w:type="paragraph" w:styleId="Revision">
    <w:name w:val="Revision"/>
    <w:hidden/>
    <w:uiPriority w:val="99"/>
    <w:semiHidden/>
    <w:rsid w:val="00E14C5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666380">
      <w:bodyDiv w:val="1"/>
      <w:marLeft w:val="0"/>
      <w:marRight w:val="0"/>
      <w:marTop w:val="0"/>
      <w:marBottom w:val="0"/>
      <w:divBdr>
        <w:top w:val="none" w:sz="0" w:space="0" w:color="auto"/>
        <w:left w:val="none" w:sz="0" w:space="0" w:color="auto"/>
        <w:bottom w:val="none" w:sz="0" w:space="0" w:color="auto"/>
        <w:right w:val="none" w:sz="0" w:space="0" w:color="auto"/>
      </w:divBdr>
      <w:divsChild>
        <w:div w:id="1894729190">
          <w:marLeft w:val="0"/>
          <w:marRight w:val="0"/>
          <w:marTop w:val="0"/>
          <w:marBottom w:val="0"/>
          <w:divBdr>
            <w:top w:val="none" w:sz="0" w:space="0" w:color="auto"/>
            <w:left w:val="none" w:sz="0" w:space="0" w:color="auto"/>
            <w:bottom w:val="none" w:sz="0" w:space="0" w:color="auto"/>
            <w:right w:val="none" w:sz="0" w:space="0" w:color="auto"/>
          </w:divBdr>
          <w:divsChild>
            <w:div w:id="1527478747">
              <w:marLeft w:val="0"/>
              <w:marRight w:val="0"/>
              <w:marTop w:val="0"/>
              <w:marBottom w:val="0"/>
              <w:divBdr>
                <w:top w:val="none" w:sz="0" w:space="0" w:color="auto"/>
                <w:left w:val="none" w:sz="0" w:space="0" w:color="auto"/>
                <w:bottom w:val="none" w:sz="0" w:space="0" w:color="auto"/>
                <w:right w:val="none" w:sz="0" w:space="0" w:color="auto"/>
              </w:divBdr>
            </w:div>
          </w:divsChild>
        </w:div>
        <w:div w:id="1170101994">
          <w:marLeft w:val="0"/>
          <w:marRight w:val="0"/>
          <w:marTop w:val="0"/>
          <w:marBottom w:val="0"/>
          <w:divBdr>
            <w:top w:val="none" w:sz="0" w:space="0" w:color="auto"/>
            <w:left w:val="none" w:sz="0" w:space="0" w:color="auto"/>
            <w:bottom w:val="none" w:sz="0" w:space="0" w:color="auto"/>
            <w:right w:val="none" w:sz="0" w:space="0" w:color="auto"/>
          </w:divBdr>
          <w:divsChild>
            <w:div w:id="448163880">
              <w:marLeft w:val="0"/>
              <w:marRight w:val="0"/>
              <w:marTop w:val="0"/>
              <w:marBottom w:val="0"/>
              <w:divBdr>
                <w:top w:val="none" w:sz="0" w:space="0" w:color="auto"/>
                <w:left w:val="none" w:sz="0" w:space="0" w:color="auto"/>
                <w:bottom w:val="none" w:sz="0" w:space="0" w:color="auto"/>
                <w:right w:val="none" w:sz="0" w:space="0" w:color="auto"/>
              </w:divBdr>
            </w:div>
          </w:divsChild>
        </w:div>
        <w:div w:id="573509163">
          <w:marLeft w:val="0"/>
          <w:marRight w:val="0"/>
          <w:marTop w:val="0"/>
          <w:marBottom w:val="0"/>
          <w:divBdr>
            <w:top w:val="none" w:sz="0" w:space="0" w:color="auto"/>
            <w:left w:val="none" w:sz="0" w:space="0" w:color="auto"/>
            <w:bottom w:val="none" w:sz="0" w:space="0" w:color="auto"/>
            <w:right w:val="none" w:sz="0" w:space="0" w:color="auto"/>
          </w:divBdr>
          <w:divsChild>
            <w:div w:id="1955817874">
              <w:marLeft w:val="0"/>
              <w:marRight w:val="0"/>
              <w:marTop w:val="0"/>
              <w:marBottom w:val="0"/>
              <w:divBdr>
                <w:top w:val="none" w:sz="0" w:space="0" w:color="auto"/>
                <w:left w:val="none" w:sz="0" w:space="0" w:color="auto"/>
                <w:bottom w:val="none" w:sz="0" w:space="0" w:color="auto"/>
                <w:right w:val="none" w:sz="0" w:space="0" w:color="auto"/>
              </w:divBdr>
            </w:div>
          </w:divsChild>
        </w:div>
        <w:div w:id="405691244">
          <w:marLeft w:val="0"/>
          <w:marRight w:val="0"/>
          <w:marTop w:val="0"/>
          <w:marBottom w:val="0"/>
          <w:divBdr>
            <w:top w:val="none" w:sz="0" w:space="0" w:color="auto"/>
            <w:left w:val="none" w:sz="0" w:space="0" w:color="auto"/>
            <w:bottom w:val="none" w:sz="0" w:space="0" w:color="auto"/>
            <w:right w:val="none" w:sz="0" w:space="0" w:color="auto"/>
          </w:divBdr>
          <w:divsChild>
            <w:div w:id="1929003283">
              <w:marLeft w:val="0"/>
              <w:marRight w:val="0"/>
              <w:marTop w:val="0"/>
              <w:marBottom w:val="0"/>
              <w:divBdr>
                <w:top w:val="none" w:sz="0" w:space="0" w:color="auto"/>
                <w:left w:val="none" w:sz="0" w:space="0" w:color="auto"/>
                <w:bottom w:val="none" w:sz="0" w:space="0" w:color="auto"/>
                <w:right w:val="none" w:sz="0" w:space="0" w:color="auto"/>
              </w:divBdr>
            </w:div>
          </w:divsChild>
        </w:div>
        <w:div w:id="93988710">
          <w:marLeft w:val="0"/>
          <w:marRight w:val="0"/>
          <w:marTop w:val="0"/>
          <w:marBottom w:val="0"/>
          <w:divBdr>
            <w:top w:val="none" w:sz="0" w:space="0" w:color="auto"/>
            <w:left w:val="none" w:sz="0" w:space="0" w:color="auto"/>
            <w:bottom w:val="none" w:sz="0" w:space="0" w:color="auto"/>
            <w:right w:val="none" w:sz="0" w:space="0" w:color="auto"/>
          </w:divBdr>
          <w:divsChild>
            <w:div w:id="1766342700">
              <w:marLeft w:val="0"/>
              <w:marRight w:val="0"/>
              <w:marTop w:val="0"/>
              <w:marBottom w:val="0"/>
              <w:divBdr>
                <w:top w:val="none" w:sz="0" w:space="0" w:color="auto"/>
                <w:left w:val="none" w:sz="0" w:space="0" w:color="auto"/>
                <w:bottom w:val="none" w:sz="0" w:space="0" w:color="auto"/>
                <w:right w:val="none" w:sz="0" w:space="0" w:color="auto"/>
              </w:divBdr>
            </w:div>
          </w:divsChild>
        </w:div>
        <w:div w:id="433718931">
          <w:marLeft w:val="0"/>
          <w:marRight w:val="0"/>
          <w:marTop w:val="0"/>
          <w:marBottom w:val="0"/>
          <w:divBdr>
            <w:top w:val="none" w:sz="0" w:space="0" w:color="auto"/>
            <w:left w:val="none" w:sz="0" w:space="0" w:color="auto"/>
            <w:bottom w:val="none" w:sz="0" w:space="0" w:color="auto"/>
            <w:right w:val="none" w:sz="0" w:space="0" w:color="auto"/>
          </w:divBdr>
          <w:divsChild>
            <w:div w:id="372078150">
              <w:marLeft w:val="0"/>
              <w:marRight w:val="0"/>
              <w:marTop w:val="0"/>
              <w:marBottom w:val="0"/>
              <w:divBdr>
                <w:top w:val="none" w:sz="0" w:space="0" w:color="auto"/>
                <w:left w:val="none" w:sz="0" w:space="0" w:color="auto"/>
                <w:bottom w:val="none" w:sz="0" w:space="0" w:color="auto"/>
                <w:right w:val="none" w:sz="0" w:space="0" w:color="auto"/>
              </w:divBdr>
            </w:div>
          </w:divsChild>
        </w:div>
        <w:div w:id="1026326211">
          <w:marLeft w:val="0"/>
          <w:marRight w:val="0"/>
          <w:marTop w:val="0"/>
          <w:marBottom w:val="0"/>
          <w:divBdr>
            <w:top w:val="none" w:sz="0" w:space="0" w:color="auto"/>
            <w:left w:val="none" w:sz="0" w:space="0" w:color="auto"/>
            <w:bottom w:val="none" w:sz="0" w:space="0" w:color="auto"/>
            <w:right w:val="none" w:sz="0" w:space="0" w:color="auto"/>
          </w:divBdr>
          <w:divsChild>
            <w:div w:id="883952135">
              <w:marLeft w:val="0"/>
              <w:marRight w:val="0"/>
              <w:marTop w:val="0"/>
              <w:marBottom w:val="0"/>
              <w:divBdr>
                <w:top w:val="none" w:sz="0" w:space="0" w:color="auto"/>
                <w:left w:val="none" w:sz="0" w:space="0" w:color="auto"/>
                <w:bottom w:val="none" w:sz="0" w:space="0" w:color="auto"/>
                <w:right w:val="none" w:sz="0" w:space="0" w:color="auto"/>
              </w:divBdr>
            </w:div>
          </w:divsChild>
        </w:div>
        <w:div w:id="195890713">
          <w:marLeft w:val="0"/>
          <w:marRight w:val="0"/>
          <w:marTop w:val="0"/>
          <w:marBottom w:val="0"/>
          <w:divBdr>
            <w:top w:val="none" w:sz="0" w:space="0" w:color="auto"/>
            <w:left w:val="none" w:sz="0" w:space="0" w:color="auto"/>
            <w:bottom w:val="none" w:sz="0" w:space="0" w:color="auto"/>
            <w:right w:val="none" w:sz="0" w:space="0" w:color="auto"/>
          </w:divBdr>
          <w:divsChild>
            <w:div w:id="492647618">
              <w:marLeft w:val="0"/>
              <w:marRight w:val="0"/>
              <w:marTop w:val="0"/>
              <w:marBottom w:val="0"/>
              <w:divBdr>
                <w:top w:val="none" w:sz="0" w:space="0" w:color="auto"/>
                <w:left w:val="none" w:sz="0" w:space="0" w:color="auto"/>
                <w:bottom w:val="none" w:sz="0" w:space="0" w:color="auto"/>
                <w:right w:val="none" w:sz="0" w:space="0" w:color="auto"/>
              </w:divBdr>
            </w:div>
          </w:divsChild>
        </w:div>
        <w:div w:id="415171271">
          <w:marLeft w:val="0"/>
          <w:marRight w:val="0"/>
          <w:marTop w:val="0"/>
          <w:marBottom w:val="0"/>
          <w:divBdr>
            <w:top w:val="none" w:sz="0" w:space="0" w:color="auto"/>
            <w:left w:val="none" w:sz="0" w:space="0" w:color="auto"/>
            <w:bottom w:val="none" w:sz="0" w:space="0" w:color="auto"/>
            <w:right w:val="none" w:sz="0" w:space="0" w:color="auto"/>
          </w:divBdr>
          <w:divsChild>
            <w:div w:id="1530488423">
              <w:marLeft w:val="0"/>
              <w:marRight w:val="0"/>
              <w:marTop w:val="0"/>
              <w:marBottom w:val="0"/>
              <w:divBdr>
                <w:top w:val="none" w:sz="0" w:space="0" w:color="auto"/>
                <w:left w:val="none" w:sz="0" w:space="0" w:color="auto"/>
                <w:bottom w:val="none" w:sz="0" w:space="0" w:color="auto"/>
                <w:right w:val="none" w:sz="0" w:space="0" w:color="auto"/>
              </w:divBdr>
            </w:div>
          </w:divsChild>
        </w:div>
        <w:div w:id="1177845665">
          <w:marLeft w:val="0"/>
          <w:marRight w:val="0"/>
          <w:marTop w:val="0"/>
          <w:marBottom w:val="0"/>
          <w:divBdr>
            <w:top w:val="none" w:sz="0" w:space="0" w:color="auto"/>
            <w:left w:val="none" w:sz="0" w:space="0" w:color="auto"/>
            <w:bottom w:val="none" w:sz="0" w:space="0" w:color="auto"/>
            <w:right w:val="none" w:sz="0" w:space="0" w:color="auto"/>
          </w:divBdr>
          <w:divsChild>
            <w:div w:id="310645219">
              <w:marLeft w:val="0"/>
              <w:marRight w:val="0"/>
              <w:marTop w:val="0"/>
              <w:marBottom w:val="0"/>
              <w:divBdr>
                <w:top w:val="none" w:sz="0" w:space="0" w:color="auto"/>
                <w:left w:val="none" w:sz="0" w:space="0" w:color="auto"/>
                <w:bottom w:val="none" w:sz="0" w:space="0" w:color="auto"/>
                <w:right w:val="none" w:sz="0" w:space="0" w:color="auto"/>
              </w:divBdr>
            </w:div>
          </w:divsChild>
        </w:div>
        <w:div w:id="888761922">
          <w:marLeft w:val="0"/>
          <w:marRight w:val="0"/>
          <w:marTop w:val="0"/>
          <w:marBottom w:val="0"/>
          <w:divBdr>
            <w:top w:val="none" w:sz="0" w:space="0" w:color="auto"/>
            <w:left w:val="none" w:sz="0" w:space="0" w:color="auto"/>
            <w:bottom w:val="none" w:sz="0" w:space="0" w:color="auto"/>
            <w:right w:val="none" w:sz="0" w:space="0" w:color="auto"/>
          </w:divBdr>
          <w:divsChild>
            <w:div w:id="1654135284">
              <w:marLeft w:val="0"/>
              <w:marRight w:val="0"/>
              <w:marTop w:val="0"/>
              <w:marBottom w:val="0"/>
              <w:divBdr>
                <w:top w:val="none" w:sz="0" w:space="0" w:color="auto"/>
                <w:left w:val="none" w:sz="0" w:space="0" w:color="auto"/>
                <w:bottom w:val="none" w:sz="0" w:space="0" w:color="auto"/>
                <w:right w:val="none" w:sz="0" w:space="0" w:color="auto"/>
              </w:divBdr>
            </w:div>
          </w:divsChild>
        </w:div>
        <w:div w:id="1210724457">
          <w:marLeft w:val="0"/>
          <w:marRight w:val="0"/>
          <w:marTop w:val="0"/>
          <w:marBottom w:val="0"/>
          <w:divBdr>
            <w:top w:val="none" w:sz="0" w:space="0" w:color="auto"/>
            <w:left w:val="none" w:sz="0" w:space="0" w:color="auto"/>
            <w:bottom w:val="none" w:sz="0" w:space="0" w:color="auto"/>
            <w:right w:val="none" w:sz="0" w:space="0" w:color="auto"/>
          </w:divBdr>
          <w:divsChild>
            <w:div w:id="34931687">
              <w:marLeft w:val="0"/>
              <w:marRight w:val="0"/>
              <w:marTop w:val="0"/>
              <w:marBottom w:val="0"/>
              <w:divBdr>
                <w:top w:val="none" w:sz="0" w:space="0" w:color="auto"/>
                <w:left w:val="none" w:sz="0" w:space="0" w:color="auto"/>
                <w:bottom w:val="none" w:sz="0" w:space="0" w:color="auto"/>
                <w:right w:val="none" w:sz="0" w:space="0" w:color="auto"/>
              </w:divBdr>
            </w:div>
          </w:divsChild>
        </w:div>
        <w:div w:id="816844930">
          <w:marLeft w:val="0"/>
          <w:marRight w:val="0"/>
          <w:marTop w:val="0"/>
          <w:marBottom w:val="0"/>
          <w:divBdr>
            <w:top w:val="none" w:sz="0" w:space="0" w:color="auto"/>
            <w:left w:val="none" w:sz="0" w:space="0" w:color="auto"/>
            <w:bottom w:val="none" w:sz="0" w:space="0" w:color="auto"/>
            <w:right w:val="none" w:sz="0" w:space="0" w:color="auto"/>
          </w:divBdr>
          <w:divsChild>
            <w:div w:id="1408112469">
              <w:marLeft w:val="0"/>
              <w:marRight w:val="0"/>
              <w:marTop w:val="0"/>
              <w:marBottom w:val="0"/>
              <w:divBdr>
                <w:top w:val="none" w:sz="0" w:space="0" w:color="auto"/>
                <w:left w:val="none" w:sz="0" w:space="0" w:color="auto"/>
                <w:bottom w:val="none" w:sz="0" w:space="0" w:color="auto"/>
                <w:right w:val="none" w:sz="0" w:space="0" w:color="auto"/>
              </w:divBdr>
            </w:div>
          </w:divsChild>
        </w:div>
        <w:div w:id="1587760001">
          <w:marLeft w:val="0"/>
          <w:marRight w:val="0"/>
          <w:marTop w:val="0"/>
          <w:marBottom w:val="0"/>
          <w:divBdr>
            <w:top w:val="none" w:sz="0" w:space="0" w:color="auto"/>
            <w:left w:val="none" w:sz="0" w:space="0" w:color="auto"/>
            <w:bottom w:val="none" w:sz="0" w:space="0" w:color="auto"/>
            <w:right w:val="none" w:sz="0" w:space="0" w:color="auto"/>
          </w:divBdr>
          <w:divsChild>
            <w:div w:id="1327318784">
              <w:marLeft w:val="0"/>
              <w:marRight w:val="0"/>
              <w:marTop w:val="0"/>
              <w:marBottom w:val="0"/>
              <w:divBdr>
                <w:top w:val="none" w:sz="0" w:space="0" w:color="auto"/>
                <w:left w:val="none" w:sz="0" w:space="0" w:color="auto"/>
                <w:bottom w:val="none" w:sz="0" w:space="0" w:color="auto"/>
                <w:right w:val="none" w:sz="0" w:space="0" w:color="auto"/>
              </w:divBdr>
            </w:div>
          </w:divsChild>
        </w:div>
        <w:div w:id="642930463">
          <w:marLeft w:val="0"/>
          <w:marRight w:val="0"/>
          <w:marTop w:val="0"/>
          <w:marBottom w:val="0"/>
          <w:divBdr>
            <w:top w:val="none" w:sz="0" w:space="0" w:color="auto"/>
            <w:left w:val="none" w:sz="0" w:space="0" w:color="auto"/>
            <w:bottom w:val="none" w:sz="0" w:space="0" w:color="auto"/>
            <w:right w:val="none" w:sz="0" w:space="0" w:color="auto"/>
          </w:divBdr>
          <w:divsChild>
            <w:div w:id="1100174706">
              <w:marLeft w:val="0"/>
              <w:marRight w:val="0"/>
              <w:marTop w:val="0"/>
              <w:marBottom w:val="0"/>
              <w:divBdr>
                <w:top w:val="none" w:sz="0" w:space="0" w:color="auto"/>
                <w:left w:val="none" w:sz="0" w:space="0" w:color="auto"/>
                <w:bottom w:val="none" w:sz="0" w:space="0" w:color="auto"/>
                <w:right w:val="none" w:sz="0" w:space="0" w:color="auto"/>
              </w:divBdr>
            </w:div>
          </w:divsChild>
        </w:div>
        <w:div w:id="377975360">
          <w:marLeft w:val="0"/>
          <w:marRight w:val="0"/>
          <w:marTop w:val="0"/>
          <w:marBottom w:val="0"/>
          <w:divBdr>
            <w:top w:val="none" w:sz="0" w:space="0" w:color="auto"/>
            <w:left w:val="none" w:sz="0" w:space="0" w:color="auto"/>
            <w:bottom w:val="none" w:sz="0" w:space="0" w:color="auto"/>
            <w:right w:val="none" w:sz="0" w:space="0" w:color="auto"/>
          </w:divBdr>
          <w:divsChild>
            <w:div w:id="1944729985">
              <w:marLeft w:val="0"/>
              <w:marRight w:val="0"/>
              <w:marTop w:val="0"/>
              <w:marBottom w:val="0"/>
              <w:divBdr>
                <w:top w:val="none" w:sz="0" w:space="0" w:color="auto"/>
                <w:left w:val="none" w:sz="0" w:space="0" w:color="auto"/>
                <w:bottom w:val="none" w:sz="0" w:space="0" w:color="auto"/>
                <w:right w:val="none" w:sz="0" w:space="0" w:color="auto"/>
              </w:divBdr>
            </w:div>
          </w:divsChild>
        </w:div>
        <w:div w:id="1283882726">
          <w:marLeft w:val="0"/>
          <w:marRight w:val="0"/>
          <w:marTop w:val="0"/>
          <w:marBottom w:val="0"/>
          <w:divBdr>
            <w:top w:val="none" w:sz="0" w:space="0" w:color="auto"/>
            <w:left w:val="none" w:sz="0" w:space="0" w:color="auto"/>
            <w:bottom w:val="none" w:sz="0" w:space="0" w:color="auto"/>
            <w:right w:val="none" w:sz="0" w:space="0" w:color="auto"/>
          </w:divBdr>
          <w:divsChild>
            <w:div w:id="537158488">
              <w:marLeft w:val="0"/>
              <w:marRight w:val="0"/>
              <w:marTop w:val="0"/>
              <w:marBottom w:val="0"/>
              <w:divBdr>
                <w:top w:val="none" w:sz="0" w:space="0" w:color="auto"/>
                <w:left w:val="none" w:sz="0" w:space="0" w:color="auto"/>
                <w:bottom w:val="none" w:sz="0" w:space="0" w:color="auto"/>
                <w:right w:val="none" w:sz="0" w:space="0" w:color="auto"/>
              </w:divBdr>
            </w:div>
          </w:divsChild>
        </w:div>
        <w:div w:id="358244114">
          <w:marLeft w:val="0"/>
          <w:marRight w:val="0"/>
          <w:marTop w:val="0"/>
          <w:marBottom w:val="0"/>
          <w:divBdr>
            <w:top w:val="none" w:sz="0" w:space="0" w:color="auto"/>
            <w:left w:val="none" w:sz="0" w:space="0" w:color="auto"/>
            <w:bottom w:val="none" w:sz="0" w:space="0" w:color="auto"/>
            <w:right w:val="none" w:sz="0" w:space="0" w:color="auto"/>
          </w:divBdr>
          <w:divsChild>
            <w:div w:id="2119980218">
              <w:marLeft w:val="0"/>
              <w:marRight w:val="0"/>
              <w:marTop w:val="0"/>
              <w:marBottom w:val="0"/>
              <w:divBdr>
                <w:top w:val="none" w:sz="0" w:space="0" w:color="auto"/>
                <w:left w:val="none" w:sz="0" w:space="0" w:color="auto"/>
                <w:bottom w:val="none" w:sz="0" w:space="0" w:color="auto"/>
                <w:right w:val="none" w:sz="0" w:space="0" w:color="auto"/>
              </w:divBdr>
            </w:div>
          </w:divsChild>
        </w:div>
        <w:div w:id="602493945">
          <w:marLeft w:val="0"/>
          <w:marRight w:val="0"/>
          <w:marTop w:val="0"/>
          <w:marBottom w:val="0"/>
          <w:divBdr>
            <w:top w:val="none" w:sz="0" w:space="0" w:color="auto"/>
            <w:left w:val="none" w:sz="0" w:space="0" w:color="auto"/>
            <w:bottom w:val="none" w:sz="0" w:space="0" w:color="auto"/>
            <w:right w:val="none" w:sz="0" w:space="0" w:color="auto"/>
          </w:divBdr>
          <w:divsChild>
            <w:div w:id="1559198726">
              <w:marLeft w:val="0"/>
              <w:marRight w:val="0"/>
              <w:marTop w:val="0"/>
              <w:marBottom w:val="0"/>
              <w:divBdr>
                <w:top w:val="none" w:sz="0" w:space="0" w:color="auto"/>
                <w:left w:val="none" w:sz="0" w:space="0" w:color="auto"/>
                <w:bottom w:val="none" w:sz="0" w:space="0" w:color="auto"/>
                <w:right w:val="none" w:sz="0" w:space="0" w:color="auto"/>
              </w:divBdr>
            </w:div>
          </w:divsChild>
        </w:div>
        <w:div w:id="615721831">
          <w:marLeft w:val="0"/>
          <w:marRight w:val="0"/>
          <w:marTop w:val="0"/>
          <w:marBottom w:val="0"/>
          <w:divBdr>
            <w:top w:val="none" w:sz="0" w:space="0" w:color="auto"/>
            <w:left w:val="none" w:sz="0" w:space="0" w:color="auto"/>
            <w:bottom w:val="none" w:sz="0" w:space="0" w:color="auto"/>
            <w:right w:val="none" w:sz="0" w:space="0" w:color="auto"/>
          </w:divBdr>
          <w:divsChild>
            <w:div w:id="270014346">
              <w:marLeft w:val="0"/>
              <w:marRight w:val="0"/>
              <w:marTop w:val="0"/>
              <w:marBottom w:val="0"/>
              <w:divBdr>
                <w:top w:val="none" w:sz="0" w:space="0" w:color="auto"/>
                <w:left w:val="none" w:sz="0" w:space="0" w:color="auto"/>
                <w:bottom w:val="none" w:sz="0" w:space="0" w:color="auto"/>
                <w:right w:val="none" w:sz="0" w:space="0" w:color="auto"/>
              </w:divBdr>
            </w:div>
          </w:divsChild>
        </w:div>
        <w:div w:id="1083332024">
          <w:marLeft w:val="0"/>
          <w:marRight w:val="0"/>
          <w:marTop w:val="0"/>
          <w:marBottom w:val="0"/>
          <w:divBdr>
            <w:top w:val="none" w:sz="0" w:space="0" w:color="auto"/>
            <w:left w:val="none" w:sz="0" w:space="0" w:color="auto"/>
            <w:bottom w:val="none" w:sz="0" w:space="0" w:color="auto"/>
            <w:right w:val="none" w:sz="0" w:space="0" w:color="auto"/>
          </w:divBdr>
          <w:divsChild>
            <w:div w:id="886994277">
              <w:marLeft w:val="0"/>
              <w:marRight w:val="0"/>
              <w:marTop w:val="0"/>
              <w:marBottom w:val="0"/>
              <w:divBdr>
                <w:top w:val="none" w:sz="0" w:space="0" w:color="auto"/>
                <w:left w:val="none" w:sz="0" w:space="0" w:color="auto"/>
                <w:bottom w:val="none" w:sz="0" w:space="0" w:color="auto"/>
                <w:right w:val="none" w:sz="0" w:space="0" w:color="auto"/>
              </w:divBdr>
            </w:div>
          </w:divsChild>
        </w:div>
        <w:div w:id="1825123106">
          <w:marLeft w:val="0"/>
          <w:marRight w:val="0"/>
          <w:marTop w:val="0"/>
          <w:marBottom w:val="0"/>
          <w:divBdr>
            <w:top w:val="none" w:sz="0" w:space="0" w:color="auto"/>
            <w:left w:val="none" w:sz="0" w:space="0" w:color="auto"/>
            <w:bottom w:val="none" w:sz="0" w:space="0" w:color="auto"/>
            <w:right w:val="none" w:sz="0" w:space="0" w:color="auto"/>
          </w:divBdr>
          <w:divsChild>
            <w:div w:id="616058958">
              <w:marLeft w:val="0"/>
              <w:marRight w:val="0"/>
              <w:marTop w:val="0"/>
              <w:marBottom w:val="0"/>
              <w:divBdr>
                <w:top w:val="none" w:sz="0" w:space="0" w:color="auto"/>
                <w:left w:val="none" w:sz="0" w:space="0" w:color="auto"/>
                <w:bottom w:val="none" w:sz="0" w:space="0" w:color="auto"/>
                <w:right w:val="none" w:sz="0" w:space="0" w:color="auto"/>
              </w:divBdr>
            </w:div>
          </w:divsChild>
        </w:div>
        <w:div w:id="1074861882">
          <w:marLeft w:val="0"/>
          <w:marRight w:val="0"/>
          <w:marTop w:val="0"/>
          <w:marBottom w:val="0"/>
          <w:divBdr>
            <w:top w:val="none" w:sz="0" w:space="0" w:color="auto"/>
            <w:left w:val="none" w:sz="0" w:space="0" w:color="auto"/>
            <w:bottom w:val="none" w:sz="0" w:space="0" w:color="auto"/>
            <w:right w:val="none" w:sz="0" w:space="0" w:color="auto"/>
          </w:divBdr>
          <w:divsChild>
            <w:div w:id="1742603703">
              <w:marLeft w:val="0"/>
              <w:marRight w:val="0"/>
              <w:marTop w:val="0"/>
              <w:marBottom w:val="0"/>
              <w:divBdr>
                <w:top w:val="none" w:sz="0" w:space="0" w:color="auto"/>
                <w:left w:val="none" w:sz="0" w:space="0" w:color="auto"/>
                <w:bottom w:val="none" w:sz="0" w:space="0" w:color="auto"/>
                <w:right w:val="none" w:sz="0" w:space="0" w:color="auto"/>
              </w:divBdr>
            </w:div>
          </w:divsChild>
        </w:div>
        <w:div w:id="1557206798">
          <w:marLeft w:val="0"/>
          <w:marRight w:val="0"/>
          <w:marTop w:val="0"/>
          <w:marBottom w:val="0"/>
          <w:divBdr>
            <w:top w:val="none" w:sz="0" w:space="0" w:color="auto"/>
            <w:left w:val="none" w:sz="0" w:space="0" w:color="auto"/>
            <w:bottom w:val="none" w:sz="0" w:space="0" w:color="auto"/>
            <w:right w:val="none" w:sz="0" w:space="0" w:color="auto"/>
          </w:divBdr>
          <w:divsChild>
            <w:div w:id="245767472">
              <w:marLeft w:val="0"/>
              <w:marRight w:val="0"/>
              <w:marTop w:val="0"/>
              <w:marBottom w:val="0"/>
              <w:divBdr>
                <w:top w:val="none" w:sz="0" w:space="0" w:color="auto"/>
                <w:left w:val="none" w:sz="0" w:space="0" w:color="auto"/>
                <w:bottom w:val="none" w:sz="0" w:space="0" w:color="auto"/>
                <w:right w:val="none" w:sz="0" w:space="0" w:color="auto"/>
              </w:divBdr>
            </w:div>
          </w:divsChild>
        </w:div>
        <w:div w:id="35356274">
          <w:marLeft w:val="0"/>
          <w:marRight w:val="0"/>
          <w:marTop w:val="0"/>
          <w:marBottom w:val="0"/>
          <w:divBdr>
            <w:top w:val="none" w:sz="0" w:space="0" w:color="auto"/>
            <w:left w:val="none" w:sz="0" w:space="0" w:color="auto"/>
            <w:bottom w:val="none" w:sz="0" w:space="0" w:color="auto"/>
            <w:right w:val="none" w:sz="0" w:space="0" w:color="auto"/>
          </w:divBdr>
          <w:divsChild>
            <w:div w:id="1984847024">
              <w:marLeft w:val="0"/>
              <w:marRight w:val="0"/>
              <w:marTop w:val="0"/>
              <w:marBottom w:val="0"/>
              <w:divBdr>
                <w:top w:val="none" w:sz="0" w:space="0" w:color="auto"/>
                <w:left w:val="none" w:sz="0" w:space="0" w:color="auto"/>
                <w:bottom w:val="none" w:sz="0" w:space="0" w:color="auto"/>
                <w:right w:val="none" w:sz="0" w:space="0" w:color="auto"/>
              </w:divBdr>
            </w:div>
          </w:divsChild>
        </w:div>
        <w:div w:id="275871095">
          <w:marLeft w:val="0"/>
          <w:marRight w:val="0"/>
          <w:marTop w:val="0"/>
          <w:marBottom w:val="0"/>
          <w:divBdr>
            <w:top w:val="none" w:sz="0" w:space="0" w:color="auto"/>
            <w:left w:val="none" w:sz="0" w:space="0" w:color="auto"/>
            <w:bottom w:val="none" w:sz="0" w:space="0" w:color="auto"/>
            <w:right w:val="none" w:sz="0" w:space="0" w:color="auto"/>
          </w:divBdr>
          <w:divsChild>
            <w:div w:id="111754221">
              <w:marLeft w:val="0"/>
              <w:marRight w:val="0"/>
              <w:marTop w:val="0"/>
              <w:marBottom w:val="0"/>
              <w:divBdr>
                <w:top w:val="none" w:sz="0" w:space="0" w:color="auto"/>
                <w:left w:val="none" w:sz="0" w:space="0" w:color="auto"/>
                <w:bottom w:val="none" w:sz="0" w:space="0" w:color="auto"/>
                <w:right w:val="none" w:sz="0" w:space="0" w:color="auto"/>
              </w:divBdr>
            </w:div>
          </w:divsChild>
        </w:div>
        <w:div w:id="1450277932">
          <w:marLeft w:val="0"/>
          <w:marRight w:val="0"/>
          <w:marTop w:val="0"/>
          <w:marBottom w:val="0"/>
          <w:divBdr>
            <w:top w:val="none" w:sz="0" w:space="0" w:color="auto"/>
            <w:left w:val="none" w:sz="0" w:space="0" w:color="auto"/>
            <w:bottom w:val="none" w:sz="0" w:space="0" w:color="auto"/>
            <w:right w:val="none" w:sz="0" w:space="0" w:color="auto"/>
          </w:divBdr>
          <w:divsChild>
            <w:div w:id="478036302">
              <w:marLeft w:val="0"/>
              <w:marRight w:val="0"/>
              <w:marTop w:val="0"/>
              <w:marBottom w:val="0"/>
              <w:divBdr>
                <w:top w:val="none" w:sz="0" w:space="0" w:color="auto"/>
                <w:left w:val="none" w:sz="0" w:space="0" w:color="auto"/>
                <w:bottom w:val="none" w:sz="0" w:space="0" w:color="auto"/>
                <w:right w:val="none" w:sz="0" w:space="0" w:color="auto"/>
              </w:divBdr>
            </w:div>
          </w:divsChild>
        </w:div>
        <w:div w:id="1984264306">
          <w:marLeft w:val="0"/>
          <w:marRight w:val="0"/>
          <w:marTop w:val="0"/>
          <w:marBottom w:val="0"/>
          <w:divBdr>
            <w:top w:val="none" w:sz="0" w:space="0" w:color="auto"/>
            <w:left w:val="none" w:sz="0" w:space="0" w:color="auto"/>
            <w:bottom w:val="none" w:sz="0" w:space="0" w:color="auto"/>
            <w:right w:val="none" w:sz="0" w:space="0" w:color="auto"/>
          </w:divBdr>
          <w:divsChild>
            <w:div w:id="1615864380">
              <w:marLeft w:val="0"/>
              <w:marRight w:val="0"/>
              <w:marTop w:val="0"/>
              <w:marBottom w:val="0"/>
              <w:divBdr>
                <w:top w:val="none" w:sz="0" w:space="0" w:color="auto"/>
                <w:left w:val="none" w:sz="0" w:space="0" w:color="auto"/>
                <w:bottom w:val="none" w:sz="0" w:space="0" w:color="auto"/>
                <w:right w:val="none" w:sz="0" w:space="0" w:color="auto"/>
              </w:divBdr>
            </w:div>
          </w:divsChild>
        </w:div>
        <w:div w:id="178547413">
          <w:marLeft w:val="0"/>
          <w:marRight w:val="0"/>
          <w:marTop w:val="0"/>
          <w:marBottom w:val="0"/>
          <w:divBdr>
            <w:top w:val="none" w:sz="0" w:space="0" w:color="auto"/>
            <w:left w:val="none" w:sz="0" w:space="0" w:color="auto"/>
            <w:bottom w:val="none" w:sz="0" w:space="0" w:color="auto"/>
            <w:right w:val="none" w:sz="0" w:space="0" w:color="auto"/>
          </w:divBdr>
          <w:divsChild>
            <w:div w:id="1506287291">
              <w:marLeft w:val="0"/>
              <w:marRight w:val="0"/>
              <w:marTop w:val="0"/>
              <w:marBottom w:val="0"/>
              <w:divBdr>
                <w:top w:val="none" w:sz="0" w:space="0" w:color="auto"/>
                <w:left w:val="none" w:sz="0" w:space="0" w:color="auto"/>
                <w:bottom w:val="none" w:sz="0" w:space="0" w:color="auto"/>
                <w:right w:val="none" w:sz="0" w:space="0" w:color="auto"/>
              </w:divBdr>
            </w:div>
          </w:divsChild>
        </w:div>
        <w:div w:id="1136486162">
          <w:marLeft w:val="0"/>
          <w:marRight w:val="0"/>
          <w:marTop w:val="0"/>
          <w:marBottom w:val="0"/>
          <w:divBdr>
            <w:top w:val="none" w:sz="0" w:space="0" w:color="auto"/>
            <w:left w:val="none" w:sz="0" w:space="0" w:color="auto"/>
            <w:bottom w:val="none" w:sz="0" w:space="0" w:color="auto"/>
            <w:right w:val="none" w:sz="0" w:space="0" w:color="auto"/>
          </w:divBdr>
          <w:divsChild>
            <w:div w:id="319891317">
              <w:marLeft w:val="0"/>
              <w:marRight w:val="0"/>
              <w:marTop w:val="0"/>
              <w:marBottom w:val="0"/>
              <w:divBdr>
                <w:top w:val="none" w:sz="0" w:space="0" w:color="auto"/>
                <w:left w:val="none" w:sz="0" w:space="0" w:color="auto"/>
                <w:bottom w:val="none" w:sz="0" w:space="0" w:color="auto"/>
                <w:right w:val="none" w:sz="0" w:space="0" w:color="auto"/>
              </w:divBdr>
            </w:div>
          </w:divsChild>
        </w:div>
        <w:div w:id="1678730346">
          <w:marLeft w:val="0"/>
          <w:marRight w:val="0"/>
          <w:marTop w:val="0"/>
          <w:marBottom w:val="0"/>
          <w:divBdr>
            <w:top w:val="none" w:sz="0" w:space="0" w:color="auto"/>
            <w:left w:val="none" w:sz="0" w:space="0" w:color="auto"/>
            <w:bottom w:val="none" w:sz="0" w:space="0" w:color="auto"/>
            <w:right w:val="none" w:sz="0" w:space="0" w:color="auto"/>
          </w:divBdr>
          <w:divsChild>
            <w:div w:id="1845827421">
              <w:marLeft w:val="0"/>
              <w:marRight w:val="0"/>
              <w:marTop w:val="0"/>
              <w:marBottom w:val="0"/>
              <w:divBdr>
                <w:top w:val="none" w:sz="0" w:space="0" w:color="auto"/>
                <w:left w:val="none" w:sz="0" w:space="0" w:color="auto"/>
                <w:bottom w:val="none" w:sz="0" w:space="0" w:color="auto"/>
                <w:right w:val="none" w:sz="0" w:space="0" w:color="auto"/>
              </w:divBdr>
            </w:div>
          </w:divsChild>
        </w:div>
        <w:div w:id="158735801">
          <w:marLeft w:val="0"/>
          <w:marRight w:val="0"/>
          <w:marTop w:val="0"/>
          <w:marBottom w:val="0"/>
          <w:divBdr>
            <w:top w:val="none" w:sz="0" w:space="0" w:color="auto"/>
            <w:left w:val="none" w:sz="0" w:space="0" w:color="auto"/>
            <w:bottom w:val="none" w:sz="0" w:space="0" w:color="auto"/>
            <w:right w:val="none" w:sz="0" w:space="0" w:color="auto"/>
          </w:divBdr>
          <w:divsChild>
            <w:div w:id="1860654226">
              <w:marLeft w:val="0"/>
              <w:marRight w:val="0"/>
              <w:marTop w:val="0"/>
              <w:marBottom w:val="0"/>
              <w:divBdr>
                <w:top w:val="none" w:sz="0" w:space="0" w:color="auto"/>
                <w:left w:val="none" w:sz="0" w:space="0" w:color="auto"/>
                <w:bottom w:val="none" w:sz="0" w:space="0" w:color="auto"/>
                <w:right w:val="none" w:sz="0" w:space="0" w:color="auto"/>
              </w:divBdr>
            </w:div>
          </w:divsChild>
        </w:div>
        <w:div w:id="1009528408">
          <w:marLeft w:val="0"/>
          <w:marRight w:val="0"/>
          <w:marTop w:val="0"/>
          <w:marBottom w:val="0"/>
          <w:divBdr>
            <w:top w:val="none" w:sz="0" w:space="0" w:color="auto"/>
            <w:left w:val="none" w:sz="0" w:space="0" w:color="auto"/>
            <w:bottom w:val="none" w:sz="0" w:space="0" w:color="auto"/>
            <w:right w:val="none" w:sz="0" w:space="0" w:color="auto"/>
          </w:divBdr>
          <w:divsChild>
            <w:div w:id="1425540628">
              <w:marLeft w:val="0"/>
              <w:marRight w:val="0"/>
              <w:marTop w:val="0"/>
              <w:marBottom w:val="0"/>
              <w:divBdr>
                <w:top w:val="none" w:sz="0" w:space="0" w:color="auto"/>
                <w:left w:val="none" w:sz="0" w:space="0" w:color="auto"/>
                <w:bottom w:val="none" w:sz="0" w:space="0" w:color="auto"/>
                <w:right w:val="none" w:sz="0" w:space="0" w:color="auto"/>
              </w:divBdr>
            </w:div>
          </w:divsChild>
        </w:div>
        <w:div w:id="980187758">
          <w:marLeft w:val="0"/>
          <w:marRight w:val="0"/>
          <w:marTop w:val="0"/>
          <w:marBottom w:val="0"/>
          <w:divBdr>
            <w:top w:val="none" w:sz="0" w:space="0" w:color="auto"/>
            <w:left w:val="none" w:sz="0" w:space="0" w:color="auto"/>
            <w:bottom w:val="none" w:sz="0" w:space="0" w:color="auto"/>
            <w:right w:val="none" w:sz="0" w:space="0" w:color="auto"/>
          </w:divBdr>
          <w:divsChild>
            <w:div w:id="1909609920">
              <w:marLeft w:val="0"/>
              <w:marRight w:val="0"/>
              <w:marTop w:val="0"/>
              <w:marBottom w:val="0"/>
              <w:divBdr>
                <w:top w:val="none" w:sz="0" w:space="0" w:color="auto"/>
                <w:left w:val="none" w:sz="0" w:space="0" w:color="auto"/>
                <w:bottom w:val="none" w:sz="0" w:space="0" w:color="auto"/>
                <w:right w:val="none" w:sz="0" w:space="0" w:color="auto"/>
              </w:divBdr>
            </w:div>
          </w:divsChild>
        </w:div>
        <w:div w:id="833686744">
          <w:marLeft w:val="0"/>
          <w:marRight w:val="0"/>
          <w:marTop w:val="0"/>
          <w:marBottom w:val="0"/>
          <w:divBdr>
            <w:top w:val="none" w:sz="0" w:space="0" w:color="auto"/>
            <w:left w:val="none" w:sz="0" w:space="0" w:color="auto"/>
            <w:bottom w:val="none" w:sz="0" w:space="0" w:color="auto"/>
            <w:right w:val="none" w:sz="0" w:space="0" w:color="auto"/>
          </w:divBdr>
          <w:divsChild>
            <w:div w:id="485585606">
              <w:marLeft w:val="0"/>
              <w:marRight w:val="0"/>
              <w:marTop w:val="0"/>
              <w:marBottom w:val="0"/>
              <w:divBdr>
                <w:top w:val="none" w:sz="0" w:space="0" w:color="auto"/>
                <w:left w:val="none" w:sz="0" w:space="0" w:color="auto"/>
                <w:bottom w:val="none" w:sz="0" w:space="0" w:color="auto"/>
                <w:right w:val="none" w:sz="0" w:space="0" w:color="auto"/>
              </w:divBdr>
            </w:div>
          </w:divsChild>
        </w:div>
        <w:div w:id="1682119478">
          <w:marLeft w:val="0"/>
          <w:marRight w:val="0"/>
          <w:marTop w:val="0"/>
          <w:marBottom w:val="0"/>
          <w:divBdr>
            <w:top w:val="none" w:sz="0" w:space="0" w:color="auto"/>
            <w:left w:val="none" w:sz="0" w:space="0" w:color="auto"/>
            <w:bottom w:val="none" w:sz="0" w:space="0" w:color="auto"/>
            <w:right w:val="none" w:sz="0" w:space="0" w:color="auto"/>
          </w:divBdr>
          <w:divsChild>
            <w:div w:id="1022978868">
              <w:marLeft w:val="0"/>
              <w:marRight w:val="0"/>
              <w:marTop w:val="0"/>
              <w:marBottom w:val="0"/>
              <w:divBdr>
                <w:top w:val="none" w:sz="0" w:space="0" w:color="auto"/>
                <w:left w:val="none" w:sz="0" w:space="0" w:color="auto"/>
                <w:bottom w:val="none" w:sz="0" w:space="0" w:color="auto"/>
                <w:right w:val="none" w:sz="0" w:space="0" w:color="auto"/>
              </w:divBdr>
            </w:div>
          </w:divsChild>
        </w:div>
        <w:div w:id="194584460">
          <w:marLeft w:val="0"/>
          <w:marRight w:val="0"/>
          <w:marTop w:val="0"/>
          <w:marBottom w:val="0"/>
          <w:divBdr>
            <w:top w:val="none" w:sz="0" w:space="0" w:color="auto"/>
            <w:left w:val="none" w:sz="0" w:space="0" w:color="auto"/>
            <w:bottom w:val="none" w:sz="0" w:space="0" w:color="auto"/>
            <w:right w:val="none" w:sz="0" w:space="0" w:color="auto"/>
          </w:divBdr>
          <w:divsChild>
            <w:div w:id="147942631">
              <w:marLeft w:val="0"/>
              <w:marRight w:val="0"/>
              <w:marTop w:val="0"/>
              <w:marBottom w:val="0"/>
              <w:divBdr>
                <w:top w:val="none" w:sz="0" w:space="0" w:color="auto"/>
                <w:left w:val="none" w:sz="0" w:space="0" w:color="auto"/>
                <w:bottom w:val="none" w:sz="0" w:space="0" w:color="auto"/>
                <w:right w:val="none" w:sz="0" w:space="0" w:color="auto"/>
              </w:divBdr>
            </w:div>
          </w:divsChild>
        </w:div>
        <w:div w:id="1435323180">
          <w:marLeft w:val="0"/>
          <w:marRight w:val="0"/>
          <w:marTop w:val="0"/>
          <w:marBottom w:val="0"/>
          <w:divBdr>
            <w:top w:val="none" w:sz="0" w:space="0" w:color="auto"/>
            <w:left w:val="none" w:sz="0" w:space="0" w:color="auto"/>
            <w:bottom w:val="none" w:sz="0" w:space="0" w:color="auto"/>
            <w:right w:val="none" w:sz="0" w:space="0" w:color="auto"/>
          </w:divBdr>
          <w:divsChild>
            <w:div w:id="163390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9402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4680725">
      <w:bodyDiv w:val="1"/>
      <w:marLeft w:val="0"/>
      <w:marRight w:val="0"/>
      <w:marTop w:val="0"/>
      <w:marBottom w:val="0"/>
      <w:divBdr>
        <w:top w:val="none" w:sz="0" w:space="0" w:color="auto"/>
        <w:left w:val="none" w:sz="0" w:space="0" w:color="auto"/>
        <w:bottom w:val="none" w:sz="0" w:space="0" w:color="auto"/>
        <w:right w:val="none" w:sz="0" w:space="0" w:color="auto"/>
      </w:divBdr>
      <w:divsChild>
        <w:div w:id="681859017">
          <w:marLeft w:val="0"/>
          <w:marRight w:val="0"/>
          <w:marTop w:val="0"/>
          <w:marBottom w:val="0"/>
          <w:divBdr>
            <w:top w:val="none" w:sz="0" w:space="0" w:color="auto"/>
            <w:left w:val="none" w:sz="0" w:space="0" w:color="auto"/>
            <w:bottom w:val="none" w:sz="0" w:space="0" w:color="auto"/>
            <w:right w:val="none" w:sz="0" w:space="0" w:color="auto"/>
          </w:divBdr>
        </w:div>
        <w:div w:id="1382902263">
          <w:marLeft w:val="0"/>
          <w:marRight w:val="0"/>
          <w:marTop w:val="0"/>
          <w:marBottom w:val="0"/>
          <w:divBdr>
            <w:top w:val="none" w:sz="0" w:space="0" w:color="auto"/>
            <w:left w:val="none" w:sz="0" w:space="0" w:color="auto"/>
            <w:bottom w:val="none" w:sz="0" w:space="0" w:color="auto"/>
            <w:right w:val="none" w:sz="0" w:space="0" w:color="auto"/>
          </w:divBdr>
        </w:div>
        <w:div w:id="774640593">
          <w:marLeft w:val="0"/>
          <w:marRight w:val="0"/>
          <w:marTop w:val="0"/>
          <w:marBottom w:val="0"/>
          <w:divBdr>
            <w:top w:val="none" w:sz="0" w:space="0" w:color="auto"/>
            <w:left w:val="none" w:sz="0" w:space="0" w:color="auto"/>
            <w:bottom w:val="none" w:sz="0" w:space="0" w:color="auto"/>
            <w:right w:val="none" w:sz="0" w:space="0" w:color="auto"/>
          </w:divBdr>
        </w:div>
        <w:div w:id="1382049772">
          <w:marLeft w:val="0"/>
          <w:marRight w:val="0"/>
          <w:marTop w:val="0"/>
          <w:marBottom w:val="0"/>
          <w:divBdr>
            <w:top w:val="none" w:sz="0" w:space="0" w:color="auto"/>
            <w:left w:val="none" w:sz="0" w:space="0" w:color="auto"/>
            <w:bottom w:val="none" w:sz="0" w:space="0" w:color="auto"/>
            <w:right w:val="none" w:sz="0" w:space="0" w:color="auto"/>
          </w:divBdr>
        </w:div>
        <w:div w:id="1304846338">
          <w:marLeft w:val="0"/>
          <w:marRight w:val="0"/>
          <w:marTop w:val="0"/>
          <w:marBottom w:val="0"/>
          <w:divBdr>
            <w:top w:val="none" w:sz="0" w:space="0" w:color="auto"/>
            <w:left w:val="none" w:sz="0" w:space="0" w:color="auto"/>
            <w:bottom w:val="none" w:sz="0" w:space="0" w:color="auto"/>
            <w:right w:val="none" w:sz="0" w:space="0" w:color="auto"/>
          </w:divBdr>
        </w:div>
        <w:div w:id="1125345345">
          <w:marLeft w:val="0"/>
          <w:marRight w:val="0"/>
          <w:marTop w:val="0"/>
          <w:marBottom w:val="0"/>
          <w:divBdr>
            <w:top w:val="none" w:sz="0" w:space="0" w:color="auto"/>
            <w:left w:val="none" w:sz="0" w:space="0" w:color="auto"/>
            <w:bottom w:val="none" w:sz="0" w:space="0" w:color="auto"/>
            <w:right w:val="none" w:sz="0" w:space="0" w:color="auto"/>
          </w:divBdr>
        </w:div>
        <w:div w:id="363871510">
          <w:marLeft w:val="-75"/>
          <w:marRight w:val="0"/>
          <w:marTop w:val="30"/>
          <w:marBottom w:val="30"/>
          <w:divBdr>
            <w:top w:val="none" w:sz="0" w:space="0" w:color="auto"/>
            <w:left w:val="none" w:sz="0" w:space="0" w:color="auto"/>
            <w:bottom w:val="none" w:sz="0" w:space="0" w:color="auto"/>
            <w:right w:val="none" w:sz="0" w:space="0" w:color="auto"/>
          </w:divBdr>
          <w:divsChild>
            <w:div w:id="1528133259">
              <w:marLeft w:val="0"/>
              <w:marRight w:val="0"/>
              <w:marTop w:val="0"/>
              <w:marBottom w:val="0"/>
              <w:divBdr>
                <w:top w:val="none" w:sz="0" w:space="0" w:color="auto"/>
                <w:left w:val="none" w:sz="0" w:space="0" w:color="auto"/>
                <w:bottom w:val="none" w:sz="0" w:space="0" w:color="auto"/>
                <w:right w:val="none" w:sz="0" w:space="0" w:color="auto"/>
              </w:divBdr>
              <w:divsChild>
                <w:div w:id="479149540">
                  <w:marLeft w:val="0"/>
                  <w:marRight w:val="0"/>
                  <w:marTop w:val="0"/>
                  <w:marBottom w:val="0"/>
                  <w:divBdr>
                    <w:top w:val="none" w:sz="0" w:space="0" w:color="auto"/>
                    <w:left w:val="none" w:sz="0" w:space="0" w:color="auto"/>
                    <w:bottom w:val="none" w:sz="0" w:space="0" w:color="auto"/>
                    <w:right w:val="none" w:sz="0" w:space="0" w:color="auto"/>
                  </w:divBdr>
                </w:div>
              </w:divsChild>
            </w:div>
            <w:div w:id="572545163">
              <w:marLeft w:val="0"/>
              <w:marRight w:val="0"/>
              <w:marTop w:val="0"/>
              <w:marBottom w:val="0"/>
              <w:divBdr>
                <w:top w:val="none" w:sz="0" w:space="0" w:color="auto"/>
                <w:left w:val="none" w:sz="0" w:space="0" w:color="auto"/>
                <w:bottom w:val="none" w:sz="0" w:space="0" w:color="auto"/>
                <w:right w:val="none" w:sz="0" w:space="0" w:color="auto"/>
              </w:divBdr>
              <w:divsChild>
                <w:div w:id="1435245407">
                  <w:marLeft w:val="0"/>
                  <w:marRight w:val="0"/>
                  <w:marTop w:val="0"/>
                  <w:marBottom w:val="0"/>
                  <w:divBdr>
                    <w:top w:val="none" w:sz="0" w:space="0" w:color="auto"/>
                    <w:left w:val="none" w:sz="0" w:space="0" w:color="auto"/>
                    <w:bottom w:val="none" w:sz="0" w:space="0" w:color="auto"/>
                    <w:right w:val="none" w:sz="0" w:space="0" w:color="auto"/>
                  </w:divBdr>
                </w:div>
              </w:divsChild>
            </w:div>
            <w:div w:id="2067103506">
              <w:marLeft w:val="0"/>
              <w:marRight w:val="0"/>
              <w:marTop w:val="0"/>
              <w:marBottom w:val="0"/>
              <w:divBdr>
                <w:top w:val="none" w:sz="0" w:space="0" w:color="auto"/>
                <w:left w:val="none" w:sz="0" w:space="0" w:color="auto"/>
                <w:bottom w:val="none" w:sz="0" w:space="0" w:color="auto"/>
                <w:right w:val="none" w:sz="0" w:space="0" w:color="auto"/>
              </w:divBdr>
              <w:divsChild>
                <w:div w:id="1830291336">
                  <w:marLeft w:val="0"/>
                  <w:marRight w:val="0"/>
                  <w:marTop w:val="0"/>
                  <w:marBottom w:val="0"/>
                  <w:divBdr>
                    <w:top w:val="none" w:sz="0" w:space="0" w:color="auto"/>
                    <w:left w:val="none" w:sz="0" w:space="0" w:color="auto"/>
                    <w:bottom w:val="none" w:sz="0" w:space="0" w:color="auto"/>
                    <w:right w:val="none" w:sz="0" w:space="0" w:color="auto"/>
                  </w:divBdr>
                </w:div>
              </w:divsChild>
            </w:div>
            <w:div w:id="2036884379">
              <w:marLeft w:val="0"/>
              <w:marRight w:val="0"/>
              <w:marTop w:val="0"/>
              <w:marBottom w:val="0"/>
              <w:divBdr>
                <w:top w:val="none" w:sz="0" w:space="0" w:color="auto"/>
                <w:left w:val="none" w:sz="0" w:space="0" w:color="auto"/>
                <w:bottom w:val="none" w:sz="0" w:space="0" w:color="auto"/>
                <w:right w:val="none" w:sz="0" w:space="0" w:color="auto"/>
              </w:divBdr>
              <w:divsChild>
                <w:div w:id="85931922">
                  <w:marLeft w:val="0"/>
                  <w:marRight w:val="0"/>
                  <w:marTop w:val="0"/>
                  <w:marBottom w:val="0"/>
                  <w:divBdr>
                    <w:top w:val="none" w:sz="0" w:space="0" w:color="auto"/>
                    <w:left w:val="none" w:sz="0" w:space="0" w:color="auto"/>
                    <w:bottom w:val="none" w:sz="0" w:space="0" w:color="auto"/>
                    <w:right w:val="none" w:sz="0" w:space="0" w:color="auto"/>
                  </w:divBdr>
                </w:div>
              </w:divsChild>
            </w:div>
            <w:div w:id="982077794">
              <w:marLeft w:val="0"/>
              <w:marRight w:val="0"/>
              <w:marTop w:val="0"/>
              <w:marBottom w:val="0"/>
              <w:divBdr>
                <w:top w:val="none" w:sz="0" w:space="0" w:color="auto"/>
                <w:left w:val="none" w:sz="0" w:space="0" w:color="auto"/>
                <w:bottom w:val="none" w:sz="0" w:space="0" w:color="auto"/>
                <w:right w:val="none" w:sz="0" w:space="0" w:color="auto"/>
              </w:divBdr>
              <w:divsChild>
                <w:div w:id="1566376495">
                  <w:marLeft w:val="0"/>
                  <w:marRight w:val="0"/>
                  <w:marTop w:val="0"/>
                  <w:marBottom w:val="0"/>
                  <w:divBdr>
                    <w:top w:val="none" w:sz="0" w:space="0" w:color="auto"/>
                    <w:left w:val="none" w:sz="0" w:space="0" w:color="auto"/>
                    <w:bottom w:val="none" w:sz="0" w:space="0" w:color="auto"/>
                    <w:right w:val="none" w:sz="0" w:space="0" w:color="auto"/>
                  </w:divBdr>
                </w:div>
              </w:divsChild>
            </w:div>
            <w:div w:id="881132120">
              <w:marLeft w:val="0"/>
              <w:marRight w:val="0"/>
              <w:marTop w:val="0"/>
              <w:marBottom w:val="0"/>
              <w:divBdr>
                <w:top w:val="none" w:sz="0" w:space="0" w:color="auto"/>
                <w:left w:val="none" w:sz="0" w:space="0" w:color="auto"/>
                <w:bottom w:val="none" w:sz="0" w:space="0" w:color="auto"/>
                <w:right w:val="none" w:sz="0" w:space="0" w:color="auto"/>
              </w:divBdr>
              <w:divsChild>
                <w:div w:id="985627361">
                  <w:marLeft w:val="0"/>
                  <w:marRight w:val="0"/>
                  <w:marTop w:val="0"/>
                  <w:marBottom w:val="0"/>
                  <w:divBdr>
                    <w:top w:val="none" w:sz="0" w:space="0" w:color="auto"/>
                    <w:left w:val="none" w:sz="0" w:space="0" w:color="auto"/>
                    <w:bottom w:val="none" w:sz="0" w:space="0" w:color="auto"/>
                    <w:right w:val="none" w:sz="0" w:space="0" w:color="auto"/>
                  </w:divBdr>
                </w:div>
              </w:divsChild>
            </w:div>
            <w:div w:id="698698466">
              <w:marLeft w:val="0"/>
              <w:marRight w:val="0"/>
              <w:marTop w:val="0"/>
              <w:marBottom w:val="0"/>
              <w:divBdr>
                <w:top w:val="none" w:sz="0" w:space="0" w:color="auto"/>
                <w:left w:val="none" w:sz="0" w:space="0" w:color="auto"/>
                <w:bottom w:val="none" w:sz="0" w:space="0" w:color="auto"/>
                <w:right w:val="none" w:sz="0" w:space="0" w:color="auto"/>
              </w:divBdr>
              <w:divsChild>
                <w:div w:id="2046052265">
                  <w:marLeft w:val="0"/>
                  <w:marRight w:val="0"/>
                  <w:marTop w:val="0"/>
                  <w:marBottom w:val="0"/>
                  <w:divBdr>
                    <w:top w:val="none" w:sz="0" w:space="0" w:color="auto"/>
                    <w:left w:val="none" w:sz="0" w:space="0" w:color="auto"/>
                    <w:bottom w:val="none" w:sz="0" w:space="0" w:color="auto"/>
                    <w:right w:val="none" w:sz="0" w:space="0" w:color="auto"/>
                  </w:divBdr>
                </w:div>
                <w:div w:id="789591558">
                  <w:marLeft w:val="0"/>
                  <w:marRight w:val="0"/>
                  <w:marTop w:val="0"/>
                  <w:marBottom w:val="0"/>
                  <w:divBdr>
                    <w:top w:val="none" w:sz="0" w:space="0" w:color="auto"/>
                    <w:left w:val="none" w:sz="0" w:space="0" w:color="auto"/>
                    <w:bottom w:val="none" w:sz="0" w:space="0" w:color="auto"/>
                    <w:right w:val="none" w:sz="0" w:space="0" w:color="auto"/>
                  </w:divBdr>
                </w:div>
              </w:divsChild>
            </w:div>
            <w:div w:id="1011104695">
              <w:marLeft w:val="0"/>
              <w:marRight w:val="0"/>
              <w:marTop w:val="0"/>
              <w:marBottom w:val="0"/>
              <w:divBdr>
                <w:top w:val="none" w:sz="0" w:space="0" w:color="auto"/>
                <w:left w:val="none" w:sz="0" w:space="0" w:color="auto"/>
                <w:bottom w:val="none" w:sz="0" w:space="0" w:color="auto"/>
                <w:right w:val="none" w:sz="0" w:space="0" w:color="auto"/>
              </w:divBdr>
              <w:divsChild>
                <w:div w:id="1271471741">
                  <w:marLeft w:val="0"/>
                  <w:marRight w:val="0"/>
                  <w:marTop w:val="0"/>
                  <w:marBottom w:val="0"/>
                  <w:divBdr>
                    <w:top w:val="none" w:sz="0" w:space="0" w:color="auto"/>
                    <w:left w:val="none" w:sz="0" w:space="0" w:color="auto"/>
                    <w:bottom w:val="none" w:sz="0" w:space="0" w:color="auto"/>
                    <w:right w:val="none" w:sz="0" w:space="0" w:color="auto"/>
                  </w:divBdr>
                </w:div>
              </w:divsChild>
            </w:div>
            <w:div w:id="1000232167">
              <w:marLeft w:val="0"/>
              <w:marRight w:val="0"/>
              <w:marTop w:val="0"/>
              <w:marBottom w:val="0"/>
              <w:divBdr>
                <w:top w:val="none" w:sz="0" w:space="0" w:color="auto"/>
                <w:left w:val="none" w:sz="0" w:space="0" w:color="auto"/>
                <w:bottom w:val="none" w:sz="0" w:space="0" w:color="auto"/>
                <w:right w:val="none" w:sz="0" w:space="0" w:color="auto"/>
              </w:divBdr>
              <w:divsChild>
                <w:div w:id="2017342259">
                  <w:marLeft w:val="0"/>
                  <w:marRight w:val="0"/>
                  <w:marTop w:val="0"/>
                  <w:marBottom w:val="0"/>
                  <w:divBdr>
                    <w:top w:val="none" w:sz="0" w:space="0" w:color="auto"/>
                    <w:left w:val="none" w:sz="0" w:space="0" w:color="auto"/>
                    <w:bottom w:val="none" w:sz="0" w:space="0" w:color="auto"/>
                    <w:right w:val="none" w:sz="0" w:space="0" w:color="auto"/>
                  </w:divBdr>
                </w:div>
              </w:divsChild>
            </w:div>
            <w:div w:id="32584358">
              <w:marLeft w:val="0"/>
              <w:marRight w:val="0"/>
              <w:marTop w:val="0"/>
              <w:marBottom w:val="0"/>
              <w:divBdr>
                <w:top w:val="none" w:sz="0" w:space="0" w:color="auto"/>
                <w:left w:val="none" w:sz="0" w:space="0" w:color="auto"/>
                <w:bottom w:val="none" w:sz="0" w:space="0" w:color="auto"/>
                <w:right w:val="none" w:sz="0" w:space="0" w:color="auto"/>
              </w:divBdr>
              <w:divsChild>
                <w:div w:id="1299921894">
                  <w:marLeft w:val="0"/>
                  <w:marRight w:val="0"/>
                  <w:marTop w:val="0"/>
                  <w:marBottom w:val="0"/>
                  <w:divBdr>
                    <w:top w:val="none" w:sz="0" w:space="0" w:color="auto"/>
                    <w:left w:val="none" w:sz="0" w:space="0" w:color="auto"/>
                    <w:bottom w:val="none" w:sz="0" w:space="0" w:color="auto"/>
                    <w:right w:val="none" w:sz="0" w:space="0" w:color="auto"/>
                  </w:divBdr>
                </w:div>
              </w:divsChild>
            </w:div>
            <w:div w:id="1887184911">
              <w:marLeft w:val="0"/>
              <w:marRight w:val="0"/>
              <w:marTop w:val="0"/>
              <w:marBottom w:val="0"/>
              <w:divBdr>
                <w:top w:val="none" w:sz="0" w:space="0" w:color="auto"/>
                <w:left w:val="none" w:sz="0" w:space="0" w:color="auto"/>
                <w:bottom w:val="none" w:sz="0" w:space="0" w:color="auto"/>
                <w:right w:val="none" w:sz="0" w:space="0" w:color="auto"/>
              </w:divBdr>
              <w:divsChild>
                <w:div w:id="865094984">
                  <w:marLeft w:val="0"/>
                  <w:marRight w:val="0"/>
                  <w:marTop w:val="0"/>
                  <w:marBottom w:val="0"/>
                  <w:divBdr>
                    <w:top w:val="none" w:sz="0" w:space="0" w:color="auto"/>
                    <w:left w:val="none" w:sz="0" w:space="0" w:color="auto"/>
                    <w:bottom w:val="none" w:sz="0" w:space="0" w:color="auto"/>
                    <w:right w:val="none" w:sz="0" w:space="0" w:color="auto"/>
                  </w:divBdr>
                </w:div>
              </w:divsChild>
            </w:div>
            <w:div w:id="1025054726">
              <w:marLeft w:val="0"/>
              <w:marRight w:val="0"/>
              <w:marTop w:val="0"/>
              <w:marBottom w:val="0"/>
              <w:divBdr>
                <w:top w:val="none" w:sz="0" w:space="0" w:color="auto"/>
                <w:left w:val="none" w:sz="0" w:space="0" w:color="auto"/>
                <w:bottom w:val="none" w:sz="0" w:space="0" w:color="auto"/>
                <w:right w:val="none" w:sz="0" w:space="0" w:color="auto"/>
              </w:divBdr>
              <w:divsChild>
                <w:div w:id="1374620573">
                  <w:marLeft w:val="0"/>
                  <w:marRight w:val="0"/>
                  <w:marTop w:val="0"/>
                  <w:marBottom w:val="0"/>
                  <w:divBdr>
                    <w:top w:val="none" w:sz="0" w:space="0" w:color="auto"/>
                    <w:left w:val="none" w:sz="0" w:space="0" w:color="auto"/>
                    <w:bottom w:val="none" w:sz="0" w:space="0" w:color="auto"/>
                    <w:right w:val="none" w:sz="0" w:space="0" w:color="auto"/>
                  </w:divBdr>
                </w:div>
                <w:div w:id="571936093">
                  <w:marLeft w:val="0"/>
                  <w:marRight w:val="0"/>
                  <w:marTop w:val="0"/>
                  <w:marBottom w:val="0"/>
                  <w:divBdr>
                    <w:top w:val="none" w:sz="0" w:space="0" w:color="auto"/>
                    <w:left w:val="none" w:sz="0" w:space="0" w:color="auto"/>
                    <w:bottom w:val="none" w:sz="0" w:space="0" w:color="auto"/>
                    <w:right w:val="none" w:sz="0" w:space="0" w:color="auto"/>
                  </w:divBdr>
                </w:div>
              </w:divsChild>
            </w:div>
            <w:div w:id="895822257">
              <w:marLeft w:val="0"/>
              <w:marRight w:val="0"/>
              <w:marTop w:val="0"/>
              <w:marBottom w:val="0"/>
              <w:divBdr>
                <w:top w:val="none" w:sz="0" w:space="0" w:color="auto"/>
                <w:left w:val="none" w:sz="0" w:space="0" w:color="auto"/>
                <w:bottom w:val="none" w:sz="0" w:space="0" w:color="auto"/>
                <w:right w:val="none" w:sz="0" w:space="0" w:color="auto"/>
              </w:divBdr>
              <w:divsChild>
                <w:div w:id="487064177">
                  <w:marLeft w:val="0"/>
                  <w:marRight w:val="0"/>
                  <w:marTop w:val="0"/>
                  <w:marBottom w:val="0"/>
                  <w:divBdr>
                    <w:top w:val="none" w:sz="0" w:space="0" w:color="auto"/>
                    <w:left w:val="none" w:sz="0" w:space="0" w:color="auto"/>
                    <w:bottom w:val="none" w:sz="0" w:space="0" w:color="auto"/>
                    <w:right w:val="none" w:sz="0" w:space="0" w:color="auto"/>
                  </w:divBdr>
                </w:div>
              </w:divsChild>
            </w:div>
            <w:div w:id="1936937704">
              <w:marLeft w:val="0"/>
              <w:marRight w:val="0"/>
              <w:marTop w:val="0"/>
              <w:marBottom w:val="0"/>
              <w:divBdr>
                <w:top w:val="none" w:sz="0" w:space="0" w:color="auto"/>
                <w:left w:val="none" w:sz="0" w:space="0" w:color="auto"/>
                <w:bottom w:val="none" w:sz="0" w:space="0" w:color="auto"/>
                <w:right w:val="none" w:sz="0" w:space="0" w:color="auto"/>
              </w:divBdr>
              <w:divsChild>
                <w:div w:id="2127188123">
                  <w:marLeft w:val="0"/>
                  <w:marRight w:val="0"/>
                  <w:marTop w:val="0"/>
                  <w:marBottom w:val="0"/>
                  <w:divBdr>
                    <w:top w:val="none" w:sz="0" w:space="0" w:color="auto"/>
                    <w:left w:val="none" w:sz="0" w:space="0" w:color="auto"/>
                    <w:bottom w:val="none" w:sz="0" w:space="0" w:color="auto"/>
                    <w:right w:val="none" w:sz="0" w:space="0" w:color="auto"/>
                  </w:divBdr>
                </w:div>
              </w:divsChild>
            </w:div>
            <w:div w:id="918173415">
              <w:marLeft w:val="0"/>
              <w:marRight w:val="0"/>
              <w:marTop w:val="0"/>
              <w:marBottom w:val="0"/>
              <w:divBdr>
                <w:top w:val="none" w:sz="0" w:space="0" w:color="auto"/>
                <w:left w:val="none" w:sz="0" w:space="0" w:color="auto"/>
                <w:bottom w:val="none" w:sz="0" w:space="0" w:color="auto"/>
                <w:right w:val="none" w:sz="0" w:space="0" w:color="auto"/>
              </w:divBdr>
              <w:divsChild>
                <w:div w:id="892734413">
                  <w:marLeft w:val="0"/>
                  <w:marRight w:val="0"/>
                  <w:marTop w:val="0"/>
                  <w:marBottom w:val="0"/>
                  <w:divBdr>
                    <w:top w:val="none" w:sz="0" w:space="0" w:color="auto"/>
                    <w:left w:val="none" w:sz="0" w:space="0" w:color="auto"/>
                    <w:bottom w:val="none" w:sz="0" w:space="0" w:color="auto"/>
                    <w:right w:val="none" w:sz="0" w:space="0" w:color="auto"/>
                  </w:divBdr>
                </w:div>
              </w:divsChild>
            </w:div>
            <w:div w:id="1868563262">
              <w:marLeft w:val="0"/>
              <w:marRight w:val="0"/>
              <w:marTop w:val="0"/>
              <w:marBottom w:val="0"/>
              <w:divBdr>
                <w:top w:val="none" w:sz="0" w:space="0" w:color="auto"/>
                <w:left w:val="none" w:sz="0" w:space="0" w:color="auto"/>
                <w:bottom w:val="none" w:sz="0" w:space="0" w:color="auto"/>
                <w:right w:val="none" w:sz="0" w:space="0" w:color="auto"/>
              </w:divBdr>
              <w:divsChild>
                <w:div w:id="1255166858">
                  <w:marLeft w:val="0"/>
                  <w:marRight w:val="0"/>
                  <w:marTop w:val="0"/>
                  <w:marBottom w:val="0"/>
                  <w:divBdr>
                    <w:top w:val="none" w:sz="0" w:space="0" w:color="auto"/>
                    <w:left w:val="none" w:sz="0" w:space="0" w:color="auto"/>
                    <w:bottom w:val="none" w:sz="0" w:space="0" w:color="auto"/>
                    <w:right w:val="none" w:sz="0" w:space="0" w:color="auto"/>
                  </w:divBdr>
                </w:div>
              </w:divsChild>
            </w:div>
            <w:div w:id="2131973432">
              <w:marLeft w:val="0"/>
              <w:marRight w:val="0"/>
              <w:marTop w:val="0"/>
              <w:marBottom w:val="0"/>
              <w:divBdr>
                <w:top w:val="none" w:sz="0" w:space="0" w:color="auto"/>
                <w:left w:val="none" w:sz="0" w:space="0" w:color="auto"/>
                <w:bottom w:val="none" w:sz="0" w:space="0" w:color="auto"/>
                <w:right w:val="none" w:sz="0" w:space="0" w:color="auto"/>
              </w:divBdr>
              <w:divsChild>
                <w:div w:id="1691030733">
                  <w:marLeft w:val="0"/>
                  <w:marRight w:val="0"/>
                  <w:marTop w:val="0"/>
                  <w:marBottom w:val="0"/>
                  <w:divBdr>
                    <w:top w:val="none" w:sz="0" w:space="0" w:color="auto"/>
                    <w:left w:val="none" w:sz="0" w:space="0" w:color="auto"/>
                    <w:bottom w:val="none" w:sz="0" w:space="0" w:color="auto"/>
                    <w:right w:val="none" w:sz="0" w:space="0" w:color="auto"/>
                  </w:divBdr>
                </w:div>
              </w:divsChild>
            </w:div>
            <w:div w:id="690768437">
              <w:marLeft w:val="0"/>
              <w:marRight w:val="0"/>
              <w:marTop w:val="0"/>
              <w:marBottom w:val="0"/>
              <w:divBdr>
                <w:top w:val="none" w:sz="0" w:space="0" w:color="auto"/>
                <w:left w:val="none" w:sz="0" w:space="0" w:color="auto"/>
                <w:bottom w:val="none" w:sz="0" w:space="0" w:color="auto"/>
                <w:right w:val="none" w:sz="0" w:space="0" w:color="auto"/>
              </w:divBdr>
              <w:divsChild>
                <w:div w:id="1418475485">
                  <w:marLeft w:val="0"/>
                  <w:marRight w:val="0"/>
                  <w:marTop w:val="0"/>
                  <w:marBottom w:val="0"/>
                  <w:divBdr>
                    <w:top w:val="none" w:sz="0" w:space="0" w:color="auto"/>
                    <w:left w:val="none" w:sz="0" w:space="0" w:color="auto"/>
                    <w:bottom w:val="none" w:sz="0" w:space="0" w:color="auto"/>
                    <w:right w:val="none" w:sz="0" w:space="0" w:color="auto"/>
                  </w:divBdr>
                </w:div>
              </w:divsChild>
            </w:div>
            <w:div w:id="1867063110">
              <w:marLeft w:val="0"/>
              <w:marRight w:val="0"/>
              <w:marTop w:val="0"/>
              <w:marBottom w:val="0"/>
              <w:divBdr>
                <w:top w:val="none" w:sz="0" w:space="0" w:color="auto"/>
                <w:left w:val="none" w:sz="0" w:space="0" w:color="auto"/>
                <w:bottom w:val="none" w:sz="0" w:space="0" w:color="auto"/>
                <w:right w:val="none" w:sz="0" w:space="0" w:color="auto"/>
              </w:divBdr>
              <w:divsChild>
                <w:div w:id="24991629">
                  <w:marLeft w:val="0"/>
                  <w:marRight w:val="0"/>
                  <w:marTop w:val="0"/>
                  <w:marBottom w:val="0"/>
                  <w:divBdr>
                    <w:top w:val="none" w:sz="0" w:space="0" w:color="auto"/>
                    <w:left w:val="none" w:sz="0" w:space="0" w:color="auto"/>
                    <w:bottom w:val="none" w:sz="0" w:space="0" w:color="auto"/>
                    <w:right w:val="none" w:sz="0" w:space="0" w:color="auto"/>
                  </w:divBdr>
                </w:div>
              </w:divsChild>
            </w:div>
            <w:div w:id="1641570663">
              <w:marLeft w:val="0"/>
              <w:marRight w:val="0"/>
              <w:marTop w:val="0"/>
              <w:marBottom w:val="0"/>
              <w:divBdr>
                <w:top w:val="none" w:sz="0" w:space="0" w:color="auto"/>
                <w:left w:val="none" w:sz="0" w:space="0" w:color="auto"/>
                <w:bottom w:val="none" w:sz="0" w:space="0" w:color="auto"/>
                <w:right w:val="none" w:sz="0" w:space="0" w:color="auto"/>
              </w:divBdr>
              <w:divsChild>
                <w:div w:id="1408260235">
                  <w:marLeft w:val="0"/>
                  <w:marRight w:val="0"/>
                  <w:marTop w:val="0"/>
                  <w:marBottom w:val="0"/>
                  <w:divBdr>
                    <w:top w:val="none" w:sz="0" w:space="0" w:color="auto"/>
                    <w:left w:val="none" w:sz="0" w:space="0" w:color="auto"/>
                    <w:bottom w:val="none" w:sz="0" w:space="0" w:color="auto"/>
                    <w:right w:val="none" w:sz="0" w:space="0" w:color="auto"/>
                  </w:divBdr>
                </w:div>
              </w:divsChild>
            </w:div>
            <w:div w:id="730735864">
              <w:marLeft w:val="0"/>
              <w:marRight w:val="0"/>
              <w:marTop w:val="0"/>
              <w:marBottom w:val="0"/>
              <w:divBdr>
                <w:top w:val="none" w:sz="0" w:space="0" w:color="auto"/>
                <w:left w:val="none" w:sz="0" w:space="0" w:color="auto"/>
                <w:bottom w:val="none" w:sz="0" w:space="0" w:color="auto"/>
                <w:right w:val="none" w:sz="0" w:space="0" w:color="auto"/>
              </w:divBdr>
              <w:divsChild>
                <w:div w:id="1286934867">
                  <w:marLeft w:val="0"/>
                  <w:marRight w:val="0"/>
                  <w:marTop w:val="0"/>
                  <w:marBottom w:val="0"/>
                  <w:divBdr>
                    <w:top w:val="none" w:sz="0" w:space="0" w:color="auto"/>
                    <w:left w:val="none" w:sz="0" w:space="0" w:color="auto"/>
                    <w:bottom w:val="none" w:sz="0" w:space="0" w:color="auto"/>
                    <w:right w:val="none" w:sz="0" w:space="0" w:color="auto"/>
                  </w:divBdr>
                </w:div>
              </w:divsChild>
            </w:div>
            <w:div w:id="970481577">
              <w:marLeft w:val="0"/>
              <w:marRight w:val="0"/>
              <w:marTop w:val="0"/>
              <w:marBottom w:val="0"/>
              <w:divBdr>
                <w:top w:val="none" w:sz="0" w:space="0" w:color="auto"/>
                <w:left w:val="none" w:sz="0" w:space="0" w:color="auto"/>
                <w:bottom w:val="none" w:sz="0" w:space="0" w:color="auto"/>
                <w:right w:val="none" w:sz="0" w:space="0" w:color="auto"/>
              </w:divBdr>
              <w:divsChild>
                <w:div w:id="1364358847">
                  <w:marLeft w:val="0"/>
                  <w:marRight w:val="0"/>
                  <w:marTop w:val="0"/>
                  <w:marBottom w:val="0"/>
                  <w:divBdr>
                    <w:top w:val="none" w:sz="0" w:space="0" w:color="auto"/>
                    <w:left w:val="none" w:sz="0" w:space="0" w:color="auto"/>
                    <w:bottom w:val="none" w:sz="0" w:space="0" w:color="auto"/>
                    <w:right w:val="none" w:sz="0" w:space="0" w:color="auto"/>
                  </w:divBdr>
                </w:div>
              </w:divsChild>
            </w:div>
            <w:div w:id="826675266">
              <w:marLeft w:val="0"/>
              <w:marRight w:val="0"/>
              <w:marTop w:val="0"/>
              <w:marBottom w:val="0"/>
              <w:divBdr>
                <w:top w:val="none" w:sz="0" w:space="0" w:color="auto"/>
                <w:left w:val="none" w:sz="0" w:space="0" w:color="auto"/>
                <w:bottom w:val="none" w:sz="0" w:space="0" w:color="auto"/>
                <w:right w:val="none" w:sz="0" w:space="0" w:color="auto"/>
              </w:divBdr>
              <w:divsChild>
                <w:div w:id="2025741450">
                  <w:marLeft w:val="0"/>
                  <w:marRight w:val="0"/>
                  <w:marTop w:val="0"/>
                  <w:marBottom w:val="0"/>
                  <w:divBdr>
                    <w:top w:val="none" w:sz="0" w:space="0" w:color="auto"/>
                    <w:left w:val="none" w:sz="0" w:space="0" w:color="auto"/>
                    <w:bottom w:val="none" w:sz="0" w:space="0" w:color="auto"/>
                    <w:right w:val="none" w:sz="0" w:space="0" w:color="auto"/>
                  </w:divBdr>
                </w:div>
              </w:divsChild>
            </w:div>
            <w:div w:id="1399933836">
              <w:marLeft w:val="0"/>
              <w:marRight w:val="0"/>
              <w:marTop w:val="0"/>
              <w:marBottom w:val="0"/>
              <w:divBdr>
                <w:top w:val="none" w:sz="0" w:space="0" w:color="auto"/>
                <w:left w:val="none" w:sz="0" w:space="0" w:color="auto"/>
                <w:bottom w:val="none" w:sz="0" w:space="0" w:color="auto"/>
                <w:right w:val="none" w:sz="0" w:space="0" w:color="auto"/>
              </w:divBdr>
              <w:divsChild>
                <w:div w:id="1106803973">
                  <w:marLeft w:val="0"/>
                  <w:marRight w:val="0"/>
                  <w:marTop w:val="0"/>
                  <w:marBottom w:val="0"/>
                  <w:divBdr>
                    <w:top w:val="none" w:sz="0" w:space="0" w:color="auto"/>
                    <w:left w:val="none" w:sz="0" w:space="0" w:color="auto"/>
                    <w:bottom w:val="none" w:sz="0" w:space="0" w:color="auto"/>
                    <w:right w:val="none" w:sz="0" w:space="0" w:color="auto"/>
                  </w:divBdr>
                </w:div>
              </w:divsChild>
            </w:div>
            <w:div w:id="989092970">
              <w:marLeft w:val="0"/>
              <w:marRight w:val="0"/>
              <w:marTop w:val="0"/>
              <w:marBottom w:val="0"/>
              <w:divBdr>
                <w:top w:val="none" w:sz="0" w:space="0" w:color="auto"/>
                <w:left w:val="none" w:sz="0" w:space="0" w:color="auto"/>
                <w:bottom w:val="none" w:sz="0" w:space="0" w:color="auto"/>
                <w:right w:val="none" w:sz="0" w:space="0" w:color="auto"/>
              </w:divBdr>
              <w:divsChild>
                <w:div w:id="1186410387">
                  <w:marLeft w:val="0"/>
                  <w:marRight w:val="0"/>
                  <w:marTop w:val="0"/>
                  <w:marBottom w:val="0"/>
                  <w:divBdr>
                    <w:top w:val="none" w:sz="0" w:space="0" w:color="auto"/>
                    <w:left w:val="none" w:sz="0" w:space="0" w:color="auto"/>
                    <w:bottom w:val="none" w:sz="0" w:space="0" w:color="auto"/>
                    <w:right w:val="none" w:sz="0" w:space="0" w:color="auto"/>
                  </w:divBdr>
                </w:div>
              </w:divsChild>
            </w:div>
            <w:div w:id="1498420534">
              <w:marLeft w:val="0"/>
              <w:marRight w:val="0"/>
              <w:marTop w:val="0"/>
              <w:marBottom w:val="0"/>
              <w:divBdr>
                <w:top w:val="none" w:sz="0" w:space="0" w:color="auto"/>
                <w:left w:val="none" w:sz="0" w:space="0" w:color="auto"/>
                <w:bottom w:val="none" w:sz="0" w:space="0" w:color="auto"/>
                <w:right w:val="none" w:sz="0" w:space="0" w:color="auto"/>
              </w:divBdr>
              <w:divsChild>
                <w:div w:id="44525180">
                  <w:marLeft w:val="0"/>
                  <w:marRight w:val="0"/>
                  <w:marTop w:val="0"/>
                  <w:marBottom w:val="0"/>
                  <w:divBdr>
                    <w:top w:val="none" w:sz="0" w:space="0" w:color="auto"/>
                    <w:left w:val="none" w:sz="0" w:space="0" w:color="auto"/>
                    <w:bottom w:val="none" w:sz="0" w:space="0" w:color="auto"/>
                    <w:right w:val="none" w:sz="0" w:space="0" w:color="auto"/>
                  </w:divBdr>
                </w:div>
              </w:divsChild>
            </w:div>
            <w:div w:id="713315447">
              <w:marLeft w:val="0"/>
              <w:marRight w:val="0"/>
              <w:marTop w:val="0"/>
              <w:marBottom w:val="0"/>
              <w:divBdr>
                <w:top w:val="none" w:sz="0" w:space="0" w:color="auto"/>
                <w:left w:val="none" w:sz="0" w:space="0" w:color="auto"/>
                <w:bottom w:val="none" w:sz="0" w:space="0" w:color="auto"/>
                <w:right w:val="none" w:sz="0" w:space="0" w:color="auto"/>
              </w:divBdr>
              <w:divsChild>
                <w:div w:id="1412892683">
                  <w:marLeft w:val="0"/>
                  <w:marRight w:val="0"/>
                  <w:marTop w:val="0"/>
                  <w:marBottom w:val="0"/>
                  <w:divBdr>
                    <w:top w:val="none" w:sz="0" w:space="0" w:color="auto"/>
                    <w:left w:val="none" w:sz="0" w:space="0" w:color="auto"/>
                    <w:bottom w:val="none" w:sz="0" w:space="0" w:color="auto"/>
                    <w:right w:val="none" w:sz="0" w:space="0" w:color="auto"/>
                  </w:divBdr>
                </w:div>
              </w:divsChild>
            </w:div>
            <w:div w:id="1954821466">
              <w:marLeft w:val="0"/>
              <w:marRight w:val="0"/>
              <w:marTop w:val="0"/>
              <w:marBottom w:val="0"/>
              <w:divBdr>
                <w:top w:val="none" w:sz="0" w:space="0" w:color="auto"/>
                <w:left w:val="none" w:sz="0" w:space="0" w:color="auto"/>
                <w:bottom w:val="none" w:sz="0" w:space="0" w:color="auto"/>
                <w:right w:val="none" w:sz="0" w:space="0" w:color="auto"/>
              </w:divBdr>
              <w:divsChild>
                <w:div w:id="2113820117">
                  <w:marLeft w:val="0"/>
                  <w:marRight w:val="0"/>
                  <w:marTop w:val="0"/>
                  <w:marBottom w:val="0"/>
                  <w:divBdr>
                    <w:top w:val="none" w:sz="0" w:space="0" w:color="auto"/>
                    <w:left w:val="none" w:sz="0" w:space="0" w:color="auto"/>
                    <w:bottom w:val="none" w:sz="0" w:space="0" w:color="auto"/>
                    <w:right w:val="none" w:sz="0" w:space="0" w:color="auto"/>
                  </w:divBdr>
                </w:div>
              </w:divsChild>
            </w:div>
            <w:div w:id="1345323428">
              <w:marLeft w:val="0"/>
              <w:marRight w:val="0"/>
              <w:marTop w:val="0"/>
              <w:marBottom w:val="0"/>
              <w:divBdr>
                <w:top w:val="none" w:sz="0" w:space="0" w:color="auto"/>
                <w:left w:val="none" w:sz="0" w:space="0" w:color="auto"/>
                <w:bottom w:val="none" w:sz="0" w:space="0" w:color="auto"/>
                <w:right w:val="none" w:sz="0" w:space="0" w:color="auto"/>
              </w:divBdr>
              <w:divsChild>
                <w:div w:id="1130634981">
                  <w:marLeft w:val="0"/>
                  <w:marRight w:val="0"/>
                  <w:marTop w:val="0"/>
                  <w:marBottom w:val="0"/>
                  <w:divBdr>
                    <w:top w:val="none" w:sz="0" w:space="0" w:color="auto"/>
                    <w:left w:val="none" w:sz="0" w:space="0" w:color="auto"/>
                    <w:bottom w:val="none" w:sz="0" w:space="0" w:color="auto"/>
                    <w:right w:val="none" w:sz="0" w:space="0" w:color="auto"/>
                  </w:divBdr>
                </w:div>
              </w:divsChild>
            </w:div>
            <w:div w:id="1866941206">
              <w:marLeft w:val="0"/>
              <w:marRight w:val="0"/>
              <w:marTop w:val="0"/>
              <w:marBottom w:val="0"/>
              <w:divBdr>
                <w:top w:val="none" w:sz="0" w:space="0" w:color="auto"/>
                <w:left w:val="none" w:sz="0" w:space="0" w:color="auto"/>
                <w:bottom w:val="none" w:sz="0" w:space="0" w:color="auto"/>
                <w:right w:val="none" w:sz="0" w:space="0" w:color="auto"/>
              </w:divBdr>
              <w:divsChild>
                <w:div w:id="1740784904">
                  <w:marLeft w:val="0"/>
                  <w:marRight w:val="0"/>
                  <w:marTop w:val="0"/>
                  <w:marBottom w:val="0"/>
                  <w:divBdr>
                    <w:top w:val="none" w:sz="0" w:space="0" w:color="auto"/>
                    <w:left w:val="none" w:sz="0" w:space="0" w:color="auto"/>
                    <w:bottom w:val="none" w:sz="0" w:space="0" w:color="auto"/>
                    <w:right w:val="none" w:sz="0" w:space="0" w:color="auto"/>
                  </w:divBdr>
                </w:div>
              </w:divsChild>
            </w:div>
            <w:div w:id="1200047937">
              <w:marLeft w:val="0"/>
              <w:marRight w:val="0"/>
              <w:marTop w:val="0"/>
              <w:marBottom w:val="0"/>
              <w:divBdr>
                <w:top w:val="none" w:sz="0" w:space="0" w:color="auto"/>
                <w:left w:val="none" w:sz="0" w:space="0" w:color="auto"/>
                <w:bottom w:val="none" w:sz="0" w:space="0" w:color="auto"/>
                <w:right w:val="none" w:sz="0" w:space="0" w:color="auto"/>
              </w:divBdr>
              <w:divsChild>
                <w:div w:id="921181064">
                  <w:marLeft w:val="0"/>
                  <w:marRight w:val="0"/>
                  <w:marTop w:val="0"/>
                  <w:marBottom w:val="0"/>
                  <w:divBdr>
                    <w:top w:val="none" w:sz="0" w:space="0" w:color="auto"/>
                    <w:left w:val="none" w:sz="0" w:space="0" w:color="auto"/>
                    <w:bottom w:val="none" w:sz="0" w:space="0" w:color="auto"/>
                    <w:right w:val="none" w:sz="0" w:space="0" w:color="auto"/>
                  </w:divBdr>
                </w:div>
              </w:divsChild>
            </w:div>
            <w:div w:id="962156089">
              <w:marLeft w:val="0"/>
              <w:marRight w:val="0"/>
              <w:marTop w:val="0"/>
              <w:marBottom w:val="0"/>
              <w:divBdr>
                <w:top w:val="none" w:sz="0" w:space="0" w:color="auto"/>
                <w:left w:val="none" w:sz="0" w:space="0" w:color="auto"/>
                <w:bottom w:val="none" w:sz="0" w:space="0" w:color="auto"/>
                <w:right w:val="none" w:sz="0" w:space="0" w:color="auto"/>
              </w:divBdr>
              <w:divsChild>
                <w:div w:id="757480307">
                  <w:marLeft w:val="0"/>
                  <w:marRight w:val="0"/>
                  <w:marTop w:val="0"/>
                  <w:marBottom w:val="0"/>
                  <w:divBdr>
                    <w:top w:val="none" w:sz="0" w:space="0" w:color="auto"/>
                    <w:left w:val="none" w:sz="0" w:space="0" w:color="auto"/>
                    <w:bottom w:val="none" w:sz="0" w:space="0" w:color="auto"/>
                    <w:right w:val="none" w:sz="0" w:space="0" w:color="auto"/>
                  </w:divBdr>
                </w:div>
              </w:divsChild>
            </w:div>
            <w:div w:id="1835947985">
              <w:marLeft w:val="0"/>
              <w:marRight w:val="0"/>
              <w:marTop w:val="0"/>
              <w:marBottom w:val="0"/>
              <w:divBdr>
                <w:top w:val="none" w:sz="0" w:space="0" w:color="auto"/>
                <w:left w:val="none" w:sz="0" w:space="0" w:color="auto"/>
                <w:bottom w:val="none" w:sz="0" w:space="0" w:color="auto"/>
                <w:right w:val="none" w:sz="0" w:space="0" w:color="auto"/>
              </w:divBdr>
              <w:divsChild>
                <w:div w:id="2005355992">
                  <w:marLeft w:val="0"/>
                  <w:marRight w:val="0"/>
                  <w:marTop w:val="0"/>
                  <w:marBottom w:val="0"/>
                  <w:divBdr>
                    <w:top w:val="none" w:sz="0" w:space="0" w:color="auto"/>
                    <w:left w:val="none" w:sz="0" w:space="0" w:color="auto"/>
                    <w:bottom w:val="none" w:sz="0" w:space="0" w:color="auto"/>
                    <w:right w:val="none" w:sz="0" w:space="0" w:color="auto"/>
                  </w:divBdr>
                </w:div>
              </w:divsChild>
            </w:div>
            <w:div w:id="281305733">
              <w:marLeft w:val="0"/>
              <w:marRight w:val="0"/>
              <w:marTop w:val="0"/>
              <w:marBottom w:val="0"/>
              <w:divBdr>
                <w:top w:val="none" w:sz="0" w:space="0" w:color="auto"/>
                <w:left w:val="none" w:sz="0" w:space="0" w:color="auto"/>
                <w:bottom w:val="none" w:sz="0" w:space="0" w:color="auto"/>
                <w:right w:val="none" w:sz="0" w:space="0" w:color="auto"/>
              </w:divBdr>
              <w:divsChild>
                <w:div w:id="1206403">
                  <w:marLeft w:val="0"/>
                  <w:marRight w:val="0"/>
                  <w:marTop w:val="0"/>
                  <w:marBottom w:val="0"/>
                  <w:divBdr>
                    <w:top w:val="none" w:sz="0" w:space="0" w:color="auto"/>
                    <w:left w:val="none" w:sz="0" w:space="0" w:color="auto"/>
                    <w:bottom w:val="none" w:sz="0" w:space="0" w:color="auto"/>
                    <w:right w:val="none" w:sz="0" w:space="0" w:color="auto"/>
                  </w:divBdr>
                </w:div>
              </w:divsChild>
            </w:div>
            <w:div w:id="1597327524">
              <w:marLeft w:val="0"/>
              <w:marRight w:val="0"/>
              <w:marTop w:val="0"/>
              <w:marBottom w:val="0"/>
              <w:divBdr>
                <w:top w:val="none" w:sz="0" w:space="0" w:color="auto"/>
                <w:left w:val="none" w:sz="0" w:space="0" w:color="auto"/>
                <w:bottom w:val="none" w:sz="0" w:space="0" w:color="auto"/>
                <w:right w:val="none" w:sz="0" w:space="0" w:color="auto"/>
              </w:divBdr>
              <w:divsChild>
                <w:div w:id="808866727">
                  <w:marLeft w:val="0"/>
                  <w:marRight w:val="0"/>
                  <w:marTop w:val="0"/>
                  <w:marBottom w:val="0"/>
                  <w:divBdr>
                    <w:top w:val="none" w:sz="0" w:space="0" w:color="auto"/>
                    <w:left w:val="none" w:sz="0" w:space="0" w:color="auto"/>
                    <w:bottom w:val="none" w:sz="0" w:space="0" w:color="auto"/>
                    <w:right w:val="none" w:sz="0" w:space="0" w:color="auto"/>
                  </w:divBdr>
                </w:div>
              </w:divsChild>
            </w:div>
            <w:div w:id="1740711046">
              <w:marLeft w:val="0"/>
              <w:marRight w:val="0"/>
              <w:marTop w:val="0"/>
              <w:marBottom w:val="0"/>
              <w:divBdr>
                <w:top w:val="none" w:sz="0" w:space="0" w:color="auto"/>
                <w:left w:val="none" w:sz="0" w:space="0" w:color="auto"/>
                <w:bottom w:val="none" w:sz="0" w:space="0" w:color="auto"/>
                <w:right w:val="none" w:sz="0" w:space="0" w:color="auto"/>
              </w:divBdr>
              <w:divsChild>
                <w:div w:id="1761099066">
                  <w:marLeft w:val="0"/>
                  <w:marRight w:val="0"/>
                  <w:marTop w:val="0"/>
                  <w:marBottom w:val="0"/>
                  <w:divBdr>
                    <w:top w:val="none" w:sz="0" w:space="0" w:color="auto"/>
                    <w:left w:val="none" w:sz="0" w:space="0" w:color="auto"/>
                    <w:bottom w:val="none" w:sz="0" w:space="0" w:color="auto"/>
                    <w:right w:val="none" w:sz="0" w:space="0" w:color="auto"/>
                  </w:divBdr>
                </w:div>
              </w:divsChild>
            </w:div>
            <w:div w:id="883711633">
              <w:marLeft w:val="0"/>
              <w:marRight w:val="0"/>
              <w:marTop w:val="0"/>
              <w:marBottom w:val="0"/>
              <w:divBdr>
                <w:top w:val="none" w:sz="0" w:space="0" w:color="auto"/>
                <w:left w:val="none" w:sz="0" w:space="0" w:color="auto"/>
                <w:bottom w:val="none" w:sz="0" w:space="0" w:color="auto"/>
                <w:right w:val="none" w:sz="0" w:space="0" w:color="auto"/>
              </w:divBdr>
              <w:divsChild>
                <w:div w:id="1267034417">
                  <w:marLeft w:val="0"/>
                  <w:marRight w:val="0"/>
                  <w:marTop w:val="0"/>
                  <w:marBottom w:val="0"/>
                  <w:divBdr>
                    <w:top w:val="none" w:sz="0" w:space="0" w:color="auto"/>
                    <w:left w:val="none" w:sz="0" w:space="0" w:color="auto"/>
                    <w:bottom w:val="none" w:sz="0" w:space="0" w:color="auto"/>
                    <w:right w:val="none" w:sz="0" w:space="0" w:color="auto"/>
                  </w:divBdr>
                </w:div>
              </w:divsChild>
            </w:div>
            <w:div w:id="745539040">
              <w:marLeft w:val="0"/>
              <w:marRight w:val="0"/>
              <w:marTop w:val="0"/>
              <w:marBottom w:val="0"/>
              <w:divBdr>
                <w:top w:val="none" w:sz="0" w:space="0" w:color="auto"/>
                <w:left w:val="none" w:sz="0" w:space="0" w:color="auto"/>
                <w:bottom w:val="none" w:sz="0" w:space="0" w:color="auto"/>
                <w:right w:val="none" w:sz="0" w:space="0" w:color="auto"/>
              </w:divBdr>
              <w:divsChild>
                <w:div w:id="2135714434">
                  <w:marLeft w:val="0"/>
                  <w:marRight w:val="0"/>
                  <w:marTop w:val="0"/>
                  <w:marBottom w:val="0"/>
                  <w:divBdr>
                    <w:top w:val="none" w:sz="0" w:space="0" w:color="auto"/>
                    <w:left w:val="none" w:sz="0" w:space="0" w:color="auto"/>
                    <w:bottom w:val="none" w:sz="0" w:space="0" w:color="auto"/>
                    <w:right w:val="none" w:sz="0" w:space="0" w:color="auto"/>
                  </w:divBdr>
                </w:div>
              </w:divsChild>
            </w:div>
            <w:div w:id="1787960850">
              <w:marLeft w:val="0"/>
              <w:marRight w:val="0"/>
              <w:marTop w:val="0"/>
              <w:marBottom w:val="0"/>
              <w:divBdr>
                <w:top w:val="none" w:sz="0" w:space="0" w:color="auto"/>
                <w:left w:val="none" w:sz="0" w:space="0" w:color="auto"/>
                <w:bottom w:val="none" w:sz="0" w:space="0" w:color="auto"/>
                <w:right w:val="none" w:sz="0" w:space="0" w:color="auto"/>
              </w:divBdr>
              <w:divsChild>
                <w:div w:id="1805123707">
                  <w:marLeft w:val="0"/>
                  <w:marRight w:val="0"/>
                  <w:marTop w:val="0"/>
                  <w:marBottom w:val="0"/>
                  <w:divBdr>
                    <w:top w:val="none" w:sz="0" w:space="0" w:color="auto"/>
                    <w:left w:val="none" w:sz="0" w:space="0" w:color="auto"/>
                    <w:bottom w:val="none" w:sz="0" w:space="0" w:color="auto"/>
                    <w:right w:val="none" w:sz="0" w:space="0" w:color="auto"/>
                  </w:divBdr>
                </w:div>
              </w:divsChild>
            </w:div>
            <w:div w:id="199167129">
              <w:marLeft w:val="0"/>
              <w:marRight w:val="0"/>
              <w:marTop w:val="0"/>
              <w:marBottom w:val="0"/>
              <w:divBdr>
                <w:top w:val="none" w:sz="0" w:space="0" w:color="auto"/>
                <w:left w:val="none" w:sz="0" w:space="0" w:color="auto"/>
                <w:bottom w:val="none" w:sz="0" w:space="0" w:color="auto"/>
                <w:right w:val="none" w:sz="0" w:space="0" w:color="auto"/>
              </w:divBdr>
              <w:divsChild>
                <w:div w:id="971448032">
                  <w:marLeft w:val="0"/>
                  <w:marRight w:val="0"/>
                  <w:marTop w:val="0"/>
                  <w:marBottom w:val="0"/>
                  <w:divBdr>
                    <w:top w:val="none" w:sz="0" w:space="0" w:color="auto"/>
                    <w:left w:val="none" w:sz="0" w:space="0" w:color="auto"/>
                    <w:bottom w:val="none" w:sz="0" w:space="0" w:color="auto"/>
                    <w:right w:val="none" w:sz="0" w:space="0" w:color="auto"/>
                  </w:divBdr>
                </w:div>
              </w:divsChild>
            </w:div>
            <w:div w:id="148520335">
              <w:marLeft w:val="0"/>
              <w:marRight w:val="0"/>
              <w:marTop w:val="0"/>
              <w:marBottom w:val="0"/>
              <w:divBdr>
                <w:top w:val="none" w:sz="0" w:space="0" w:color="auto"/>
                <w:left w:val="none" w:sz="0" w:space="0" w:color="auto"/>
                <w:bottom w:val="none" w:sz="0" w:space="0" w:color="auto"/>
                <w:right w:val="none" w:sz="0" w:space="0" w:color="auto"/>
              </w:divBdr>
              <w:divsChild>
                <w:div w:id="1604024999">
                  <w:marLeft w:val="0"/>
                  <w:marRight w:val="0"/>
                  <w:marTop w:val="0"/>
                  <w:marBottom w:val="0"/>
                  <w:divBdr>
                    <w:top w:val="none" w:sz="0" w:space="0" w:color="auto"/>
                    <w:left w:val="none" w:sz="0" w:space="0" w:color="auto"/>
                    <w:bottom w:val="none" w:sz="0" w:space="0" w:color="auto"/>
                    <w:right w:val="none" w:sz="0" w:space="0" w:color="auto"/>
                  </w:divBdr>
                </w:div>
              </w:divsChild>
            </w:div>
            <w:div w:id="1644312176">
              <w:marLeft w:val="0"/>
              <w:marRight w:val="0"/>
              <w:marTop w:val="0"/>
              <w:marBottom w:val="0"/>
              <w:divBdr>
                <w:top w:val="none" w:sz="0" w:space="0" w:color="auto"/>
                <w:left w:val="none" w:sz="0" w:space="0" w:color="auto"/>
                <w:bottom w:val="none" w:sz="0" w:space="0" w:color="auto"/>
                <w:right w:val="none" w:sz="0" w:space="0" w:color="auto"/>
              </w:divBdr>
              <w:divsChild>
                <w:div w:id="94450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05404">
          <w:marLeft w:val="0"/>
          <w:marRight w:val="0"/>
          <w:marTop w:val="0"/>
          <w:marBottom w:val="0"/>
          <w:divBdr>
            <w:top w:val="none" w:sz="0" w:space="0" w:color="auto"/>
            <w:left w:val="none" w:sz="0" w:space="0" w:color="auto"/>
            <w:bottom w:val="none" w:sz="0" w:space="0" w:color="auto"/>
            <w:right w:val="none" w:sz="0" w:space="0" w:color="auto"/>
          </w:divBdr>
        </w:div>
        <w:div w:id="1081945970">
          <w:marLeft w:val="0"/>
          <w:marRight w:val="0"/>
          <w:marTop w:val="0"/>
          <w:marBottom w:val="0"/>
          <w:divBdr>
            <w:top w:val="none" w:sz="0" w:space="0" w:color="auto"/>
            <w:left w:val="none" w:sz="0" w:space="0" w:color="auto"/>
            <w:bottom w:val="none" w:sz="0" w:space="0" w:color="auto"/>
            <w:right w:val="none" w:sz="0" w:space="0" w:color="auto"/>
          </w:divBdr>
        </w:div>
        <w:div w:id="862594532">
          <w:marLeft w:val="0"/>
          <w:marRight w:val="0"/>
          <w:marTop w:val="0"/>
          <w:marBottom w:val="0"/>
          <w:divBdr>
            <w:top w:val="none" w:sz="0" w:space="0" w:color="auto"/>
            <w:left w:val="none" w:sz="0" w:space="0" w:color="auto"/>
            <w:bottom w:val="none" w:sz="0" w:space="0" w:color="auto"/>
            <w:right w:val="none" w:sz="0" w:space="0" w:color="auto"/>
          </w:divBdr>
        </w:div>
        <w:div w:id="826091266">
          <w:marLeft w:val="0"/>
          <w:marRight w:val="0"/>
          <w:marTop w:val="0"/>
          <w:marBottom w:val="0"/>
          <w:divBdr>
            <w:top w:val="none" w:sz="0" w:space="0" w:color="auto"/>
            <w:left w:val="none" w:sz="0" w:space="0" w:color="auto"/>
            <w:bottom w:val="none" w:sz="0" w:space="0" w:color="auto"/>
            <w:right w:val="none" w:sz="0" w:space="0" w:color="auto"/>
          </w:divBdr>
        </w:div>
        <w:div w:id="1373115321">
          <w:marLeft w:val="0"/>
          <w:marRight w:val="0"/>
          <w:marTop w:val="0"/>
          <w:marBottom w:val="0"/>
          <w:divBdr>
            <w:top w:val="none" w:sz="0" w:space="0" w:color="auto"/>
            <w:left w:val="none" w:sz="0" w:space="0" w:color="auto"/>
            <w:bottom w:val="none" w:sz="0" w:space="0" w:color="auto"/>
            <w:right w:val="none" w:sz="0" w:space="0" w:color="auto"/>
          </w:divBdr>
        </w:div>
        <w:div w:id="1543126392">
          <w:marLeft w:val="0"/>
          <w:marRight w:val="0"/>
          <w:marTop w:val="0"/>
          <w:marBottom w:val="0"/>
          <w:divBdr>
            <w:top w:val="none" w:sz="0" w:space="0" w:color="auto"/>
            <w:left w:val="none" w:sz="0" w:space="0" w:color="auto"/>
            <w:bottom w:val="none" w:sz="0" w:space="0" w:color="auto"/>
            <w:right w:val="none" w:sz="0" w:space="0" w:color="auto"/>
          </w:divBdr>
        </w:div>
        <w:div w:id="1869173519">
          <w:marLeft w:val="0"/>
          <w:marRight w:val="0"/>
          <w:marTop w:val="0"/>
          <w:marBottom w:val="0"/>
          <w:divBdr>
            <w:top w:val="none" w:sz="0" w:space="0" w:color="auto"/>
            <w:left w:val="none" w:sz="0" w:space="0" w:color="auto"/>
            <w:bottom w:val="none" w:sz="0" w:space="0" w:color="auto"/>
            <w:right w:val="none" w:sz="0" w:space="0" w:color="auto"/>
          </w:divBdr>
        </w:div>
        <w:div w:id="2057583969">
          <w:marLeft w:val="0"/>
          <w:marRight w:val="0"/>
          <w:marTop w:val="0"/>
          <w:marBottom w:val="0"/>
          <w:divBdr>
            <w:top w:val="none" w:sz="0" w:space="0" w:color="auto"/>
            <w:left w:val="none" w:sz="0" w:space="0" w:color="auto"/>
            <w:bottom w:val="none" w:sz="0" w:space="0" w:color="auto"/>
            <w:right w:val="none" w:sz="0" w:space="0" w:color="auto"/>
          </w:divBdr>
        </w:div>
        <w:div w:id="1451433505">
          <w:marLeft w:val="0"/>
          <w:marRight w:val="0"/>
          <w:marTop w:val="0"/>
          <w:marBottom w:val="0"/>
          <w:divBdr>
            <w:top w:val="none" w:sz="0" w:space="0" w:color="auto"/>
            <w:left w:val="none" w:sz="0" w:space="0" w:color="auto"/>
            <w:bottom w:val="none" w:sz="0" w:space="0" w:color="auto"/>
            <w:right w:val="none" w:sz="0" w:space="0" w:color="auto"/>
          </w:divBdr>
        </w:div>
        <w:div w:id="1988244510">
          <w:marLeft w:val="0"/>
          <w:marRight w:val="0"/>
          <w:marTop w:val="0"/>
          <w:marBottom w:val="0"/>
          <w:divBdr>
            <w:top w:val="none" w:sz="0" w:space="0" w:color="auto"/>
            <w:left w:val="none" w:sz="0" w:space="0" w:color="auto"/>
            <w:bottom w:val="none" w:sz="0" w:space="0" w:color="auto"/>
            <w:right w:val="none" w:sz="0" w:space="0" w:color="auto"/>
          </w:divBdr>
        </w:div>
        <w:div w:id="2167980">
          <w:marLeft w:val="0"/>
          <w:marRight w:val="0"/>
          <w:marTop w:val="0"/>
          <w:marBottom w:val="0"/>
          <w:divBdr>
            <w:top w:val="none" w:sz="0" w:space="0" w:color="auto"/>
            <w:left w:val="none" w:sz="0" w:space="0" w:color="auto"/>
            <w:bottom w:val="none" w:sz="0" w:space="0" w:color="auto"/>
            <w:right w:val="none" w:sz="0" w:space="0" w:color="auto"/>
          </w:divBdr>
        </w:div>
        <w:div w:id="413552405">
          <w:marLeft w:val="0"/>
          <w:marRight w:val="0"/>
          <w:marTop w:val="0"/>
          <w:marBottom w:val="0"/>
          <w:divBdr>
            <w:top w:val="none" w:sz="0" w:space="0" w:color="auto"/>
            <w:left w:val="none" w:sz="0" w:space="0" w:color="auto"/>
            <w:bottom w:val="none" w:sz="0" w:space="0" w:color="auto"/>
            <w:right w:val="none" w:sz="0" w:space="0" w:color="auto"/>
          </w:divBdr>
        </w:div>
        <w:div w:id="1767070508">
          <w:marLeft w:val="0"/>
          <w:marRight w:val="0"/>
          <w:marTop w:val="0"/>
          <w:marBottom w:val="0"/>
          <w:divBdr>
            <w:top w:val="none" w:sz="0" w:space="0" w:color="auto"/>
            <w:left w:val="none" w:sz="0" w:space="0" w:color="auto"/>
            <w:bottom w:val="none" w:sz="0" w:space="0" w:color="auto"/>
            <w:right w:val="none" w:sz="0" w:space="0" w:color="auto"/>
          </w:divBdr>
        </w:div>
        <w:div w:id="1587610404">
          <w:marLeft w:val="0"/>
          <w:marRight w:val="0"/>
          <w:marTop w:val="0"/>
          <w:marBottom w:val="0"/>
          <w:divBdr>
            <w:top w:val="none" w:sz="0" w:space="0" w:color="auto"/>
            <w:left w:val="none" w:sz="0" w:space="0" w:color="auto"/>
            <w:bottom w:val="none" w:sz="0" w:space="0" w:color="auto"/>
            <w:right w:val="none" w:sz="0" w:space="0" w:color="auto"/>
          </w:divBdr>
        </w:div>
        <w:div w:id="163202932">
          <w:marLeft w:val="0"/>
          <w:marRight w:val="0"/>
          <w:marTop w:val="0"/>
          <w:marBottom w:val="0"/>
          <w:divBdr>
            <w:top w:val="none" w:sz="0" w:space="0" w:color="auto"/>
            <w:left w:val="none" w:sz="0" w:space="0" w:color="auto"/>
            <w:bottom w:val="none" w:sz="0" w:space="0" w:color="auto"/>
            <w:right w:val="none" w:sz="0" w:space="0" w:color="auto"/>
          </w:divBdr>
        </w:div>
        <w:div w:id="2060740982">
          <w:marLeft w:val="-75"/>
          <w:marRight w:val="0"/>
          <w:marTop w:val="30"/>
          <w:marBottom w:val="30"/>
          <w:divBdr>
            <w:top w:val="none" w:sz="0" w:space="0" w:color="auto"/>
            <w:left w:val="none" w:sz="0" w:space="0" w:color="auto"/>
            <w:bottom w:val="none" w:sz="0" w:space="0" w:color="auto"/>
            <w:right w:val="none" w:sz="0" w:space="0" w:color="auto"/>
          </w:divBdr>
          <w:divsChild>
            <w:div w:id="1037394195">
              <w:marLeft w:val="0"/>
              <w:marRight w:val="0"/>
              <w:marTop w:val="0"/>
              <w:marBottom w:val="0"/>
              <w:divBdr>
                <w:top w:val="none" w:sz="0" w:space="0" w:color="auto"/>
                <w:left w:val="none" w:sz="0" w:space="0" w:color="auto"/>
                <w:bottom w:val="none" w:sz="0" w:space="0" w:color="auto"/>
                <w:right w:val="none" w:sz="0" w:space="0" w:color="auto"/>
              </w:divBdr>
              <w:divsChild>
                <w:div w:id="1066611774">
                  <w:marLeft w:val="0"/>
                  <w:marRight w:val="0"/>
                  <w:marTop w:val="0"/>
                  <w:marBottom w:val="0"/>
                  <w:divBdr>
                    <w:top w:val="none" w:sz="0" w:space="0" w:color="auto"/>
                    <w:left w:val="none" w:sz="0" w:space="0" w:color="auto"/>
                    <w:bottom w:val="none" w:sz="0" w:space="0" w:color="auto"/>
                    <w:right w:val="none" w:sz="0" w:space="0" w:color="auto"/>
                  </w:divBdr>
                </w:div>
              </w:divsChild>
            </w:div>
            <w:div w:id="1110785287">
              <w:marLeft w:val="0"/>
              <w:marRight w:val="0"/>
              <w:marTop w:val="0"/>
              <w:marBottom w:val="0"/>
              <w:divBdr>
                <w:top w:val="none" w:sz="0" w:space="0" w:color="auto"/>
                <w:left w:val="none" w:sz="0" w:space="0" w:color="auto"/>
                <w:bottom w:val="none" w:sz="0" w:space="0" w:color="auto"/>
                <w:right w:val="none" w:sz="0" w:space="0" w:color="auto"/>
              </w:divBdr>
              <w:divsChild>
                <w:div w:id="802771965">
                  <w:marLeft w:val="0"/>
                  <w:marRight w:val="0"/>
                  <w:marTop w:val="0"/>
                  <w:marBottom w:val="0"/>
                  <w:divBdr>
                    <w:top w:val="none" w:sz="0" w:space="0" w:color="auto"/>
                    <w:left w:val="none" w:sz="0" w:space="0" w:color="auto"/>
                    <w:bottom w:val="none" w:sz="0" w:space="0" w:color="auto"/>
                    <w:right w:val="none" w:sz="0" w:space="0" w:color="auto"/>
                  </w:divBdr>
                </w:div>
              </w:divsChild>
            </w:div>
            <w:div w:id="935016185">
              <w:marLeft w:val="0"/>
              <w:marRight w:val="0"/>
              <w:marTop w:val="0"/>
              <w:marBottom w:val="0"/>
              <w:divBdr>
                <w:top w:val="none" w:sz="0" w:space="0" w:color="auto"/>
                <w:left w:val="none" w:sz="0" w:space="0" w:color="auto"/>
                <w:bottom w:val="none" w:sz="0" w:space="0" w:color="auto"/>
                <w:right w:val="none" w:sz="0" w:space="0" w:color="auto"/>
              </w:divBdr>
              <w:divsChild>
                <w:div w:id="1582175235">
                  <w:marLeft w:val="0"/>
                  <w:marRight w:val="0"/>
                  <w:marTop w:val="0"/>
                  <w:marBottom w:val="0"/>
                  <w:divBdr>
                    <w:top w:val="none" w:sz="0" w:space="0" w:color="auto"/>
                    <w:left w:val="none" w:sz="0" w:space="0" w:color="auto"/>
                    <w:bottom w:val="none" w:sz="0" w:space="0" w:color="auto"/>
                    <w:right w:val="none" w:sz="0" w:space="0" w:color="auto"/>
                  </w:divBdr>
                </w:div>
              </w:divsChild>
            </w:div>
            <w:div w:id="1272203743">
              <w:marLeft w:val="0"/>
              <w:marRight w:val="0"/>
              <w:marTop w:val="0"/>
              <w:marBottom w:val="0"/>
              <w:divBdr>
                <w:top w:val="none" w:sz="0" w:space="0" w:color="auto"/>
                <w:left w:val="none" w:sz="0" w:space="0" w:color="auto"/>
                <w:bottom w:val="none" w:sz="0" w:space="0" w:color="auto"/>
                <w:right w:val="none" w:sz="0" w:space="0" w:color="auto"/>
              </w:divBdr>
              <w:divsChild>
                <w:div w:id="851838291">
                  <w:marLeft w:val="0"/>
                  <w:marRight w:val="0"/>
                  <w:marTop w:val="0"/>
                  <w:marBottom w:val="0"/>
                  <w:divBdr>
                    <w:top w:val="none" w:sz="0" w:space="0" w:color="auto"/>
                    <w:left w:val="none" w:sz="0" w:space="0" w:color="auto"/>
                    <w:bottom w:val="none" w:sz="0" w:space="0" w:color="auto"/>
                    <w:right w:val="none" w:sz="0" w:space="0" w:color="auto"/>
                  </w:divBdr>
                </w:div>
              </w:divsChild>
            </w:div>
            <w:div w:id="1522822188">
              <w:marLeft w:val="0"/>
              <w:marRight w:val="0"/>
              <w:marTop w:val="0"/>
              <w:marBottom w:val="0"/>
              <w:divBdr>
                <w:top w:val="none" w:sz="0" w:space="0" w:color="auto"/>
                <w:left w:val="none" w:sz="0" w:space="0" w:color="auto"/>
                <w:bottom w:val="none" w:sz="0" w:space="0" w:color="auto"/>
                <w:right w:val="none" w:sz="0" w:space="0" w:color="auto"/>
              </w:divBdr>
              <w:divsChild>
                <w:div w:id="465126921">
                  <w:marLeft w:val="0"/>
                  <w:marRight w:val="0"/>
                  <w:marTop w:val="0"/>
                  <w:marBottom w:val="0"/>
                  <w:divBdr>
                    <w:top w:val="none" w:sz="0" w:space="0" w:color="auto"/>
                    <w:left w:val="none" w:sz="0" w:space="0" w:color="auto"/>
                    <w:bottom w:val="none" w:sz="0" w:space="0" w:color="auto"/>
                    <w:right w:val="none" w:sz="0" w:space="0" w:color="auto"/>
                  </w:divBdr>
                </w:div>
              </w:divsChild>
            </w:div>
            <w:div w:id="914319589">
              <w:marLeft w:val="0"/>
              <w:marRight w:val="0"/>
              <w:marTop w:val="0"/>
              <w:marBottom w:val="0"/>
              <w:divBdr>
                <w:top w:val="none" w:sz="0" w:space="0" w:color="auto"/>
                <w:left w:val="none" w:sz="0" w:space="0" w:color="auto"/>
                <w:bottom w:val="none" w:sz="0" w:space="0" w:color="auto"/>
                <w:right w:val="none" w:sz="0" w:space="0" w:color="auto"/>
              </w:divBdr>
              <w:divsChild>
                <w:div w:id="157506321">
                  <w:marLeft w:val="0"/>
                  <w:marRight w:val="0"/>
                  <w:marTop w:val="0"/>
                  <w:marBottom w:val="0"/>
                  <w:divBdr>
                    <w:top w:val="none" w:sz="0" w:space="0" w:color="auto"/>
                    <w:left w:val="none" w:sz="0" w:space="0" w:color="auto"/>
                    <w:bottom w:val="none" w:sz="0" w:space="0" w:color="auto"/>
                    <w:right w:val="none" w:sz="0" w:space="0" w:color="auto"/>
                  </w:divBdr>
                </w:div>
              </w:divsChild>
            </w:div>
            <w:div w:id="368645775">
              <w:marLeft w:val="0"/>
              <w:marRight w:val="0"/>
              <w:marTop w:val="0"/>
              <w:marBottom w:val="0"/>
              <w:divBdr>
                <w:top w:val="none" w:sz="0" w:space="0" w:color="auto"/>
                <w:left w:val="none" w:sz="0" w:space="0" w:color="auto"/>
                <w:bottom w:val="none" w:sz="0" w:space="0" w:color="auto"/>
                <w:right w:val="none" w:sz="0" w:space="0" w:color="auto"/>
              </w:divBdr>
              <w:divsChild>
                <w:div w:id="784956956">
                  <w:marLeft w:val="0"/>
                  <w:marRight w:val="0"/>
                  <w:marTop w:val="0"/>
                  <w:marBottom w:val="0"/>
                  <w:divBdr>
                    <w:top w:val="none" w:sz="0" w:space="0" w:color="auto"/>
                    <w:left w:val="none" w:sz="0" w:space="0" w:color="auto"/>
                    <w:bottom w:val="none" w:sz="0" w:space="0" w:color="auto"/>
                    <w:right w:val="none" w:sz="0" w:space="0" w:color="auto"/>
                  </w:divBdr>
                </w:div>
              </w:divsChild>
            </w:div>
            <w:div w:id="1933857365">
              <w:marLeft w:val="0"/>
              <w:marRight w:val="0"/>
              <w:marTop w:val="0"/>
              <w:marBottom w:val="0"/>
              <w:divBdr>
                <w:top w:val="none" w:sz="0" w:space="0" w:color="auto"/>
                <w:left w:val="none" w:sz="0" w:space="0" w:color="auto"/>
                <w:bottom w:val="none" w:sz="0" w:space="0" w:color="auto"/>
                <w:right w:val="none" w:sz="0" w:space="0" w:color="auto"/>
              </w:divBdr>
              <w:divsChild>
                <w:div w:id="2062515692">
                  <w:marLeft w:val="0"/>
                  <w:marRight w:val="0"/>
                  <w:marTop w:val="0"/>
                  <w:marBottom w:val="0"/>
                  <w:divBdr>
                    <w:top w:val="none" w:sz="0" w:space="0" w:color="auto"/>
                    <w:left w:val="none" w:sz="0" w:space="0" w:color="auto"/>
                    <w:bottom w:val="none" w:sz="0" w:space="0" w:color="auto"/>
                    <w:right w:val="none" w:sz="0" w:space="0" w:color="auto"/>
                  </w:divBdr>
                </w:div>
              </w:divsChild>
            </w:div>
            <w:div w:id="388460720">
              <w:marLeft w:val="0"/>
              <w:marRight w:val="0"/>
              <w:marTop w:val="0"/>
              <w:marBottom w:val="0"/>
              <w:divBdr>
                <w:top w:val="none" w:sz="0" w:space="0" w:color="auto"/>
                <w:left w:val="none" w:sz="0" w:space="0" w:color="auto"/>
                <w:bottom w:val="none" w:sz="0" w:space="0" w:color="auto"/>
                <w:right w:val="none" w:sz="0" w:space="0" w:color="auto"/>
              </w:divBdr>
              <w:divsChild>
                <w:div w:id="359211881">
                  <w:marLeft w:val="0"/>
                  <w:marRight w:val="0"/>
                  <w:marTop w:val="0"/>
                  <w:marBottom w:val="0"/>
                  <w:divBdr>
                    <w:top w:val="none" w:sz="0" w:space="0" w:color="auto"/>
                    <w:left w:val="none" w:sz="0" w:space="0" w:color="auto"/>
                    <w:bottom w:val="none" w:sz="0" w:space="0" w:color="auto"/>
                    <w:right w:val="none" w:sz="0" w:space="0" w:color="auto"/>
                  </w:divBdr>
                </w:div>
              </w:divsChild>
            </w:div>
            <w:div w:id="141432429">
              <w:marLeft w:val="0"/>
              <w:marRight w:val="0"/>
              <w:marTop w:val="0"/>
              <w:marBottom w:val="0"/>
              <w:divBdr>
                <w:top w:val="none" w:sz="0" w:space="0" w:color="auto"/>
                <w:left w:val="none" w:sz="0" w:space="0" w:color="auto"/>
                <w:bottom w:val="none" w:sz="0" w:space="0" w:color="auto"/>
                <w:right w:val="none" w:sz="0" w:space="0" w:color="auto"/>
              </w:divBdr>
              <w:divsChild>
                <w:div w:id="1271279466">
                  <w:marLeft w:val="0"/>
                  <w:marRight w:val="0"/>
                  <w:marTop w:val="0"/>
                  <w:marBottom w:val="0"/>
                  <w:divBdr>
                    <w:top w:val="none" w:sz="0" w:space="0" w:color="auto"/>
                    <w:left w:val="none" w:sz="0" w:space="0" w:color="auto"/>
                    <w:bottom w:val="none" w:sz="0" w:space="0" w:color="auto"/>
                    <w:right w:val="none" w:sz="0" w:space="0" w:color="auto"/>
                  </w:divBdr>
                </w:div>
                <w:div w:id="97869723">
                  <w:marLeft w:val="0"/>
                  <w:marRight w:val="0"/>
                  <w:marTop w:val="0"/>
                  <w:marBottom w:val="0"/>
                  <w:divBdr>
                    <w:top w:val="none" w:sz="0" w:space="0" w:color="auto"/>
                    <w:left w:val="none" w:sz="0" w:space="0" w:color="auto"/>
                    <w:bottom w:val="none" w:sz="0" w:space="0" w:color="auto"/>
                    <w:right w:val="none" w:sz="0" w:space="0" w:color="auto"/>
                  </w:divBdr>
                </w:div>
                <w:div w:id="1613126903">
                  <w:marLeft w:val="0"/>
                  <w:marRight w:val="0"/>
                  <w:marTop w:val="0"/>
                  <w:marBottom w:val="0"/>
                  <w:divBdr>
                    <w:top w:val="none" w:sz="0" w:space="0" w:color="auto"/>
                    <w:left w:val="none" w:sz="0" w:space="0" w:color="auto"/>
                    <w:bottom w:val="none" w:sz="0" w:space="0" w:color="auto"/>
                    <w:right w:val="none" w:sz="0" w:space="0" w:color="auto"/>
                  </w:divBdr>
                </w:div>
              </w:divsChild>
            </w:div>
            <w:div w:id="1501197418">
              <w:marLeft w:val="0"/>
              <w:marRight w:val="0"/>
              <w:marTop w:val="0"/>
              <w:marBottom w:val="0"/>
              <w:divBdr>
                <w:top w:val="none" w:sz="0" w:space="0" w:color="auto"/>
                <w:left w:val="none" w:sz="0" w:space="0" w:color="auto"/>
                <w:bottom w:val="none" w:sz="0" w:space="0" w:color="auto"/>
                <w:right w:val="none" w:sz="0" w:space="0" w:color="auto"/>
              </w:divBdr>
              <w:divsChild>
                <w:div w:id="1524049721">
                  <w:marLeft w:val="0"/>
                  <w:marRight w:val="0"/>
                  <w:marTop w:val="0"/>
                  <w:marBottom w:val="0"/>
                  <w:divBdr>
                    <w:top w:val="none" w:sz="0" w:space="0" w:color="auto"/>
                    <w:left w:val="none" w:sz="0" w:space="0" w:color="auto"/>
                    <w:bottom w:val="none" w:sz="0" w:space="0" w:color="auto"/>
                    <w:right w:val="none" w:sz="0" w:space="0" w:color="auto"/>
                  </w:divBdr>
                </w:div>
              </w:divsChild>
            </w:div>
            <w:div w:id="463277782">
              <w:marLeft w:val="0"/>
              <w:marRight w:val="0"/>
              <w:marTop w:val="0"/>
              <w:marBottom w:val="0"/>
              <w:divBdr>
                <w:top w:val="none" w:sz="0" w:space="0" w:color="auto"/>
                <w:left w:val="none" w:sz="0" w:space="0" w:color="auto"/>
                <w:bottom w:val="none" w:sz="0" w:space="0" w:color="auto"/>
                <w:right w:val="none" w:sz="0" w:space="0" w:color="auto"/>
              </w:divBdr>
              <w:divsChild>
                <w:div w:id="1119571617">
                  <w:marLeft w:val="0"/>
                  <w:marRight w:val="0"/>
                  <w:marTop w:val="0"/>
                  <w:marBottom w:val="0"/>
                  <w:divBdr>
                    <w:top w:val="none" w:sz="0" w:space="0" w:color="auto"/>
                    <w:left w:val="none" w:sz="0" w:space="0" w:color="auto"/>
                    <w:bottom w:val="none" w:sz="0" w:space="0" w:color="auto"/>
                    <w:right w:val="none" w:sz="0" w:space="0" w:color="auto"/>
                  </w:divBdr>
                </w:div>
              </w:divsChild>
            </w:div>
            <w:div w:id="1389573022">
              <w:marLeft w:val="0"/>
              <w:marRight w:val="0"/>
              <w:marTop w:val="0"/>
              <w:marBottom w:val="0"/>
              <w:divBdr>
                <w:top w:val="none" w:sz="0" w:space="0" w:color="auto"/>
                <w:left w:val="none" w:sz="0" w:space="0" w:color="auto"/>
                <w:bottom w:val="none" w:sz="0" w:space="0" w:color="auto"/>
                <w:right w:val="none" w:sz="0" w:space="0" w:color="auto"/>
              </w:divBdr>
              <w:divsChild>
                <w:div w:id="835804742">
                  <w:marLeft w:val="0"/>
                  <w:marRight w:val="0"/>
                  <w:marTop w:val="0"/>
                  <w:marBottom w:val="0"/>
                  <w:divBdr>
                    <w:top w:val="none" w:sz="0" w:space="0" w:color="auto"/>
                    <w:left w:val="none" w:sz="0" w:space="0" w:color="auto"/>
                    <w:bottom w:val="none" w:sz="0" w:space="0" w:color="auto"/>
                    <w:right w:val="none" w:sz="0" w:space="0" w:color="auto"/>
                  </w:divBdr>
                </w:div>
              </w:divsChild>
            </w:div>
            <w:div w:id="1182282028">
              <w:marLeft w:val="0"/>
              <w:marRight w:val="0"/>
              <w:marTop w:val="0"/>
              <w:marBottom w:val="0"/>
              <w:divBdr>
                <w:top w:val="none" w:sz="0" w:space="0" w:color="auto"/>
                <w:left w:val="none" w:sz="0" w:space="0" w:color="auto"/>
                <w:bottom w:val="none" w:sz="0" w:space="0" w:color="auto"/>
                <w:right w:val="none" w:sz="0" w:space="0" w:color="auto"/>
              </w:divBdr>
              <w:divsChild>
                <w:div w:id="1074553047">
                  <w:marLeft w:val="0"/>
                  <w:marRight w:val="0"/>
                  <w:marTop w:val="0"/>
                  <w:marBottom w:val="0"/>
                  <w:divBdr>
                    <w:top w:val="none" w:sz="0" w:space="0" w:color="auto"/>
                    <w:left w:val="none" w:sz="0" w:space="0" w:color="auto"/>
                    <w:bottom w:val="none" w:sz="0" w:space="0" w:color="auto"/>
                    <w:right w:val="none" w:sz="0" w:space="0" w:color="auto"/>
                  </w:divBdr>
                </w:div>
              </w:divsChild>
            </w:div>
            <w:div w:id="1846507624">
              <w:marLeft w:val="0"/>
              <w:marRight w:val="0"/>
              <w:marTop w:val="0"/>
              <w:marBottom w:val="0"/>
              <w:divBdr>
                <w:top w:val="none" w:sz="0" w:space="0" w:color="auto"/>
                <w:left w:val="none" w:sz="0" w:space="0" w:color="auto"/>
                <w:bottom w:val="none" w:sz="0" w:space="0" w:color="auto"/>
                <w:right w:val="none" w:sz="0" w:space="0" w:color="auto"/>
              </w:divBdr>
              <w:divsChild>
                <w:div w:id="2092434035">
                  <w:marLeft w:val="0"/>
                  <w:marRight w:val="0"/>
                  <w:marTop w:val="0"/>
                  <w:marBottom w:val="0"/>
                  <w:divBdr>
                    <w:top w:val="none" w:sz="0" w:space="0" w:color="auto"/>
                    <w:left w:val="none" w:sz="0" w:space="0" w:color="auto"/>
                    <w:bottom w:val="none" w:sz="0" w:space="0" w:color="auto"/>
                    <w:right w:val="none" w:sz="0" w:space="0" w:color="auto"/>
                  </w:divBdr>
                </w:div>
              </w:divsChild>
            </w:div>
            <w:div w:id="1545212016">
              <w:marLeft w:val="0"/>
              <w:marRight w:val="0"/>
              <w:marTop w:val="0"/>
              <w:marBottom w:val="0"/>
              <w:divBdr>
                <w:top w:val="none" w:sz="0" w:space="0" w:color="auto"/>
                <w:left w:val="none" w:sz="0" w:space="0" w:color="auto"/>
                <w:bottom w:val="none" w:sz="0" w:space="0" w:color="auto"/>
                <w:right w:val="none" w:sz="0" w:space="0" w:color="auto"/>
              </w:divBdr>
              <w:divsChild>
                <w:div w:id="1802185069">
                  <w:marLeft w:val="0"/>
                  <w:marRight w:val="0"/>
                  <w:marTop w:val="0"/>
                  <w:marBottom w:val="0"/>
                  <w:divBdr>
                    <w:top w:val="none" w:sz="0" w:space="0" w:color="auto"/>
                    <w:left w:val="none" w:sz="0" w:space="0" w:color="auto"/>
                    <w:bottom w:val="none" w:sz="0" w:space="0" w:color="auto"/>
                    <w:right w:val="none" w:sz="0" w:space="0" w:color="auto"/>
                  </w:divBdr>
                </w:div>
              </w:divsChild>
            </w:div>
            <w:div w:id="1898085824">
              <w:marLeft w:val="0"/>
              <w:marRight w:val="0"/>
              <w:marTop w:val="0"/>
              <w:marBottom w:val="0"/>
              <w:divBdr>
                <w:top w:val="none" w:sz="0" w:space="0" w:color="auto"/>
                <w:left w:val="none" w:sz="0" w:space="0" w:color="auto"/>
                <w:bottom w:val="none" w:sz="0" w:space="0" w:color="auto"/>
                <w:right w:val="none" w:sz="0" w:space="0" w:color="auto"/>
              </w:divBdr>
              <w:divsChild>
                <w:div w:id="804661540">
                  <w:marLeft w:val="0"/>
                  <w:marRight w:val="0"/>
                  <w:marTop w:val="0"/>
                  <w:marBottom w:val="0"/>
                  <w:divBdr>
                    <w:top w:val="none" w:sz="0" w:space="0" w:color="auto"/>
                    <w:left w:val="none" w:sz="0" w:space="0" w:color="auto"/>
                    <w:bottom w:val="none" w:sz="0" w:space="0" w:color="auto"/>
                    <w:right w:val="none" w:sz="0" w:space="0" w:color="auto"/>
                  </w:divBdr>
                </w:div>
              </w:divsChild>
            </w:div>
            <w:div w:id="1246651153">
              <w:marLeft w:val="0"/>
              <w:marRight w:val="0"/>
              <w:marTop w:val="0"/>
              <w:marBottom w:val="0"/>
              <w:divBdr>
                <w:top w:val="none" w:sz="0" w:space="0" w:color="auto"/>
                <w:left w:val="none" w:sz="0" w:space="0" w:color="auto"/>
                <w:bottom w:val="none" w:sz="0" w:space="0" w:color="auto"/>
                <w:right w:val="none" w:sz="0" w:space="0" w:color="auto"/>
              </w:divBdr>
              <w:divsChild>
                <w:div w:id="1636597637">
                  <w:marLeft w:val="0"/>
                  <w:marRight w:val="0"/>
                  <w:marTop w:val="0"/>
                  <w:marBottom w:val="0"/>
                  <w:divBdr>
                    <w:top w:val="none" w:sz="0" w:space="0" w:color="auto"/>
                    <w:left w:val="none" w:sz="0" w:space="0" w:color="auto"/>
                    <w:bottom w:val="none" w:sz="0" w:space="0" w:color="auto"/>
                    <w:right w:val="none" w:sz="0" w:space="0" w:color="auto"/>
                  </w:divBdr>
                </w:div>
              </w:divsChild>
            </w:div>
            <w:div w:id="742067799">
              <w:marLeft w:val="0"/>
              <w:marRight w:val="0"/>
              <w:marTop w:val="0"/>
              <w:marBottom w:val="0"/>
              <w:divBdr>
                <w:top w:val="none" w:sz="0" w:space="0" w:color="auto"/>
                <w:left w:val="none" w:sz="0" w:space="0" w:color="auto"/>
                <w:bottom w:val="none" w:sz="0" w:space="0" w:color="auto"/>
                <w:right w:val="none" w:sz="0" w:space="0" w:color="auto"/>
              </w:divBdr>
              <w:divsChild>
                <w:div w:id="375354811">
                  <w:marLeft w:val="0"/>
                  <w:marRight w:val="0"/>
                  <w:marTop w:val="0"/>
                  <w:marBottom w:val="0"/>
                  <w:divBdr>
                    <w:top w:val="none" w:sz="0" w:space="0" w:color="auto"/>
                    <w:left w:val="none" w:sz="0" w:space="0" w:color="auto"/>
                    <w:bottom w:val="none" w:sz="0" w:space="0" w:color="auto"/>
                    <w:right w:val="none" w:sz="0" w:space="0" w:color="auto"/>
                  </w:divBdr>
                </w:div>
              </w:divsChild>
            </w:div>
            <w:div w:id="1246376662">
              <w:marLeft w:val="0"/>
              <w:marRight w:val="0"/>
              <w:marTop w:val="0"/>
              <w:marBottom w:val="0"/>
              <w:divBdr>
                <w:top w:val="none" w:sz="0" w:space="0" w:color="auto"/>
                <w:left w:val="none" w:sz="0" w:space="0" w:color="auto"/>
                <w:bottom w:val="none" w:sz="0" w:space="0" w:color="auto"/>
                <w:right w:val="none" w:sz="0" w:space="0" w:color="auto"/>
              </w:divBdr>
              <w:divsChild>
                <w:div w:id="835413948">
                  <w:marLeft w:val="0"/>
                  <w:marRight w:val="0"/>
                  <w:marTop w:val="0"/>
                  <w:marBottom w:val="0"/>
                  <w:divBdr>
                    <w:top w:val="none" w:sz="0" w:space="0" w:color="auto"/>
                    <w:left w:val="none" w:sz="0" w:space="0" w:color="auto"/>
                    <w:bottom w:val="none" w:sz="0" w:space="0" w:color="auto"/>
                    <w:right w:val="none" w:sz="0" w:space="0" w:color="auto"/>
                  </w:divBdr>
                </w:div>
              </w:divsChild>
            </w:div>
            <w:div w:id="979000295">
              <w:marLeft w:val="0"/>
              <w:marRight w:val="0"/>
              <w:marTop w:val="0"/>
              <w:marBottom w:val="0"/>
              <w:divBdr>
                <w:top w:val="none" w:sz="0" w:space="0" w:color="auto"/>
                <w:left w:val="none" w:sz="0" w:space="0" w:color="auto"/>
                <w:bottom w:val="none" w:sz="0" w:space="0" w:color="auto"/>
                <w:right w:val="none" w:sz="0" w:space="0" w:color="auto"/>
              </w:divBdr>
              <w:divsChild>
                <w:div w:id="1438284483">
                  <w:marLeft w:val="0"/>
                  <w:marRight w:val="0"/>
                  <w:marTop w:val="0"/>
                  <w:marBottom w:val="0"/>
                  <w:divBdr>
                    <w:top w:val="none" w:sz="0" w:space="0" w:color="auto"/>
                    <w:left w:val="none" w:sz="0" w:space="0" w:color="auto"/>
                    <w:bottom w:val="none" w:sz="0" w:space="0" w:color="auto"/>
                    <w:right w:val="none" w:sz="0" w:space="0" w:color="auto"/>
                  </w:divBdr>
                </w:div>
              </w:divsChild>
            </w:div>
            <w:div w:id="408962802">
              <w:marLeft w:val="0"/>
              <w:marRight w:val="0"/>
              <w:marTop w:val="0"/>
              <w:marBottom w:val="0"/>
              <w:divBdr>
                <w:top w:val="none" w:sz="0" w:space="0" w:color="auto"/>
                <w:left w:val="none" w:sz="0" w:space="0" w:color="auto"/>
                <w:bottom w:val="none" w:sz="0" w:space="0" w:color="auto"/>
                <w:right w:val="none" w:sz="0" w:space="0" w:color="auto"/>
              </w:divBdr>
              <w:divsChild>
                <w:div w:id="1508442635">
                  <w:marLeft w:val="0"/>
                  <w:marRight w:val="0"/>
                  <w:marTop w:val="0"/>
                  <w:marBottom w:val="0"/>
                  <w:divBdr>
                    <w:top w:val="none" w:sz="0" w:space="0" w:color="auto"/>
                    <w:left w:val="none" w:sz="0" w:space="0" w:color="auto"/>
                    <w:bottom w:val="none" w:sz="0" w:space="0" w:color="auto"/>
                    <w:right w:val="none" w:sz="0" w:space="0" w:color="auto"/>
                  </w:divBdr>
                </w:div>
                <w:div w:id="2045712630">
                  <w:marLeft w:val="0"/>
                  <w:marRight w:val="0"/>
                  <w:marTop w:val="0"/>
                  <w:marBottom w:val="0"/>
                  <w:divBdr>
                    <w:top w:val="none" w:sz="0" w:space="0" w:color="auto"/>
                    <w:left w:val="none" w:sz="0" w:space="0" w:color="auto"/>
                    <w:bottom w:val="none" w:sz="0" w:space="0" w:color="auto"/>
                    <w:right w:val="none" w:sz="0" w:space="0" w:color="auto"/>
                  </w:divBdr>
                </w:div>
              </w:divsChild>
            </w:div>
            <w:div w:id="1643147124">
              <w:marLeft w:val="0"/>
              <w:marRight w:val="0"/>
              <w:marTop w:val="0"/>
              <w:marBottom w:val="0"/>
              <w:divBdr>
                <w:top w:val="none" w:sz="0" w:space="0" w:color="auto"/>
                <w:left w:val="none" w:sz="0" w:space="0" w:color="auto"/>
                <w:bottom w:val="none" w:sz="0" w:space="0" w:color="auto"/>
                <w:right w:val="none" w:sz="0" w:space="0" w:color="auto"/>
              </w:divBdr>
              <w:divsChild>
                <w:div w:id="1354526857">
                  <w:marLeft w:val="0"/>
                  <w:marRight w:val="0"/>
                  <w:marTop w:val="0"/>
                  <w:marBottom w:val="0"/>
                  <w:divBdr>
                    <w:top w:val="none" w:sz="0" w:space="0" w:color="auto"/>
                    <w:left w:val="none" w:sz="0" w:space="0" w:color="auto"/>
                    <w:bottom w:val="none" w:sz="0" w:space="0" w:color="auto"/>
                    <w:right w:val="none" w:sz="0" w:space="0" w:color="auto"/>
                  </w:divBdr>
                </w:div>
              </w:divsChild>
            </w:div>
            <w:div w:id="1722749270">
              <w:marLeft w:val="0"/>
              <w:marRight w:val="0"/>
              <w:marTop w:val="0"/>
              <w:marBottom w:val="0"/>
              <w:divBdr>
                <w:top w:val="none" w:sz="0" w:space="0" w:color="auto"/>
                <w:left w:val="none" w:sz="0" w:space="0" w:color="auto"/>
                <w:bottom w:val="none" w:sz="0" w:space="0" w:color="auto"/>
                <w:right w:val="none" w:sz="0" w:space="0" w:color="auto"/>
              </w:divBdr>
              <w:divsChild>
                <w:div w:id="1867793652">
                  <w:marLeft w:val="0"/>
                  <w:marRight w:val="0"/>
                  <w:marTop w:val="0"/>
                  <w:marBottom w:val="0"/>
                  <w:divBdr>
                    <w:top w:val="none" w:sz="0" w:space="0" w:color="auto"/>
                    <w:left w:val="none" w:sz="0" w:space="0" w:color="auto"/>
                    <w:bottom w:val="none" w:sz="0" w:space="0" w:color="auto"/>
                    <w:right w:val="none" w:sz="0" w:space="0" w:color="auto"/>
                  </w:divBdr>
                </w:div>
              </w:divsChild>
            </w:div>
            <w:div w:id="519512592">
              <w:marLeft w:val="0"/>
              <w:marRight w:val="0"/>
              <w:marTop w:val="0"/>
              <w:marBottom w:val="0"/>
              <w:divBdr>
                <w:top w:val="none" w:sz="0" w:space="0" w:color="auto"/>
                <w:left w:val="none" w:sz="0" w:space="0" w:color="auto"/>
                <w:bottom w:val="none" w:sz="0" w:space="0" w:color="auto"/>
                <w:right w:val="none" w:sz="0" w:space="0" w:color="auto"/>
              </w:divBdr>
              <w:divsChild>
                <w:div w:id="713236002">
                  <w:marLeft w:val="0"/>
                  <w:marRight w:val="0"/>
                  <w:marTop w:val="0"/>
                  <w:marBottom w:val="0"/>
                  <w:divBdr>
                    <w:top w:val="none" w:sz="0" w:space="0" w:color="auto"/>
                    <w:left w:val="none" w:sz="0" w:space="0" w:color="auto"/>
                    <w:bottom w:val="none" w:sz="0" w:space="0" w:color="auto"/>
                    <w:right w:val="none" w:sz="0" w:space="0" w:color="auto"/>
                  </w:divBdr>
                </w:div>
              </w:divsChild>
            </w:div>
            <w:div w:id="1183593072">
              <w:marLeft w:val="0"/>
              <w:marRight w:val="0"/>
              <w:marTop w:val="0"/>
              <w:marBottom w:val="0"/>
              <w:divBdr>
                <w:top w:val="none" w:sz="0" w:space="0" w:color="auto"/>
                <w:left w:val="none" w:sz="0" w:space="0" w:color="auto"/>
                <w:bottom w:val="none" w:sz="0" w:space="0" w:color="auto"/>
                <w:right w:val="none" w:sz="0" w:space="0" w:color="auto"/>
              </w:divBdr>
              <w:divsChild>
                <w:div w:id="1510362790">
                  <w:marLeft w:val="0"/>
                  <w:marRight w:val="0"/>
                  <w:marTop w:val="0"/>
                  <w:marBottom w:val="0"/>
                  <w:divBdr>
                    <w:top w:val="none" w:sz="0" w:space="0" w:color="auto"/>
                    <w:left w:val="none" w:sz="0" w:space="0" w:color="auto"/>
                    <w:bottom w:val="none" w:sz="0" w:space="0" w:color="auto"/>
                    <w:right w:val="none" w:sz="0" w:space="0" w:color="auto"/>
                  </w:divBdr>
                </w:div>
              </w:divsChild>
            </w:div>
            <w:div w:id="1078598424">
              <w:marLeft w:val="0"/>
              <w:marRight w:val="0"/>
              <w:marTop w:val="0"/>
              <w:marBottom w:val="0"/>
              <w:divBdr>
                <w:top w:val="none" w:sz="0" w:space="0" w:color="auto"/>
                <w:left w:val="none" w:sz="0" w:space="0" w:color="auto"/>
                <w:bottom w:val="none" w:sz="0" w:space="0" w:color="auto"/>
                <w:right w:val="none" w:sz="0" w:space="0" w:color="auto"/>
              </w:divBdr>
              <w:divsChild>
                <w:div w:id="454830071">
                  <w:marLeft w:val="0"/>
                  <w:marRight w:val="0"/>
                  <w:marTop w:val="0"/>
                  <w:marBottom w:val="0"/>
                  <w:divBdr>
                    <w:top w:val="none" w:sz="0" w:space="0" w:color="auto"/>
                    <w:left w:val="none" w:sz="0" w:space="0" w:color="auto"/>
                    <w:bottom w:val="none" w:sz="0" w:space="0" w:color="auto"/>
                    <w:right w:val="none" w:sz="0" w:space="0" w:color="auto"/>
                  </w:divBdr>
                </w:div>
              </w:divsChild>
            </w:div>
            <w:div w:id="620765972">
              <w:marLeft w:val="0"/>
              <w:marRight w:val="0"/>
              <w:marTop w:val="0"/>
              <w:marBottom w:val="0"/>
              <w:divBdr>
                <w:top w:val="none" w:sz="0" w:space="0" w:color="auto"/>
                <w:left w:val="none" w:sz="0" w:space="0" w:color="auto"/>
                <w:bottom w:val="none" w:sz="0" w:space="0" w:color="auto"/>
                <w:right w:val="none" w:sz="0" w:space="0" w:color="auto"/>
              </w:divBdr>
              <w:divsChild>
                <w:div w:id="1826890949">
                  <w:marLeft w:val="0"/>
                  <w:marRight w:val="0"/>
                  <w:marTop w:val="0"/>
                  <w:marBottom w:val="0"/>
                  <w:divBdr>
                    <w:top w:val="none" w:sz="0" w:space="0" w:color="auto"/>
                    <w:left w:val="none" w:sz="0" w:space="0" w:color="auto"/>
                    <w:bottom w:val="none" w:sz="0" w:space="0" w:color="auto"/>
                    <w:right w:val="none" w:sz="0" w:space="0" w:color="auto"/>
                  </w:divBdr>
                </w:div>
              </w:divsChild>
            </w:div>
            <w:div w:id="664434658">
              <w:marLeft w:val="0"/>
              <w:marRight w:val="0"/>
              <w:marTop w:val="0"/>
              <w:marBottom w:val="0"/>
              <w:divBdr>
                <w:top w:val="none" w:sz="0" w:space="0" w:color="auto"/>
                <w:left w:val="none" w:sz="0" w:space="0" w:color="auto"/>
                <w:bottom w:val="none" w:sz="0" w:space="0" w:color="auto"/>
                <w:right w:val="none" w:sz="0" w:space="0" w:color="auto"/>
              </w:divBdr>
              <w:divsChild>
                <w:div w:id="1432509951">
                  <w:marLeft w:val="0"/>
                  <w:marRight w:val="0"/>
                  <w:marTop w:val="0"/>
                  <w:marBottom w:val="0"/>
                  <w:divBdr>
                    <w:top w:val="none" w:sz="0" w:space="0" w:color="auto"/>
                    <w:left w:val="none" w:sz="0" w:space="0" w:color="auto"/>
                    <w:bottom w:val="none" w:sz="0" w:space="0" w:color="auto"/>
                    <w:right w:val="none" w:sz="0" w:space="0" w:color="auto"/>
                  </w:divBdr>
                </w:div>
              </w:divsChild>
            </w:div>
            <w:div w:id="389110074">
              <w:marLeft w:val="0"/>
              <w:marRight w:val="0"/>
              <w:marTop w:val="0"/>
              <w:marBottom w:val="0"/>
              <w:divBdr>
                <w:top w:val="none" w:sz="0" w:space="0" w:color="auto"/>
                <w:left w:val="none" w:sz="0" w:space="0" w:color="auto"/>
                <w:bottom w:val="none" w:sz="0" w:space="0" w:color="auto"/>
                <w:right w:val="none" w:sz="0" w:space="0" w:color="auto"/>
              </w:divBdr>
              <w:divsChild>
                <w:div w:id="1278873845">
                  <w:marLeft w:val="0"/>
                  <w:marRight w:val="0"/>
                  <w:marTop w:val="0"/>
                  <w:marBottom w:val="0"/>
                  <w:divBdr>
                    <w:top w:val="none" w:sz="0" w:space="0" w:color="auto"/>
                    <w:left w:val="none" w:sz="0" w:space="0" w:color="auto"/>
                    <w:bottom w:val="none" w:sz="0" w:space="0" w:color="auto"/>
                    <w:right w:val="none" w:sz="0" w:space="0" w:color="auto"/>
                  </w:divBdr>
                </w:div>
              </w:divsChild>
            </w:div>
            <w:div w:id="571696949">
              <w:marLeft w:val="0"/>
              <w:marRight w:val="0"/>
              <w:marTop w:val="0"/>
              <w:marBottom w:val="0"/>
              <w:divBdr>
                <w:top w:val="none" w:sz="0" w:space="0" w:color="auto"/>
                <w:left w:val="none" w:sz="0" w:space="0" w:color="auto"/>
                <w:bottom w:val="none" w:sz="0" w:space="0" w:color="auto"/>
                <w:right w:val="none" w:sz="0" w:space="0" w:color="auto"/>
              </w:divBdr>
              <w:divsChild>
                <w:div w:id="857473652">
                  <w:marLeft w:val="0"/>
                  <w:marRight w:val="0"/>
                  <w:marTop w:val="0"/>
                  <w:marBottom w:val="0"/>
                  <w:divBdr>
                    <w:top w:val="none" w:sz="0" w:space="0" w:color="auto"/>
                    <w:left w:val="none" w:sz="0" w:space="0" w:color="auto"/>
                    <w:bottom w:val="none" w:sz="0" w:space="0" w:color="auto"/>
                    <w:right w:val="none" w:sz="0" w:space="0" w:color="auto"/>
                  </w:divBdr>
                </w:div>
              </w:divsChild>
            </w:div>
            <w:div w:id="645743036">
              <w:marLeft w:val="0"/>
              <w:marRight w:val="0"/>
              <w:marTop w:val="0"/>
              <w:marBottom w:val="0"/>
              <w:divBdr>
                <w:top w:val="none" w:sz="0" w:space="0" w:color="auto"/>
                <w:left w:val="none" w:sz="0" w:space="0" w:color="auto"/>
                <w:bottom w:val="none" w:sz="0" w:space="0" w:color="auto"/>
                <w:right w:val="none" w:sz="0" w:space="0" w:color="auto"/>
              </w:divBdr>
              <w:divsChild>
                <w:div w:id="2054570577">
                  <w:marLeft w:val="0"/>
                  <w:marRight w:val="0"/>
                  <w:marTop w:val="0"/>
                  <w:marBottom w:val="0"/>
                  <w:divBdr>
                    <w:top w:val="none" w:sz="0" w:space="0" w:color="auto"/>
                    <w:left w:val="none" w:sz="0" w:space="0" w:color="auto"/>
                    <w:bottom w:val="none" w:sz="0" w:space="0" w:color="auto"/>
                    <w:right w:val="none" w:sz="0" w:space="0" w:color="auto"/>
                  </w:divBdr>
                </w:div>
              </w:divsChild>
            </w:div>
            <w:div w:id="1941450098">
              <w:marLeft w:val="0"/>
              <w:marRight w:val="0"/>
              <w:marTop w:val="0"/>
              <w:marBottom w:val="0"/>
              <w:divBdr>
                <w:top w:val="none" w:sz="0" w:space="0" w:color="auto"/>
                <w:left w:val="none" w:sz="0" w:space="0" w:color="auto"/>
                <w:bottom w:val="none" w:sz="0" w:space="0" w:color="auto"/>
                <w:right w:val="none" w:sz="0" w:space="0" w:color="auto"/>
              </w:divBdr>
              <w:divsChild>
                <w:div w:id="2007978777">
                  <w:marLeft w:val="0"/>
                  <w:marRight w:val="0"/>
                  <w:marTop w:val="0"/>
                  <w:marBottom w:val="0"/>
                  <w:divBdr>
                    <w:top w:val="none" w:sz="0" w:space="0" w:color="auto"/>
                    <w:left w:val="none" w:sz="0" w:space="0" w:color="auto"/>
                    <w:bottom w:val="none" w:sz="0" w:space="0" w:color="auto"/>
                    <w:right w:val="none" w:sz="0" w:space="0" w:color="auto"/>
                  </w:divBdr>
                </w:div>
              </w:divsChild>
            </w:div>
            <w:div w:id="1337924268">
              <w:marLeft w:val="0"/>
              <w:marRight w:val="0"/>
              <w:marTop w:val="0"/>
              <w:marBottom w:val="0"/>
              <w:divBdr>
                <w:top w:val="none" w:sz="0" w:space="0" w:color="auto"/>
                <w:left w:val="none" w:sz="0" w:space="0" w:color="auto"/>
                <w:bottom w:val="none" w:sz="0" w:space="0" w:color="auto"/>
                <w:right w:val="none" w:sz="0" w:space="0" w:color="auto"/>
              </w:divBdr>
              <w:divsChild>
                <w:div w:id="2072339398">
                  <w:marLeft w:val="0"/>
                  <w:marRight w:val="0"/>
                  <w:marTop w:val="0"/>
                  <w:marBottom w:val="0"/>
                  <w:divBdr>
                    <w:top w:val="none" w:sz="0" w:space="0" w:color="auto"/>
                    <w:left w:val="none" w:sz="0" w:space="0" w:color="auto"/>
                    <w:bottom w:val="none" w:sz="0" w:space="0" w:color="auto"/>
                    <w:right w:val="none" w:sz="0" w:space="0" w:color="auto"/>
                  </w:divBdr>
                </w:div>
              </w:divsChild>
            </w:div>
            <w:div w:id="1877617167">
              <w:marLeft w:val="0"/>
              <w:marRight w:val="0"/>
              <w:marTop w:val="0"/>
              <w:marBottom w:val="0"/>
              <w:divBdr>
                <w:top w:val="none" w:sz="0" w:space="0" w:color="auto"/>
                <w:left w:val="none" w:sz="0" w:space="0" w:color="auto"/>
                <w:bottom w:val="none" w:sz="0" w:space="0" w:color="auto"/>
                <w:right w:val="none" w:sz="0" w:space="0" w:color="auto"/>
              </w:divBdr>
              <w:divsChild>
                <w:div w:id="919486061">
                  <w:marLeft w:val="0"/>
                  <w:marRight w:val="0"/>
                  <w:marTop w:val="0"/>
                  <w:marBottom w:val="0"/>
                  <w:divBdr>
                    <w:top w:val="none" w:sz="0" w:space="0" w:color="auto"/>
                    <w:left w:val="none" w:sz="0" w:space="0" w:color="auto"/>
                    <w:bottom w:val="none" w:sz="0" w:space="0" w:color="auto"/>
                    <w:right w:val="none" w:sz="0" w:space="0" w:color="auto"/>
                  </w:divBdr>
                </w:div>
              </w:divsChild>
            </w:div>
            <w:div w:id="833958485">
              <w:marLeft w:val="0"/>
              <w:marRight w:val="0"/>
              <w:marTop w:val="0"/>
              <w:marBottom w:val="0"/>
              <w:divBdr>
                <w:top w:val="none" w:sz="0" w:space="0" w:color="auto"/>
                <w:left w:val="none" w:sz="0" w:space="0" w:color="auto"/>
                <w:bottom w:val="none" w:sz="0" w:space="0" w:color="auto"/>
                <w:right w:val="none" w:sz="0" w:space="0" w:color="auto"/>
              </w:divBdr>
              <w:divsChild>
                <w:div w:id="667444245">
                  <w:marLeft w:val="0"/>
                  <w:marRight w:val="0"/>
                  <w:marTop w:val="0"/>
                  <w:marBottom w:val="0"/>
                  <w:divBdr>
                    <w:top w:val="none" w:sz="0" w:space="0" w:color="auto"/>
                    <w:left w:val="none" w:sz="0" w:space="0" w:color="auto"/>
                    <w:bottom w:val="none" w:sz="0" w:space="0" w:color="auto"/>
                    <w:right w:val="none" w:sz="0" w:space="0" w:color="auto"/>
                  </w:divBdr>
                </w:div>
              </w:divsChild>
            </w:div>
            <w:div w:id="846672493">
              <w:marLeft w:val="0"/>
              <w:marRight w:val="0"/>
              <w:marTop w:val="0"/>
              <w:marBottom w:val="0"/>
              <w:divBdr>
                <w:top w:val="none" w:sz="0" w:space="0" w:color="auto"/>
                <w:left w:val="none" w:sz="0" w:space="0" w:color="auto"/>
                <w:bottom w:val="none" w:sz="0" w:space="0" w:color="auto"/>
                <w:right w:val="none" w:sz="0" w:space="0" w:color="auto"/>
              </w:divBdr>
              <w:divsChild>
                <w:div w:id="82800849">
                  <w:marLeft w:val="0"/>
                  <w:marRight w:val="0"/>
                  <w:marTop w:val="0"/>
                  <w:marBottom w:val="0"/>
                  <w:divBdr>
                    <w:top w:val="none" w:sz="0" w:space="0" w:color="auto"/>
                    <w:left w:val="none" w:sz="0" w:space="0" w:color="auto"/>
                    <w:bottom w:val="none" w:sz="0" w:space="0" w:color="auto"/>
                    <w:right w:val="none" w:sz="0" w:space="0" w:color="auto"/>
                  </w:divBdr>
                </w:div>
              </w:divsChild>
            </w:div>
            <w:div w:id="978343250">
              <w:marLeft w:val="0"/>
              <w:marRight w:val="0"/>
              <w:marTop w:val="0"/>
              <w:marBottom w:val="0"/>
              <w:divBdr>
                <w:top w:val="none" w:sz="0" w:space="0" w:color="auto"/>
                <w:left w:val="none" w:sz="0" w:space="0" w:color="auto"/>
                <w:bottom w:val="none" w:sz="0" w:space="0" w:color="auto"/>
                <w:right w:val="none" w:sz="0" w:space="0" w:color="auto"/>
              </w:divBdr>
              <w:divsChild>
                <w:div w:id="907494419">
                  <w:marLeft w:val="0"/>
                  <w:marRight w:val="0"/>
                  <w:marTop w:val="0"/>
                  <w:marBottom w:val="0"/>
                  <w:divBdr>
                    <w:top w:val="none" w:sz="0" w:space="0" w:color="auto"/>
                    <w:left w:val="none" w:sz="0" w:space="0" w:color="auto"/>
                    <w:bottom w:val="none" w:sz="0" w:space="0" w:color="auto"/>
                    <w:right w:val="none" w:sz="0" w:space="0" w:color="auto"/>
                  </w:divBdr>
                </w:div>
              </w:divsChild>
            </w:div>
            <w:div w:id="664742302">
              <w:marLeft w:val="0"/>
              <w:marRight w:val="0"/>
              <w:marTop w:val="0"/>
              <w:marBottom w:val="0"/>
              <w:divBdr>
                <w:top w:val="none" w:sz="0" w:space="0" w:color="auto"/>
                <w:left w:val="none" w:sz="0" w:space="0" w:color="auto"/>
                <w:bottom w:val="none" w:sz="0" w:space="0" w:color="auto"/>
                <w:right w:val="none" w:sz="0" w:space="0" w:color="auto"/>
              </w:divBdr>
              <w:divsChild>
                <w:div w:id="1246302514">
                  <w:marLeft w:val="0"/>
                  <w:marRight w:val="0"/>
                  <w:marTop w:val="0"/>
                  <w:marBottom w:val="0"/>
                  <w:divBdr>
                    <w:top w:val="none" w:sz="0" w:space="0" w:color="auto"/>
                    <w:left w:val="none" w:sz="0" w:space="0" w:color="auto"/>
                    <w:bottom w:val="none" w:sz="0" w:space="0" w:color="auto"/>
                    <w:right w:val="none" w:sz="0" w:space="0" w:color="auto"/>
                  </w:divBdr>
                </w:div>
              </w:divsChild>
            </w:div>
            <w:div w:id="505248174">
              <w:marLeft w:val="0"/>
              <w:marRight w:val="0"/>
              <w:marTop w:val="0"/>
              <w:marBottom w:val="0"/>
              <w:divBdr>
                <w:top w:val="none" w:sz="0" w:space="0" w:color="auto"/>
                <w:left w:val="none" w:sz="0" w:space="0" w:color="auto"/>
                <w:bottom w:val="none" w:sz="0" w:space="0" w:color="auto"/>
                <w:right w:val="none" w:sz="0" w:space="0" w:color="auto"/>
              </w:divBdr>
              <w:divsChild>
                <w:div w:id="776750549">
                  <w:marLeft w:val="0"/>
                  <w:marRight w:val="0"/>
                  <w:marTop w:val="0"/>
                  <w:marBottom w:val="0"/>
                  <w:divBdr>
                    <w:top w:val="none" w:sz="0" w:space="0" w:color="auto"/>
                    <w:left w:val="none" w:sz="0" w:space="0" w:color="auto"/>
                    <w:bottom w:val="none" w:sz="0" w:space="0" w:color="auto"/>
                    <w:right w:val="none" w:sz="0" w:space="0" w:color="auto"/>
                  </w:divBdr>
                </w:div>
              </w:divsChild>
            </w:div>
            <w:div w:id="2111581625">
              <w:marLeft w:val="0"/>
              <w:marRight w:val="0"/>
              <w:marTop w:val="0"/>
              <w:marBottom w:val="0"/>
              <w:divBdr>
                <w:top w:val="none" w:sz="0" w:space="0" w:color="auto"/>
                <w:left w:val="none" w:sz="0" w:space="0" w:color="auto"/>
                <w:bottom w:val="none" w:sz="0" w:space="0" w:color="auto"/>
                <w:right w:val="none" w:sz="0" w:space="0" w:color="auto"/>
              </w:divBdr>
              <w:divsChild>
                <w:div w:id="98797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797793">
          <w:marLeft w:val="0"/>
          <w:marRight w:val="0"/>
          <w:marTop w:val="0"/>
          <w:marBottom w:val="0"/>
          <w:divBdr>
            <w:top w:val="none" w:sz="0" w:space="0" w:color="auto"/>
            <w:left w:val="none" w:sz="0" w:space="0" w:color="auto"/>
            <w:bottom w:val="none" w:sz="0" w:space="0" w:color="auto"/>
            <w:right w:val="none" w:sz="0" w:space="0" w:color="auto"/>
          </w:divBdr>
        </w:div>
        <w:div w:id="168565342">
          <w:marLeft w:val="0"/>
          <w:marRight w:val="0"/>
          <w:marTop w:val="0"/>
          <w:marBottom w:val="0"/>
          <w:divBdr>
            <w:top w:val="none" w:sz="0" w:space="0" w:color="auto"/>
            <w:left w:val="none" w:sz="0" w:space="0" w:color="auto"/>
            <w:bottom w:val="none" w:sz="0" w:space="0" w:color="auto"/>
            <w:right w:val="none" w:sz="0" w:space="0" w:color="auto"/>
          </w:divBdr>
        </w:div>
      </w:divsChild>
    </w:div>
    <w:div w:id="295455202">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663494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82802510">
      <w:bodyDiv w:val="1"/>
      <w:marLeft w:val="0"/>
      <w:marRight w:val="0"/>
      <w:marTop w:val="0"/>
      <w:marBottom w:val="0"/>
      <w:divBdr>
        <w:top w:val="none" w:sz="0" w:space="0" w:color="auto"/>
        <w:left w:val="none" w:sz="0" w:space="0" w:color="auto"/>
        <w:bottom w:val="none" w:sz="0" w:space="0" w:color="auto"/>
        <w:right w:val="none" w:sz="0" w:space="0" w:color="auto"/>
      </w:divBdr>
    </w:div>
    <w:div w:id="1302421064">
      <w:bodyDiv w:val="1"/>
      <w:marLeft w:val="0"/>
      <w:marRight w:val="0"/>
      <w:marTop w:val="0"/>
      <w:marBottom w:val="0"/>
      <w:divBdr>
        <w:top w:val="none" w:sz="0" w:space="0" w:color="auto"/>
        <w:left w:val="none" w:sz="0" w:space="0" w:color="auto"/>
        <w:bottom w:val="none" w:sz="0" w:space="0" w:color="auto"/>
        <w:right w:val="none" w:sz="0" w:space="0" w:color="auto"/>
      </w:divBdr>
      <w:divsChild>
        <w:div w:id="1838619380">
          <w:marLeft w:val="-75"/>
          <w:marRight w:val="0"/>
          <w:marTop w:val="30"/>
          <w:marBottom w:val="30"/>
          <w:divBdr>
            <w:top w:val="none" w:sz="0" w:space="0" w:color="auto"/>
            <w:left w:val="none" w:sz="0" w:space="0" w:color="auto"/>
            <w:bottom w:val="none" w:sz="0" w:space="0" w:color="auto"/>
            <w:right w:val="none" w:sz="0" w:space="0" w:color="auto"/>
          </w:divBdr>
          <w:divsChild>
            <w:div w:id="259601790">
              <w:marLeft w:val="0"/>
              <w:marRight w:val="0"/>
              <w:marTop w:val="0"/>
              <w:marBottom w:val="0"/>
              <w:divBdr>
                <w:top w:val="none" w:sz="0" w:space="0" w:color="auto"/>
                <w:left w:val="none" w:sz="0" w:space="0" w:color="auto"/>
                <w:bottom w:val="none" w:sz="0" w:space="0" w:color="auto"/>
                <w:right w:val="none" w:sz="0" w:space="0" w:color="auto"/>
              </w:divBdr>
              <w:divsChild>
                <w:div w:id="600265691">
                  <w:marLeft w:val="0"/>
                  <w:marRight w:val="0"/>
                  <w:marTop w:val="0"/>
                  <w:marBottom w:val="0"/>
                  <w:divBdr>
                    <w:top w:val="none" w:sz="0" w:space="0" w:color="auto"/>
                    <w:left w:val="none" w:sz="0" w:space="0" w:color="auto"/>
                    <w:bottom w:val="none" w:sz="0" w:space="0" w:color="auto"/>
                    <w:right w:val="none" w:sz="0" w:space="0" w:color="auto"/>
                  </w:divBdr>
                </w:div>
              </w:divsChild>
            </w:div>
            <w:div w:id="2144108026">
              <w:marLeft w:val="0"/>
              <w:marRight w:val="0"/>
              <w:marTop w:val="0"/>
              <w:marBottom w:val="0"/>
              <w:divBdr>
                <w:top w:val="none" w:sz="0" w:space="0" w:color="auto"/>
                <w:left w:val="none" w:sz="0" w:space="0" w:color="auto"/>
                <w:bottom w:val="none" w:sz="0" w:space="0" w:color="auto"/>
                <w:right w:val="none" w:sz="0" w:space="0" w:color="auto"/>
              </w:divBdr>
              <w:divsChild>
                <w:div w:id="1001929475">
                  <w:marLeft w:val="0"/>
                  <w:marRight w:val="0"/>
                  <w:marTop w:val="0"/>
                  <w:marBottom w:val="0"/>
                  <w:divBdr>
                    <w:top w:val="none" w:sz="0" w:space="0" w:color="auto"/>
                    <w:left w:val="none" w:sz="0" w:space="0" w:color="auto"/>
                    <w:bottom w:val="none" w:sz="0" w:space="0" w:color="auto"/>
                    <w:right w:val="none" w:sz="0" w:space="0" w:color="auto"/>
                  </w:divBdr>
                </w:div>
              </w:divsChild>
            </w:div>
            <w:div w:id="1466577764">
              <w:marLeft w:val="0"/>
              <w:marRight w:val="0"/>
              <w:marTop w:val="0"/>
              <w:marBottom w:val="0"/>
              <w:divBdr>
                <w:top w:val="none" w:sz="0" w:space="0" w:color="auto"/>
                <w:left w:val="none" w:sz="0" w:space="0" w:color="auto"/>
                <w:bottom w:val="none" w:sz="0" w:space="0" w:color="auto"/>
                <w:right w:val="none" w:sz="0" w:space="0" w:color="auto"/>
              </w:divBdr>
              <w:divsChild>
                <w:div w:id="2141679079">
                  <w:marLeft w:val="0"/>
                  <w:marRight w:val="0"/>
                  <w:marTop w:val="0"/>
                  <w:marBottom w:val="0"/>
                  <w:divBdr>
                    <w:top w:val="none" w:sz="0" w:space="0" w:color="auto"/>
                    <w:left w:val="none" w:sz="0" w:space="0" w:color="auto"/>
                    <w:bottom w:val="none" w:sz="0" w:space="0" w:color="auto"/>
                    <w:right w:val="none" w:sz="0" w:space="0" w:color="auto"/>
                  </w:divBdr>
                </w:div>
              </w:divsChild>
            </w:div>
            <w:div w:id="1331520672">
              <w:marLeft w:val="0"/>
              <w:marRight w:val="0"/>
              <w:marTop w:val="0"/>
              <w:marBottom w:val="0"/>
              <w:divBdr>
                <w:top w:val="none" w:sz="0" w:space="0" w:color="auto"/>
                <w:left w:val="none" w:sz="0" w:space="0" w:color="auto"/>
                <w:bottom w:val="none" w:sz="0" w:space="0" w:color="auto"/>
                <w:right w:val="none" w:sz="0" w:space="0" w:color="auto"/>
              </w:divBdr>
              <w:divsChild>
                <w:div w:id="1020662784">
                  <w:marLeft w:val="0"/>
                  <w:marRight w:val="0"/>
                  <w:marTop w:val="0"/>
                  <w:marBottom w:val="0"/>
                  <w:divBdr>
                    <w:top w:val="none" w:sz="0" w:space="0" w:color="auto"/>
                    <w:left w:val="none" w:sz="0" w:space="0" w:color="auto"/>
                    <w:bottom w:val="none" w:sz="0" w:space="0" w:color="auto"/>
                    <w:right w:val="none" w:sz="0" w:space="0" w:color="auto"/>
                  </w:divBdr>
                </w:div>
              </w:divsChild>
            </w:div>
            <w:div w:id="2119911220">
              <w:marLeft w:val="0"/>
              <w:marRight w:val="0"/>
              <w:marTop w:val="0"/>
              <w:marBottom w:val="0"/>
              <w:divBdr>
                <w:top w:val="none" w:sz="0" w:space="0" w:color="auto"/>
                <w:left w:val="none" w:sz="0" w:space="0" w:color="auto"/>
                <w:bottom w:val="none" w:sz="0" w:space="0" w:color="auto"/>
                <w:right w:val="none" w:sz="0" w:space="0" w:color="auto"/>
              </w:divBdr>
              <w:divsChild>
                <w:div w:id="1983197931">
                  <w:marLeft w:val="0"/>
                  <w:marRight w:val="0"/>
                  <w:marTop w:val="0"/>
                  <w:marBottom w:val="0"/>
                  <w:divBdr>
                    <w:top w:val="none" w:sz="0" w:space="0" w:color="auto"/>
                    <w:left w:val="none" w:sz="0" w:space="0" w:color="auto"/>
                    <w:bottom w:val="none" w:sz="0" w:space="0" w:color="auto"/>
                    <w:right w:val="none" w:sz="0" w:space="0" w:color="auto"/>
                  </w:divBdr>
                </w:div>
              </w:divsChild>
            </w:div>
            <w:div w:id="1581328809">
              <w:marLeft w:val="0"/>
              <w:marRight w:val="0"/>
              <w:marTop w:val="0"/>
              <w:marBottom w:val="0"/>
              <w:divBdr>
                <w:top w:val="none" w:sz="0" w:space="0" w:color="auto"/>
                <w:left w:val="none" w:sz="0" w:space="0" w:color="auto"/>
                <w:bottom w:val="none" w:sz="0" w:space="0" w:color="auto"/>
                <w:right w:val="none" w:sz="0" w:space="0" w:color="auto"/>
              </w:divBdr>
              <w:divsChild>
                <w:div w:id="1127775130">
                  <w:marLeft w:val="0"/>
                  <w:marRight w:val="0"/>
                  <w:marTop w:val="0"/>
                  <w:marBottom w:val="0"/>
                  <w:divBdr>
                    <w:top w:val="none" w:sz="0" w:space="0" w:color="auto"/>
                    <w:left w:val="none" w:sz="0" w:space="0" w:color="auto"/>
                    <w:bottom w:val="none" w:sz="0" w:space="0" w:color="auto"/>
                    <w:right w:val="none" w:sz="0" w:space="0" w:color="auto"/>
                  </w:divBdr>
                </w:div>
              </w:divsChild>
            </w:div>
            <w:div w:id="104933672">
              <w:marLeft w:val="0"/>
              <w:marRight w:val="0"/>
              <w:marTop w:val="0"/>
              <w:marBottom w:val="0"/>
              <w:divBdr>
                <w:top w:val="none" w:sz="0" w:space="0" w:color="auto"/>
                <w:left w:val="none" w:sz="0" w:space="0" w:color="auto"/>
                <w:bottom w:val="none" w:sz="0" w:space="0" w:color="auto"/>
                <w:right w:val="none" w:sz="0" w:space="0" w:color="auto"/>
              </w:divBdr>
              <w:divsChild>
                <w:div w:id="1086608400">
                  <w:marLeft w:val="0"/>
                  <w:marRight w:val="0"/>
                  <w:marTop w:val="0"/>
                  <w:marBottom w:val="0"/>
                  <w:divBdr>
                    <w:top w:val="none" w:sz="0" w:space="0" w:color="auto"/>
                    <w:left w:val="none" w:sz="0" w:space="0" w:color="auto"/>
                    <w:bottom w:val="none" w:sz="0" w:space="0" w:color="auto"/>
                    <w:right w:val="none" w:sz="0" w:space="0" w:color="auto"/>
                  </w:divBdr>
                </w:div>
              </w:divsChild>
            </w:div>
            <w:div w:id="1567296678">
              <w:marLeft w:val="0"/>
              <w:marRight w:val="0"/>
              <w:marTop w:val="0"/>
              <w:marBottom w:val="0"/>
              <w:divBdr>
                <w:top w:val="none" w:sz="0" w:space="0" w:color="auto"/>
                <w:left w:val="none" w:sz="0" w:space="0" w:color="auto"/>
                <w:bottom w:val="none" w:sz="0" w:space="0" w:color="auto"/>
                <w:right w:val="none" w:sz="0" w:space="0" w:color="auto"/>
              </w:divBdr>
              <w:divsChild>
                <w:div w:id="125317613">
                  <w:marLeft w:val="0"/>
                  <w:marRight w:val="0"/>
                  <w:marTop w:val="0"/>
                  <w:marBottom w:val="0"/>
                  <w:divBdr>
                    <w:top w:val="none" w:sz="0" w:space="0" w:color="auto"/>
                    <w:left w:val="none" w:sz="0" w:space="0" w:color="auto"/>
                    <w:bottom w:val="none" w:sz="0" w:space="0" w:color="auto"/>
                    <w:right w:val="none" w:sz="0" w:space="0" w:color="auto"/>
                  </w:divBdr>
                </w:div>
              </w:divsChild>
            </w:div>
            <w:div w:id="357047689">
              <w:marLeft w:val="0"/>
              <w:marRight w:val="0"/>
              <w:marTop w:val="0"/>
              <w:marBottom w:val="0"/>
              <w:divBdr>
                <w:top w:val="none" w:sz="0" w:space="0" w:color="auto"/>
                <w:left w:val="none" w:sz="0" w:space="0" w:color="auto"/>
                <w:bottom w:val="none" w:sz="0" w:space="0" w:color="auto"/>
                <w:right w:val="none" w:sz="0" w:space="0" w:color="auto"/>
              </w:divBdr>
              <w:divsChild>
                <w:div w:id="1490516881">
                  <w:marLeft w:val="0"/>
                  <w:marRight w:val="0"/>
                  <w:marTop w:val="0"/>
                  <w:marBottom w:val="0"/>
                  <w:divBdr>
                    <w:top w:val="none" w:sz="0" w:space="0" w:color="auto"/>
                    <w:left w:val="none" w:sz="0" w:space="0" w:color="auto"/>
                    <w:bottom w:val="none" w:sz="0" w:space="0" w:color="auto"/>
                    <w:right w:val="none" w:sz="0" w:space="0" w:color="auto"/>
                  </w:divBdr>
                </w:div>
              </w:divsChild>
            </w:div>
            <w:div w:id="1791244805">
              <w:marLeft w:val="0"/>
              <w:marRight w:val="0"/>
              <w:marTop w:val="0"/>
              <w:marBottom w:val="0"/>
              <w:divBdr>
                <w:top w:val="none" w:sz="0" w:space="0" w:color="auto"/>
                <w:left w:val="none" w:sz="0" w:space="0" w:color="auto"/>
                <w:bottom w:val="none" w:sz="0" w:space="0" w:color="auto"/>
                <w:right w:val="none" w:sz="0" w:space="0" w:color="auto"/>
              </w:divBdr>
              <w:divsChild>
                <w:div w:id="362439159">
                  <w:marLeft w:val="0"/>
                  <w:marRight w:val="0"/>
                  <w:marTop w:val="0"/>
                  <w:marBottom w:val="0"/>
                  <w:divBdr>
                    <w:top w:val="none" w:sz="0" w:space="0" w:color="auto"/>
                    <w:left w:val="none" w:sz="0" w:space="0" w:color="auto"/>
                    <w:bottom w:val="none" w:sz="0" w:space="0" w:color="auto"/>
                    <w:right w:val="none" w:sz="0" w:space="0" w:color="auto"/>
                  </w:divBdr>
                </w:div>
              </w:divsChild>
            </w:div>
            <w:div w:id="189149702">
              <w:marLeft w:val="0"/>
              <w:marRight w:val="0"/>
              <w:marTop w:val="0"/>
              <w:marBottom w:val="0"/>
              <w:divBdr>
                <w:top w:val="none" w:sz="0" w:space="0" w:color="auto"/>
                <w:left w:val="none" w:sz="0" w:space="0" w:color="auto"/>
                <w:bottom w:val="none" w:sz="0" w:space="0" w:color="auto"/>
                <w:right w:val="none" w:sz="0" w:space="0" w:color="auto"/>
              </w:divBdr>
              <w:divsChild>
                <w:div w:id="1691879538">
                  <w:marLeft w:val="0"/>
                  <w:marRight w:val="0"/>
                  <w:marTop w:val="0"/>
                  <w:marBottom w:val="0"/>
                  <w:divBdr>
                    <w:top w:val="none" w:sz="0" w:space="0" w:color="auto"/>
                    <w:left w:val="none" w:sz="0" w:space="0" w:color="auto"/>
                    <w:bottom w:val="none" w:sz="0" w:space="0" w:color="auto"/>
                    <w:right w:val="none" w:sz="0" w:space="0" w:color="auto"/>
                  </w:divBdr>
                </w:div>
              </w:divsChild>
            </w:div>
            <w:div w:id="1410080593">
              <w:marLeft w:val="0"/>
              <w:marRight w:val="0"/>
              <w:marTop w:val="0"/>
              <w:marBottom w:val="0"/>
              <w:divBdr>
                <w:top w:val="none" w:sz="0" w:space="0" w:color="auto"/>
                <w:left w:val="none" w:sz="0" w:space="0" w:color="auto"/>
                <w:bottom w:val="none" w:sz="0" w:space="0" w:color="auto"/>
                <w:right w:val="none" w:sz="0" w:space="0" w:color="auto"/>
              </w:divBdr>
              <w:divsChild>
                <w:div w:id="953632625">
                  <w:marLeft w:val="0"/>
                  <w:marRight w:val="0"/>
                  <w:marTop w:val="0"/>
                  <w:marBottom w:val="0"/>
                  <w:divBdr>
                    <w:top w:val="none" w:sz="0" w:space="0" w:color="auto"/>
                    <w:left w:val="none" w:sz="0" w:space="0" w:color="auto"/>
                    <w:bottom w:val="none" w:sz="0" w:space="0" w:color="auto"/>
                    <w:right w:val="none" w:sz="0" w:space="0" w:color="auto"/>
                  </w:divBdr>
                </w:div>
              </w:divsChild>
            </w:div>
            <w:div w:id="84618810">
              <w:marLeft w:val="0"/>
              <w:marRight w:val="0"/>
              <w:marTop w:val="0"/>
              <w:marBottom w:val="0"/>
              <w:divBdr>
                <w:top w:val="none" w:sz="0" w:space="0" w:color="auto"/>
                <w:left w:val="none" w:sz="0" w:space="0" w:color="auto"/>
                <w:bottom w:val="none" w:sz="0" w:space="0" w:color="auto"/>
                <w:right w:val="none" w:sz="0" w:space="0" w:color="auto"/>
              </w:divBdr>
              <w:divsChild>
                <w:div w:id="54553381">
                  <w:marLeft w:val="0"/>
                  <w:marRight w:val="0"/>
                  <w:marTop w:val="0"/>
                  <w:marBottom w:val="0"/>
                  <w:divBdr>
                    <w:top w:val="none" w:sz="0" w:space="0" w:color="auto"/>
                    <w:left w:val="none" w:sz="0" w:space="0" w:color="auto"/>
                    <w:bottom w:val="none" w:sz="0" w:space="0" w:color="auto"/>
                    <w:right w:val="none" w:sz="0" w:space="0" w:color="auto"/>
                  </w:divBdr>
                </w:div>
              </w:divsChild>
            </w:div>
            <w:div w:id="320079878">
              <w:marLeft w:val="0"/>
              <w:marRight w:val="0"/>
              <w:marTop w:val="0"/>
              <w:marBottom w:val="0"/>
              <w:divBdr>
                <w:top w:val="none" w:sz="0" w:space="0" w:color="auto"/>
                <w:left w:val="none" w:sz="0" w:space="0" w:color="auto"/>
                <w:bottom w:val="none" w:sz="0" w:space="0" w:color="auto"/>
                <w:right w:val="none" w:sz="0" w:space="0" w:color="auto"/>
              </w:divBdr>
              <w:divsChild>
                <w:div w:id="147790523">
                  <w:marLeft w:val="0"/>
                  <w:marRight w:val="0"/>
                  <w:marTop w:val="0"/>
                  <w:marBottom w:val="0"/>
                  <w:divBdr>
                    <w:top w:val="none" w:sz="0" w:space="0" w:color="auto"/>
                    <w:left w:val="none" w:sz="0" w:space="0" w:color="auto"/>
                    <w:bottom w:val="none" w:sz="0" w:space="0" w:color="auto"/>
                    <w:right w:val="none" w:sz="0" w:space="0" w:color="auto"/>
                  </w:divBdr>
                </w:div>
              </w:divsChild>
            </w:div>
            <w:div w:id="2125463711">
              <w:marLeft w:val="0"/>
              <w:marRight w:val="0"/>
              <w:marTop w:val="0"/>
              <w:marBottom w:val="0"/>
              <w:divBdr>
                <w:top w:val="none" w:sz="0" w:space="0" w:color="auto"/>
                <w:left w:val="none" w:sz="0" w:space="0" w:color="auto"/>
                <w:bottom w:val="none" w:sz="0" w:space="0" w:color="auto"/>
                <w:right w:val="none" w:sz="0" w:space="0" w:color="auto"/>
              </w:divBdr>
              <w:divsChild>
                <w:div w:id="1612398590">
                  <w:marLeft w:val="0"/>
                  <w:marRight w:val="0"/>
                  <w:marTop w:val="0"/>
                  <w:marBottom w:val="0"/>
                  <w:divBdr>
                    <w:top w:val="none" w:sz="0" w:space="0" w:color="auto"/>
                    <w:left w:val="none" w:sz="0" w:space="0" w:color="auto"/>
                    <w:bottom w:val="none" w:sz="0" w:space="0" w:color="auto"/>
                    <w:right w:val="none" w:sz="0" w:space="0" w:color="auto"/>
                  </w:divBdr>
                </w:div>
              </w:divsChild>
            </w:div>
            <w:div w:id="1988319734">
              <w:marLeft w:val="0"/>
              <w:marRight w:val="0"/>
              <w:marTop w:val="0"/>
              <w:marBottom w:val="0"/>
              <w:divBdr>
                <w:top w:val="none" w:sz="0" w:space="0" w:color="auto"/>
                <w:left w:val="none" w:sz="0" w:space="0" w:color="auto"/>
                <w:bottom w:val="none" w:sz="0" w:space="0" w:color="auto"/>
                <w:right w:val="none" w:sz="0" w:space="0" w:color="auto"/>
              </w:divBdr>
              <w:divsChild>
                <w:div w:id="1398474509">
                  <w:marLeft w:val="0"/>
                  <w:marRight w:val="0"/>
                  <w:marTop w:val="0"/>
                  <w:marBottom w:val="0"/>
                  <w:divBdr>
                    <w:top w:val="none" w:sz="0" w:space="0" w:color="auto"/>
                    <w:left w:val="none" w:sz="0" w:space="0" w:color="auto"/>
                    <w:bottom w:val="none" w:sz="0" w:space="0" w:color="auto"/>
                    <w:right w:val="none" w:sz="0" w:space="0" w:color="auto"/>
                  </w:divBdr>
                </w:div>
              </w:divsChild>
            </w:div>
            <w:div w:id="2056349745">
              <w:marLeft w:val="0"/>
              <w:marRight w:val="0"/>
              <w:marTop w:val="0"/>
              <w:marBottom w:val="0"/>
              <w:divBdr>
                <w:top w:val="none" w:sz="0" w:space="0" w:color="auto"/>
                <w:left w:val="none" w:sz="0" w:space="0" w:color="auto"/>
                <w:bottom w:val="none" w:sz="0" w:space="0" w:color="auto"/>
                <w:right w:val="none" w:sz="0" w:space="0" w:color="auto"/>
              </w:divBdr>
              <w:divsChild>
                <w:div w:id="1359308597">
                  <w:marLeft w:val="0"/>
                  <w:marRight w:val="0"/>
                  <w:marTop w:val="0"/>
                  <w:marBottom w:val="0"/>
                  <w:divBdr>
                    <w:top w:val="none" w:sz="0" w:space="0" w:color="auto"/>
                    <w:left w:val="none" w:sz="0" w:space="0" w:color="auto"/>
                    <w:bottom w:val="none" w:sz="0" w:space="0" w:color="auto"/>
                    <w:right w:val="none" w:sz="0" w:space="0" w:color="auto"/>
                  </w:divBdr>
                </w:div>
              </w:divsChild>
            </w:div>
            <w:div w:id="1766144634">
              <w:marLeft w:val="0"/>
              <w:marRight w:val="0"/>
              <w:marTop w:val="0"/>
              <w:marBottom w:val="0"/>
              <w:divBdr>
                <w:top w:val="none" w:sz="0" w:space="0" w:color="auto"/>
                <w:left w:val="none" w:sz="0" w:space="0" w:color="auto"/>
                <w:bottom w:val="none" w:sz="0" w:space="0" w:color="auto"/>
                <w:right w:val="none" w:sz="0" w:space="0" w:color="auto"/>
              </w:divBdr>
              <w:divsChild>
                <w:div w:id="1313218295">
                  <w:marLeft w:val="0"/>
                  <w:marRight w:val="0"/>
                  <w:marTop w:val="0"/>
                  <w:marBottom w:val="0"/>
                  <w:divBdr>
                    <w:top w:val="none" w:sz="0" w:space="0" w:color="auto"/>
                    <w:left w:val="none" w:sz="0" w:space="0" w:color="auto"/>
                    <w:bottom w:val="none" w:sz="0" w:space="0" w:color="auto"/>
                    <w:right w:val="none" w:sz="0" w:space="0" w:color="auto"/>
                  </w:divBdr>
                </w:div>
              </w:divsChild>
            </w:div>
            <w:div w:id="1868637342">
              <w:marLeft w:val="0"/>
              <w:marRight w:val="0"/>
              <w:marTop w:val="0"/>
              <w:marBottom w:val="0"/>
              <w:divBdr>
                <w:top w:val="none" w:sz="0" w:space="0" w:color="auto"/>
                <w:left w:val="none" w:sz="0" w:space="0" w:color="auto"/>
                <w:bottom w:val="none" w:sz="0" w:space="0" w:color="auto"/>
                <w:right w:val="none" w:sz="0" w:space="0" w:color="auto"/>
              </w:divBdr>
              <w:divsChild>
                <w:div w:id="1619684092">
                  <w:marLeft w:val="0"/>
                  <w:marRight w:val="0"/>
                  <w:marTop w:val="0"/>
                  <w:marBottom w:val="0"/>
                  <w:divBdr>
                    <w:top w:val="none" w:sz="0" w:space="0" w:color="auto"/>
                    <w:left w:val="none" w:sz="0" w:space="0" w:color="auto"/>
                    <w:bottom w:val="none" w:sz="0" w:space="0" w:color="auto"/>
                    <w:right w:val="none" w:sz="0" w:space="0" w:color="auto"/>
                  </w:divBdr>
                </w:div>
              </w:divsChild>
            </w:div>
            <w:div w:id="724185179">
              <w:marLeft w:val="0"/>
              <w:marRight w:val="0"/>
              <w:marTop w:val="0"/>
              <w:marBottom w:val="0"/>
              <w:divBdr>
                <w:top w:val="none" w:sz="0" w:space="0" w:color="auto"/>
                <w:left w:val="none" w:sz="0" w:space="0" w:color="auto"/>
                <w:bottom w:val="none" w:sz="0" w:space="0" w:color="auto"/>
                <w:right w:val="none" w:sz="0" w:space="0" w:color="auto"/>
              </w:divBdr>
              <w:divsChild>
                <w:div w:id="1652366402">
                  <w:marLeft w:val="0"/>
                  <w:marRight w:val="0"/>
                  <w:marTop w:val="0"/>
                  <w:marBottom w:val="0"/>
                  <w:divBdr>
                    <w:top w:val="none" w:sz="0" w:space="0" w:color="auto"/>
                    <w:left w:val="none" w:sz="0" w:space="0" w:color="auto"/>
                    <w:bottom w:val="none" w:sz="0" w:space="0" w:color="auto"/>
                    <w:right w:val="none" w:sz="0" w:space="0" w:color="auto"/>
                  </w:divBdr>
                </w:div>
              </w:divsChild>
            </w:div>
            <w:div w:id="1823498315">
              <w:marLeft w:val="0"/>
              <w:marRight w:val="0"/>
              <w:marTop w:val="0"/>
              <w:marBottom w:val="0"/>
              <w:divBdr>
                <w:top w:val="none" w:sz="0" w:space="0" w:color="auto"/>
                <w:left w:val="none" w:sz="0" w:space="0" w:color="auto"/>
                <w:bottom w:val="none" w:sz="0" w:space="0" w:color="auto"/>
                <w:right w:val="none" w:sz="0" w:space="0" w:color="auto"/>
              </w:divBdr>
              <w:divsChild>
                <w:div w:id="623194445">
                  <w:marLeft w:val="0"/>
                  <w:marRight w:val="0"/>
                  <w:marTop w:val="0"/>
                  <w:marBottom w:val="0"/>
                  <w:divBdr>
                    <w:top w:val="none" w:sz="0" w:space="0" w:color="auto"/>
                    <w:left w:val="none" w:sz="0" w:space="0" w:color="auto"/>
                    <w:bottom w:val="none" w:sz="0" w:space="0" w:color="auto"/>
                    <w:right w:val="none" w:sz="0" w:space="0" w:color="auto"/>
                  </w:divBdr>
                </w:div>
              </w:divsChild>
            </w:div>
            <w:div w:id="1881817254">
              <w:marLeft w:val="0"/>
              <w:marRight w:val="0"/>
              <w:marTop w:val="0"/>
              <w:marBottom w:val="0"/>
              <w:divBdr>
                <w:top w:val="none" w:sz="0" w:space="0" w:color="auto"/>
                <w:left w:val="none" w:sz="0" w:space="0" w:color="auto"/>
                <w:bottom w:val="none" w:sz="0" w:space="0" w:color="auto"/>
                <w:right w:val="none" w:sz="0" w:space="0" w:color="auto"/>
              </w:divBdr>
              <w:divsChild>
                <w:div w:id="1243175271">
                  <w:marLeft w:val="0"/>
                  <w:marRight w:val="0"/>
                  <w:marTop w:val="0"/>
                  <w:marBottom w:val="0"/>
                  <w:divBdr>
                    <w:top w:val="none" w:sz="0" w:space="0" w:color="auto"/>
                    <w:left w:val="none" w:sz="0" w:space="0" w:color="auto"/>
                    <w:bottom w:val="none" w:sz="0" w:space="0" w:color="auto"/>
                    <w:right w:val="none" w:sz="0" w:space="0" w:color="auto"/>
                  </w:divBdr>
                </w:div>
              </w:divsChild>
            </w:div>
            <w:div w:id="328100861">
              <w:marLeft w:val="0"/>
              <w:marRight w:val="0"/>
              <w:marTop w:val="0"/>
              <w:marBottom w:val="0"/>
              <w:divBdr>
                <w:top w:val="none" w:sz="0" w:space="0" w:color="auto"/>
                <w:left w:val="none" w:sz="0" w:space="0" w:color="auto"/>
                <w:bottom w:val="none" w:sz="0" w:space="0" w:color="auto"/>
                <w:right w:val="none" w:sz="0" w:space="0" w:color="auto"/>
              </w:divBdr>
              <w:divsChild>
                <w:div w:id="1886021650">
                  <w:marLeft w:val="0"/>
                  <w:marRight w:val="0"/>
                  <w:marTop w:val="0"/>
                  <w:marBottom w:val="0"/>
                  <w:divBdr>
                    <w:top w:val="none" w:sz="0" w:space="0" w:color="auto"/>
                    <w:left w:val="none" w:sz="0" w:space="0" w:color="auto"/>
                    <w:bottom w:val="none" w:sz="0" w:space="0" w:color="auto"/>
                    <w:right w:val="none" w:sz="0" w:space="0" w:color="auto"/>
                  </w:divBdr>
                </w:div>
              </w:divsChild>
            </w:div>
            <w:div w:id="377895304">
              <w:marLeft w:val="0"/>
              <w:marRight w:val="0"/>
              <w:marTop w:val="0"/>
              <w:marBottom w:val="0"/>
              <w:divBdr>
                <w:top w:val="none" w:sz="0" w:space="0" w:color="auto"/>
                <w:left w:val="none" w:sz="0" w:space="0" w:color="auto"/>
                <w:bottom w:val="none" w:sz="0" w:space="0" w:color="auto"/>
                <w:right w:val="none" w:sz="0" w:space="0" w:color="auto"/>
              </w:divBdr>
              <w:divsChild>
                <w:div w:id="1877114359">
                  <w:marLeft w:val="0"/>
                  <w:marRight w:val="0"/>
                  <w:marTop w:val="0"/>
                  <w:marBottom w:val="0"/>
                  <w:divBdr>
                    <w:top w:val="none" w:sz="0" w:space="0" w:color="auto"/>
                    <w:left w:val="none" w:sz="0" w:space="0" w:color="auto"/>
                    <w:bottom w:val="none" w:sz="0" w:space="0" w:color="auto"/>
                    <w:right w:val="none" w:sz="0" w:space="0" w:color="auto"/>
                  </w:divBdr>
                </w:div>
              </w:divsChild>
            </w:div>
            <w:div w:id="892042979">
              <w:marLeft w:val="0"/>
              <w:marRight w:val="0"/>
              <w:marTop w:val="0"/>
              <w:marBottom w:val="0"/>
              <w:divBdr>
                <w:top w:val="none" w:sz="0" w:space="0" w:color="auto"/>
                <w:left w:val="none" w:sz="0" w:space="0" w:color="auto"/>
                <w:bottom w:val="none" w:sz="0" w:space="0" w:color="auto"/>
                <w:right w:val="none" w:sz="0" w:space="0" w:color="auto"/>
              </w:divBdr>
              <w:divsChild>
                <w:div w:id="782071090">
                  <w:marLeft w:val="0"/>
                  <w:marRight w:val="0"/>
                  <w:marTop w:val="0"/>
                  <w:marBottom w:val="0"/>
                  <w:divBdr>
                    <w:top w:val="none" w:sz="0" w:space="0" w:color="auto"/>
                    <w:left w:val="none" w:sz="0" w:space="0" w:color="auto"/>
                    <w:bottom w:val="none" w:sz="0" w:space="0" w:color="auto"/>
                    <w:right w:val="none" w:sz="0" w:space="0" w:color="auto"/>
                  </w:divBdr>
                </w:div>
              </w:divsChild>
            </w:div>
            <w:div w:id="453250742">
              <w:marLeft w:val="0"/>
              <w:marRight w:val="0"/>
              <w:marTop w:val="0"/>
              <w:marBottom w:val="0"/>
              <w:divBdr>
                <w:top w:val="none" w:sz="0" w:space="0" w:color="auto"/>
                <w:left w:val="none" w:sz="0" w:space="0" w:color="auto"/>
                <w:bottom w:val="none" w:sz="0" w:space="0" w:color="auto"/>
                <w:right w:val="none" w:sz="0" w:space="0" w:color="auto"/>
              </w:divBdr>
              <w:divsChild>
                <w:div w:id="2125609575">
                  <w:marLeft w:val="0"/>
                  <w:marRight w:val="0"/>
                  <w:marTop w:val="0"/>
                  <w:marBottom w:val="0"/>
                  <w:divBdr>
                    <w:top w:val="none" w:sz="0" w:space="0" w:color="auto"/>
                    <w:left w:val="none" w:sz="0" w:space="0" w:color="auto"/>
                    <w:bottom w:val="none" w:sz="0" w:space="0" w:color="auto"/>
                    <w:right w:val="none" w:sz="0" w:space="0" w:color="auto"/>
                  </w:divBdr>
                </w:div>
              </w:divsChild>
            </w:div>
            <w:div w:id="810557780">
              <w:marLeft w:val="0"/>
              <w:marRight w:val="0"/>
              <w:marTop w:val="0"/>
              <w:marBottom w:val="0"/>
              <w:divBdr>
                <w:top w:val="none" w:sz="0" w:space="0" w:color="auto"/>
                <w:left w:val="none" w:sz="0" w:space="0" w:color="auto"/>
                <w:bottom w:val="none" w:sz="0" w:space="0" w:color="auto"/>
                <w:right w:val="none" w:sz="0" w:space="0" w:color="auto"/>
              </w:divBdr>
              <w:divsChild>
                <w:div w:id="529999736">
                  <w:marLeft w:val="0"/>
                  <w:marRight w:val="0"/>
                  <w:marTop w:val="0"/>
                  <w:marBottom w:val="0"/>
                  <w:divBdr>
                    <w:top w:val="none" w:sz="0" w:space="0" w:color="auto"/>
                    <w:left w:val="none" w:sz="0" w:space="0" w:color="auto"/>
                    <w:bottom w:val="none" w:sz="0" w:space="0" w:color="auto"/>
                    <w:right w:val="none" w:sz="0" w:space="0" w:color="auto"/>
                  </w:divBdr>
                </w:div>
              </w:divsChild>
            </w:div>
            <w:div w:id="1892379234">
              <w:marLeft w:val="0"/>
              <w:marRight w:val="0"/>
              <w:marTop w:val="0"/>
              <w:marBottom w:val="0"/>
              <w:divBdr>
                <w:top w:val="none" w:sz="0" w:space="0" w:color="auto"/>
                <w:left w:val="none" w:sz="0" w:space="0" w:color="auto"/>
                <w:bottom w:val="none" w:sz="0" w:space="0" w:color="auto"/>
                <w:right w:val="none" w:sz="0" w:space="0" w:color="auto"/>
              </w:divBdr>
              <w:divsChild>
                <w:div w:id="359546740">
                  <w:marLeft w:val="0"/>
                  <w:marRight w:val="0"/>
                  <w:marTop w:val="0"/>
                  <w:marBottom w:val="0"/>
                  <w:divBdr>
                    <w:top w:val="none" w:sz="0" w:space="0" w:color="auto"/>
                    <w:left w:val="none" w:sz="0" w:space="0" w:color="auto"/>
                    <w:bottom w:val="none" w:sz="0" w:space="0" w:color="auto"/>
                    <w:right w:val="none" w:sz="0" w:space="0" w:color="auto"/>
                  </w:divBdr>
                </w:div>
              </w:divsChild>
            </w:div>
            <w:div w:id="337315856">
              <w:marLeft w:val="0"/>
              <w:marRight w:val="0"/>
              <w:marTop w:val="0"/>
              <w:marBottom w:val="0"/>
              <w:divBdr>
                <w:top w:val="none" w:sz="0" w:space="0" w:color="auto"/>
                <w:left w:val="none" w:sz="0" w:space="0" w:color="auto"/>
                <w:bottom w:val="none" w:sz="0" w:space="0" w:color="auto"/>
                <w:right w:val="none" w:sz="0" w:space="0" w:color="auto"/>
              </w:divBdr>
              <w:divsChild>
                <w:div w:id="1245341393">
                  <w:marLeft w:val="0"/>
                  <w:marRight w:val="0"/>
                  <w:marTop w:val="0"/>
                  <w:marBottom w:val="0"/>
                  <w:divBdr>
                    <w:top w:val="none" w:sz="0" w:space="0" w:color="auto"/>
                    <w:left w:val="none" w:sz="0" w:space="0" w:color="auto"/>
                    <w:bottom w:val="none" w:sz="0" w:space="0" w:color="auto"/>
                    <w:right w:val="none" w:sz="0" w:space="0" w:color="auto"/>
                  </w:divBdr>
                </w:div>
              </w:divsChild>
            </w:div>
            <w:div w:id="1056047237">
              <w:marLeft w:val="0"/>
              <w:marRight w:val="0"/>
              <w:marTop w:val="0"/>
              <w:marBottom w:val="0"/>
              <w:divBdr>
                <w:top w:val="none" w:sz="0" w:space="0" w:color="auto"/>
                <w:left w:val="none" w:sz="0" w:space="0" w:color="auto"/>
                <w:bottom w:val="none" w:sz="0" w:space="0" w:color="auto"/>
                <w:right w:val="none" w:sz="0" w:space="0" w:color="auto"/>
              </w:divBdr>
              <w:divsChild>
                <w:div w:id="1418940677">
                  <w:marLeft w:val="0"/>
                  <w:marRight w:val="0"/>
                  <w:marTop w:val="0"/>
                  <w:marBottom w:val="0"/>
                  <w:divBdr>
                    <w:top w:val="none" w:sz="0" w:space="0" w:color="auto"/>
                    <w:left w:val="none" w:sz="0" w:space="0" w:color="auto"/>
                    <w:bottom w:val="none" w:sz="0" w:space="0" w:color="auto"/>
                    <w:right w:val="none" w:sz="0" w:space="0" w:color="auto"/>
                  </w:divBdr>
                </w:div>
              </w:divsChild>
            </w:div>
            <w:div w:id="1102996654">
              <w:marLeft w:val="0"/>
              <w:marRight w:val="0"/>
              <w:marTop w:val="0"/>
              <w:marBottom w:val="0"/>
              <w:divBdr>
                <w:top w:val="none" w:sz="0" w:space="0" w:color="auto"/>
                <w:left w:val="none" w:sz="0" w:space="0" w:color="auto"/>
                <w:bottom w:val="none" w:sz="0" w:space="0" w:color="auto"/>
                <w:right w:val="none" w:sz="0" w:space="0" w:color="auto"/>
              </w:divBdr>
              <w:divsChild>
                <w:div w:id="2119792193">
                  <w:marLeft w:val="0"/>
                  <w:marRight w:val="0"/>
                  <w:marTop w:val="0"/>
                  <w:marBottom w:val="0"/>
                  <w:divBdr>
                    <w:top w:val="none" w:sz="0" w:space="0" w:color="auto"/>
                    <w:left w:val="none" w:sz="0" w:space="0" w:color="auto"/>
                    <w:bottom w:val="none" w:sz="0" w:space="0" w:color="auto"/>
                    <w:right w:val="none" w:sz="0" w:space="0" w:color="auto"/>
                  </w:divBdr>
                </w:div>
              </w:divsChild>
            </w:div>
            <w:div w:id="391539062">
              <w:marLeft w:val="0"/>
              <w:marRight w:val="0"/>
              <w:marTop w:val="0"/>
              <w:marBottom w:val="0"/>
              <w:divBdr>
                <w:top w:val="none" w:sz="0" w:space="0" w:color="auto"/>
                <w:left w:val="none" w:sz="0" w:space="0" w:color="auto"/>
                <w:bottom w:val="none" w:sz="0" w:space="0" w:color="auto"/>
                <w:right w:val="none" w:sz="0" w:space="0" w:color="auto"/>
              </w:divBdr>
              <w:divsChild>
                <w:div w:id="275212286">
                  <w:marLeft w:val="0"/>
                  <w:marRight w:val="0"/>
                  <w:marTop w:val="0"/>
                  <w:marBottom w:val="0"/>
                  <w:divBdr>
                    <w:top w:val="none" w:sz="0" w:space="0" w:color="auto"/>
                    <w:left w:val="none" w:sz="0" w:space="0" w:color="auto"/>
                    <w:bottom w:val="none" w:sz="0" w:space="0" w:color="auto"/>
                    <w:right w:val="none" w:sz="0" w:space="0" w:color="auto"/>
                  </w:divBdr>
                </w:div>
              </w:divsChild>
            </w:div>
            <w:div w:id="252322423">
              <w:marLeft w:val="0"/>
              <w:marRight w:val="0"/>
              <w:marTop w:val="0"/>
              <w:marBottom w:val="0"/>
              <w:divBdr>
                <w:top w:val="none" w:sz="0" w:space="0" w:color="auto"/>
                <w:left w:val="none" w:sz="0" w:space="0" w:color="auto"/>
                <w:bottom w:val="none" w:sz="0" w:space="0" w:color="auto"/>
                <w:right w:val="none" w:sz="0" w:space="0" w:color="auto"/>
              </w:divBdr>
              <w:divsChild>
                <w:div w:id="181670864">
                  <w:marLeft w:val="0"/>
                  <w:marRight w:val="0"/>
                  <w:marTop w:val="0"/>
                  <w:marBottom w:val="0"/>
                  <w:divBdr>
                    <w:top w:val="none" w:sz="0" w:space="0" w:color="auto"/>
                    <w:left w:val="none" w:sz="0" w:space="0" w:color="auto"/>
                    <w:bottom w:val="none" w:sz="0" w:space="0" w:color="auto"/>
                    <w:right w:val="none" w:sz="0" w:space="0" w:color="auto"/>
                  </w:divBdr>
                </w:div>
              </w:divsChild>
            </w:div>
            <w:div w:id="1505436677">
              <w:marLeft w:val="0"/>
              <w:marRight w:val="0"/>
              <w:marTop w:val="0"/>
              <w:marBottom w:val="0"/>
              <w:divBdr>
                <w:top w:val="none" w:sz="0" w:space="0" w:color="auto"/>
                <w:left w:val="none" w:sz="0" w:space="0" w:color="auto"/>
                <w:bottom w:val="none" w:sz="0" w:space="0" w:color="auto"/>
                <w:right w:val="none" w:sz="0" w:space="0" w:color="auto"/>
              </w:divBdr>
              <w:divsChild>
                <w:div w:id="871843150">
                  <w:marLeft w:val="0"/>
                  <w:marRight w:val="0"/>
                  <w:marTop w:val="0"/>
                  <w:marBottom w:val="0"/>
                  <w:divBdr>
                    <w:top w:val="none" w:sz="0" w:space="0" w:color="auto"/>
                    <w:left w:val="none" w:sz="0" w:space="0" w:color="auto"/>
                    <w:bottom w:val="none" w:sz="0" w:space="0" w:color="auto"/>
                    <w:right w:val="none" w:sz="0" w:space="0" w:color="auto"/>
                  </w:divBdr>
                </w:div>
              </w:divsChild>
            </w:div>
            <w:div w:id="1985237220">
              <w:marLeft w:val="0"/>
              <w:marRight w:val="0"/>
              <w:marTop w:val="0"/>
              <w:marBottom w:val="0"/>
              <w:divBdr>
                <w:top w:val="none" w:sz="0" w:space="0" w:color="auto"/>
                <w:left w:val="none" w:sz="0" w:space="0" w:color="auto"/>
                <w:bottom w:val="none" w:sz="0" w:space="0" w:color="auto"/>
                <w:right w:val="none" w:sz="0" w:space="0" w:color="auto"/>
              </w:divBdr>
              <w:divsChild>
                <w:div w:id="1197768122">
                  <w:marLeft w:val="0"/>
                  <w:marRight w:val="0"/>
                  <w:marTop w:val="0"/>
                  <w:marBottom w:val="0"/>
                  <w:divBdr>
                    <w:top w:val="none" w:sz="0" w:space="0" w:color="auto"/>
                    <w:left w:val="none" w:sz="0" w:space="0" w:color="auto"/>
                    <w:bottom w:val="none" w:sz="0" w:space="0" w:color="auto"/>
                    <w:right w:val="none" w:sz="0" w:space="0" w:color="auto"/>
                  </w:divBdr>
                </w:div>
              </w:divsChild>
            </w:div>
            <w:div w:id="871188966">
              <w:marLeft w:val="0"/>
              <w:marRight w:val="0"/>
              <w:marTop w:val="0"/>
              <w:marBottom w:val="0"/>
              <w:divBdr>
                <w:top w:val="none" w:sz="0" w:space="0" w:color="auto"/>
                <w:left w:val="none" w:sz="0" w:space="0" w:color="auto"/>
                <w:bottom w:val="none" w:sz="0" w:space="0" w:color="auto"/>
                <w:right w:val="none" w:sz="0" w:space="0" w:color="auto"/>
              </w:divBdr>
              <w:divsChild>
                <w:div w:id="1204363024">
                  <w:marLeft w:val="0"/>
                  <w:marRight w:val="0"/>
                  <w:marTop w:val="0"/>
                  <w:marBottom w:val="0"/>
                  <w:divBdr>
                    <w:top w:val="none" w:sz="0" w:space="0" w:color="auto"/>
                    <w:left w:val="none" w:sz="0" w:space="0" w:color="auto"/>
                    <w:bottom w:val="none" w:sz="0" w:space="0" w:color="auto"/>
                    <w:right w:val="none" w:sz="0" w:space="0" w:color="auto"/>
                  </w:divBdr>
                </w:div>
              </w:divsChild>
            </w:div>
            <w:div w:id="1838306593">
              <w:marLeft w:val="0"/>
              <w:marRight w:val="0"/>
              <w:marTop w:val="0"/>
              <w:marBottom w:val="0"/>
              <w:divBdr>
                <w:top w:val="none" w:sz="0" w:space="0" w:color="auto"/>
                <w:left w:val="none" w:sz="0" w:space="0" w:color="auto"/>
                <w:bottom w:val="none" w:sz="0" w:space="0" w:color="auto"/>
                <w:right w:val="none" w:sz="0" w:space="0" w:color="auto"/>
              </w:divBdr>
              <w:divsChild>
                <w:div w:id="759831633">
                  <w:marLeft w:val="0"/>
                  <w:marRight w:val="0"/>
                  <w:marTop w:val="0"/>
                  <w:marBottom w:val="0"/>
                  <w:divBdr>
                    <w:top w:val="none" w:sz="0" w:space="0" w:color="auto"/>
                    <w:left w:val="none" w:sz="0" w:space="0" w:color="auto"/>
                    <w:bottom w:val="none" w:sz="0" w:space="0" w:color="auto"/>
                    <w:right w:val="none" w:sz="0" w:space="0" w:color="auto"/>
                  </w:divBdr>
                </w:div>
              </w:divsChild>
            </w:div>
            <w:div w:id="1279532287">
              <w:marLeft w:val="0"/>
              <w:marRight w:val="0"/>
              <w:marTop w:val="0"/>
              <w:marBottom w:val="0"/>
              <w:divBdr>
                <w:top w:val="none" w:sz="0" w:space="0" w:color="auto"/>
                <w:left w:val="none" w:sz="0" w:space="0" w:color="auto"/>
                <w:bottom w:val="none" w:sz="0" w:space="0" w:color="auto"/>
                <w:right w:val="none" w:sz="0" w:space="0" w:color="auto"/>
              </w:divBdr>
              <w:divsChild>
                <w:div w:id="168093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838056">
          <w:marLeft w:val="0"/>
          <w:marRight w:val="0"/>
          <w:marTop w:val="0"/>
          <w:marBottom w:val="0"/>
          <w:divBdr>
            <w:top w:val="none" w:sz="0" w:space="0" w:color="auto"/>
            <w:left w:val="none" w:sz="0" w:space="0" w:color="auto"/>
            <w:bottom w:val="none" w:sz="0" w:space="0" w:color="auto"/>
            <w:right w:val="none" w:sz="0" w:space="0" w:color="auto"/>
          </w:divBdr>
        </w:div>
        <w:div w:id="1723091097">
          <w:marLeft w:val="0"/>
          <w:marRight w:val="0"/>
          <w:marTop w:val="0"/>
          <w:marBottom w:val="0"/>
          <w:divBdr>
            <w:top w:val="none" w:sz="0" w:space="0" w:color="auto"/>
            <w:left w:val="none" w:sz="0" w:space="0" w:color="auto"/>
            <w:bottom w:val="none" w:sz="0" w:space="0" w:color="auto"/>
            <w:right w:val="none" w:sz="0" w:space="0" w:color="auto"/>
          </w:divBdr>
        </w:div>
        <w:div w:id="887759903">
          <w:marLeft w:val="0"/>
          <w:marRight w:val="0"/>
          <w:marTop w:val="0"/>
          <w:marBottom w:val="0"/>
          <w:divBdr>
            <w:top w:val="none" w:sz="0" w:space="0" w:color="auto"/>
            <w:left w:val="none" w:sz="0" w:space="0" w:color="auto"/>
            <w:bottom w:val="none" w:sz="0" w:space="0" w:color="auto"/>
            <w:right w:val="none" w:sz="0" w:space="0" w:color="auto"/>
          </w:divBdr>
        </w:div>
        <w:div w:id="1266108706">
          <w:marLeft w:val="0"/>
          <w:marRight w:val="0"/>
          <w:marTop w:val="0"/>
          <w:marBottom w:val="0"/>
          <w:divBdr>
            <w:top w:val="none" w:sz="0" w:space="0" w:color="auto"/>
            <w:left w:val="none" w:sz="0" w:space="0" w:color="auto"/>
            <w:bottom w:val="none" w:sz="0" w:space="0" w:color="auto"/>
            <w:right w:val="none" w:sz="0" w:space="0" w:color="auto"/>
          </w:divBdr>
        </w:div>
        <w:div w:id="1928418822">
          <w:marLeft w:val="0"/>
          <w:marRight w:val="0"/>
          <w:marTop w:val="0"/>
          <w:marBottom w:val="0"/>
          <w:divBdr>
            <w:top w:val="none" w:sz="0" w:space="0" w:color="auto"/>
            <w:left w:val="none" w:sz="0" w:space="0" w:color="auto"/>
            <w:bottom w:val="none" w:sz="0" w:space="0" w:color="auto"/>
            <w:right w:val="none" w:sz="0" w:space="0" w:color="auto"/>
          </w:divBdr>
        </w:div>
      </w:divsChild>
    </w:div>
    <w:div w:id="1330865631">
      <w:bodyDiv w:val="1"/>
      <w:marLeft w:val="0"/>
      <w:marRight w:val="0"/>
      <w:marTop w:val="0"/>
      <w:marBottom w:val="0"/>
      <w:divBdr>
        <w:top w:val="none" w:sz="0" w:space="0" w:color="auto"/>
        <w:left w:val="none" w:sz="0" w:space="0" w:color="auto"/>
        <w:bottom w:val="none" w:sz="0" w:space="0" w:color="auto"/>
        <w:right w:val="none" w:sz="0" w:space="0" w:color="auto"/>
      </w:divBdr>
      <w:divsChild>
        <w:div w:id="2052414210">
          <w:marLeft w:val="0"/>
          <w:marRight w:val="0"/>
          <w:marTop w:val="0"/>
          <w:marBottom w:val="0"/>
          <w:divBdr>
            <w:top w:val="none" w:sz="0" w:space="0" w:color="auto"/>
            <w:left w:val="none" w:sz="0" w:space="0" w:color="auto"/>
            <w:bottom w:val="none" w:sz="0" w:space="0" w:color="auto"/>
            <w:right w:val="none" w:sz="0" w:space="0" w:color="auto"/>
          </w:divBdr>
        </w:div>
        <w:div w:id="1839228190">
          <w:marLeft w:val="0"/>
          <w:marRight w:val="0"/>
          <w:marTop w:val="0"/>
          <w:marBottom w:val="0"/>
          <w:divBdr>
            <w:top w:val="none" w:sz="0" w:space="0" w:color="auto"/>
            <w:left w:val="none" w:sz="0" w:space="0" w:color="auto"/>
            <w:bottom w:val="none" w:sz="0" w:space="0" w:color="auto"/>
            <w:right w:val="none" w:sz="0" w:space="0" w:color="auto"/>
          </w:divBdr>
        </w:div>
        <w:div w:id="1746218818">
          <w:marLeft w:val="0"/>
          <w:marRight w:val="0"/>
          <w:marTop w:val="0"/>
          <w:marBottom w:val="0"/>
          <w:divBdr>
            <w:top w:val="none" w:sz="0" w:space="0" w:color="auto"/>
            <w:left w:val="none" w:sz="0" w:space="0" w:color="auto"/>
            <w:bottom w:val="none" w:sz="0" w:space="0" w:color="auto"/>
            <w:right w:val="none" w:sz="0" w:space="0" w:color="auto"/>
          </w:divBdr>
        </w:div>
        <w:div w:id="229463098">
          <w:marLeft w:val="0"/>
          <w:marRight w:val="0"/>
          <w:marTop w:val="0"/>
          <w:marBottom w:val="0"/>
          <w:divBdr>
            <w:top w:val="none" w:sz="0" w:space="0" w:color="auto"/>
            <w:left w:val="none" w:sz="0" w:space="0" w:color="auto"/>
            <w:bottom w:val="none" w:sz="0" w:space="0" w:color="auto"/>
            <w:right w:val="none" w:sz="0" w:space="0" w:color="auto"/>
          </w:divBdr>
        </w:div>
        <w:div w:id="1107117567">
          <w:marLeft w:val="0"/>
          <w:marRight w:val="0"/>
          <w:marTop w:val="0"/>
          <w:marBottom w:val="0"/>
          <w:divBdr>
            <w:top w:val="none" w:sz="0" w:space="0" w:color="auto"/>
            <w:left w:val="none" w:sz="0" w:space="0" w:color="auto"/>
            <w:bottom w:val="none" w:sz="0" w:space="0" w:color="auto"/>
            <w:right w:val="none" w:sz="0" w:space="0" w:color="auto"/>
          </w:divBdr>
        </w:div>
        <w:div w:id="1511988025">
          <w:marLeft w:val="0"/>
          <w:marRight w:val="0"/>
          <w:marTop w:val="0"/>
          <w:marBottom w:val="0"/>
          <w:divBdr>
            <w:top w:val="none" w:sz="0" w:space="0" w:color="auto"/>
            <w:left w:val="none" w:sz="0" w:space="0" w:color="auto"/>
            <w:bottom w:val="none" w:sz="0" w:space="0" w:color="auto"/>
            <w:right w:val="none" w:sz="0" w:space="0" w:color="auto"/>
          </w:divBdr>
        </w:div>
        <w:div w:id="1638216860">
          <w:marLeft w:val="-75"/>
          <w:marRight w:val="0"/>
          <w:marTop w:val="30"/>
          <w:marBottom w:val="30"/>
          <w:divBdr>
            <w:top w:val="none" w:sz="0" w:space="0" w:color="auto"/>
            <w:left w:val="none" w:sz="0" w:space="0" w:color="auto"/>
            <w:bottom w:val="none" w:sz="0" w:space="0" w:color="auto"/>
            <w:right w:val="none" w:sz="0" w:space="0" w:color="auto"/>
          </w:divBdr>
          <w:divsChild>
            <w:div w:id="760612897">
              <w:marLeft w:val="0"/>
              <w:marRight w:val="0"/>
              <w:marTop w:val="0"/>
              <w:marBottom w:val="0"/>
              <w:divBdr>
                <w:top w:val="none" w:sz="0" w:space="0" w:color="auto"/>
                <w:left w:val="none" w:sz="0" w:space="0" w:color="auto"/>
                <w:bottom w:val="none" w:sz="0" w:space="0" w:color="auto"/>
                <w:right w:val="none" w:sz="0" w:space="0" w:color="auto"/>
              </w:divBdr>
              <w:divsChild>
                <w:div w:id="1559826297">
                  <w:marLeft w:val="0"/>
                  <w:marRight w:val="0"/>
                  <w:marTop w:val="0"/>
                  <w:marBottom w:val="0"/>
                  <w:divBdr>
                    <w:top w:val="none" w:sz="0" w:space="0" w:color="auto"/>
                    <w:left w:val="none" w:sz="0" w:space="0" w:color="auto"/>
                    <w:bottom w:val="none" w:sz="0" w:space="0" w:color="auto"/>
                    <w:right w:val="none" w:sz="0" w:space="0" w:color="auto"/>
                  </w:divBdr>
                </w:div>
              </w:divsChild>
            </w:div>
            <w:div w:id="1458985681">
              <w:marLeft w:val="0"/>
              <w:marRight w:val="0"/>
              <w:marTop w:val="0"/>
              <w:marBottom w:val="0"/>
              <w:divBdr>
                <w:top w:val="none" w:sz="0" w:space="0" w:color="auto"/>
                <w:left w:val="none" w:sz="0" w:space="0" w:color="auto"/>
                <w:bottom w:val="none" w:sz="0" w:space="0" w:color="auto"/>
                <w:right w:val="none" w:sz="0" w:space="0" w:color="auto"/>
              </w:divBdr>
              <w:divsChild>
                <w:div w:id="1961262488">
                  <w:marLeft w:val="0"/>
                  <w:marRight w:val="0"/>
                  <w:marTop w:val="0"/>
                  <w:marBottom w:val="0"/>
                  <w:divBdr>
                    <w:top w:val="none" w:sz="0" w:space="0" w:color="auto"/>
                    <w:left w:val="none" w:sz="0" w:space="0" w:color="auto"/>
                    <w:bottom w:val="none" w:sz="0" w:space="0" w:color="auto"/>
                    <w:right w:val="none" w:sz="0" w:space="0" w:color="auto"/>
                  </w:divBdr>
                </w:div>
              </w:divsChild>
            </w:div>
            <w:div w:id="884216828">
              <w:marLeft w:val="0"/>
              <w:marRight w:val="0"/>
              <w:marTop w:val="0"/>
              <w:marBottom w:val="0"/>
              <w:divBdr>
                <w:top w:val="none" w:sz="0" w:space="0" w:color="auto"/>
                <w:left w:val="none" w:sz="0" w:space="0" w:color="auto"/>
                <w:bottom w:val="none" w:sz="0" w:space="0" w:color="auto"/>
                <w:right w:val="none" w:sz="0" w:space="0" w:color="auto"/>
              </w:divBdr>
              <w:divsChild>
                <w:div w:id="887493985">
                  <w:marLeft w:val="0"/>
                  <w:marRight w:val="0"/>
                  <w:marTop w:val="0"/>
                  <w:marBottom w:val="0"/>
                  <w:divBdr>
                    <w:top w:val="none" w:sz="0" w:space="0" w:color="auto"/>
                    <w:left w:val="none" w:sz="0" w:space="0" w:color="auto"/>
                    <w:bottom w:val="none" w:sz="0" w:space="0" w:color="auto"/>
                    <w:right w:val="none" w:sz="0" w:space="0" w:color="auto"/>
                  </w:divBdr>
                </w:div>
              </w:divsChild>
            </w:div>
            <w:div w:id="1559583692">
              <w:marLeft w:val="0"/>
              <w:marRight w:val="0"/>
              <w:marTop w:val="0"/>
              <w:marBottom w:val="0"/>
              <w:divBdr>
                <w:top w:val="none" w:sz="0" w:space="0" w:color="auto"/>
                <w:left w:val="none" w:sz="0" w:space="0" w:color="auto"/>
                <w:bottom w:val="none" w:sz="0" w:space="0" w:color="auto"/>
                <w:right w:val="none" w:sz="0" w:space="0" w:color="auto"/>
              </w:divBdr>
              <w:divsChild>
                <w:div w:id="733091844">
                  <w:marLeft w:val="0"/>
                  <w:marRight w:val="0"/>
                  <w:marTop w:val="0"/>
                  <w:marBottom w:val="0"/>
                  <w:divBdr>
                    <w:top w:val="none" w:sz="0" w:space="0" w:color="auto"/>
                    <w:left w:val="none" w:sz="0" w:space="0" w:color="auto"/>
                    <w:bottom w:val="none" w:sz="0" w:space="0" w:color="auto"/>
                    <w:right w:val="none" w:sz="0" w:space="0" w:color="auto"/>
                  </w:divBdr>
                </w:div>
              </w:divsChild>
            </w:div>
            <w:div w:id="1771968053">
              <w:marLeft w:val="0"/>
              <w:marRight w:val="0"/>
              <w:marTop w:val="0"/>
              <w:marBottom w:val="0"/>
              <w:divBdr>
                <w:top w:val="none" w:sz="0" w:space="0" w:color="auto"/>
                <w:left w:val="none" w:sz="0" w:space="0" w:color="auto"/>
                <w:bottom w:val="none" w:sz="0" w:space="0" w:color="auto"/>
                <w:right w:val="none" w:sz="0" w:space="0" w:color="auto"/>
              </w:divBdr>
              <w:divsChild>
                <w:div w:id="1402556281">
                  <w:marLeft w:val="0"/>
                  <w:marRight w:val="0"/>
                  <w:marTop w:val="0"/>
                  <w:marBottom w:val="0"/>
                  <w:divBdr>
                    <w:top w:val="none" w:sz="0" w:space="0" w:color="auto"/>
                    <w:left w:val="none" w:sz="0" w:space="0" w:color="auto"/>
                    <w:bottom w:val="none" w:sz="0" w:space="0" w:color="auto"/>
                    <w:right w:val="none" w:sz="0" w:space="0" w:color="auto"/>
                  </w:divBdr>
                </w:div>
              </w:divsChild>
            </w:div>
            <w:div w:id="1657344917">
              <w:marLeft w:val="0"/>
              <w:marRight w:val="0"/>
              <w:marTop w:val="0"/>
              <w:marBottom w:val="0"/>
              <w:divBdr>
                <w:top w:val="none" w:sz="0" w:space="0" w:color="auto"/>
                <w:left w:val="none" w:sz="0" w:space="0" w:color="auto"/>
                <w:bottom w:val="none" w:sz="0" w:space="0" w:color="auto"/>
                <w:right w:val="none" w:sz="0" w:space="0" w:color="auto"/>
              </w:divBdr>
              <w:divsChild>
                <w:div w:id="97257708">
                  <w:marLeft w:val="0"/>
                  <w:marRight w:val="0"/>
                  <w:marTop w:val="0"/>
                  <w:marBottom w:val="0"/>
                  <w:divBdr>
                    <w:top w:val="none" w:sz="0" w:space="0" w:color="auto"/>
                    <w:left w:val="none" w:sz="0" w:space="0" w:color="auto"/>
                    <w:bottom w:val="none" w:sz="0" w:space="0" w:color="auto"/>
                    <w:right w:val="none" w:sz="0" w:space="0" w:color="auto"/>
                  </w:divBdr>
                </w:div>
              </w:divsChild>
            </w:div>
            <w:div w:id="955213409">
              <w:marLeft w:val="0"/>
              <w:marRight w:val="0"/>
              <w:marTop w:val="0"/>
              <w:marBottom w:val="0"/>
              <w:divBdr>
                <w:top w:val="none" w:sz="0" w:space="0" w:color="auto"/>
                <w:left w:val="none" w:sz="0" w:space="0" w:color="auto"/>
                <w:bottom w:val="none" w:sz="0" w:space="0" w:color="auto"/>
                <w:right w:val="none" w:sz="0" w:space="0" w:color="auto"/>
              </w:divBdr>
              <w:divsChild>
                <w:div w:id="1394886016">
                  <w:marLeft w:val="0"/>
                  <w:marRight w:val="0"/>
                  <w:marTop w:val="0"/>
                  <w:marBottom w:val="0"/>
                  <w:divBdr>
                    <w:top w:val="none" w:sz="0" w:space="0" w:color="auto"/>
                    <w:left w:val="none" w:sz="0" w:space="0" w:color="auto"/>
                    <w:bottom w:val="none" w:sz="0" w:space="0" w:color="auto"/>
                    <w:right w:val="none" w:sz="0" w:space="0" w:color="auto"/>
                  </w:divBdr>
                </w:div>
                <w:div w:id="1323391404">
                  <w:marLeft w:val="0"/>
                  <w:marRight w:val="0"/>
                  <w:marTop w:val="0"/>
                  <w:marBottom w:val="0"/>
                  <w:divBdr>
                    <w:top w:val="none" w:sz="0" w:space="0" w:color="auto"/>
                    <w:left w:val="none" w:sz="0" w:space="0" w:color="auto"/>
                    <w:bottom w:val="none" w:sz="0" w:space="0" w:color="auto"/>
                    <w:right w:val="none" w:sz="0" w:space="0" w:color="auto"/>
                  </w:divBdr>
                </w:div>
              </w:divsChild>
            </w:div>
            <w:div w:id="1193422101">
              <w:marLeft w:val="0"/>
              <w:marRight w:val="0"/>
              <w:marTop w:val="0"/>
              <w:marBottom w:val="0"/>
              <w:divBdr>
                <w:top w:val="none" w:sz="0" w:space="0" w:color="auto"/>
                <w:left w:val="none" w:sz="0" w:space="0" w:color="auto"/>
                <w:bottom w:val="none" w:sz="0" w:space="0" w:color="auto"/>
                <w:right w:val="none" w:sz="0" w:space="0" w:color="auto"/>
              </w:divBdr>
              <w:divsChild>
                <w:div w:id="1116757914">
                  <w:marLeft w:val="0"/>
                  <w:marRight w:val="0"/>
                  <w:marTop w:val="0"/>
                  <w:marBottom w:val="0"/>
                  <w:divBdr>
                    <w:top w:val="none" w:sz="0" w:space="0" w:color="auto"/>
                    <w:left w:val="none" w:sz="0" w:space="0" w:color="auto"/>
                    <w:bottom w:val="none" w:sz="0" w:space="0" w:color="auto"/>
                    <w:right w:val="none" w:sz="0" w:space="0" w:color="auto"/>
                  </w:divBdr>
                </w:div>
              </w:divsChild>
            </w:div>
            <w:div w:id="346178254">
              <w:marLeft w:val="0"/>
              <w:marRight w:val="0"/>
              <w:marTop w:val="0"/>
              <w:marBottom w:val="0"/>
              <w:divBdr>
                <w:top w:val="none" w:sz="0" w:space="0" w:color="auto"/>
                <w:left w:val="none" w:sz="0" w:space="0" w:color="auto"/>
                <w:bottom w:val="none" w:sz="0" w:space="0" w:color="auto"/>
                <w:right w:val="none" w:sz="0" w:space="0" w:color="auto"/>
              </w:divBdr>
              <w:divsChild>
                <w:div w:id="287325699">
                  <w:marLeft w:val="0"/>
                  <w:marRight w:val="0"/>
                  <w:marTop w:val="0"/>
                  <w:marBottom w:val="0"/>
                  <w:divBdr>
                    <w:top w:val="none" w:sz="0" w:space="0" w:color="auto"/>
                    <w:left w:val="none" w:sz="0" w:space="0" w:color="auto"/>
                    <w:bottom w:val="none" w:sz="0" w:space="0" w:color="auto"/>
                    <w:right w:val="none" w:sz="0" w:space="0" w:color="auto"/>
                  </w:divBdr>
                </w:div>
              </w:divsChild>
            </w:div>
            <w:div w:id="1339424986">
              <w:marLeft w:val="0"/>
              <w:marRight w:val="0"/>
              <w:marTop w:val="0"/>
              <w:marBottom w:val="0"/>
              <w:divBdr>
                <w:top w:val="none" w:sz="0" w:space="0" w:color="auto"/>
                <w:left w:val="none" w:sz="0" w:space="0" w:color="auto"/>
                <w:bottom w:val="none" w:sz="0" w:space="0" w:color="auto"/>
                <w:right w:val="none" w:sz="0" w:space="0" w:color="auto"/>
              </w:divBdr>
              <w:divsChild>
                <w:div w:id="1919824501">
                  <w:marLeft w:val="0"/>
                  <w:marRight w:val="0"/>
                  <w:marTop w:val="0"/>
                  <w:marBottom w:val="0"/>
                  <w:divBdr>
                    <w:top w:val="none" w:sz="0" w:space="0" w:color="auto"/>
                    <w:left w:val="none" w:sz="0" w:space="0" w:color="auto"/>
                    <w:bottom w:val="none" w:sz="0" w:space="0" w:color="auto"/>
                    <w:right w:val="none" w:sz="0" w:space="0" w:color="auto"/>
                  </w:divBdr>
                </w:div>
              </w:divsChild>
            </w:div>
            <w:div w:id="1679044406">
              <w:marLeft w:val="0"/>
              <w:marRight w:val="0"/>
              <w:marTop w:val="0"/>
              <w:marBottom w:val="0"/>
              <w:divBdr>
                <w:top w:val="none" w:sz="0" w:space="0" w:color="auto"/>
                <w:left w:val="none" w:sz="0" w:space="0" w:color="auto"/>
                <w:bottom w:val="none" w:sz="0" w:space="0" w:color="auto"/>
                <w:right w:val="none" w:sz="0" w:space="0" w:color="auto"/>
              </w:divBdr>
              <w:divsChild>
                <w:div w:id="949555384">
                  <w:marLeft w:val="0"/>
                  <w:marRight w:val="0"/>
                  <w:marTop w:val="0"/>
                  <w:marBottom w:val="0"/>
                  <w:divBdr>
                    <w:top w:val="none" w:sz="0" w:space="0" w:color="auto"/>
                    <w:left w:val="none" w:sz="0" w:space="0" w:color="auto"/>
                    <w:bottom w:val="none" w:sz="0" w:space="0" w:color="auto"/>
                    <w:right w:val="none" w:sz="0" w:space="0" w:color="auto"/>
                  </w:divBdr>
                </w:div>
              </w:divsChild>
            </w:div>
            <w:div w:id="877159944">
              <w:marLeft w:val="0"/>
              <w:marRight w:val="0"/>
              <w:marTop w:val="0"/>
              <w:marBottom w:val="0"/>
              <w:divBdr>
                <w:top w:val="none" w:sz="0" w:space="0" w:color="auto"/>
                <w:left w:val="none" w:sz="0" w:space="0" w:color="auto"/>
                <w:bottom w:val="none" w:sz="0" w:space="0" w:color="auto"/>
                <w:right w:val="none" w:sz="0" w:space="0" w:color="auto"/>
              </w:divBdr>
              <w:divsChild>
                <w:div w:id="957224945">
                  <w:marLeft w:val="0"/>
                  <w:marRight w:val="0"/>
                  <w:marTop w:val="0"/>
                  <w:marBottom w:val="0"/>
                  <w:divBdr>
                    <w:top w:val="none" w:sz="0" w:space="0" w:color="auto"/>
                    <w:left w:val="none" w:sz="0" w:space="0" w:color="auto"/>
                    <w:bottom w:val="none" w:sz="0" w:space="0" w:color="auto"/>
                    <w:right w:val="none" w:sz="0" w:space="0" w:color="auto"/>
                  </w:divBdr>
                </w:div>
                <w:div w:id="2071462393">
                  <w:marLeft w:val="0"/>
                  <w:marRight w:val="0"/>
                  <w:marTop w:val="0"/>
                  <w:marBottom w:val="0"/>
                  <w:divBdr>
                    <w:top w:val="none" w:sz="0" w:space="0" w:color="auto"/>
                    <w:left w:val="none" w:sz="0" w:space="0" w:color="auto"/>
                    <w:bottom w:val="none" w:sz="0" w:space="0" w:color="auto"/>
                    <w:right w:val="none" w:sz="0" w:space="0" w:color="auto"/>
                  </w:divBdr>
                </w:div>
              </w:divsChild>
            </w:div>
            <w:div w:id="1677607136">
              <w:marLeft w:val="0"/>
              <w:marRight w:val="0"/>
              <w:marTop w:val="0"/>
              <w:marBottom w:val="0"/>
              <w:divBdr>
                <w:top w:val="none" w:sz="0" w:space="0" w:color="auto"/>
                <w:left w:val="none" w:sz="0" w:space="0" w:color="auto"/>
                <w:bottom w:val="none" w:sz="0" w:space="0" w:color="auto"/>
                <w:right w:val="none" w:sz="0" w:space="0" w:color="auto"/>
              </w:divBdr>
              <w:divsChild>
                <w:div w:id="1877232431">
                  <w:marLeft w:val="0"/>
                  <w:marRight w:val="0"/>
                  <w:marTop w:val="0"/>
                  <w:marBottom w:val="0"/>
                  <w:divBdr>
                    <w:top w:val="none" w:sz="0" w:space="0" w:color="auto"/>
                    <w:left w:val="none" w:sz="0" w:space="0" w:color="auto"/>
                    <w:bottom w:val="none" w:sz="0" w:space="0" w:color="auto"/>
                    <w:right w:val="none" w:sz="0" w:space="0" w:color="auto"/>
                  </w:divBdr>
                </w:div>
              </w:divsChild>
            </w:div>
            <w:div w:id="149029945">
              <w:marLeft w:val="0"/>
              <w:marRight w:val="0"/>
              <w:marTop w:val="0"/>
              <w:marBottom w:val="0"/>
              <w:divBdr>
                <w:top w:val="none" w:sz="0" w:space="0" w:color="auto"/>
                <w:left w:val="none" w:sz="0" w:space="0" w:color="auto"/>
                <w:bottom w:val="none" w:sz="0" w:space="0" w:color="auto"/>
                <w:right w:val="none" w:sz="0" w:space="0" w:color="auto"/>
              </w:divBdr>
              <w:divsChild>
                <w:div w:id="1675498648">
                  <w:marLeft w:val="0"/>
                  <w:marRight w:val="0"/>
                  <w:marTop w:val="0"/>
                  <w:marBottom w:val="0"/>
                  <w:divBdr>
                    <w:top w:val="none" w:sz="0" w:space="0" w:color="auto"/>
                    <w:left w:val="none" w:sz="0" w:space="0" w:color="auto"/>
                    <w:bottom w:val="none" w:sz="0" w:space="0" w:color="auto"/>
                    <w:right w:val="none" w:sz="0" w:space="0" w:color="auto"/>
                  </w:divBdr>
                </w:div>
              </w:divsChild>
            </w:div>
            <w:div w:id="1136139250">
              <w:marLeft w:val="0"/>
              <w:marRight w:val="0"/>
              <w:marTop w:val="0"/>
              <w:marBottom w:val="0"/>
              <w:divBdr>
                <w:top w:val="none" w:sz="0" w:space="0" w:color="auto"/>
                <w:left w:val="none" w:sz="0" w:space="0" w:color="auto"/>
                <w:bottom w:val="none" w:sz="0" w:space="0" w:color="auto"/>
                <w:right w:val="none" w:sz="0" w:space="0" w:color="auto"/>
              </w:divBdr>
              <w:divsChild>
                <w:div w:id="2063359024">
                  <w:marLeft w:val="0"/>
                  <w:marRight w:val="0"/>
                  <w:marTop w:val="0"/>
                  <w:marBottom w:val="0"/>
                  <w:divBdr>
                    <w:top w:val="none" w:sz="0" w:space="0" w:color="auto"/>
                    <w:left w:val="none" w:sz="0" w:space="0" w:color="auto"/>
                    <w:bottom w:val="none" w:sz="0" w:space="0" w:color="auto"/>
                    <w:right w:val="none" w:sz="0" w:space="0" w:color="auto"/>
                  </w:divBdr>
                </w:div>
              </w:divsChild>
            </w:div>
            <w:div w:id="500464124">
              <w:marLeft w:val="0"/>
              <w:marRight w:val="0"/>
              <w:marTop w:val="0"/>
              <w:marBottom w:val="0"/>
              <w:divBdr>
                <w:top w:val="none" w:sz="0" w:space="0" w:color="auto"/>
                <w:left w:val="none" w:sz="0" w:space="0" w:color="auto"/>
                <w:bottom w:val="none" w:sz="0" w:space="0" w:color="auto"/>
                <w:right w:val="none" w:sz="0" w:space="0" w:color="auto"/>
              </w:divBdr>
              <w:divsChild>
                <w:div w:id="345980299">
                  <w:marLeft w:val="0"/>
                  <w:marRight w:val="0"/>
                  <w:marTop w:val="0"/>
                  <w:marBottom w:val="0"/>
                  <w:divBdr>
                    <w:top w:val="none" w:sz="0" w:space="0" w:color="auto"/>
                    <w:left w:val="none" w:sz="0" w:space="0" w:color="auto"/>
                    <w:bottom w:val="none" w:sz="0" w:space="0" w:color="auto"/>
                    <w:right w:val="none" w:sz="0" w:space="0" w:color="auto"/>
                  </w:divBdr>
                </w:div>
              </w:divsChild>
            </w:div>
            <w:div w:id="935211367">
              <w:marLeft w:val="0"/>
              <w:marRight w:val="0"/>
              <w:marTop w:val="0"/>
              <w:marBottom w:val="0"/>
              <w:divBdr>
                <w:top w:val="none" w:sz="0" w:space="0" w:color="auto"/>
                <w:left w:val="none" w:sz="0" w:space="0" w:color="auto"/>
                <w:bottom w:val="none" w:sz="0" w:space="0" w:color="auto"/>
                <w:right w:val="none" w:sz="0" w:space="0" w:color="auto"/>
              </w:divBdr>
              <w:divsChild>
                <w:div w:id="1921208153">
                  <w:marLeft w:val="0"/>
                  <w:marRight w:val="0"/>
                  <w:marTop w:val="0"/>
                  <w:marBottom w:val="0"/>
                  <w:divBdr>
                    <w:top w:val="none" w:sz="0" w:space="0" w:color="auto"/>
                    <w:left w:val="none" w:sz="0" w:space="0" w:color="auto"/>
                    <w:bottom w:val="none" w:sz="0" w:space="0" w:color="auto"/>
                    <w:right w:val="none" w:sz="0" w:space="0" w:color="auto"/>
                  </w:divBdr>
                </w:div>
              </w:divsChild>
            </w:div>
            <w:div w:id="990448072">
              <w:marLeft w:val="0"/>
              <w:marRight w:val="0"/>
              <w:marTop w:val="0"/>
              <w:marBottom w:val="0"/>
              <w:divBdr>
                <w:top w:val="none" w:sz="0" w:space="0" w:color="auto"/>
                <w:left w:val="none" w:sz="0" w:space="0" w:color="auto"/>
                <w:bottom w:val="none" w:sz="0" w:space="0" w:color="auto"/>
                <w:right w:val="none" w:sz="0" w:space="0" w:color="auto"/>
              </w:divBdr>
              <w:divsChild>
                <w:div w:id="1651247273">
                  <w:marLeft w:val="0"/>
                  <w:marRight w:val="0"/>
                  <w:marTop w:val="0"/>
                  <w:marBottom w:val="0"/>
                  <w:divBdr>
                    <w:top w:val="none" w:sz="0" w:space="0" w:color="auto"/>
                    <w:left w:val="none" w:sz="0" w:space="0" w:color="auto"/>
                    <w:bottom w:val="none" w:sz="0" w:space="0" w:color="auto"/>
                    <w:right w:val="none" w:sz="0" w:space="0" w:color="auto"/>
                  </w:divBdr>
                </w:div>
              </w:divsChild>
            </w:div>
            <w:div w:id="713114097">
              <w:marLeft w:val="0"/>
              <w:marRight w:val="0"/>
              <w:marTop w:val="0"/>
              <w:marBottom w:val="0"/>
              <w:divBdr>
                <w:top w:val="none" w:sz="0" w:space="0" w:color="auto"/>
                <w:left w:val="none" w:sz="0" w:space="0" w:color="auto"/>
                <w:bottom w:val="none" w:sz="0" w:space="0" w:color="auto"/>
                <w:right w:val="none" w:sz="0" w:space="0" w:color="auto"/>
              </w:divBdr>
              <w:divsChild>
                <w:div w:id="1450660427">
                  <w:marLeft w:val="0"/>
                  <w:marRight w:val="0"/>
                  <w:marTop w:val="0"/>
                  <w:marBottom w:val="0"/>
                  <w:divBdr>
                    <w:top w:val="none" w:sz="0" w:space="0" w:color="auto"/>
                    <w:left w:val="none" w:sz="0" w:space="0" w:color="auto"/>
                    <w:bottom w:val="none" w:sz="0" w:space="0" w:color="auto"/>
                    <w:right w:val="none" w:sz="0" w:space="0" w:color="auto"/>
                  </w:divBdr>
                </w:div>
              </w:divsChild>
            </w:div>
            <w:div w:id="891620753">
              <w:marLeft w:val="0"/>
              <w:marRight w:val="0"/>
              <w:marTop w:val="0"/>
              <w:marBottom w:val="0"/>
              <w:divBdr>
                <w:top w:val="none" w:sz="0" w:space="0" w:color="auto"/>
                <w:left w:val="none" w:sz="0" w:space="0" w:color="auto"/>
                <w:bottom w:val="none" w:sz="0" w:space="0" w:color="auto"/>
                <w:right w:val="none" w:sz="0" w:space="0" w:color="auto"/>
              </w:divBdr>
              <w:divsChild>
                <w:div w:id="1323893558">
                  <w:marLeft w:val="0"/>
                  <w:marRight w:val="0"/>
                  <w:marTop w:val="0"/>
                  <w:marBottom w:val="0"/>
                  <w:divBdr>
                    <w:top w:val="none" w:sz="0" w:space="0" w:color="auto"/>
                    <w:left w:val="none" w:sz="0" w:space="0" w:color="auto"/>
                    <w:bottom w:val="none" w:sz="0" w:space="0" w:color="auto"/>
                    <w:right w:val="none" w:sz="0" w:space="0" w:color="auto"/>
                  </w:divBdr>
                </w:div>
              </w:divsChild>
            </w:div>
            <w:div w:id="287005902">
              <w:marLeft w:val="0"/>
              <w:marRight w:val="0"/>
              <w:marTop w:val="0"/>
              <w:marBottom w:val="0"/>
              <w:divBdr>
                <w:top w:val="none" w:sz="0" w:space="0" w:color="auto"/>
                <w:left w:val="none" w:sz="0" w:space="0" w:color="auto"/>
                <w:bottom w:val="none" w:sz="0" w:space="0" w:color="auto"/>
                <w:right w:val="none" w:sz="0" w:space="0" w:color="auto"/>
              </w:divBdr>
              <w:divsChild>
                <w:div w:id="265891760">
                  <w:marLeft w:val="0"/>
                  <w:marRight w:val="0"/>
                  <w:marTop w:val="0"/>
                  <w:marBottom w:val="0"/>
                  <w:divBdr>
                    <w:top w:val="none" w:sz="0" w:space="0" w:color="auto"/>
                    <w:left w:val="none" w:sz="0" w:space="0" w:color="auto"/>
                    <w:bottom w:val="none" w:sz="0" w:space="0" w:color="auto"/>
                    <w:right w:val="none" w:sz="0" w:space="0" w:color="auto"/>
                  </w:divBdr>
                </w:div>
              </w:divsChild>
            </w:div>
            <w:div w:id="1569195887">
              <w:marLeft w:val="0"/>
              <w:marRight w:val="0"/>
              <w:marTop w:val="0"/>
              <w:marBottom w:val="0"/>
              <w:divBdr>
                <w:top w:val="none" w:sz="0" w:space="0" w:color="auto"/>
                <w:left w:val="none" w:sz="0" w:space="0" w:color="auto"/>
                <w:bottom w:val="none" w:sz="0" w:space="0" w:color="auto"/>
                <w:right w:val="none" w:sz="0" w:space="0" w:color="auto"/>
              </w:divBdr>
              <w:divsChild>
                <w:div w:id="1542747493">
                  <w:marLeft w:val="0"/>
                  <w:marRight w:val="0"/>
                  <w:marTop w:val="0"/>
                  <w:marBottom w:val="0"/>
                  <w:divBdr>
                    <w:top w:val="none" w:sz="0" w:space="0" w:color="auto"/>
                    <w:left w:val="none" w:sz="0" w:space="0" w:color="auto"/>
                    <w:bottom w:val="none" w:sz="0" w:space="0" w:color="auto"/>
                    <w:right w:val="none" w:sz="0" w:space="0" w:color="auto"/>
                  </w:divBdr>
                </w:div>
              </w:divsChild>
            </w:div>
            <w:div w:id="1233665428">
              <w:marLeft w:val="0"/>
              <w:marRight w:val="0"/>
              <w:marTop w:val="0"/>
              <w:marBottom w:val="0"/>
              <w:divBdr>
                <w:top w:val="none" w:sz="0" w:space="0" w:color="auto"/>
                <w:left w:val="none" w:sz="0" w:space="0" w:color="auto"/>
                <w:bottom w:val="none" w:sz="0" w:space="0" w:color="auto"/>
                <w:right w:val="none" w:sz="0" w:space="0" w:color="auto"/>
              </w:divBdr>
              <w:divsChild>
                <w:div w:id="1036924703">
                  <w:marLeft w:val="0"/>
                  <w:marRight w:val="0"/>
                  <w:marTop w:val="0"/>
                  <w:marBottom w:val="0"/>
                  <w:divBdr>
                    <w:top w:val="none" w:sz="0" w:space="0" w:color="auto"/>
                    <w:left w:val="none" w:sz="0" w:space="0" w:color="auto"/>
                    <w:bottom w:val="none" w:sz="0" w:space="0" w:color="auto"/>
                    <w:right w:val="none" w:sz="0" w:space="0" w:color="auto"/>
                  </w:divBdr>
                </w:div>
              </w:divsChild>
            </w:div>
            <w:div w:id="149101159">
              <w:marLeft w:val="0"/>
              <w:marRight w:val="0"/>
              <w:marTop w:val="0"/>
              <w:marBottom w:val="0"/>
              <w:divBdr>
                <w:top w:val="none" w:sz="0" w:space="0" w:color="auto"/>
                <w:left w:val="none" w:sz="0" w:space="0" w:color="auto"/>
                <w:bottom w:val="none" w:sz="0" w:space="0" w:color="auto"/>
                <w:right w:val="none" w:sz="0" w:space="0" w:color="auto"/>
              </w:divBdr>
              <w:divsChild>
                <w:div w:id="2012445571">
                  <w:marLeft w:val="0"/>
                  <w:marRight w:val="0"/>
                  <w:marTop w:val="0"/>
                  <w:marBottom w:val="0"/>
                  <w:divBdr>
                    <w:top w:val="none" w:sz="0" w:space="0" w:color="auto"/>
                    <w:left w:val="none" w:sz="0" w:space="0" w:color="auto"/>
                    <w:bottom w:val="none" w:sz="0" w:space="0" w:color="auto"/>
                    <w:right w:val="none" w:sz="0" w:space="0" w:color="auto"/>
                  </w:divBdr>
                </w:div>
              </w:divsChild>
            </w:div>
            <w:div w:id="91317737">
              <w:marLeft w:val="0"/>
              <w:marRight w:val="0"/>
              <w:marTop w:val="0"/>
              <w:marBottom w:val="0"/>
              <w:divBdr>
                <w:top w:val="none" w:sz="0" w:space="0" w:color="auto"/>
                <w:left w:val="none" w:sz="0" w:space="0" w:color="auto"/>
                <w:bottom w:val="none" w:sz="0" w:space="0" w:color="auto"/>
                <w:right w:val="none" w:sz="0" w:space="0" w:color="auto"/>
              </w:divBdr>
              <w:divsChild>
                <w:div w:id="1757745497">
                  <w:marLeft w:val="0"/>
                  <w:marRight w:val="0"/>
                  <w:marTop w:val="0"/>
                  <w:marBottom w:val="0"/>
                  <w:divBdr>
                    <w:top w:val="none" w:sz="0" w:space="0" w:color="auto"/>
                    <w:left w:val="none" w:sz="0" w:space="0" w:color="auto"/>
                    <w:bottom w:val="none" w:sz="0" w:space="0" w:color="auto"/>
                    <w:right w:val="none" w:sz="0" w:space="0" w:color="auto"/>
                  </w:divBdr>
                </w:div>
              </w:divsChild>
            </w:div>
            <w:div w:id="92094109">
              <w:marLeft w:val="0"/>
              <w:marRight w:val="0"/>
              <w:marTop w:val="0"/>
              <w:marBottom w:val="0"/>
              <w:divBdr>
                <w:top w:val="none" w:sz="0" w:space="0" w:color="auto"/>
                <w:left w:val="none" w:sz="0" w:space="0" w:color="auto"/>
                <w:bottom w:val="none" w:sz="0" w:space="0" w:color="auto"/>
                <w:right w:val="none" w:sz="0" w:space="0" w:color="auto"/>
              </w:divBdr>
              <w:divsChild>
                <w:div w:id="1388451101">
                  <w:marLeft w:val="0"/>
                  <w:marRight w:val="0"/>
                  <w:marTop w:val="0"/>
                  <w:marBottom w:val="0"/>
                  <w:divBdr>
                    <w:top w:val="none" w:sz="0" w:space="0" w:color="auto"/>
                    <w:left w:val="none" w:sz="0" w:space="0" w:color="auto"/>
                    <w:bottom w:val="none" w:sz="0" w:space="0" w:color="auto"/>
                    <w:right w:val="none" w:sz="0" w:space="0" w:color="auto"/>
                  </w:divBdr>
                </w:div>
              </w:divsChild>
            </w:div>
            <w:div w:id="2085181944">
              <w:marLeft w:val="0"/>
              <w:marRight w:val="0"/>
              <w:marTop w:val="0"/>
              <w:marBottom w:val="0"/>
              <w:divBdr>
                <w:top w:val="none" w:sz="0" w:space="0" w:color="auto"/>
                <w:left w:val="none" w:sz="0" w:space="0" w:color="auto"/>
                <w:bottom w:val="none" w:sz="0" w:space="0" w:color="auto"/>
                <w:right w:val="none" w:sz="0" w:space="0" w:color="auto"/>
              </w:divBdr>
              <w:divsChild>
                <w:div w:id="780688537">
                  <w:marLeft w:val="0"/>
                  <w:marRight w:val="0"/>
                  <w:marTop w:val="0"/>
                  <w:marBottom w:val="0"/>
                  <w:divBdr>
                    <w:top w:val="none" w:sz="0" w:space="0" w:color="auto"/>
                    <w:left w:val="none" w:sz="0" w:space="0" w:color="auto"/>
                    <w:bottom w:val="none" w:sz="0" w:space="0" w:color="auto"/>
                    <w:right w:val="none" w:sz="0" w:space="0" w:color="auto"/>
                  </w:divBdr>
                </w:div>
              </w:divsChild>
            </w:div>
            <w:div w:id="212087401">
              <w:marLeft w:val="0"/>
              <w:marRight w:val="0"/>
              <w:marTop w:val="0"/>
              <w:marBottom w:val="0"/>
              <w:divBdr>
                <w:top w:val="none" w:sz="0" w:space="0" w:color="auto"/>
                <w:left w:val="none" w:sz="0" w:space="0" w:color="auto"/>
                <w:bottom w:val="none" w:sz="0" w:space="0" w:color="auto"/>
                <w:right w:val="none" w:sz="0" w:space="0" w:color="auto"/>
              </w:divBdr>
              <w:divsChild>
                <w:div w:id="776944244">
                  <w:marLeft w:val="0"/>
                  <w:marRight w:val="0"/>
                  <w:marTop w:val="0"/>
                  <w:marBottom w:val="0"/>
                  <w:divBdr>
                    <w:top w:val="none" w:sz="0" w:space="0" w:color="auto"/>
                    <w:left w:val="none" w:sz="0" w:space="0" w:color="auto"/>
                    <w:bottom w:val="none" w:sz="0" w:space="0" w:color="auto"/>
                    <w:right w:val="none" w:sz="0" w:space="0" w:color="auto"/>
                  </w:divBdr>
                </w:div>
              </w:divsChild>
            </w:div>
            <w:div w:id="1665015707">
              <w:marLeft w:val="0"/>
              <w:marRight w:val="0"/>
              <w:marTop w:val="0"/>
              <w:marBottom w:val="0"/>
              <w:divBdr>
                <w:top w:val="none" w:sz="0" w:space="0" w:color="auto"/>
                <w:left w:val="none" w:sz="0" w:space="0" w:color="auto"/>
                <w:bottom w:val="none" w:sz="0" w:space="0" w:color="auto"/>
                <w:right w:val="none" w:sz="0" w:space="0" w:color="auto"/>
              </w:divBdr>
              <w:divsChild>
                <w:div w:id="1780101653">
                  <w:marLeft w:val="0"/>
                  <w:marRight w:val="0"/>
                  <w:marTop w:val="0"/>
                  <w:marBottom w:val="0"/>
                  <w:divBdr>
                    <w:top w:val="none" w:sz="0" w:space="0" w:color="auto"/>
                    <w:left w:val="none" w:sz="0" w:space="0" w:color="auto"/>
                    <w:bottom w:val="none" w:sz="0" w:space="0" w:color="auto"/>
                    <w:right w:val="none" w:sz="0" w:space="0" w:color="auto"/>
                  </w:divBdr>
                </w:div>
              </w:divsChild>
            </w:div>
            <w:div w:id="330641371">
              <w:marLeft w:val="0"/>
              <w:marRight w:val="0"/>
              <w:marTop w:val="0"/>
              <w:marBottom w:val="0"/>
              <w:divBdr>
                <w:top w:val="none" w:sz="0" w:space="0" w:color="auto"/>
                <w:left w:val="none" w:sz="0" w:space="0" w:color="auto"/>
                <w:bottom w:val="none" w:sz="0" w:space="0" w:color="auto"/>
                <w:right w:val="none" w:sz="0" w:space="0" w:color="auto"/>
              </w:divBdr>
              <w:divsChild>
                <w:div w:id="339310327">
                  <w:marLeft w:val="0"/>
                  <w:marRight w:val="0"/>
                  <w:marTop w:val="0"/>
                  <w:marBottom w:val="0"/>
                  <w:divBdr>
                    <w:top w:val="none" w:sz="0" w:space="0" w:color="auto"/>
                    <w:left w:val="none" w:sz="0" w:space="0" w:color="auto"/>
                    <w:bottom w:val="none" w:sz="0" w:space="0" w:color="auto"/>
                    <w:right w:val="none" w:sz="0" w:space="0" w:color="auto"/>
                  </w:divBdr>
                </w:div>
              </w:divsChild>
            </w:div>
            <w:div w:id="1098404459">
              <w:marLeft w:val="0"/>
              <w:marRight w:val="0"/>
              <w:marTop w:val="0"/>
              <w:marBottom w:val="0"/>
              <w:divBdr>
                <w:top w:val="none" w:sz="0" w:space="0" w:color="auto"/>
                <w:left w:val="none" w:sz="0" w:space="0" w:color="auto"/>
                <w:bottom w:val="none" w:sz="0" w:space="0" w:color="auto"/>
                <w:right w:val="none" w:sz="0" w:space="0" w:color="auto"/>
              </w:divBdr>
              <w:divsChild>
                <w:div w:id="1892771028">
                  <w:marLeft w:val="0"/>
                  <w:marRight w:val="0"/>
                  <w:marTop w:val="0"/>
                  <w:marBottom w:val="0"/>
                  <w:divBdr>
                    <w:top w:val="none" w:sz="0" w:space="0" w:color="auto"/>
                    <w:left w:val="none" w:sz="0" w:space="0" w:color="auto"/>
                    <w:bottom w:val="none" w:sz="0" w:space="0" w:color="auto"/>
                    <w:right w:val="none" w:sz="0" w:space="0" w:color="auto"/>
                  </w:divBdr>
                </w:div>
              </w:divsChild>
            </w:div>
            <w:div w:id="425540611">
              <w:marLeft w:val="0"/>
              <w:marRight w:val="0"/>
              <w:marTop w:val="0"/>
              <w:marBottom w:val="0"/>
              <w:divBdr>
                <w:top w:val="none" w:sz="0" w:space="0" w:color="auto"/>
                <w:left w:val="none" w:sz="0" w:space="0" w:color="auto"/>
                <w:bottom w:val="none" w:sz="0" w:space="0" w:color="auto"/>
                <w:right w:val="none" w:sz="0" w:space="0" w:color="auto"/>
              </w:divBdr>
              <w:divsChild>
                <w:div w:id="75396081">
                  <w:marLeft w:val="0"/>
                  <w:marRight w:val="0"/>
                  <w:marTop w:val="0"/>
                  <w:marBottom w:val="0"/>
                  <w:divBdr>
                    <w:top w:val="none" w:sz="0" w:space="0" w:color="auto"/>
                    <w:left w:val="none" w:sz="0" w:space="0" w:color="auto"/>
                    <w:bottom w:val="none" w:sz="0" w:space="0" w:color="auto"/>
                    <w:right w:val="none" w:sz="0" w:space="0" w:color="auto"/>
                  </w:divBdr>
                </w:div>
              </w:divsChild>
            </w:div>
            <w:div w:id="1497039554">
              <w:marLeft w:val="0"/>
              <w:marRight w:val="0"/>
              <w:marTop w:val="0"/>
              <w:marBottom w:val="0"/>
              <w:divBdr>
                <w:top w:val="none" w:sz="0" w:space="0" w:color="auto"/>
                <w:left w:val="none" w:sz="0" w:space="0" w:color="auto"/>
                <w:bottom w:val="none" w:sz="0" w:space="0" w:color="auto"/>
                <w:right w:val="none" w:sz="0" w:space="0" w:color="auto"/>
              </w:divBdr>
              <w:divsChild>
                <w:div w:id="1612930994">
                  <w:marLeft w:val="0"/>
                  <w:marRight w:val="0"/>
                  <w:marTop w:val="0"/>
                  <w:marBottom w:val="0"/>
                  <w:divBdr>
                    <w:top w:val="none" w:sz="0" w:space="0" w:color="auto"/>
                    <w:left w:val="none" w:sz="0" w:space="0" w:color="auto"/>
                    <w:bottom w:val="none" w:sz="0" w:space="0" w:color="auto"/>
                    <w:right w:val="none" w:sz="0" w:space="0" w:color="auto"/>
                  </w:divBdr>
                </w:div>
              </w:divsChild>
            </w:div>
            <w:div w:id="793518593">
              <w:marLeft w:val="0"/>
              <w:marRight w:val="0"/>
              <w:marTop w:val="0"/>
              <w:marBottom w:val="0"/>
              <w:divBdr>
                <w:top w:val="none" w:sz="0" w:space="0" w:color="auto"/>
                <w:left w:val="none" w:sz="0" w:space="0" w:color="auto"/>
                <w:bottom w:val="none" w:sz="0" w:space="0" w:color="auto"/>
                <w:right w:val="none" w:sz="0" w:space="0" w:color="auto"/>
              </w:divBdr>
              <w:divsChild>
                <w:div w:id="1590430925">
                  <w:marLeft w:val="0"/>
                  <w:marRight w:val="0"/>
                  <w:marTop w:val="0"/>
                  <w:marBottom w:val="0"/>
                  <w:divBdr>
                    <w:top w:val="none" w:sz="0" w:space="0" w:color="auto"/>
                    <w:left w:val="none" w:sz="0" w:space="0" w:color="auto"/>
                    <w:bottom w:val="none" w:sz="0" w:space="0" w:color="auto"/>
                    <w:right w:val="none" w:sz="0" w:space="0" w:color="auto"/>
                  </w:divBdr>
                </w:div>
              </w:divsChild>
            </w:div>
            <w:div w:id="756906609">
              <w:marLeft w:val="0"/>
              <w:marRight w:val="0"/>
              <w:marTop w:val="0"/>
              <w:marBottom w:val="0"/>
              <w:divBdr>
                <w:top w:val="none" w:sz="0" w:space="0" w:color="auto"/>
                <w:left w:val="none" w:sz="0" w:space="0" w:color="auto"/>
                <w:bottom w:val="none" w:sz="0" w:space="0" w:color="auto"/>
                <w:right w:val="none" w:sz="0" w:space="0" w:color="auto"/>
              </w:divBdr>
              <w:divsChild>
                <w:div w:id="289557964">
                  <w:marLeft w:val="0"/>
                  <w:marRight w:val="0"/>
                  <w:marTop w:val="0"/>
                  <w:marBottom w:val="0"/>
                  <w:divBdr>
                    <w:top w:val="none" w:sz="0" w:space="0" w:color="auto"/>
                    <w:left w:val="none" w:sz="0" w:space="0" w:color="auto"/>
                    <w:bottom w:val="none" w:sz="0" w:space="0" w:color="auto"/>
                    <w:right w:val="none" w:sz="0" w:space="0" w:color="auto"/>
                  </w:divBdr>
                </w:div>
              </w:divsChild>
            </w:div>
            <w:div w:id="1495953200">
              <w:marLeft w:val="0"/>
              <w:marRight w:val="0"/>
              <w:marTop w:val="0"/>
              <w:marBottom w:val="0"/>
              <w:divBdr>
                <w:top w:val="none" w:sz="0" w:space="0" w:color="auto"/>
                <w:left w:val="none" w:sz="0" w:space="0" w:color="auto"/>
                <w:bottom w:val="none" w:sz="0" w:space="0" w:color="auto"/>
                <w:right w:val="none" w:sz="0" w:space="0" w:color="auto"/>
              </w:divBdr>
              <w:divsChild>
                <w:div w:id="1885018363">
                  <w:marLeft w:val="0"/>
                  <w:marRight w:val="0"/>
                  <w:marTop w:val="0"/>
                  <w:marBottom w:val="0"/>
                  <w:divBdr>
                    <w:top w:val="none" w:sz="0" w:space="0" w:color="auto"/>
                    <w:left w:val="none" w:sz="0" w:space="0" w:color="auto"/>
                    <w:bottom w:val="none" w:sz="0" w:space="0" w:color="auto"/>
                    <w:right w:val="none" w:sz="0" w:space="0" w:color="auto"/>
                  </w:divBdr>
                </w:div>
              </w:divsChild>
            </w:div>
            <w:div w:id="1833250558">
              <w:marLeft w:val="0"/>
              <w:marRight w:val="0"/>
              <w:marTop w:val="0"/>
              <w:marBottom w:val="0"/>
              <w:divBdr>
                <w:top w:val="none" w:sz="0" w:space="0" w:color="auto"/>
                <w:left w:val="none" w:sz="0" w:space="0" w:color="auto"/>
                <w:bottom w:val="none" w:sz="0" w:space="0" w:color="auto"/>
                <w:right w:val="none" w:sz="0" w:space="0" w:color="auto"/>
              </w:divBdr>
              <w:divsChild>
                <w:div w:id="532881843">
                  <w:marLeft w:val="0"/>
                  <w:marRight w:val="0"/>
                  <w:marTop w:val="0"/>
                  <w:marBottom w:val="0"/>
                  <w:divBdr>
                    <w:top w:val="none" w:sz="0" w:space="0" w:color="auto"/>
                    <w:left w:val="none" w:sz="0" w:space="0" w:color="auto"/>
                    <w:bottom w:val="none" w:sz="0" w:space="0" w:color="auto"/>
                    <w:right w:val="none" w:sz="0" w:space="0" w:color="auto"/>
                  </w:divBdr>
                </w:div>
              </w:divsChild>
            </w:div>
            <w:div w:id="913710046">
              <w:marLeft w:val="0"/>
              <w:marRight w:val="0"/>
              <w:marTop w:val="0"/>
              <w:marBottom w:val="0"/>
              <w:divBdr>
                <w:top w:val="none" w:sz="0" w:space="0" w:color="auto"/>
                <w:left w:val="none" w:sz="0" w:space="0" w:color="auto"/>
                <w:bottom w:val="none" w:sz="0" w:space="0" w:color="auto"/>
                <w:right w:val="none" w:sz="0" w:space="0" w:color="auto"/>
              </w:divBdr>
              <w:divsChild>
                <w:div w:id="1369255160">
                  <w:marLeft w:val="0"/>
                  <w:marRight w:val="0"/>
                  <w:marTop w:val="0"/>
                  <w:marBottom w:val="0"/>
                  <w:divBdr>
                    <w:top w:val="none" w:sz="0" w:space="0" w:color="auto"/>
                    <w:left w:val="none" w:sz="0" w:space="0" w:color="auto"/>
                    <w:bottom w:val="none" w:sz="0" w:space="0" w:color="auto"/>
                    <w:right w:val="none" w:sz="0" w:space="0" w:color="auto"/>
                  </w:divBdr>
                </w:div>
              </w:divsChild>
            </w:div>
            <w:div w:id="282426169">
              <w:marLeft w:val="0"/>
              <w:marRight w:val="0"/>
              <w:marTop w:val="0"/>
              <w:marBottom w:val="0"/>
              <w:divBdr>
                <w:top w:val="none" w:sz="0" w:space="0" w:color="auto"/>
                <w:left w:val="none" w:sz="0" w:space="0" w:color="auto"/>
                <w:bottom w:val="none" w:sz="0" w:space="0" w:color="auto"/>
                <w:right w:val="none" w:sz="0" w:space="0" w:color="auto"/>
              </w:divBdr>
              <w:divsChild>
                <w:div w:id="862480468">
                  <w:marLeft w:val="0"/>
                  <w:marRight w:val="0"/>
                  <w:marTop w:val="0"/>
                  <w:marBottom w:val="0"/>
                  <w:divBdr>
                    <w:top w:val="none" w:sz="0" w:space="0" w:color="auto"/>
                    <w:left w:val="none" w:sz="0" w:space="0" w:color="auto"/>
                    <w:bottom w:val="none" w:sz="0" w:space="0" w:color="auto"/>
                    <w:right w:val="none" w:sz="0" w:space="0" w:color="auto"/>
                  </w:divBdr>
                </w:div>
              </w:divsChild>
            </w:div>
            <w:div w:id="478348818">
              <w:marLeft w:val="0"/>
              <w:marRight w:val="0"/>
              <w:marTop w:val="0"/>
              <w:marBottom w:val="0"/>
              <w:divBdr>
                <w:top w:val="none" w:sz="0" w:space="0" w:color="auto"/>
                <w:left w:val="none" w:sz="0" w:space="0" w:color="auto"/>
                <w:bottom w:val="none" w:sz="0" w:space="0" w:color="auto"/>
                <w:right w:val="none" w:sz="0" w:space="0" w:color="auto"/>
              </w:divBdr>
              <w:divsChild>
                <w:div w:id="1859157121">
                  <w:marLeft w:val="0"/>
                  <w:marRight w:val="0"/>
                  <w:marTop w:val="0"/>
                  <w:marBottom w:val="0"/>
                  <w:divBdr>
                    <w:top w:val="none" w:sz="0" w:space="0" w:color="auto"/>
                    <w:left w:val="none" w:sz="0" w:space="0" w:color="auto"/>
                    <w:bottom w:val="none" w:sz="0" w:space="0" w:color="auto"/>
                    <w:right w:val="none" w:sz="0" w:space="0" w:color="auto"/>
                  </w:divBdr>
                </w:div>
              </w:divsChild>
            </w:div>
            <w:div w:id="1945072479">
              <w:marLeft w:val="0"/>
              <w:marRight w:val="0"/>
              <w:marTop w:val="0"/>
              <w:marBottom w:val="0"/>
              <w:divBdr>
                <w:top w:val="none" w:sz="0" w:space="0" w:color="auto"/>
                <w:left w:val="none" w:sz="0" w:space="0" w:color="auto"/>
                <w:bottom w:val="none" w:sz="0" w:space="0" w:color="auto"/>
                <w:right w:val="none" w:sz="0" w:space="0" w:color="auto"/>
              </w:divBdr>
              <w:divsChild>
                <w:div w:id="1660422211">
                  <w:marLeft w:val="0"/>
                  <w:marRight w:val="0"/>
                  <w:marTop w:val="0"/>
                  <w:marBottom w:val="0"/>
                  <w:divBdr>
                    <w:top w:val="none" w:sz="0" w:space="0" w:color="auto"/>
                    <w:left w:val="none" w:sz="0" w:space="0" w:color="auto"/>
                    <w:bottom w:val="none" w:sz="0" w:space="0" w:color="auto"/>
                    <w:right w:val="none" w:sz="0" w:space="0" w:color="auto"/>
                  </w:divBdr>
                </w:div>
              </w:divsChild>
            </w:div>
            <w:div w:id="986323636">
              <w:marLeft w:val="0"/>
              <w:marRight w:val="0"/>
              <w:marTop w:val="0"/>
              <w:marBottom w:val="0"/>
              <w:divBdr>
                <w:top w:val="none" w:sz="0" w:space="0" w:color="auto"/>
                <w:left w:val="none" w:sz="0" w:space="0" w:color="auto"/>
                <w:bottom w:val="none" w:sz="0" w:space="0" w:color="auto"/>
                <w:right w:val="none" w:sz="0" w:space="0" w:color="auto"/>
              </w:divBdr>
              <w:divsChild>
                <w:div w:id="76861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997910">
          <w:marLeft w:val="0"/>
          <w:marRight w:val="0"/>
          <w:marTop w:val="0"/>
          <w:marBottom w:val="0"/>
          <w:divBdr>
            <w:top w:val="none" w:sz="0" w:space="0" w:color="auto"/>
            <w:left w:val="none" w:sz="0" w:space="0" w:color="auto"/>
            <w:bottom w:val="none" w:sz="0" w:space="0" w:color="auto"/>
            <w:right w:val="none" w:sz="0" w:space="0" w:color="auto"/>
          </w:divBdr>
        </w:div>
        <w:div w:id="23597162">
          <w:marLeft w:val="0"/>
          <w:marRight w:val="0"/>
          <w:marTop w:val="0"/>
          <w:marBottom w:val="0"/>
          <w:divBdr>
            <w:top w:val="none" w:sz="0" w:space="0" w:color="auto"/>
            <w:left w:val="none" w:sz="0" w:space="0" w:color="auto"/>
            <w:bottom w:val="none" w:sz="0" w:space="0" w:color="auto"/>
            <w:right w:val="none" w:sz="0" w:space="0" w:color="auto"/>
          </w:divBdr>
        </w:div>
        <w:div w:id="1345398961">
          <w:marLeft w:val="0"/>
          <w:marRight w:val="0"/>
          <w:marTop w:val="0"/>
          <w:marBottom w:val="0"/>
          <w:divBdr>
            <w:top w:val="none" w:sz="0" w:space="0" w:color="auto"/>
            <w:left w:val="none" w:sz="0" w:space="0" w:color="auto"/>
            <w:bottom w:val="none" w:sz="0" w:space="0" w:color="auto"/>
            <w:right w:val="none" w:sz="0" w:space="0" w:color="auto"/>
          </w:divBdr>
        </w:div>
        <w:div w:id="780301960">
          <w:marLeft w:val="0"/>
          <w:marRight w:val="0"/>
          <w:marTop w:val="0"/>
          <w:marBottom w:val="0"/>
          <w:divBdr>
            <w:top w:val="none" w:sz="0" w:space="0" w:color="auto"/>
            <w:left w:val="none" w:sz="0" w:space="0" w:color="auto"/>
            <w:bottom w:val="none" w:sz="0" w:space="0" w:color="auto"/>
            <w:right w:val="none" w:sz="0" w:space="0" w:color="auto"/>
          </w:divBdr>
        </w:div>
        <w:div w:id="1025211891">
          <w:marLeft w:val="0"/>
          <w:marRight w:val="0"/>
          <w:marTop w:val="0"/>
          <w:marBottom w:val="0"/>
          <w:divBdr>
            <w:top w:val="none" w:sz="0" w:space="0" w:color="auto"/>
            <w:left w:val="none" w:sz="0" w:space="0" w:color="auto"/>
            <w:bottom w:val="none" w:sz="0" w:space="0" w:color="auto"/>
            <w:right w:val="none" w:sz="0" w:space="0" w:color="auto"/>
          </w:divBdr>
        </w:div>
        <w:div w:id="670914064">
          <w:marLeft w:val="0"/>
          <w:marRight w:val="0"/>
          <w:marTop w:val="0"/>
          <w:marBottom w:val="0"/>
          <w:divBdr>
            <w:top w:val="none" w:sz="0" w:space="0" w:color="auto"/>
            <w:left w:val="none" w:sz="0" w:space="0" w:color="auto"/>
            <w:bottom w:val="none" w:sz="0" w:space="0" w:color="auto"/>
            <w:right w:val="none" w:sz="0" w:space="0" w:color="auto"/>
          </w:divBdr>
        </w:div>
        <w:div w:id="1096053773">
          <w:marLeft w:val="0"/>
          <w:marRight w:val="0"/>
          <w:marTop w:val="0"/>
          <w:marBottom w:val="0"/>
          <w:divBdr>
            <w:top w:val="none" w:sz="0" w:space="0" w:color="auto"/>
            <w:left w:val="none" w:sz="0" w:space="0" w:color="auto"/>
            <w:bottom w:val="none" w:sz="0" w:space="0" w:color="auto"/>
            <w:right w:val="none" w:sz="0" w:space="0" w:color="auto"/>
          </w:divBdr>
        </w:div>
        <w:div w:id="625087360">
          <w:marLeft w:val="0"/>
          <w:marRight w:val="0"/>
          <w:marTop w:val="0"/>
          <w:marBottom w:val="0"/>
          <w:divBdr>
            <w:top w:val="none" w:sz="0" w:space="0" w:color="auto"/>
            <w:left w:val="none" w:sz="0" w:space="0" w:color="auto"/>
            <w:bottom w:val="none" w:sz="0" w:space="0" w:color="auto"/>
            <w:right w:val="none" w:sz="0" w:space="0" w:color="auto"/>
          </w:divBdr>
        </w:div>
        <w:div w:id="951327792">
          <w:marLeft w:val="0"/>
          <w:marRight w:val="0"/>
          <w:marTop w:val="0"/>
          <w:marBottom w:val="0"/>
          <w:divBdr>
            <w:top w:val="none" w:sz="0" w:space="0" w:color="auto"/>
            <w:left w:val="none" w:sz="0" w:space="0" w:color="auto"/>
            <w:bottom w:val="none" w:sz="0" w:space="0" w:color="auto"/>
            <w:right w:val="none" w:sz="0" w:space="0" w:color="auto"/>
          </w:divBdr>
        </w:div>
        <w:div w:id="1645887994">
          <w:marLeft w:val="0"/>
          <w:marRight w:val="0"/>
          <w:marTop w:val="0"/>
          <w:marBottom w:val="0"/>
          <w:divBdr>
            <w:top w:val="none" w:sz="0" w:space="0" w:color="auto"/>
            <w:left w:val="none" w:sz="0" w:space="0" w:color="auto"/>
            <w:bottom w:val="none" w:sz="0" w:space="0" w:color="auto"/>
            <w:right w:val="none" w:sz="0" w:space="0" w:color="auto"/>
          </w:divBdr>
        </w:div>
        <w:div w:id="1037780897">
          <w:marLeft w:val="0"/>
          <w:marRight w:val="0"/>
          <w:marTop w:val="0"/>
          <w:marBottom w:val="0"/>
          <w:divBdr>
            <w:top w:val="none" w:sz="0" w:space="0" w:color="auto"/>
            <w:left w:val="none" w:sz="0" w:space="0" w:color="auto"/>
            <w:bottom w:val="none" w:sz="0" w:space="0" w:color="auto"/>
            <w:right w:val="none" w:sz="0" w:space="0" w:color="auto"/>
          </w:divBdr>
        </w:div>
        <w:div w:id="154347026">
          <w:marLeft w:val="0"/>
          <w:marRight w:val="0"/>
          <w:marTop w:val="0"/>
          <w:marBottom w:val="0"/>
          <w:divBdr>
            <w:top w:val="none" w:sz="0" w:space="0" w:color="auto"/>
            <w:left w:val="none" w:sz="0" w:space="0" w:color="auto"/>
            <w:bottom w:val="none" w:sz="0" w:space="0" w:color="auto"/>
            <w:right w:val="none" w:sz="0" w:space="0" w:color="auto"/>
          </w:divBdr>
        </w:div>
        <w:div w:id="513223984">
          <w:marLeft w:val="0"/>
          <w:marRight w:val="0"/>
          <w:marTop w:val="0"/>
          <w:marBottom w:val="0"/>
          <w:divBdr>
            <w:top w:val="none" w:sz="0" w:space="0" w:color="auto"/>
            <w:left w:val="none" w:sz="0" w:space="0" w:color="auto"/>
            <w:bottom w:val="none" w:sz="0" w:space="0" w:color="auto"/>
            <w:right w:val="none" w:sz="0" w:space="0" w:color="auto"/>
          </w:divBdr>
        </w:div>
        <w:div w:id="109399558">
          <w:marLeft w:val="0"/>
          <w:marRight w:val="0"/>
          <w:marTop w:val="0"/>
          <w:marBottom w:val="0"/>
          <w:divBdr>
            <w:top w:val="none" w:sz="0" w:space="0" w:color="auto"/>
            <w:left w:val="none" w:sz="0" w:space="0" w:color="auto"/>
            <w:bottom w:val="none" w:sz="0" w:space="0" w:color="auto"/>
            <w:right w:val="none" w:sz="0" w:space="0" w:color="auto"/>
          </w:divBdr>
        </w:div>
        <w:div w:id="1572617554">
          <w:marLeft w:val="0"/>
          <w:marRight w:val="0"/>
          <w:marTop w:val="0"/>
          <w:marBottom w:val="0"/>
          <w:divBdr>
            <w:top w:val="none" w:sz="0" w:space="0" w:color="auto"/>
            <w:left w:val="none" w:sz="0" w:space="0" w:color="auto"/>
            <w:bottom w:val="none" w:sz="0" w:space="0" w:color="auto"/>
            <w:right w:val="none" w:sz="0" w:space="0" w:color="auto"/>
          </w:divBdr>
        </w:div>
        <w:div w:id="1375693627">
          <w:marLeft w:val="-75"/>
          <w:marRight w:val="0"/>
          <w:marTop w:val="30"/>
          <w:marBottom w:val="30"/>
          <w:divBdr>
            <w:top w:val="none" w:sz="0" w:space="0" w:color="auto"/>
            <w:left w:val="none" w:sz="0" w:space="0" w:color="auto"/>
            <w:bottom w:val="none" w:sz="0" w:space="0" w:color="auto"/>
            <w:right w:val="none" w:sz="0" w:space="0" w:color="auto"/>
          </w:divBdr>
          <w:divsChild>
            <w:div w:id="31658042">
              <w:marLeft w:val="0"/>
              <w:marRight w:val="0"/>
              <w:marTop w:val="0"/>
              <w:marBottom w:val="0"/>
              <w:divBdr>
                <w:top w:val="none" w:sz="0" w:space="0" w:color="auto"/>
                <w:left w:val="none" w:sz="0" w:space="0" w:color="auto"/>
                <w:bottom w:val="none" w:sz="0" w:space="0" w:color="auto"/>
                <w:right w:val="none" w:sz="0" w:space="0" w:color="auto"/>
              </w:divBdr>
              <w:divsChild>
                <w:div w:id="2094738709">
                  <w:marLeft w:val="0"/>
                  <w:marRight w:val="0"/>
                  <w:marTop w:val="0"/>
                  <w:marBottom w:val="0"/>
                  <w:divBdr>
                    <w:top w:val="none" w:sz="0" w:space="0" w:color="auto"/>
                    <w:left w:val="none" w:sz="0" w:space="0" w:color="auto"/>
                    <w:bottom w:val="none" w:sz="0" w:space="0" w:color="auto"/>
                    <w:right w:val="none" w:sz="0" w:space="0" w:color="auto"/>
                  </w:divBdr>
                </w:div>
              </w:divsChild>
            </w:div>
            <w:div w:id="188028716">
              <w:marLeft w:val="0"/>
              <w:marRight w:val="0"/>
              <w:marTop w:val="0"/>
              <w:marBottom w:val="0"/>
              <w:divBdr>
                <w:top w:val="none" w:sz="0" w:space="0" w:color="auto"/>
                <w:left w:val="none" w:sz="0" w:space="0" w:color="auto"/>
                <w:bottom w:val="none" w:sz="0" w:space="0" w:color="auto"/>
                <w:right w:val="none" w:sz="0" w:space="0" w:color="auto"/>
              </w:divBdr>
              <w:divsChild>
                <w:div w:id="319651652">
                  <w:marLeft w:val="0"/>
                  <w:marRight w:val="0"/>
                  <w:marTop w:val="0"/>
                  <w:marBottom w:val="0"/>
                  <w:divBdr>
                    <w:top w:val="none" w:sz="0" w:space="0" w:color="auto"/>
                    <w:left w:val="none" w:sz="0" w:space="0" w:color="auto"/>
                    <w:bottom w:val="none" w:sz="0" w:space="0" w:color="auto"/>
                    <w:right w:val="none" w:sz="0" w:space="0" w:color="auto"/>
                  </w:divBdr>
                </w:div>
              </w:divsChild>
            </w:div>
            <w:div w:id="1396313183">
              <w:marLeft w:val="0"/>
              <w:marRight w:val="0"/>
              <w:marTop w:val="0"/>
              <w:marBottom w:val="0"/>
              <w:divBdr>
                <w:top w:val="none" w:sz="0" w:space="0" w:color="auto"/>
                <w:left w:val="none" w:sz="0" w:space="0" w:color="auto"/>
                <w:bottom w:val="none" w:sz="0" w:space="0" w:color="auto"/>
                <w:right w:val="none" w:sz="0" w:space="0" w:color="auto"/>
              </w:divBdr>
              <w:divsChild>
                <w:div w:id="2096317310">
                  <w:marLeft w:val="0"/>
                  <w:marRight w:val="0"/>
                  <w:marTop w:val="0"/>
                  <w:marBottom w:val="0"/>
                  <w:divBdr>
                    <w:top w:val="none" w:sz="0" w:space="0" w:color="auto"/>
                    <w:left w:val="none" w:sz="0" w:space="0" w:color="auto"/>
                    <w:bottom w:val="none" w:sz="0" w:space="0" w:color="auto"/>
                    <w:right w:val="none" w:sz="0" w:space="0" w:color="auto"/>
                  </w:divBdr>
                </w:div>
              </w:divsChild>
            </w:div>
            <w:div w:id="1572616683">
              <w:marLeft w:val="0"/>
              <w:marRight w:val="0"/>
              <w:marTop w:val="0"/>
              <w:marBottom w:val="0"/>
              <w:divBdr>
                <w:top w:val="none" w:sz="0" w:space="0" w:color="auto"/>
                <w:left w:val="none" w:sz="0" w:space="0" w:color="auto"/>
                <w:bottom w:val="none" w:sz="0" w:space="0" w:color="auto"/>
                <w:right w:val="none" w:sz="0" w:space="0" w:color="auto"/>
              </w:divBdr>
              <w:divsChild>
                <w:div w:id="1851796789">
                  <w:marLeft w:val="0"/>
                  <w:marRight w:val="0"/>
                  <w:marTop w:val="0"/>
                  <w:marBottom w:val="0"/>
                  <w:divBdr>
                    <w:top w:val="none" w:sz="0" w:space="0" w:color="auto"/>
                    <w:left w:val="none" w:sz="0" w:space="0" w:color="auto"/>
                    <w:bottom w:val="none" w:sz="0" w:space="0" w:color="auto"/>
                    <w:right w:val="none" w:sz="0" w:space="0" w:color="auto"/>
                  </w:divBdr>
                </w:div>
              </w:divsChild>
            </w:div>
            <w:div w:id="656501074">
              <w:marLeft w:val="0"/>
              <w:marRight w:val="0"/>
              <w:marTop w:val="0"/>
              <w:marBottom w:val="0"/>
              <w:divBdr>
                <w:top w:val="none" w:sz="0" w:space="0" w:color="auto"/>
                <w:left w:val="none" w:sz="0" w:space="0" w:color="auto"/>
                <w:bottom w:val="none" w:sz="0" w:space="0" w:color="auto"/>
                <w:right w:val="none" w:sz="0" w:space="0" w:color="auto"/>
              </w:divBdr>
              <w:divsChild>
                <w:div w:id="2092700584">
                  <w:marLeft w:val="0"/>
                  <w:marRight w:val="0"/>
                  <w:marTop w:val="0"/>
                  <w:marBottom w:val="0"/>
                  <w:divBdr>
                    <w:top w:val="none" w:sz="0" w:space="0" w:color="auto"/>
                    <w:left w:val="none" w:sz="0" w:space="0" w:color="auto"/>
                    <w:bottom w:val="none" w:sz="0" w:space="0" w:color="auto"/>
                    <w:right w:val="none" w:sz="0" w:space="0" w:color="auto"/>
                  </w:divBdr>
                </w:div>
              </w:divsChild>
            </w:div>
            <w:div w:id="2080708485">
              <w:marLeft w:val="0"/>
              <w:marRight w:val="0"/>
              <w:marTop w:val="0"/>
              <w:marBottom w:val="0"/>
              <w:divBdr>
                <w:top w:val="none" w:sz="0" w:space="0" w:color="auto"/>
                <w:left w:val="none" w:sz="0" w:space="0" w:color="auto"/>
                <w:bottom w:val="none" w:sz="0" w:space="0" w:color="auto"/>
                <w:right w:val="none" w:sz="0" w:space="0" w:color="auto"/>
              </w:divBdr>
              <w:divsChild>
                <w:div w:id="179319247">
                  <w:marLeft w:val="0"/>
                  <w:marRight w:val="0"/>
                  <w:marTop w:val="0"/>
                  <w:marBottom w:val="0"/>
                  <w:divBdr>
                    <w:top w:val="none" w:sz="0" w:space="0" w:color="auto"/>
                    <w:left w:val="none" w:sz="0" w:space="0" w:color="auto"/>
                    <w:bottom w:val="none" w:sz="0" w:space="0" w:color="auto"/>
                    <w:right w:val="none" w:sz="0" w:space="0" w:color="auto"/>
                  </w:divBdr>
                </w:div>
              </w:divsChild>
            </w:div>
            <w:div w:id="1636134763">
              <w:marLeft w:val="0"/>
              <w:marRight w:val="0"/>
              <w:marTop w:val="0"/>
              <w:marBottom w:val="0"/>
              <w:divBdr>
                <w:top w:val="none" w:sz="0" w:space="0" w:color="auto"/>
                <w:left w:val="none" w:sz="0" w:space="0" w:color="auto"/>
                <w:bottom w:val="none" w:sz="0" w:space="0" w:color="auto"/>
                <w:right w:val="none" w:sz="0" w:space="0" w:color="auto"/>
              </w:divBdr>
              <w:divsChild>
                <w:div w:id="1320691707">
                  <w:marLeft w:val="0"/>
                  <w:marRight w:val="0"/>
                  <w:marTop w:val="0"/>
                  <w:marBottom w:val="0"/>
                  <w:divBdr>
                    <w:top w:val="none" w:sz="0" w:space="0" w:color="auto"/>
                    <w:left w:val="none" w:sz="0" w:space="0" w:color="auto"/>
                    <w:bottom w:val="none" w:sz="0" w:space="0" w:color="auto"/>
                    <w:right w:val="none" w:sz="0" w:space="0" w:color="auto"/>
                  </w:divBdr>
                </w:div>
              </w:divsChild>
            </w:div>
            <w:div w:id="765464171">
              <w:marLeft w:val="0"/>
              <w:marRight w:val="0"/>
              <w:marTop w:val="0"/>
              <w:marBottom w:val="0"/>
              <w:divBdr>
                <w:top w:val="none" w:sz="0" w:space="0" w:color="auto"/>
                <w:left w:val="none" w:sz="0" w:space="0" w:color="auto"/>
                <w:bottom w:val="none" w:sz="0" w:space="0" w:color="auto"/>
                <w:right w:val="none" w:sz="0" w:space="0" w:color="auto"/>
              </w:divBdr>
              <w:divsChild>
                <w:div w:id="316111311">
                  <w:marLeft w:val="0"/>
                  <w:marRight w:val="0"/>
                  <w:marTop w:val="0"/>
                  <w:marBottom w:val="0"/>
                  <w:divBdr>
                    <w:top w:val="none" w:sz="0" w:space="0" w:color="auto"/>
                    <w:left w:val="none" w:sz="0" w:space="0" w:color="auto"/>
                    <w:bottom w:val="none" w:sz="0" w:space="0" w:color="auto"/>
                    <w:right w:val="none" w:sz="0" w:space="0" w:color="auto"/>
                  </w:divBdr>
                </w:div>
              </w:divsChild>
            </w:div>
            <w:div w:id="1215897692">
              <w:marLeft w:val="0"/>
              <w:marRight w:val="0"/>
              <w:marTop w:val="0"/>
              <w:marBottom w:val="0"/>
              <w:divBdr>
                <w:top w:val="none" w:sz="0" w:space="0" w:color="auto"/>
                <w:left w:val="none" w:sz="0" w:space="0" w:color="auto"/>
                <w:bottom w:val="none" w:sz="0" w:space="0" w:color="auto"/>
                <w:right w:val="none" w:sz="0" w:space="0" w:color="auto"/>
              </w:divBdr>
              <w:divsChild>
                <w:div w:id="1021322031">
                  <w:marLeft w:val="0"/>
                  <w:marRight w:val="0"/>
                  <w:marTop w:val="0"/>
                  <w:marBottom w:val="0"/>
                  <w:divBdr>
                    <w:top w:val="none" w:sz="0" w:space="0" w:color="auto"/>
                    <w:left w:val="none" w:sz="0" w:space="0" w:color="auto"/>
                    <w:bottom w:val="none" w:sz="0" w:space="0" w:color="auto"/>
                    <w:right w:val="none" w:sz="0" w:space="0" w:color="auto"/>
                  </w:divBdr>
                </w:div>
              </w:divsChild>
            </w:div>
            <w:div w:id="610286155">
              <w:marLeft w:val="0"/>
              <w:marRight w:val="0"/>
              <w:marTop w:val="0"/>
              <w:marBottom w:val="0"/>
              <w:divBdr>
                <w:top w:val="none" w:sz="0" w:space="0" w:color="auto"/>
                <w:left w:val="none" w:sz="0" w:space="0" w:color="auto"/>
                <w:bottom w:val="none" w:sz="0" w:space="0" w:color="auto"/>
                <w:right w:val="none" w:sz="0" w:space="0" w:color="auto"/>
              </w:divBdr>
              <w:divsChild>
                <w:div w:id="2000376161">
                  <w:marLeft w:val="0"/>
                  <w:marRight w:val="0"/>
                  <w:marTop w:val="0"/>
                  <w:marBottom w:val="0"/>
                  <w:divBdr>
                    <w:top w:val="none" w:sz="0" w:space="0" w:color="auto"/>
                    <w:left w:val="none" w:sz="0" w:space="0" w:color="auto"/>
                    <w:bottom w:val="none" w:sz="0" w:space="0" w:color="auto"/>
                    <w:right w:val="none" w:sz="0" w:space="0" w:color="auto"/>
                  </w:divBdr>
                </w:div>
                <w:div w:id="449082995">
                  <w:marLeft w:val="0"/>
                  <w:marRight w:val="0"/>
                  <w:marTop w:val="0"/>
                  <w:marBottom w:val="0"/>
                  <w:divBdr>
                    <w:top w:val="none" w:sz="0" w:space="0" w:color="auto"/>
                    <w:left w:val="none" w:sz="0" w:space="0" w:color="auto"/>
                    <w:bottom w:val="none" w:sz="0" w:space="0" w:color="auto"/>
                    <w:right w:val="none" w:sz="0" w:space="0" w:color="auto"/>
                  </w:divBdr>
                </w:div>
                <w:div w:id="1297833695">
                  <w:marLeft w:val="0"/>
                  <w:marRight w:val="0"/>
                  <w:marTop w:val="0"/>
                  <w:marBottom w:val="0"/>
                  <w:divBdr>
                    <w:top w:val="none" w:sz="0" w:space="0" w:color="auto"/>
                    <w:left w:val="none" w:sz="0" w:space="0" w:color="auto"/>
                    <w:bottom w:val="none" w:sz="0" w:space="0" w:color="auto"/>
                    <w:right w:val="none" w:sz="0" w:space="0" w:color="auto"/>
                  </w:divBdr>
                </w:div>
              </w:divsChild>
            </w:div>
            <w:div w:id="1513300097">
              <w:marLeft w:val="0"/>
              <w:marRight w:val="0"/>
              <w:marTop w:val="0"/>
              <w:marBottom w:val="0"/>
              <w:divBdr>
                <w:top w:val="none" w:sz="0" w:space="0" w:color="auto"/>
                <w:left w:val="none" w:sz="0" w:space="0" w:color="auto"/>
                <w:bottom w:val="none" w:sz="0" w:space="0" w:color="auto"/>
                <w:right w:val="none" w:sz="0" w:space="0" w:color="auto"/>
              </w:divBdr>
              <w:divsChild>
                <w:div w:id="1899439109">
                  <w:marLeft w:val="0"/>
                  <w:marRight w:val="0"/>
                  <w:marTop w:val="0"/>
                  <w:marBottom w:val="0"/>
                  <w:divBdr>
                    <w:top w:val="none" w:sz="0" w:space="0" w:color="auto"/>
                    <w:left w:val="none" w:sz="0" w:space="0" w:color="auto"/>
                    <w:bottom w:val="none" w:sz="0" w:space="0" w:color="auto"/>
                    <w:right w:val="none" w:sz="0" w:space="0" w:color="auto"/>
                  </w:divBdr>
                </w:div>
              </w:divsChild>
            </w:div>
            <w:div w:id="154498595">
              <w:marLeft w:val="0"/>
              <w:marRight w:val="0"/>
              <w:marTop w:val="0"/>
              <w:marBottom w:val="0"/>
              <w:divBdr>
                <w:top w:val="none" w:sz="0" w:space="0" w:color="auto"/>
                <w:left w:val="none" w:sz="0" w:space="0" w:color="auto"/>
                <w:bottom w:val="none" w:sz="0" w:space="0" w:color="auto"/>
                <w:right w:val="none" w:sz="0" w:space="0" w:color="auto"/>
              </w:divBdr>
              <w:divsChild>
                <w:div w:id="101533511">
                  <w:marLeft w:val="0"/>
                  <w:marRight w:val="0"/>
                  <w:marTop w:val="0"/>
                  <w:marBottom w:val="0"/>
                  <w:divBdr>
                    <w:top w:val="none" w:sz="0" w:space="0" w:color="auto"/>
                    <w:left w:val="none" w:sz="0" w:space="0" w:color="auto"/>
                    <w:bottom w:val="none" w:sz="0" w:space="0" w:color="auto"/>
                    <w:right w:val="none" w:sz="0" w:space="0" w:color="auto"/>
                  </w:divBdr>
                </w:div>
              </w:divsChild>
            </w:div>
            <w:div w:id="761536700">
              <w:marLeft w:val="0"/>
              <w:marRight w:val="0"/>
              <w:marTop w:val="0"/>
              <w:marBottom w:val="0"/>
              <w:divBdr>
                <w:top w:val="none" w:sz="0" w:space="0" w:color="auto"/>
                <w:left w:val="none" w:sz="0" w:space="0" w:color="auto"/>
                <w:bottom w:val="none" w:sz="0" w:space="0" w:color="auto"/>
                <w:right w:val="none" w:sz="0" w:space="0" w:color="auto"/>
              </w:divBdr>
              <w:divsChild>
                <w:div w:id="1445880466">
                  <w:marLeft w:val="0"/>
                  <w:marRight w:val="0"/>
                  <w:marTop w:val="0"/>
                  <w:marBottom w:val="0"/>
                  <w:divBdr>
                    <w:top w:val="none" w:sz="0" w:space="0" w:color="auto"/>
                    <w:left w:val="none" w:sz="0" w:space="0" w:color="auto"/>
                    <w:bottom w:val="none" w:sz="0" w:space="0" w:color="auto"/>
                    <w:right w:val="none" w:sz="0" w:space="0" w:color="auto"/>
                  </w:divBdr>
                </w:div>
              </w:divsChild>
            </w:div>
            <w:div w:id="540366396">
              <w:marLeft w:val="0"/>
              <w:marRight w:val="0"/>
              <w:marTop w:val="0"/>
              <w:marBottom w:val="0"/>
              <w:divBdr>
                <w:top w:val="none" w:sz="0" w:space="0" w:color="auto"/>
                <w:left w:val="none" w:sz="0" w:space="0" w:color="auto"/>
                <w:bottom w:val="none" w:sz="0" w:space="0" w:color="auto"/>
                <w:right w:val="none" w:sz="0" w:space="0" w:color="auto"/>
              </w:divBdr>
              <w:divsChild>
                <w:div w:id="1894851944">
                  <w:marLeft w:val="0"/>
                  <w:marRight w:val="0"/>
                  <w:marTop w:val="0"/>
                  <w:marBottom w:val="0"/>
                  <w:divBdr>
                    <w:top w:val="none" w:sz="0" w:space="0" w:color="auto"/>
                    <w:left w:val="none" w:sz="0" w:space="0" w:color="auto"/>
                    <w:bottom w:val="none" w:sz="0" w:space="0" w:color="auto"/>
                    <w:right w:val="none" w:sz="0" w:space="0" w:color="auto"/>
                  </w:divBdr>
                </w:div>
              </w:divsChild>
            </w:div>
            <w:div w:id="2089110832">
              <w:marLeft w:val="0"/>
              <w:marRight w:val="0"/>
              <w:marTop w:val="0"/>
              <w:marBottom w:val="0"/>
              <w:divBdr>
                <w:top w:val="none" w:sz="0" w:space="0" w:color="auto"/>
                <w:left w:val="none" w:sz="0" w:space="0" w:color="auto"/>
                <w:bottom w:val="none" w:sz="0" w:space="0" w:color="auto"/>
                <w:right w:val="none" w:sz="0" w:space="0" w:color="auto"/>
              </w:divBdr>
              <w:divsChild>
                <w:div w:id="1772625728">
                  <w:marLeft w:val="0"/>
                  <w:marRight w:val="0"/>
                  <w:marTop w:val="0"/>
                  <w:marBottom w:val="0"/>
                  <w:divBdr>
                    <w:top w:val="none" w:sz="0" w:space="0" w:color="auto"/>
                    <w:left w:val="none" w:sz="0" w:space="0" w:color="auto"/>
                    <w:bottom w:val="none" w:sz="0" w:space="0" w:color="auto"/>
                    <w:right w:val="none" w:sz="0" w:space="0" w:color="auto"/>
                  </w:divBdr>
                </w:div>
              </w:divsChild>
            </w:div>
            <w:div w:id="1341463891">
              <w:marLeft w:val="0"/>
              <w:marRight w:val="0"/>
              <w:marTop w:val="0"/>
              <w:marBottom w:val="0"/>
              <w:divBdr>
                <w:top w:val="none" w:sz="0" w:space="0" w:color="auto"/>
                <w:left w:val="none" w:sz="0" w:space="0" w:color="auto"/>
                <w:bottom w:val="none" w:sz="0" w:space="0" w:color="auto"/>
                <w:right w:val="none" w:sz="0" w:space="0" w:color="auto"/>
              </w:divBdr>
              <w:divsChild>
                <w:div w:id="980571671">
                  <w:marLeft w:val="0"/>
                  <w:marRight w:val="0"/>
                  <w:marTop w:val="0"/>
                  <w:marBottom w:val="0"/>
                  <w:divBdr>
                    <w:top w:val="none" w:sz="0" w:space="0" w:color="auto"/>
                    <w:left w:val="none" w:sz="0" w:space="0" w:color="auto"/>
                    <w:bottom w:val="none" w:sz="0" w:space="0" w:color="auto"/>
                    <w:right w:val="none" w:sz="0" w:space="0" w:color="auto"/>
                  </w:divBdr>
                </w:div>
              </w:divsChild>
            </w:div>
            <w:div w:id="1503735413">
              <w:marLeft w:val="0"/>
              <w:marRight w:val="0"/>
              <w:marTop w:val="0"/>
              <w:marBottom w:val="0"/>
              <w:divBdr>
                <w:top w:val="none" w:sz="0" w:space="0" w:color="auto"/>
                <w:left w:val="none" w:sz="0" w:space="0" w:color="auto"/>
                <w:bottom w:val="none" w:sz="0" w:space="0" w:color="auto"/>
                <w:right w:val="none" w:sz="0" w:space="0" w:color="auto"/>
              </w:divBdr>
              <w:divsChild>
                <w:div w:id="8485398">
                  <w:marLeft w:val="0"/>
                  <w:marRight w:val="0"/>
                  <w:marTop w:val="0"/>
                  <w:marBottom w:val="0"/>
                  <w:divBdr>
                    <w:top w:val="none" w:sz="0" w:space="0" w:color="auto"/>
                    <w:left w:val="none" w:sz="0" w:space="0" w:color="auto"/>
                    <w:bottom w:val="none" w:sz="0" w:space="0" w:color="auto"/>
                    <w:right w:val="none" w:sz="0" w:space="0" w:color="auto"/>
                  </w:divBdr>
                </w:div>
              </w:divsChild>
            </w:div>
            <w:div w:id="1585407694">
              <w:marLeft w:val="0"/>
              <w:marRight w:val="0"/>
              <w:marTop w:val="0"/>
              <w:marBottom w:val="0"/>
              <w:divBdr>
                <w:top w:val="none" w:sz="0" w:space="0" w:color="auto"/>
                <w:left w:val="none" w:sz="0" w:space="0" w:color="auto"/>
                <w:bottom w:val="none" w:sz="0" w:space="0" w:color="auto"/>
                <w:right w:val="none" w:sz="0" w:space="0" w:color="auto"/>
              </w:divBdr>
              <w:divsChild>
                <w:div w:id="1701469149">
                  <w:marLeft w:val="0"/>
                  <w:marRight w:val="0"/>
                  <w:marTop w:val="0"/>
                  <w:marBottom w:val="0"/>
                  <w:divBdr>
                    <w:top w:val="none" w:sz="0" w:space="0" w:color="auto"/>
                    <w:left w:val="none" w:sz="0" w:space="0" w:color="auto"/>
                    <w:bottom w:val="none" w:sz="0" w:space="0" w:color="auto"/>
                    <w:right w:val="none" w:sz="0" w:space="0" w:color="auto"/>
                  </w:divBdr>
                </w:div>
              </w:divsChild>
            </w:div>
            <w:div w:id="1981689182">
              <w:marLeft w:val="0"/>
              <w:marRight w:val="0"/>
              <w:marTop w:val="0"/>
              <w:marBottom w:val="0"/>
              <w:divBdr>
                <w:top w:val="none" w:sz="0" w:space="0" w:color="auto"/>
                <w:left w:val="none" w:sz="0" w:space="0" w:color="auto"/>
                <w:bottom w:val="none" w:sz="0" w:space="0" w:color="auto"/>
                <w:right w:val="none" w:sz="0" w:space="0" w:color="auto"/>
              </w:divBdr>
              <w:divsChild>
                <w:div w:id="508065213">
                  <w:marLeft w:val="0"/>
                  <w:marRight w:val="0"/>
                  <w:marTop w:val="0"/>
                  <w:marBottom w:val="0"/>
                  <w:divBdr>
                    <w:top w:val="none" w:sz="0" w:space="0" w:color="auto"/>
                    <w:left w:val="none" w:sz="0" w:space="0" w:color="auto"/>
                    <w:bottom w:val="none" w:sz="0" w:space="0" w:color="auto"/>
                    <w:right w:val="none" w:sz="0" w:space="0" w:color="auto"/>
                  </w:divBdr>
                </w:div>
              </w:divsChild>
            </w:div>
            <w:div w:id="1016081235">
              <w:marLeft w:val="0"/>
              <w:marRight w:val="0"/>
              <w:marTop w:val="0"/>
              <w:marBottom w:val="0"/>
              <w:divBdr>
                <w:top w:val="none" w:sz="0" w:space="0" w:color="auto"/>
                <w:left w:val="none" w:sz="0" w:space="0" w:color="auto"/>
                <w:bottom w:val="none" w:sz="0" w:space="0" w:color="auto"/>
                <w:right w:val="none" w:sz="0" w:space="0" w:color="auto"/>
              </w:divBdr>
              <w:divsChild>
                <w:div w:id="233785771">
                  <w:marLeft w:val="0"/>
                  <w:marRight w:val="0"/>
                  <w:marTop w:val="0"/>
                  <w:marBottom w:val="0"/>
                  <w:divBdr>
                    <w:top w:val="none" w:sz="0" w:space="0" w:color="auto"/>
                    <w:left w:val="none" w:sz="0" w:space="0" w:color="auto"/>
                    <w:bottom w:val="none" w:sz="0" w:space="0" w:color="auto"/>
                    <w:right w:val="none" w:sz="0" w:space="0" w:color="auto"/>
                  </w:divBdr>
                </w:div>
              </w:divsChild>
            </w:div>
            <w:div w:id="428743946">
              <w:marLeft w:val="0"/>
              <w:marRight w:val="0"/>
              <w:marTop w:val="0"/>
              <w:marBottom w:val="0"/>
              <w:divBdr>
                <w:top w:val="none" w:sz="0" w:space="0" w:color="auto"/>
                <w:left w:val="none" w:sz="0" w:space="0" w:color="auto"/>
                <w:bottom w:val="none" w:sz="0" w:space="0" w:color="auto"/>
                <w:right w:val="none" w:sz="0" w:space="0" w:color="auto"/>
              </w:divBdr>
              <w:divsChild>
                <w:div w:id="723917036">
                  <w:marLeft w:val="0"/>
                  <w:marRight w:val="0"/>
                  <w:marTop w:val="0"/>
                  <w:marBottom w:val="0"/>
                  <w:divBdr>
                    <w:top w:val="none" w:sz="0" w:space="0" w:color="auto"/>
                    <w:left w:val="none" w:sz="0" w:space="0" w:color="auto"/>
                    <w:bottom w:val="none" w:sz="0" w:space="0" w:color="auto"/>
                    <w:right w:val="none" w:sz="0" w:space="0" w:color="auto"/>
                  </w:divBdr>
                </w:div>
              </w:divsChild>
            </w:div>
            <w:div w:id="185411194">
              <w:marLeft w:val="0"/>
              <w:marRight w:val="0"/>
              <w:marTop w:val="0"/>
              <w:marBottom w:val="0"/>
              <w:divBdr>
                <w:top w:val="none" w:sz="0" w:space="0" w:color="auto"/>
                <w:left w:val="none" w:sz="0" w:space="0" w:color="auto"/>
                <w:bottom w:val="none" w:sz="0" w:space="0" w:color="auto"/>
                <w:right w:val="none" w:sz="0" w:space="0" w:color="auto"/>
              </w:divBdr>
              <w:divsChild>
                <w:div w:id="389038138">
                  <w:marLeft w:val="0"/>
                  <w:marRight w:val="0"/>
                  <w:marTop w:val="0"/>
                  <w:marBottom w:val="0"/>
                  <w:divBdr>
                    <w:top w:val="none" w:sz="0" w:space="0" w:color="auto"/>
                    <w:left w:val="none" w:sz="0" w:space="0" w:color="auto"/>
                    <w:bottom w:val="none" w:sz="0" w:space="0" w:color="auto"/>
                    <w:right w:val="none" w:sz="0" w:space="0" w:color="auto"/>
                  </w:divBdr>
                </w:div>
                <w:div w:id="176891857">
                  <w:marLeft w:val="0"/>
                  <w:marRight w:val="0"/>
                  <w:marTop w:val="0"/>
                  <w:marBottom w:val="0"/>
                  <w:divBdr>
                    <w:top w:val="none" w:sz="0" w:space="0" w:color="auto"/>
                    <w:left w:val="none" w:sz="0" w:space="0" w:color="auto"/>
                    <w:bottom w:val="none" w:sz="0" w:space="0" w:color="auto"/>
                    <w:right w:val="none" w:sz="0" w:space="0" w:color="auto"/>
                  </w:divBdr>
                </w:div>
              </w:divsChild>
            </w:div>
            <w:div w:id="419379048">
              <w:marLeft w:val="0"/>
              <w:marRight w:val="0"/>
              <w:marTop w:val="0"/>
              <w:marBottom w:val="0"/>
              <w:divBdr>
                <w:top w:val="none" w:sz="0" w:space="0" w:color="auto"/>
                <w:left w:val="none" w:sz="0" w:space="0" w:color="auto"/>
                <w:bottom w:val="none" w:sz="0" w:space="0" w:color="auto"/>
                <w:right w:val="none" w:sz="0" w:space="0" w:color="auto"/>
              </w:divBdr>
              <w:divsChild>
                <w:div w:id="1005210019">
                  <w:marLeft w:val="0"/>
                  <w:marRight w:val="0"/>
                  <w:marTop w:val="0"/>
                  <w:marBottom w:val="0"/>
                  <w:divBdr>
                    <w:top w:val="none" w:sz="0" w:space="0" w:color="auto"/>
                    <w:left w:val="none" w:sz="0" w:space="0" w:color="auto"/>
                    <w:bottom w:val="none" w:sz="0" w:space="0" w:color="auto"/>
                    <w:right w:val="none" w:sz="0" w:space="0" w:color="auto"/>
                  </w:divBdr>
                </w:div>
              </w:divsChild>
            </w:div>
            <w:div w:id="1192764896">
              <w:marLeft w:val="0"/>
              <w:marRight w:val="0"/>
              <w:marTop w:val="0"/>
              <w:marBottom w:val="0"/>
              <w:divBdr>
                <w:top w:val="none" w:sz="0" w:space="0" w:color="auto"/>
                <w:left w:val="none" w:sz="0" w:space="0" w:color="auto"/>
                <w:bottom w:val="none" w:sz="0" w:space="0" w:color="auto"/>
                <w:right w:val="none" w:sz="0" w:space="0" w:color="auto"/>
              </w:divBdr>
              <w:divsChild>
                <w:div w:id="987628890">
                  <w:marLeft w:val="0"/>
                  <w:marRight w:val="0"/>
                  <w:marTop w:val="0"/>
                  <w:marBottom w:val="0"/>
                  <w:divBdr>
                    <w:top w:val="none" w:sz="0" w:space="0" w:color="auto"/>
                    <w:left w:val="none" w:sz="0" w:space="0" w:color="auto"/>
                    <w:bottom w:val="none" w:sz="0" w:space="0" w:color="auto"/>
                    <w:right w:val="none" w:sz="0" w:space="0" w:color="auto"/>
                  </w:divBdr>
                </w:div>
              </w:divsChild>
            </w:div>
            <w:div w:id="917135391">
              <w:marLeft w:val="0"/>
              <w:marRight w:val="0"/>
              <w:marTop w:val="0"/>
              <w:marBottom w:val="0"/>
              <w:divBdr>
                <w:top w:val="none" w:sz="0" w:space="0" w:color="auto"/>
                <w:left w:val="none" w:sz="0" w:space="0" w:color="auto"/>
                <w:bottom w:val="none" w:sz="0" w:space="0" w:color="auto"/>
                <w:right w:val="none" w:sz="0" w:space="0" w:color="auto"/>
              </w:divBdr>
              <w:divsChild>
                <w:div w:id="366957245">
                  <w:marLeft w:val="0"/>
                  <w:marRight w:val="0"/>
                  <w:marTop w:val="0"/>
                  <w:marBottom w:val="0"/>
                  <w:divBdr>
                    <w:top w:val="none" w:sz="0" w:space="0" w:color="auto"/>
                    <w:left w:val="none" w:sz="0" w:space="0" w:color="auto"/>
                    <w:bottom w:val="none" w:sz="0" w:space="0" w:color="auto"/>
                    <w:right w:val="none" w:sz="0" w:space="0" w:color="auto"/>
                  </w:divBdr>
                </w:div>
              </w:divsChild>
            </w:div>
            <w:div w:id="44988330">
              <w:marLeft w:val="0"/>
              <w:marRight w:val="0"/>
              <w:marTop w:val="0"/>
              <w:marBottom w:val="0"/>
              <w:divBdr>
                <w:top w:val="none" w:sz="0" w:space="0" w:color="auto"/>
                <w:left w:val="none" w:sz="0" w:space="0" w:color="auto"/>
                <w:bottom w:val="none" w:sz="0" w:space="0" w:color="auto"/>
                <w:right w:val="none" w:sz="0" w:space="0" w:color="auto"/>
              </w:divBdr>
              <w:divsChild>
                <w:div w:id="632827934">
                  <w:marLeft w:val="0"/>
                  <w:marRight w:val="0"/>
                  <w:marTop w:val="0"/>
                  <w:marBottom w:val="0"/>
                  <w:divBdr>
                    <w:top w:val="none" w:sz="0" w:space="0" w:color="auto"/>
                    <w:left w:val="none" w:sz="0" w:space="0" w:color="auto"/>
                    <w:bottom w:val="none" w:sz="0" w:space="0" w:color="auto"/>
                    <w:right w:val="none" w:sz="0" w:space="0" w:color="auto"/>
                  </w:divBdr>
                </w:div>
              </w:divsChild>
            </w:div>
            <w:div w:id="816610943">
              <w:marLeft w:val="0"/>
              <w:marRight w:val="0"/>
              <w:marTop w:val="0"/>
              <w:marBottom w:val="0"/>
              <w:divBdr>
                <w:top w:val="none" w:sz="0" w:space="0" w:color="auto"/>
                <w:left w:val="none" w:sz="0" w:space="0" w:color="auto"/>
                <w:bottom w:val="none" w:sz="0" w:space="0" w:color="auto"/>
                <w:right w:val="none" w:sz="0" w:space="0" w:color="auto"/>
              </w:divBdr>
              <w:divsChild>
                <w:div w:id="1658877835">
                  <w:marLeft w:val="0"/>
                  <w:marRight w:val="0"/>
                  <w:marTop w:val="0"/>
                  <w:marBottom w:val="0"/>
                  <w:divBdr>
                    <w:top w:val="none" w:sz="0" w:space="0" w:color="auto"/>
                    <w:left w:val="none" w:sz="0" w:space="0" w:color="auto"/>
                    <w:bottom w:val="none" w:sz="0" w:space="0" w:color="auto"/>
                    <w:right w:val="none" w:sz="0" w:space="0" w:color="auto"/>
                  </w:divBdr>
                </w:div>
              </w:divsChild>
            </w:div>
            <w:div w:id="1437015833">
              <w:marLeft w:val="0"/>
              <w:marRight w:val="0"/>
              <w:marTop w:val="0"/>
              <w:marBottom w:val="0"/>
              <w:divBdr>
                <w:top w:val="none" w:sz="0" w:space="0" w:color="auto"/>
                <w:left w:val="none" w:sz="0" w:space="0" w:color="auto"/>
                <w:bottom w:val="none" w:sz="0" w:space="0" w:color="auto"/>
                <w:right w:val="none" w:sz="0" w:space="0" w:color="auto"/>
              </w:divBdr>
              <w:divsChild>
                <w:div w:id="1993101310">
                  <w:marLeft w:val="0"/>
                  <w:marRight w:val="0"/>
                  <w:marTop w:val="0"/>
                  <w:marBottom w:val="0"/>
                  <w:divBdr>
                    <w:top w:val="none" w:sz="0" w:space="0" w:color="auto"/>
                    <w:left w:val="none" w:sz="0" w:space="0" w:color="auto"/>
                    <w:bottom w:val="none" w:sz="0" w:space="0" w:color="auto"/>
                    <w:right w:val="none" w:sz="0" w:space="0" w:color="auto"/>
                  </w:divBdr>
                </w:div>
              </w:divsChild>
            </w:div>
            <w:div w:id="1461150463">
              <w:marLeft w:val="0"/>
              <w:marRight w:val="0"/>
              <w:marTop w:val="0"/>
              <w:marBottom w:val="0"/>
              <w:divBdr>
                <w:top w:val="none" w:sz="0" w:space="0" w:color="auto"/>
                <w:left w:val="none" w:sz="0" w:space="0" w:color="auto"/>
                <w:bottom w:val="none" w:sz="0" w:space="0" w:color="auto"/>
                <w:right w:val="none" w:sz="0" w:space="0" w:color="auto"/>
              </w:divBdr>
              <w:divsChild>
                <w:div w:id="518159861">
                  <w:marLeft w:val="0"/>
                  <w:marRight w:val="0"/>
                  <w:marTop w:val="0"/>
                  <w:marBottom w:val="0"/>
                  <w:divBdr>
                    <w:top w:val="none" w:sz="0" w:space="0" w:color="auto"/>
                    <w:left w:val="none" w:sz="0" w:space="0" w:color="auto"/>
                    <w:bottom w:val="none" w:sz="0" w:space="0" w:color="auto"/>
                    <w:right w:val="none" w:sz="0" w:space="0" w:color="auto"/>
                  </w:divBdr>
                </w:div>
              </w:divsChild>
            </w:div>
            <w:div w:id="1807043267">
              <w:marLeft w:val="0"/>
              <w:marRight w:val="0"/>
              <w:marTop w:val="0"/>
              <w:marBottom w:val="0"/>
              <w:divBdr>
                <w:top w:val="none" w:sz="0" w:space="0" w:color="auto"/>
                <w:left w:val="none" w:sz="0" w:space="0" w:color="auto"/>
                <w:bottom w:val="none" w:sz="0" w:space="0" w:color="auto"/>
                <w:right w:val="none" w:sz="0" w:space="0" w:color="auto"/>
              </w:divBdr>
              <w:divsChild>
                <w:div w:id="1812286552">
                  <w:marLeft w:val="0"/>
                  <w:marRight w:val="0"/>
                  <w:marTop w:val="0"/>
                  <w:marBottom w:val="0"/>
                  <w:divBdr>
                    <w:top w:val="none" w:sz="0" w:space="0" w:color="auto"/>
                    <w:left w:val="none" w:sz="0" w:space="0" w:color="auto"/>
                    <w:bottom w:val="none" w:sz="0" w:space="0" w:color="auto"/>
                    <w:right w:val="none" w:sz="0" w:space="0" w:color="auto"/>
                  </w:divBdr>
                </w:div>
              </w:divsChild>
            </w:div>
            <w:div w:id="679620826">
              <w:marLeft w:val="0"/>
              <w:marRight w:val="0"/>
              <w:marTop w:val="0"/>
              <w:marBottom w:val="0"/>
              <w:divBdr>
                <w:top w:val="none" w:sz="0" w:space="0" w:color="auto"/>
                <w:left w:val="none" w:sz="0" w:space="0" w:color="auto"/>
                <w:bottom w:val="none" w:sz="0" w:space="0" w:color="auto"/>
                <w:right w:val="none" w:sz="0" w:space="0" w:color="auto"/>
              </w:divBdr>
              <w:divsChild>
                <w:div w:id="1203902113">
                  <w:marLeft w:val="0"/>
                  <w:marRight w:val="0"/>
                  <w:marTop w:val="0"/>
                  <w:marBottom w:val="0"/>
                  <w:divBdr>
                    <w:top w:val="none" w:sz="0" w:space="0" w:color="auto"/>
                    <w:left w:val="none" w:sz="0" w:space="0" w:color="auto"/>
                    <w:bottom w:val="none" w:sz="0" w:space="0" w:color="auto"/>
                    <w:right w:val="none" w:sz="0" w:space="0" w:color="auto"/>
                  </w:divBdr>
                </w:div>
              </w:divsChild>
            </w:div>
            <w:div w:id="884679175">
              <w:marLeft w:val="0"/>
              <w:marRight w:val="0"/>
              <w:marTop w:val="0"/>
              <w:marBottom w:val="0"/>
              <w:divBdr>
                <w:top w:val="none" w:sz="0" w:space="0" w:color="auto"/>
                <w:left w:val="none" w:sz="0" w:space="0" w:color="auto"/>
                <w:bottom w:val="none" w:sz="0" w:space="0" w:color="auto"/>
                <w:right w:val="none" w:sz="0" w:space="0" w:color="auto"/>
              </w:divBdr>
              <w:divsChild>
                <w:div w:id="824322813">
                  <w:marLeft w:val="0"/>
                  <w:marRight w:val="0"/>
                  <w:marTop w:val="0"/>
                  <w:marBottom w:val="0"/>
                  <w:divBdr>
                    <w:top w:val="none" w:sz="0" w:space="0" w:color="auto"/>
                    <w:left w:val="none" w:sz="0" w:space="0" w:color="auto"/>
                    <w:bottom w:val="none" w:sz="0" w:space="0" w:color="auto"/>
                    <w:right w:val="none" w:sz="0" w:space="0" w:color="auto"/>
                  </w:divBdr>
                </w:div>
              </w:divsChild>
            </w:div>
            <w:div w:id="8602880">
              <w:marLeft w:val="0"/>
              <w:marRight w:val="0"/>
              <w:marTop w:val="0"/>
              <w:marBottom w:val="0"/>
              <w:divBdr>
                <w:top w:val="none" w:sz="0" w:space="0" w:color="auto"/>
                <w:left w:val="none" w:sz="0" w:space="0" w:color="auto"/>
                <w:bottom w:val="none" w:sz="0" w:space="0" w:color="auto"/>
                <w:right w:val="none" w:sz="0" w:space="0" w:color="auto"/>
              </w:divBdr>
              <w:divsChild>
                <w:div w:id="2030251338">
                  <w:marLeft w:val="0"/>
                  <w:marRight w:val="0"/>
                  <w:marTop w:val="0"/>
                  <w:marBottom w:val="0"/>
                  <w:divBdr>
                    <w:top w:val="none" w:sz="0" w:space="0" w:color="auto"/>
                    <w:left w:val="none" w:sz="0" w:space="0" w:color="auto"/>
                    <w:bottom w:val="none" w:sz="0" w:space="0" w:color="auto"/>
                    <w:right w:val="none" w:sz="0" w:space="0" w:color="auto"/>
                  </w:divBdr>
                </w:div>
              </w:divsChild>
            </w:div>
            <w:div w:id="28990833">
              <w:marLeft w:val="0"/>
              <w:marRight w:val="0"/>
              <w:marTop w:val="0"/>
              <w:marBottom w:val="0"/>
              <w:divBdr>
                <w:top w:val="none" w:sz="0" w:space="0" w:color="auto"/>
                <w:left w:val="none" w:sz="0" w:space="0" w:color="auto"/>
                <w:bottom w:val="none" w:sz="0" w:space="0" w:color="auto"/>
                <w:right w:val="none" w:sz="0" w:space="0" w:color="auto"/>
              </w:divBdr>
              <w:divsChild>
                <w:div w:id="541017203">
                  <w:marLeft w:val="0"/>
                  <w:marRight w:val="0"/>
                  <w:marTop w:val="0"/>
                  <w:marBottom w:val="0"/>
                  <w:divBdr>
                    <w:top w:val="none" w:sz="0" w:space="0" w:color="auto"/>
                    <w:left w:val="none" w:sz="0" w:space="0" w:color="auto"/>
                    <w:bottom w:val="none" w:sz="0" w:space="0" w:color="auto"/>
                    <w:right w:val="none" w:sz="0" w:space="0" w:color="auto"/>
                  </w:divBdr>
                </w:div>
              </w:divsChild>
            </w:div>
            <w:div w:id="1213228926">
              <w:marLeft w:val="0"/>
              <w:marRight w:val="0"/>
              <w:marTop w:val="0"/>
              <w:marBottom w:val="0"/>
              <w:divBdr>
                <w:top w:val="none" w:sz="0" w:space="0" w:color="auto"/>
                <w:left w:val="none" w:sz="0" w:space="0" w:color="auto"/>
                <w:bottom w:val="none" w:sz="0" w:space="0" w:color="auto"/>
                <w:right w:val="none" w:sz="0" w:space="0" w:color="auto"/>
              </w:divBdr>
              <w:divsChild>
                <w:div w:id="1584098130">
                  <w:marLeft w:val="0"/>
                  <w:marRight w:val="0"/>
                  <w:marTop w:val="0"/>
                  <w:marBottom w:val="0"/>
                  <w:divBdr>
                    <w:top w:val="none" w:sz="0" w:space="0" w:color="auto"/>
                    <w:left w:val="none" w:sz="0" w:space="0" w:color="auto"/>
                    <w:bottom w:val="none" w:sz="0" w:space="0" w:color="auto"/>
                    <w:right w:val="none" w:sz="0" w:space="0" w:color="auto"/>
                  </w:divBdr>
                </w:div>
              </w:divsChild>
            </w:div>
            <w:div w:id="1982423485">
              <w:marLeft w:val="0"/>
              <w:marRight w:val="0"/>
              <w:marTop w:val="0"/>
              <w:marBottom w:val="0"/>
              <w:divBdr>
                <w:top w:val="none" w:sz="0" w:space="0" w:color="auto"/>
                <w:left w:val="none" w:sz="0" w:space="0" w:color="auto"/>
                <w:bottom w:val="none" w:sz="0" w:space="0" w:color="auto"/>
                <w:right w:val="none" w:sz="0" w:space="0" w:color="auto"/>
              </w:divBdr>
              <w:divsChild>
                <w:div w:id="2113043478">
                  <w:marLeft w:val="0"/>
                  <w:marRight w:val="0"/>
                  <w:marTop w:val="0"/>
                  <w:marBottom w:val="0"/>
                  <w:divBdr>
                    <w:top w:val="none" w:sz="0" w:space="0" w:color="auto"/>
                    <w:left w:val="none" w:sz="0" w:space="0" w:color="auto"/>
                    <w:bottom w:val="none" w:sz="0" w:space="0" w:color="auto"/>
                    <w:right w:val="none" w:sz="0" w:space="0" w:color="auto"/>
                  </w:divBdr>
                </w:div>
              </w:divsChild>
            </w:div>
            <w:div w:id="610475234">
              <w:marLeft w:val="0"/>
              <w:marRight w:val="0"/>
              <w:marTop w:val="0"/>
              <w:marBottom w:val="0"/>
              <w:divBdr>
                <w:top w:val="none" w:sz="0" w:space="0" w:color="auto"/>
                <w:left w:val="none" w:sz="0" w:space="0" w:color="auto"/>
                <w:bottom w:val="none" w:sz="0" w:space="0" w:color="auto"/>
                <w:right w:val="none" w:sz="0" w:space="0" w:color="auto"/>
              </w:divBdr>
              <w:divsChild>
                <w:div w:id="696472139">
                  <w:marLeft w:val="0"/>
                  <w:marRight w:val="0"/>
                  <w:marTop w:val="0"/>
                  <w:marBottom w:val="0"/>
                  <w:divBdr>
                    <w:top w:val="none" w:sz="0" w:space="0" w:color="auto"/>
                    <w:left w:val="none" w:sz="0" w:space="0" w:color="auto"/>
                    <w:bottom w:val="none" w:sz="0" w:space="0" w:color="auto"/>
                    <w:right w:val="none" w:sz="0" w:space="0" w:color="auto"/>
                  </w:divBdr>
                </w:div>
              </w:divsChild>
            </w:div>
            <w:div w:id="1499225741">
              <w:marLeft w:val="0"/>
              <w:marRight w:val="0"/>
              <w:marTop w:val="0"/>
              <w:marBottom w:val="0"/>
              <w:divBdr>
                <w:top w:val="none" w:sz="0" w:space="0" w:color="auto"/>
                <w:left w:val="none" w:sz="0" w:space="0" w:color="auto"/>
                <w:bottom w:val="none" w:sz="0" w:space="0" w:color="auto"/>
                <w:right w:val="none" w:sz="0" w:space="0" w:color="auto"/>
              </w:divBdr>
              <w:divsChild>
                <w:div w:id="1754282884">
                  <w:marLeft w:val="0"/>
                  <w:marRight w:val="0"/>
                  <w:marTop w:val="0"/>
                  <w:marBottom w:val="0"/>
                  <w:divBdr>
                    <w:top w:val="none" w:sz="0" w:space="0" w:color="auto"/>
                    <w:left w:val="none" w:sz="0" w:space="0" w:color="auto"/>
                    <w:bottom w:val="none" w:sz="0" w:space="0" w:color="auto"/>
                    <w:right w:val="none" w:sz="0" w:space="0" w:color="auto"/>
                  </w:divBdr>
                </w:div>
              </w:divsChild>
            </w:div>
            <w:div w:id="1566989543">
              <w:marLeft w:val="0"/>
              <w:marRight w:val="0"/>
              <w:marTop w:val="0"/>
              <w:marBottom w:val="0"/>
              <w:divBdr>
                <w:top w:val="none" w:sz="0" w:space="0" w:color="auto"/>
                <w:left w:val="none" w:sz="0" w:space="0" w:color="auto"/>
                <w:bottom w:val="none" w:sz="0" w:space="0" w:color="auto"/>
                <w:right w:val="none" w:sz="0" w:space="0" w:color="auto"/>
              </w:divBdr>
              <w:divsChild>
                <w:div w:id="1742363400">
                  <w:marLeft w:val="0"/>
                  <w:marRight w:val="0"/>
                  <w:marTop w:val="0"/>
                  <w:marBottom w:val="0"/>
                  <w:divBdr>
                    <w:top w:val="none" w:sz="0" w:space="0" w:color="auto"/>
                    <w:left w:val="none" w:sz="0" w:space="0" w:color="auto"/>
                    <w:bottom w:val="none" w:sz="0" w:space="0" w:color="auto"/>
                    <w:right w:val="none" w:sz="0" w:space="0" w:color="auto"/>
                  </w:divBdr>
                </w:div>
              </w:divsChild>
            </w:div>
            <w:div w:id="1793593414">
              <w:marLeft w:val="0"/>
              <w:marRight w:val="0"/>
              <w:marTop w:val="0"/>
              <w:marBottom w:val="0"/>
              <w:divBdr>
                <w:top w:val="none" w:sz="0" w:space="0" w:color="auto"/>
                <w:left w:val="none" w:sz="0" w:space="0" w:color="auto"/>
                <w:bottom w:val="none" w:sz="0" w:space="0" w:color="auto"/>
                <w:right w:val="none" w:sz="0" w:space="0" w:color="auto"/>
              </w:divBdr>
              <w:divsChild>
                <w:div w:id="732847330">
                  <w:marLeft w:val="0"/>
                  <w:marRight w:val="0"/>
                  <w:marTop w:val="0"/>
                  <w:marBottom w:val="0"/>
                  <w:divBdr>
                    <w:top w:val="none" w:sz="0" w:space="0" w:color="auto"/>
                    <w:left w:val="none" w:sz="0" w:space="0" w:color="auto"/>
                    <w:bottom w:val="none" w:sz="0" w:space="0" w:color="auto"/>
                    <w:right w:val="none" w:sz="0" w:space="0" w:color="auto"/>
                  </w:divBdr>
                </w:div>
              </w:divsChild>
            </w:div>
            <w:div w:id="904024593">
              <w:marLeft w:val="0"/>
              <w:marRight w:val="0"/>
              <w:marTop w:val="0"/>
              <w:marBottom w:val="0"/>
              <w:divBdr>
                <w:top w:val="none" w:sz="0" w:space="0" w:color="auto"/>
                <w:left w:val="none" w:sz="0" w:space="0" w:color="auto"/>
                <w:bottom w:val="none" w:sz="0" w:space="0" w:color="auto"/>
                <w:right w:val="none" w:sz="0" w:space="0" w:color="auto"/>
              </w:divBdr>
              <w:divsChild>
                <w:div w:id="134089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10839">
          <w:marLeft w:val="0"/>
          <w:marRight w:val="0"/>
          <w:marTop w:val="0"/>
          <w:marBottom w:val="0"/>
          <w:divBdr>
            <w:top w:val="none" w:sz="0" w:space="0" w:color="auto"/>
            <w:left w:val="none" w:sz="0" w:space="0" w:color="auto"/>
            <w:bottom w:val="none" w:sz="0" w:space="0" w:color="auto"/>
            <w:right w:val="none" w:sz="0" w:space="0" w:color="auto"/>
          </w:divBdr>
        </w:div>
        <w:div w:id="55247841">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customXml" Target="../customXml/item2.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6.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footer" Target="footer6.xml"/><Relationship Id="rId28"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footer" Target="footer8.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0A6350-CD73-43D2-9512-177413869B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openxmlformats.org/package/2006/metadata/core-properties"/>
    <ds:schemaRef ds:uri="http://www.w3.org/XML/1998/namespace"/>
    <ds:schemaRef ds:uri="http://schemas.microsoft.com/office/2006/documentManagement/types"/>
    <ds:schemaRef ds:uri="http://purl.org/dc/terms/"/>
    <ds:schemaRef ds:uri="http://purl.org/dc/elements/1.1/"/>
    <ds:schemaRef ds:uri="http://purl.org/dc/dcmitype/"/>
    <ds:schemaRef ds:uri="eb6c2e4c-3f1c-4103-a37b-37c984dbe58f"/>
    <ds:schemaRef ds:uri="http://schemas.microsoft.com/office/infopath/2007/PartnerControls"/>
    <ds:schemaRef ds:uri="b93c647f-d63b-431a-95c8-8e00048cff23"/>
    <ds:schemaRef ds:uri="http://schemas.microsoft.com/office/2006/metadata/properties"/>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3</TotalTime>
  <Pages>23</Pages>
  <Words>10161</Words>
  <Characters>52611</Characters>
  <Application>Microsoft Office Word</Application>
  <DocSecurity>0</DocSecurity>
  <Lines>438</Lines>
  <Paragraphs>125</Paragraphs>
  <ScaleCrop>false</ScaleCrop>
  <HeadingPairs>
    <vt:vector size="2" baseType="variant">
      <vt:variant>
        <vt:lpstr>Title</vt:lpstr>
      </vt:variant>
      <vt:variant>
        <vt:i4>1</vt:i4>
      </vt:variant>
    </vt:vector>
  </HeadingPairs>
  <TitlesOfParts>
    <vt:vector size="1" baseType="lpstr">
      <vt:lpstr>Informes sobre proyectos con requisitos específicos de presentación de informes: Informes sobre proyectos sin asuntos pendientes </vt:lpstr>
    </vt:vector>
  </TitlesOfParts>
  <Company>UNMFS</Company>
  <LinksUpToDate>false</LinksUpToDate>
  <CharactersWithSpaces>62647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sobre proyectos con requisitos específicos de presentación de informes: Informes sobre proyectos sin asuntos pendientes</dc:title>
  <dc:creator>Mulu Alem</dc:creator>
  <cp:lastModifiedBy>Angela Xue He Yan</cp:lastModifiedBy>
  <cp:revision>5</cp:revision>
  <cp:lastPrinted>2001-05-26T16:40:00Z</cp:lastPrinted>
  <dcterms:created xsi:type="dcterms:W3CDTF">2024-11-26T22:41:00Z</dcterms:created>
  <dcterms:modified xsi:type="dcterms:W3CDTF">2024-11-27T02:42:00Z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UNEP/OzL.Pro/ExCom/95/20</vt:lpwstr>
  </property>
  <property fmtid="{D5CDD505-2E9C-101B-9397-08002B2CF9AE}" pid="3" name="Revision date">
    <vt:lpwstr>11/20/2024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