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074F9" w:rsidTr="0047533D">
        <w:trPr>
          <w:trHeight w:val="720"/>
        </w:trPr>
        <w:tc>
          <w:tcPr>
            <w:tcW w:w="5490" w:type="dxa"/>
            <w:gridSpan w:val="2"/>
            <w:tcBorders>
              <w:bottom w:val="single" w:sz="18" w:space="0" w:color="auto"/>
            </w:tcBorders>
          </w:tcPr>
          <w:p w:rsidR="00C15867" w:rsidRPr="00F074F9"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F074F9">
              <w:rPr>
                <w:rFonts w:ascii="Univers" w:hAnsi="Univers"/>
                <w:b/>
                <w:sz w:val="28"/>
                <w:szCs w:val="28"/>
                <w:lang w:val="en-CA"/>
              </w:rPr>
              <w:t>UNITED</w:t>
            </w:r>
            <w:r w:rsidRPr="00F074F9">
              <w:rPr>
                <w:rFonts w:ascii="Univers" w:hAnsi="Univers"/>
                <w:b/>
                <w:sz w:val="28"/>
                <w:szCs w:val="28"/>
                <w:lang w:val="en-CA"/>
              </w:rPr>
              <w:br/>
              <w:t>NATIONS</w:t>
            </w:r>
          </w:p>
        </w:tc>
        <w:tc>
          <w:tcPr>
            <w:tcW w:w="4590" w:type="dxa"/>
            <w:tcBorders>
              <w:bottom w:val="single" w:sz="18" w:space="0" w:color="auto"/>
            </w:tcBorders>
          </w:tcPr>
          <w:p w:rsidR="00C15867" w:rsidRPr="00F074F9" w:rsidRDefault="00C15867" w:rsidP="0047533D">
            <w:pPr>
              <w:jc w:val="right"/>
              <w:rPr>
                <w:sz w:val="52"/>
                <w:szCs w:val="52"/>
                <w:lang w:val="en-CA"/>
              </w:rPr>
            </w:pPr>
            <w:r w:rsidRPr="00F074F9">
              <w:rPr>
                <w:rFonts w:ascii="Univers Bold" w:hAnsi="Univers Bold"/>
                <w:b/>
                <w:sz w:val="72"/>
                <w:lang w:val="en-CA"/>
              </w:rPr>
              <w:t>EP</w:t>
            </w:r>
          </w:p>
        </w:tc>
      </w:tr>
      <w:tr w:rsidR="00C15867" w:rsidRPr="00F074F9"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074F9" w:rsidRDefault="00011061" w:rsidP="0047533D">
            <w:pPr>
              <w:spacing w:before="120"/>
              <w:rPr>
                <w:lang w:val="en-CA"/>
              </w:rPr>
            </w:pPr>
            <w:r w:rsidRPr="00F074F9">
              <w:rPr>
                <w:noProof/>
                <w:lang w:val="en-CA" w:eastAsia="en-CA"/>
              </w:rPr>
              <w:drawing>
                <wp:anchor distT="0" distB="0" distL="114300" distR="114300" simplePos="0" relativeHeight="251660288" behindDoc="0" locked="0" layoutInCell="1" allowOverlap="1" wp14:anchorId="768225B0" wp14:editId="79ECBEDB">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F074F9">
              <w:rPr>
                <w:noProof/>
                <w:lang w:val="en-CA" w:eastAsia="en-CA"/>
              </w:rPr>
              <w:drawing>
                <wp:anchor distT="0" distB="0" distL="114300" distR="114300" simplePos="0" relativeHeight="251661312" behindDoc="1" locked="0" layoutInCell="0" allowOverlap="1" wp14:anchorId="57C2E3A0" wp14:editId="6AA3455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F074F9"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F074F9">
              <w:rPr>
                <w:rFonts w:ascii="Univers" w:hAnsi="Univers"/>
                <w:b/>
                <w:sz w:val="32"/>
                <w:lang w:val="en-CA"/>
              </w:rPr>
              <w:t>United Nations</w:t>
            </w:r>
          </w:p>
          <w:p w:rsidR="00C15867" w:rsidRPr="00F074F9"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F074F9">
              <w:rPr>
                <w:rFonts w:ascii="Univers" w:hAnsi="Univers"/>
                <w:b/>
                <w:sz w:val="32"/>
                <w:lang w:val="en-CA"/>
              </w:rPr>
              <w:t>Environment</w:t>
            </w:r>
          </w:p>
          <w:p w:rsidR="00C15867" w:rsidRPr="00F074F9"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F074F9">
              <w:rPr>
                <w:rFonts w:ascii="Univers" w:hAnsi="Univers"/>
                <w:b/>
                <w:sz w:val="32"/>
                <w:lang w:val="en-CA"/>
              </w:rPr>
              <w:t>Programme</w:t>
            </w:r>
          </w:p>
          <w:p w:rsidR="00C15867" w:rsidRPr="00F074F9" w:rsidRDefault="00C15867" w:rsidP="0047533D">
            <w:pPr>
              <w:spacing w:before="720"/>
              <w:ind w:left="158"/>
              <w:rPr>
                <w:lang w:val="en-CA"/>
              </w:rPr>
            </w:pPr>
          </w:p>
        </w:tc>
        <w:tc>
          <w:tcPr>
            <w:tcW w:w="4590" w:type="dxa"/>
            <w:tcBorders>
              <w:top w:val="nil"/>
              <w:left w:val="nil"/>
              <w:bottom w:val="single" w:sz="36" w:space="0" w:color="auto"/>
              <w:right w:val="nil"/>
            </w:tcBorders>
          </w:tcPr>
          <w:p w:rsidR="00C15867" w:rsidRPr="00F074F9" w:rsidRDefault="00C15867" w:rsidP="0047533D">
            <w:pPr>
              <w:rPr>
                <w:lang w:val="en-CA"/>
              </w:rPr>
            </w:pPr>
            <w:r w:rsidRPr="00F074F9">
              <w:rPr>
                <w:lang w:val="en-CA"/>
              </w:rPr>
              <w:t>Distr.</w:t>
            </w:r>
          </w:p>
          <w:p w:rsidR="00923540" w:rsidRPr="00F074F9" w:rsidRDefault="00923540" w:rsidP="00923540">
            <w:pPr>
              <w:rPr>
                <w:lang w:val="en-CA"/>
              </w:rPr>
            </w:pPr>
            <w:r w:rsidRPr="00F074F9">
              <w:rPr>
                <w:lang w:val="en-CA"/>
              </w:rPr>
              <w:t>GENERAL</w:t>
            </w:r>
          </w:p>
          <w:p w:rsidR="00C15867" w:rsidRPr="00F074F9" w:rsidRDefault="00C15867" w:rsidP="0047533D">
            <w:pPr>
              <w:rPr>
                <w:lang w:val="en-CA"/>
              </w:rPr>
            </w:pPr>
          </w:p>
          <w:p w:rsidR="00C15867" w:rsidRPr="00F074F9" w:rsidRDefault="00C15867" w:rsidP="0047533D">
            <w:pPr>
              <w:rPr>
                <w:lang w:val="en-CA"/>
              </w:rPr>
            </w:pPr>
          </w:p>
          <w:p w:rsidR="00C15867" w:rsidRPr="00F074F9" w:rsidRDefault="001804EA" w:rsidP="0047533D">
            <w:pPr>
              <w:rPr>
                <w:lang w:val="en-CA"/>
              </w:rPr>
            </w:pPr>
            <w:r w:rsidRPr="00F074F9">
              <w:rPr>
                <w:lang w:val="en-CA"/>
              </w:rPr>
              <w:fldChar w:fldCharType="begin"/>
            </w:r>
            <w:r w:rsidRPr="00F074F9">
              <w:rPr>
                <w:lang w:val="en-CA"/>
              </w:rPr>
              <w:instrText xml:space="preserve"> DOCPROPERTY "Document number"  \* MERGEFORMAT </w:instrText>
            </w:r>
            <w:r w:rsidRPr="00F074F9">
              <w:rPr>
                <w:lang w:val="en-CA"/>
              </w:rPr>
              <w:fldChar w:fldCharType="separate"/>
            </w:r>
            <w:r w:rsidR="00F07976" w:rsidRPr="00F074F9">
              <w:rPr>
                <w:lang w:val="en-CA"/>
              </w:rPr>
              <w:t>UNEP/OzL.Pro/ExCom/82/60</w:t>
            </w:r>
            <w:r w:rsidRPr="00F074F9">
              <w:rPr>
                <w:lang w:val="en-CA"/>
              </w:rPr>
              <w:fldChar w:fldCharType="end"/>
            </w:r>
          </w:p>
          <w:p w:rsidR="00C15867" w:rsidRPr="00F074F9" w:rsidRDefault="00BC2495" w:rsidP="0047533D">
            <w:pPr>
              <w:rPr>
                <w:lang w:val="en-CA"/>
              </w:rPr>
            </w:pPr>
            <w:r w:rsidRPr="00F074F9">
              <w:rPr>
                <w:lang w:val="en-CA"/>
              </w:rPr>
              <w:fldChar w:fldCharType="begin"/>
            </w:r>
            <w:r w:rsidR="00851352" w:rsidRPr="00F074F9">
              <w:rPr>
                <w:lang w:val="en-CA"/>
              </w:rPr>
              <w:instrText xml:space="preserve"> DOCPROPERTY "Revision date" \@ "d MMMM YYYY"  \* MERGEFORMAT </w:instrText>
            </w:r>
            <w:r w:rsidRPr="00F074F9">
              <w:rPr>
                <w:lang w:val="en-CA"/>
              </w:rPr>
              <w:fldChar w:fldCharType="separate"/>
            </w:r>
            <w:r w:rsidR="00F07976" w:rsidRPr="00F074F9">
              <w:rPr>
                <w:lang w:val="en-CA"/>
              </w:rPr>
              <w:t>1 November 2018</w:t>
            </w:r>
            <w:r w:rsidRPr="00F074F9">
              <w:rPr>
                <w:lang w:val="en-CA"/>
              </w:rPr>
              <w:fldChar w:fldCharType="end"/>
            </w:r>
          </w:p>
          <w:p w:rsidR="00C15867" w:rsidRPr="00F074F9" w:rsidRDefault="00C15867" w:rsidP="0047533D">
            <w:pPr>
              <w:rPr>
                <w:caps/>
                <w:lang w:val="en-CA"/>
              </w:rPr>
            </w:pPr>
          </w:p>
          <w:p w:rsidR="00C15867" w:rsidRPr="00F074F9" w:rsidRDefault="00C15867" w:rsidP="0047533D">
            <w:pPr>
              <w:rPr>
                <w:lang w:val="en-CA"/>
              </w:rPr>
            </w:pPr>
            <w:r w:rsidRPr="00F074F9">
              <w:rPr>
                <w:lang w:val="en-CA"/>
              </w:rPr>
              <w:t>ORIGINAL: ENGLISH</w:t>
            </w:r>
          </w:p>
        </w:tc>
      </w:tr>
    </w:tbl>
    <w:p w:rsidR="009E196C" w:rsidRPr="00F074F9" w:rsidRDefault="00C15867" w:rsidP="009E196C">
      <w:pPr>
        <w:jc w:val="left"/>
        <w:rPr>
          <w:lang w:val="en-CA"/>
        </w:rPr>
      </w:pPr>
      <w:r w:rsidRPr="00F074F9">
        <w:rPr>
          <w:lang w:val="en-CA"/>
        </w:rPr>
        <w:t>EXECUTIVE COMMITTEE OF</w:t>
      </w:r>
      <w:r w:rsidRPr="00F074F9">
        <w:rPr>
          <w:lang w:val="en-CA"/>
        </w:rPr>
        <w:br/>
        <w:t xml:space="preserve">  THE MULTILATERAL FUND FOR THE</w:t>
      </w:r>
      <w:r w:rsidRPr="00F074F9">
        <w:rPr>
          <w:lang w:val="en-CA"/>
        </w:rPr>
        <w:br/>
        <w:t xml:space="preserve">  IMPLEMENTATION OF THE MONTREAL PROTOCOL</w:t>
      </w:r>
      <w:r w:rsidRPr="00F074F9">
        <w:rPr>
          <w:lang w:val="en-CA"/>
        </w:rPr>
        <w:br/>
      </w:r>
      <w:r w:rsidR="009E196C" w:rsidRPr="00F074F9">
        <w:rPr>
          <w:lang w:val="en-CA"/>
        </w:rPr>
        <w:t>Eighty-</w:t>
      </w:r>
      <w:r w:rsidR="00533796" w:rsidRPr="00F074F9">
        <w:rPr>
          <w:lang w:val="en-CA"/>
        </w:rPr>
        <w:t>second</w:t>
      </w:r>
      <w:r w:rsidR="009E196C" w:rsidRPr="00F074F9">
        <w:rPr>
          <w:lang w:val="en-CA"/>
        </w:rPr>
        <w:t xml:space="preserve"> Meeting</w:t>
      </w:r>
    </w:p>
    <w:p w:rsidR="009E196C" w:rsidRPr="00F074F9" w:rsidRDefault="009E196C" w:rsidP="009E196C">
      <w:pPr>
        <w:jc w:val="left"/>
        <w:rPr>
          <w:lang w:val="en-CA"/>
        </w:rPr>
      </w:pPr>
      <w:r w:rsidRPr="00F074F9">
        <w:rPr>
          <w:lang w:val="en-CA"/>
        </w:rPr>
        <w:t xml:space="preserve">Montreal, </w:t>
      </w:r>
      <w:r w:rsidR="00533796" w:rsidRPr="00F074F9">
        <w:rPr>
          <w:lang w:val="en-CA"/>
        </w:rPr>
        <w:t>3</w:t>
      </w:r>
      <w:r w:rsidRPr="00F074F9">
        <w:rPr>
          <w:lang w:val="en-CA"/>
        </w:rPr>
        <w:t>-</w:t>
      </w:r>
      <w:r w:rsidR="00533796" w:rsidRPr="00F074F9">
        <w:rPr>
          <w:lang w:val="en-CA"/>
        </w:rPr>
        <w:t>7</w:t>
      </w:r>
      <w:r w:rsidRPr="00F074F9">
        <w:rPr>
          <w:lang w:val="en-CA"/>
        </w:rPr>
        <w:t xml:space="preserve"> </w:t>
      </w:r>
      <w:r w:rsidR="00533796" w:rsidRPr="00F074F9">
        <w:rPr>
          <w:lang w:val="en-CA"/>
        </w:rPr>
        <w:t>December</w:t>
      </w:r>
      <w:r w:rsidRPr="00F074F9">
        <w:rPr>
          <w:lang w:val="en-CA"/>
        </w:rPr>
        <w:t xml:space="preserve"> 2018</w:t>
      </w:r>
    </w:p>
    <w:p w:rsidR="00C15867" w:rsidRPr="00F074F9" w:rsidRDefault="00C15867" w:rsidP="009960E5">
      <w:pPr>
        <w:jc w:val="left"/>
        <w:rPr>
          <w:lang w:val="en-CA"/>
        </w:rPr>
      </w:pPr>
    </w:p>
    <w:p w:rsidR="008769F2" w:rsidRPr="00F074F9" w:rsidRDefault="008769F2" w:rsidP="00772ECE">
      <w:pPr>
        <w:rPr>
          <w:lang w:val="en-CA"/>
        </w:rPr>
      </w:pPr>
    </w:p>
    <w:p w:rsidR="00772ECE" w:rsidRPr="00F074F9" w:rsidRDefault="00772ECE" w:rsidP="00772ECE">
      <w:pPr>
        <w:jc w:val="center"/>
        <w:rPr>
          <w:b/>
          <w:lang w:val="en-CA"/>
        </w:rPr>
      </w:pPr>
      <w:r w:rsidRPr="00F074F9">
        <w:rPr>
          <w:b/>
          <w:lang w:val="en-CA"/>
        </w:rPr>
        <w:t xml:space="preserve">PROJECT PROPOSAL:  </w:t>
      </w:r>
      <w:r w:rsidR="00DA4F5E" w:rsidRPr="00F074F9">
        <w:rPr>
          <w:b/>
          <w:lang w:val="en-CA"/>
        </w:rPr>
        <w:t>THE FORMER YUGOSLAV REPUBLIC OF MACEDONIA</w:t>
      </w:r>
    </w:p>
    <w:p w:rsidR="00772ECE" w:rsidRPr="00F074F9" w:rsidRDefault="00772ECE" w:rsidP="00772ECE">
      <w:pPr>
        <w:rPr>
          <w:lang w:val="en-CA"/>
        </w:rPr>
      </w:pPr>
    </w:p>
    <w:p w:rsidR="00772ECE" w:rsidRPr="00F074F9" w:rsidRDefault="00772ECE" w:rsidP="00772ECE">
      <w:pPr>
        <w:rPr>
          <w:lang w:val="en-CA"/>
        </w:rPr>
      </w:pPr>
    </w:p>
    <w:p w:rsidR="00772ECE" w:rsidRPr="00F074F9" w:rsidRDefault="00772ECE" w:rsidP="00772ECE">
      <w:pPr>
        <w:ind w:firstLine="720"/>
        <w:rPr>
          <w:lang w:val="en-CA"/>
        </w:rPr>
      </w:pPr>
      <w:r w:rsidRPr="00F074F9">
        <w:rPr>
          <w:lang w:val="en-CA"/>
        </w:rPr>
        <w:t xml:space="preserve">This document consists of the comments and recommendation of the Secretariat on the following project proposal: </w:t>
      </w:r>
    </w:p>
    <w:p w:rsidR="00772ECE" w:rsidRPr="00F074F9" w:rsidRDefault="00772ECE" w:rsidP="00772ECE">
      <w:pPr>
        <w:rPr>
          <w:lang w:val="en-CA"/>
        </w:rPr>
      </w:pPr>
    </w:p>
    <w:p w:rsidR="00772ECE" w:rsidRPr="00F074F9" w:rsidRDefault="00772ECE" w:rsidP="00772ECE">
      <w:pPr>
        <w:rPr>
          <w:u w:val="single"/>
          <w:lang w:val="en-CA"/>
        </w:rPr>
      </w:pPr>
      <w:r w:rsidRPr="00F074F9">
        <w:rPr>
          <w:u w:val="single"/>
          <w:lang w:val="en-CA"/>
        </w:rPr>
        <w:t>Phase-out</w:t>
      </w:r>
    </w:p>
    <w:p w:rsidR="00772ECE" w:rsidRPr="00F074F9" w:rsidRDefault="00772ECE"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F074F9" w:rsidTr="00DA4F5E">
        <w:tc>
          <w:tcPr>
            <w:tcW w:w="6941" w:type="dxa"/>
          </w:tcPr>
          <w:p w:rsidR="00772ECE" w:rsidRPr="00F074F9" w:rsidRDefault="00772ECE" w:rsidP="00DA4F5E">
            <w:pPr>
              <w:pStyle w:val="ListParagraph"/>
              <w:numPr>
                <w:ilvl w:val="0"/>
                <w:numId w:val="21"/>
              </w:numPr>
              <w:ind w:hanging="830"/>
              <w:rPr>
                <w:lang w:val="en-CA"/>
              </w:rPr>
            </w:pPr>
            <w:r w:rsidRPr="00F074F9">
              <w:rPr>
                <w:lang w:val="en-CA"/>
              </w:rPr>
              <w:t>HCFC phase-out management plan (</w:t>
            </w:r>
            <w:r w:rsidR="009045C1" w:rsidRPr="00F074F9">
              <w:rPr>
                <w:lang w:val="en-CA"/>
              </w:rPr>
              <w:t>stage </w:t>
            </w:r>
            <w:r w:rsidRPr="00F074F9">
              <w:rPr>
                <w:lang w:val="en-CA"/>
              </w:rPr>
              <w:t xml:space="preserve">I, </w:t>
            </w:r>
            <w:r w:rsidR="00DA4F5E" w:rsidRPr="00F074F9">
              <w:rPr>
                <w:lang w:val="en-CA"/>
              </w:rPr>
              <w:t xml:space="preserve">eighth </w:t>
            </w:r>
            <w:r w:rsidRPr="00F074F9">
              <w:rPr>
                <w:lang w:val="en-CA"/>
              </w:rPr>
              <w:t>tranche)</w:t>
            </w:r>
          </w:p>
        </w:tc>
        <w:tc>
          <w:tcPr>
            <w:tcW w:w="2409" w:type="dxa"/>
          </w:tcPr>
          <w:p w:rsidR="00772ECE" w:rsidRPr="00F074F9" w:rsidRDefault="00DA4F5E" w:rsidP="00DA4F5E">
            <w:pPr>
              <w:jc w:val="right"/>
              <w:rPr>
                <w:lang w:val="en-CA"/>
              </w:rPr>
            </w:pPr>
            <w:r w:rsidRPr="00F074F9">
              <w:rPr>
                <w:lang w:val="en-CA"/>
              </w:rPr>
              <w:t>UNIDO</w:t>
            </w:r>
          </w:p>
        </w:tc>
      </w:tr>
    </w:tbl>
    <w:p w:rsidR="004E7F9C" w:rsidRPr="00F074F9" w:rsidRDefault="004E7F9C" w:rsidP="00772ECE">
      <w:pPr>
        <w:rPr>
          <w:lang w:val="en-CA"/>
        </w:rPr>
      </w:pPr>
    </w:p>
    <w:p w:rsidR="004E7F9C" w:rsidRPr="00F074F9" w:rsidRDefault="004E7F9C" w:rsidP="00772ECE">
      <w:pPr>
        <w:rPr>
          <w:lang w:val="en-CA"/>
        </w:rPr>
      </w:pPr>
    </w:p>
    <w:p w:rsidR="008C5738" w:rsidRPr="00F074F9" w:rsidRDefault="008C5738" w:rsidP="00772ECE">
      <w:pPr>
        <w:rPr>
          <w:lang w:val="en-CA"/>
        </w:rPr>
      </w:pPr>
    </w:p>
    <w:p w:rsidR="008C5738" w:rsidRPr="00F074F9" w:rsidRDefault="004E7F9C" w:rsidP="00772ECE">
      <w:pPr>
        <w:rPr>
          <w:lang w:val="en-CA"/>
        </w:rPr>
      </w:pPr>
      <w:r w:rsidRPr="00F074F9">
        <w:rPr>
          <w:lang w:val="en-CA"/>
        </w:rPr>
        <w:br w:type="page"/>
      </w:r>
    </w:p>
    <w:p w:rsidR="00BC788F" w:rsidRPr="00F074F9" w:rsidRDefault="00BC788F" w:rsidP="00BC788F">
      <w:pPr>
        <w:jc w:val="center"/>
        <w:rPr>
          <w:b/>
        </w:rPr>
      </w:pPr>
      <w:r w:rsidRPr="00F074F9">
        <w:rPr>
          <w:b/>
        </w:rPr>
        <w:lastRenderedPageBreak/>
        <w:t>PROJECT EVALUATION SHEET – MULTI-YEAR PROJECTS</w:t>
      </w:r>
    </w:p>
    <w:p w:rsidR="00BC788F" w:rsidRPr="00F074F9" w:rsidRDefault="00BC788F" w:rsidP="00BC788F">
      <w:pPr>
        <w:jc w:val="center"/>
      </w:pPr>
    </w:p>
    <w:p w:rsidR="00BC788F" w:rsidRPr="00F074F9" w:rsidRDefault="00BC788F" w:rsidP="00BC788F">
      <w:pPr>
        <w:jc w:val="center"/>
        <w:rPr>
          <w:b/>
        </w:rPr>
      </w:pPr>
      <w:r w:rsidRPr="00F074F9">
        <w:rPr>
          <w:b/>
        </w:rPr>
        <w:t xml:space="preserve">The former Yugoslav Republic of Macedonia </w:t>
      </w:r>
    </w:p>
    <w:p w:rsidR="00BC788F" w:rsidRPr="00F074F9" w:rsidRDefault="00BC788F" w:rsidP="00BC788F">
      <w:pPr>
        <w:jc w:val="cente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BC788F" w:rsidRPr="00F074F9" w:rsidTr="00E63899">
        <w:trPr>
          <w:trHeight w:val="240"/>
        </w:trPr>
        <w:tc>
          <w:tcPr>
            <w:tcW w:w="3187" w:type="dxa"/>
            <w:shd w:val="clear" w:color="auto" w:fill="auto"/>
          </w:tcPr>
          <w:p w:rsidR="00BC788F" w:rsidRPr="00F074F9" w:rsidRDefault="00BC788F" w:rsidP="00A131BF">
            <w:pPr>
              <w:spacing w:after="80"/>
              <w:jc w:val="left"/>
              <w:rPr>
                <w:b/>
                <w:sz w:val="18"/>
              </w:rPr>
            </w:pPr>
            <w:r w:rsidRPr="00F074F9">
              <w:rPr>
                <w:b/>
                <w:sz w:val="18"/>
              </w:rPr>
              <w:t>(I) PROJECT TITLE</w:t>
            </w:r>
          </w:p>
        </w:tc>
        <w:tc>
          <w:tcPr>
            <w:tcW w:w="2463" w:type="dxa"/>
            <w:shd w:val="clear" w:color="auto" w:fill="auto"/>
          </w:tcPr>
          <w:p w:rsidR="00BC788F" w:rsidRPr="00F074F9" w:rsidRDefault="00BC788F" w:rsidP="00A131BF">
            <w:pPr>
              <w:spacing w:after="80"/>
              <w:jc w:val="center"/>
              <w:rPr>
                <w:b/>
                <w:sz w:val="18"/>
              </w:rPr>
            </w:pPr>
            <w:r w:rsidRPr="00F074F9">
              <w:rPr>
                <w:b/>
                <w:sz w:val="18"/>
              </w:rPr>
              <w:t>AGENCY</w:t>
            </w:r>
          </w:p>
        </w:tc>
        <w:tc>
          <w:tcPr>
            <w:tcW w:w="2542" w:type="dxa"/>
            <w:shd w:val="clear" w:color="auto" w:fill="auto"/>
          </w:tcPr>
          <w:p w:rsidR="00BC788F" w:rsidRPr="00F074F9" w:rsidRDefault="00BC788F" w:rsidP="00A131BF">
            <w:pPr>
              <w:spacing w:after="80"/>
              <w:jc w:val="center"/>
              <w:rPr>
                <w:b/>
                <w:sz w:val="18"/>
              </w:rPr>
            </w:pPr>
            <w:r w:rsidRPr="00F074F9">
              <w:rPr>
                <w:b/>
                <w:sz w:val="18"/>
              </w:rPr>
              <w:t>MEETING APPROVED</w:t>
            </w:r>
          </w:p>
        </w:tc>
        <w:tc>
          <w:tcPr>
            <w:tcW w:w="2711" w:type="dxa"/>
            <w:shd w:val="clear" w:color="auto" w:fill="auto"/>
          </w:tcPr>
          <w:p w:rsidR="00BC788F" w:rsidRPr="00F074F9" w:rsidRDefault="00BC788F" w:rsidP="00A131BF">
            <w:pPr>
              <w:spacing w:after="80"/>
              <w:jc w:val="center"/>
              <w:rPr>
                <w:b/>
                <w:sz w:val="18"/>
              </w:rPr>
            </w:pPr>
            <w:r w:rsidRPr="00F074F9">
              <w:rPr>
                <w:b/>
                <w:sz w:val="18"/>
              </w:rPr>
              <w:t>CONTROL MEASURE</w:t>
            </w:r>
          </w:p>
        </w:tc>
      </w:tr>
      <w:tr w:rsidR="00BC788F" w:rsidRPr="00F074F9" w:rsidTr="00E63899">
        <w:trPr>
          <w:trHeight w:val="240"/>
        </w:trPr>
        <w:tc>
          <w:tcPr>
            <w:tcW w:w="3187" w:type="dxa"/>
            <w:shd w:val="clear" w:color="auto" w:fill="auto"/>
          </w:tcPr>
          <w:p w:rsidR="00BC788F" w:rsidRPr="00F074F9" w:rsidRDefault="00BC788F" w:rsidP="00A131BF">
            <w:pPr>
              <w:spacing w:after="80"/>
              <w:jc w:val="center"/>
              <w:rPr>
                <w:sz w:val="18"/>
              </w:rPr>
            </w:pPr>
            <w:r w:rsidRPr="00F074F9">
              <w:rPr>
                <w:sz w:val="18"/>
              </w:rPr>
              <w:t>HCFC phase out plan (Stage I)</w:t>
            </w:r>
          </w:p>
        </w:tc>
        <w:tc>
          <w:tcPr>
            <w:tcW w:w="2463" w:type="dxa"/>
            <w:shd w:val="clear" w:color="auto" w:fill="auto"/>
          </w:tcPr>
          <w:p w:rsidR="00BC788F" w:rsidRPr="00F074F9" w:rsidRDefault="00BC788F" w:rsidP="00A131BF">
            <w:pPr>
              <w:spacing w:after="80"/>
              <w:jc w:val="center"/>
              <w:rPr>
                <w:sz w:val="18"/>
              </w:rPr>
            </w:pPr>
            <w:r w:rsidRPr="00F074F9">
              <w:rPr>
                <w:sz w:val="18"/>
              </w:rPr>
              <w:t>UNIDO (lead)</w:t>
            </w:r>
          </w:p>
        </w:tc>
        <w:tc>
          <w:tcPr>
            <w:tcW w:w="2542" w:type="dxa"/>
            <w:shd w:val="clear" w:color="auto" w:fill="auto"/>
          </w:tcPr>
          <w:p w:rsidR="00BC788F" w:rsidRPr="00F074F9" w:rsidRDefault="00BC788F" w:rsidP="00A131BF">
            <w:pPr>
              <w:spacing w:after="80"/>
              <w:jc w:val="center"/>
              <w:rPr>
                <w:sz w:val="18"/>
              </w:rPr>
            </w:pPr>
            <w:r w:rsidRPr="00F074F9">
              <w:rPr>
                <w:sz w:val="18"/>
              </w:rPr>
              <w:t>60</w:t>
            </w:r>
            <w:r w:rsidRPr="00F074F9">
              <w:rPr>
                <w:sz w:val="18"/>
                <w:vertAlign w:val="superscript"/>
              </w:rPr>
              <w:t>th</w:t>
            </w:r>
            <w:r w:rsidR="009E3D69" w:rsidRPr="00F074F9">
              <w:rPr>
                <w:sz w:val="18"/>
              </w:rPr>
              <w:t xml:space="preserve"> </w:t>
            </w:r>
          </w:p>
        </w:tc>
        <w:tc>
          <w:tcPr>
            <w:tcW w:w="2711" w:type="dxa"/>
            <w:shd w:val="clear" w:color="auto" w:fill="auto"/>
          </w:tcPr>
          <w:p w:rsidR="00BC788F" w:rsidRPr="00F074F9" w:rsidRDefault="00BC788F" w:rsidP="00A131BF">
            <w:pPr>
              <w:spacing w:after="80"/>
              <w:jc w:val="center"/>
              <w:rPr>
                <w:sz w:val="18"/>
              </w:rPr>
            </w:pPr>
            <w:r w:rsidRPr="00F074F9">
              <w:rPr>
                <w:sz w:val="18"/>
              </w:rPr>
              <w:t>35% by 2020</w:t>
            </w:r>
          </w:p>
        </w:tc>
      </w:tr>
    </w:tbl>
    <w:p w:rsidR="00BC788F" w:rsidRPr="00F074F9" w:rsidRDefault="00BC788F" w:rsidP="00BC788F">
      <w:pPr>
        <w:spacing w:after="60"/>
        <w:jc w:val="cente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BC788F" w:rsidRPr="00F074F9" w:rsidTr="00E63899">
        <w:trPr>
          <w:trHeight w:val="240"/>
        </w:trPr>
        <w:tc>
          <w:tcPr>
            <w:tcW w:w="5902" w:type="dxa"/>
            <w:shd w:val="clear" w:color="auto" w:fill="auto"/>
          </w:tcPr>
          <w:p w:rsidR="00BC788F" w:rsidRPr="00F074F9" w:rsidRDefault="00BC788F" w:rsidP="00A131BF">
            <w:pPr>
              <w:spacing w:after="60"/>
              <w:jc w:val="left"/>
              <w:rPr>
                <w:b/>
                <w:sz w:val="18"/>
              </w:rPr>
            </w:pPr>
            <w:r w:rsidRPr="00F074F9">
              <w:rPr>
                <w:b/>
                <w:sz w:val="18"/>
              </w:rPr>
              <w:t>(II) LATEST ARTICLE 7 DATA (Annex C Group l)</w:t>
            </w:r>
          </w:p>
        </w:tc>
        <w:tc>
          <w:tcPr>
            <w:tcW w:w="2400" w:type="dxa"/>
            <w:shd w:val="clear" w:color="auto" w:fill="auto"/>
          </w:tcPr>
          <w:p w:rsidR="00BC788F" w:rsidRPr="00F074F9" w:rsidRDefault="00BC788F" w:rsidP="00A131BF">
            <w:pPr>
              <w:spacing w:after="60"/>
              <w:jc w:val="center"/>
              <w:rPr>
                <w:sz w:val="18"/>
              </w:rPr>
            </w:pPr>
            <w:r w:rsidRPr="00F074F9">
              <w:rPr>
                <w:sz w:val="18"/>
              </w:rPr>
              <w:t>Year: 2017</w:t>
            </w:r>
          </w:p>
        </w:tc>
        <w:tc>
          <w:tcPr>
            <w:tcW w:w="2601" w:type="dxa"/>
            <w:shd w:val="clear" w:color="auto" w:fill="auto"/>
          </w:tcPr>
          <w:p w:rsidR="00BC788F" w:rsidRPr="00F074F9" w:rsidRDefault="00BC788F" w:rsidP="00BC788F">
            <w:pPr>
              <w:spacing w:after="60"/>
              <w:jc w:val="right"/>
              <w:rPr>
                <w:sz w:val="18"/>
              </w:rPr>
            </w:pPr>
            <w:r w:rsidRPr="00F074F9">
              <w:rPr>
                <w:sz w:val="18"/>
              </w:rPr>
              <w:t>0 (ODP tonnes)</w:t>
            </w:r>
          </w:p>
        </w:tc>
      </w:tr>
    </w:tbl>
    <w:p w:rsidR="00BC788F" w:rsidRPr="00F074F9" w:rsidRDefault="00BC788F" w:rsidP="00BC788F">
      <w:pPr>
        <w:spacing w:after="60"/>
        <w:jc w:val="cente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2"/>
        <w:gridCol w:w="786"/>
        <w:gridCol w:w="627"/>
        <w:gridCol w:w="997"/>
        <w:gridCol w:w="1286"/>
        <w:gridCol w:w="906"/>
        <w:gridCol w:w="767"/>
        <w:gridCol w:w="1041"/>
        <w:gridCol w:w="676"/>
        <w:gridCol w:w="1902"/>
      </w:tblGrid>
      <w:tr w:rsidR="00BC788F" w:rsidRPr="00F074F9" w:rsidTr="00A131BF">
        <w:trPr>
          <w:trHeight w:val="240"/>
        </w:trPr>
        <w:tc>
          <w:tcPr>
            <w:tcW w:w="8312" w:type="dxa"/>
            <w:gridSpan w:val="8"/>
            <w:shd w:val="clear" w:color="auto" w:fill="auto"/>
          </w:tcPr>
          <w:p w:rsidR="00BC788F" w:rsidRPr="00F074F9" w:rsidRDefault="00BC788F" w:rsidP="00A131BF">
            <w:pPr>
              <w:spacing w:after="60"/>
              <w:jc w:val="left"/>
              <w:rPr>
                <w:b/>
                <w:sz w:val="18"/>
              </w:rPr>
            </w:pPr>
            <w:r w:rsidRPr="00F074F9">
              <w:rPr>
                <w:b/>
                <w:sz w:val="18"/>
              </w:rPr>
              <w:t>(III) LATEST COUNTRY PROGRAMME SECTORAL DATA (ODP tonnes)</w:t>
            </w:r>
          </w:p>
        </w:tc>
        <w:tc>
          <w:tcPr>
            <w:tcW w:w="2578" w:type="dxa"/>
            <w:gridSpan w:val="2"/>
            <w:shd w:val="clear" w:color="auto" w:fill="auto"/>
          </w:tcPr>
          <w:p w:rsidR="00BC788F" w:rsidRPr="00F074F9" w:rsidRDefault="00BC788F" w:rsidP="00BC788F">
            <w:pPr>
              <w:spacing w:after="60"/>
              <w:jc w:val="right"/>
              <w:rPr>
                <w:b/>
                <w:sz w:val="18"/>
              </w:rPr>
            </w:pPr>
            <w:r w:rsidRPr="00F074F9">
              <w:rPr>
                <w:b/>
                <w:sz w:val="18"/>
              </w:rPr>
              <w:t>Year: 2017</w:t>
            </w:r>
          </w:p>
        </w:tc>
      </w:tr>
      <w:tr w:rsidR="00BC788F" w:rsidRPr="00F074F9" w:rsidTr="00A131BF">
        <w:trPr>
          <w:trHeight w:val="240"/>
        </w:trPr>
        <w:tc>
          <w:tcPr>
            <w:tcW w:w="1902" w:type="dxa"/>
            <w:shd w:val="clear" w:color="auto" w:fill="auto"/>
          </w:tcPr>
          <w:p w:rsidR="00BC788F" w:rsidRPr="00F074F9" w:rsidRDefault="00BC788F" w:rsidP="00A131BF">
            <w:pPr>
              <w:spacing w:after="60"/>
              <w:jc w:val="center"/>
              <w:rPr>
                <w:sz w:val="18"/>
              </w:rPr>
            </w:pPr>
            <w:r w:rsidRPr="00F074F9">
              <w:rPr>
                <w:sz w:val="18"/>
              </w:rPr>
              <w:t>Chemical</w:t>
            </w:r>
          </w:p>
        </w:tc>
        <w:tc>
          <w:tcPr>
            <w:tcW w:w="0" w:type="auto"/>
            <w:shd w:val="clear" w:color="auto" w:fill="auto"/>
          </w:tcPr>
          <w:p w:rsidR="00BC788F" w:rsidRPr="00F074F9" w:rsidRDefault="00BC788F" w:rsidP="00A131BF">
            <w:pPr>
              <w:spacing w:after="60"/>
              <w:jc w:val="center"/>
              <w:rPr>
                <w:sz w:val="18"/>
              </w:rPr>
            </w:pPr>
            <w:r w:rsidRPr="00F074F9">
              <w:rPr>
                <w:sz w:val="18"/>
              </w:rPr>
              <w:t>Aerosol</w:t>
            </w:r>
          </w:p>
        </w:tc>
        <w:tc>
          <w:tcPr>
            <w:tcW w:w="0" w:type="auto"/>
            <w:shd w:val="clear" w:color="auto" w:fill="auto"/>
          </w:tcPr>
          <w:p w:rsidR="00BC788F" w:rsidRPr="00F074F9" w:rsidRDefault="00BC788F" w:rsidP="00A131BF">
            <w:pPr>
              <w:spacing w:after="60"/>
              <w:jc w:val="center"/>
              <w:rPr>
                <w:sz w:val="18"/>
              </w:rPr>
            </w:pPr>
            <w:r w:rsidRPr="00F074F9">
              <w:rPr>
                <w:sz w:val="18"/>
              </w:rPr>
              <w:t>Foam</w:t>
            </w:r>
          </w:p>
        </w:tc>
        <w:tc>
          <w:tcPr>
            <w:tcW w:w="0" w:type="auto"/>
            <w:shd w:val="clear" w:color="auto" w:fill="auto"/>
          </w:tcPr>
          <w:p w:rsidR="00BC788F" w:rsidRPr="00F074F9" w:rsidRDefault="00BC788F" w:rsidP="00A131BF">
            <w:pPr>
              <w:spacing w:after="60"/>
              <w:jc w:val="center"/>
              <w:rPr>
                <w:sz w:val="18"/>
              </w:rPr>
            </w:pPr>
            <w:r w:rsidRPr="00F074F9">
              <w:rPr>
                <w:sz w:val="18"/>
              </w:rPr>
              <w:t>Fire fighting</w:t>
            </w:r>
          </w:p>
        </w:tc>
        <w:tc>
          <w:tcPr>
            <w:tcW w:w="0" w:type="auto"/>
            <w:gridSpan w:val="2"/>
            <w:shd w:val="clear" w:color="auto" w:fill="auto"/>
          </w:tcPr>
          <w:p w:rsidR="00BC788F" w:rsidRPr="00F074F9" w:rsidRDefault="00BC788F" w:rsidP="00A131BF">
            <w:pPr>
              <w:spacing w:after="60"/>
              <w:jc w:val="center"/>
              <w:rPr>
                <w:sz w:val="18"/>
              </w:rPr>
            </w:pPr>
            <w:r w:rsidRPr="00F074F9">
              <w:rPr>
                <w:sz w:val="18"/>
              </w:rPr>
              <w:t>Refrigeration</w:t>
            </w:r>
          </w:p>
        </w:tc>
        <w:tc>
          <w:tcPr>
            <w:tcW w:w="0" w:type="auto"/>
            <w:shd w:val="clear" w:color="auto" w:fill="auto"/>
          </w:tcPr>
          <w:p w:rsidR="00BC788F" w:rsidRPr="00F074F9" w:rsidRDefault="00BC788F" w:rsidP="00A131BF">
            <w:pPr>
              <w:spacing w:after="60"/>
              <w:jc w:val="center"/>
              <w:rPr>
                <w:sz w:val="18"/>
              </w:rPr>
            </w:pPr>
            <w:r w:rsidRPr="00F074F9">
              <w:rPr>
                <w:sz w:val="18"/>
              </w:rPr>
              <w:t>Solvent</w:t>
            </w:r>
          </w:p>
        </w:tc>
        <w:tc>
          <w:tcPr>
            <w:tcW w:w="0" w:type="auto"/>
            <w:shd w:val="clear" w:color="auto" w:fill="auto"/>
          </w:tcPr>
          <w:p w:rsidR="00BC788F" w:rsidRPr="00F074F9" w:rsidRDefault="00BC788F" w:rsidP="00A131BF">
            <w:pPr>
              <w:spacing w:after="60"/>
              <w:jc w:val="center"/>
              <w:rPr>
                <w:sz w:val="18"/>
              </w:rPr>
            </w:pPr>
            <w:r w:rsidRPr="00F074F9">
              <w:rPr>
                <w:sz w:val="18"/>
              </w:rPr>
              <w:t>Process agent</w:t>
            </w:r>
          </w:p>
        </w:tc>
        <w:tc>
          <w:tcPr>
            <w:tcW w:w="0" w:type="auto"/>
            <w:shd w:val="clear" w:color="auto" w:fill="auto"/>
          </w:tcPr>
          <w:p w:rsidR="00BC788F" w:rsidRPr="00F074F9" w:rsidRDefault="00BC788F" w:rsidP="00A131BF">
            <w:pPr>
              <w:spacing w:after="60"/>
              <w:jc w:val="center"/>
              <w:rPr>
                <w:sz w:val="18"/>
              </w:rPr>
            </w:pPr>
            <w:r w:rsidRPr="00F074F9">
              <w:rPr>
                <w:sz w:val="18"/>
              </w:rPr>
              <w:t>Lab use</w:t>
            </w:r>
          </w:p>
        </w:tc>
        <w:tc>
          <w:tcPr>
            <w:tcW w:w="1902" w:type="dxa"/>
            <w:shd w:val="clear" w:color="auto" w:fill="auto"/>
          </w:tcPr>
          <w:p w:rsidR="00BC788F" w:rsidRPr="00F074F9" w:rsidRDefault="00BC788F" w:rsidP="00A131BF">
            <w:pPr>
              <w:spacing w:after="60"/>
              <w:jc w:val="center"/>
              <w:rPr>
                <w:sz w:val="18"/>
              </w:rPr>
            </w:pPr>
            <w:r w:rsidRPr="00F074F9">
              <w:rPr>
                <w:sz w:val="18"/>
              </w:rPr>
              <w:t>Total sector consumption</w:t>
            </w:r>
          </w:p>
        </w:tc>
      </w:tr>
      <w:tr w:rsidR="00BC788F" w:rsidRPr="00F074F9" w:rsidTr="00A131BF">
        <w:trPr>
          <w:trHeight w:val="240"/>
        </w:trPr>
        <w:tc>
          <w:tcPr>
            <w:tcW w:w="4312" w:type="dxa"/>
            <w:gridSpan w:val="4"/>
            <w:shd w:val="clear" w:color="auto" w:fill="auto"/>
          </w:tcPr>
          <w:p w:rsidR="00BC788F" w:rsidRPr="00F074F9" w:rsidRDefault="00BC788F" w:rsidP="00A131BF">
            <w:pPr>
              <w:spacing w:after="60"/>
              <w:jc w:val="center"/>
              <w:rPr>
                <w:sz w:val="18"/>
              </w:rPr>
            </w:pPr>
            <w:r w:rsidRPr="00F074F9">
              <w:rPr>
                <w:sz w:val="18"/>
              </w:rPr>
              <w:t xml:space="preserve"> </w:t>
            </w:r>
          </w:p>
        </w:tc>
        <w:tc>
          <w:tcPr>
            <w:tcW w:w="0" w:type="auto"/>
            <w:shd w:val="clear" w:color="auto" w:fill="auto"/>
          </w:tcPr>
          <w:p w:rsidR="00BC788F" w:rsidRPr="00F074F9" w:rsidRDefault="00BC788F" w:rsidP="00A131BF">
            <w:pPr>
              <w:spacing w:after="60"/>
              <w:jc w:val="center"/>
              <w:rPr>
                <w:sz w:val="18"/>
              </w:rPr>
            </w:pPr>
            <w:r w:rsidRPr="00F074F9">
              <w:rPr>
                <w:sz w:val="18"/>
              </w:rPr>
              <w:t>Manufacturing</w:t>
            </w:r>
          </w:p>
        </w:tc>
        <w:tc>
          <w:tcPr>
            <w:tcW w:w="0" w:type="auto"/>
            <w:shd w:val="clear" w:color="auto" w:fill="auto"/>
          </w:tcPr>
          <w:p w:rsidR="00BC788F" w:rsidRPr="00F074F9" w:rsidRDefault="00BC788F" w:rsidP="00A131BF">
            <w:pPr>
              <w:spacing w:after="60"/>
              <w:jc w:val="center"/>
              <w:rPr>
                <w:sz w:val="18"/>
              </w:rPr>
            </w:pPr>
            <w:r w:rsidRPr="00F074F9">
              <w:rPr>
                <w:sz w:val="18"/>
              </w:rPr>
              <w:t>Servicing</w:t>
            </w:r>
          </w:p>
        </w:tc>
        <w:tc>
          <w:tcPr>
            <w:tcW w:w="4386" w:type="dxa"/>
            <w:gridSpan w:val="4"/>
            <w:shd w:val="clear" w:color="auto" w:fill="auto"/>
          </w:tcPr>
          <w:p w:rsidR="00BC788F" w:rsidRPr="00F074F9" w:rsidRDefault="00BC788F" w:rsidP="00A131BF">
            <w:pPr>
              <w:spacing w:after="60"/>
              <w:jc w:val="center"/>
              <w:rPr>
                <w:sz w:val="18"/>
              </w:rPr>
            </w:pPr>
          </w:p>
        </w:tc>
      </w:tr>
      <w:tr w:rsidR="00BC788F" w:rsidRPr="00F074F9" w:rsidTr="00A131BF">
        <w:trPr>
          <w:trHeight w:val="240"/>
        </w:trPr>
        <w:tc>
          <w:tcPr>
            <w:tcW w:w="1902" w:type="dxa"/>
            <w:shd w:val="clear" w:color="auto" w:fill="auto"/>
          </w:tcPr>
          <w:p w:rsidR="00BC788F" w:rsidRPr="00F074F9" w:rsidRDefault="00BC788F" w:rsidP="00A131BF">
            <w:pPr>
              <w:spacing w:after="60"/>
              <w:jc w:val="left"/>
              <w:rPr>
                <w:sz w:val="18"/>
              </w:rPr>
            </w:pPr>
            <w:r w:rsidRPr="00F074F9">
              <w:rPr>
                <w:sz w:val="18"/>
              </w:rPr>
              <w:t>HCFC-22</w:t>
            </w:r>
          </w:p>
        </w:tc>
        <w:tc>
          <w:tcPr>
            <w:tcW w:w="0" w:type="auto"/>
            <w:shd w:val="clear" w:color="auto" w:fill="auto"/>
          </w:tcPr>
          <w:p w:rsidR="00BC788F" w:rsidRPr="00F074F9" w:rsidRDefault="00BC788F" w:rsidP="00A131BF">
            <w:pPr>
              <w:spacing w:after="60"/>
              <w:jc w:val="right"/>
              <w:rPr>
                <w:sz w:val="18"/>
              </w:rPr>
            </w:pPr>
          </w:p>
        </w:tc>
        <w:tc>
          <w:tcPr>
            <w:tcW w:w="0" w:type="auto"/>
            <w:shd w:val="clear" w:color="auto" w:fill="auto"/>
          </w:tcPr>
          <w:p w:rsidR="00BC788F" w:rsidRPr="00F074F9" w:rsidRDefault="00BC788F" w:rsidP="00A131BF">
            <w:pPr>
              <w:spacing w:after="60"/>
              <w:jc w:val="right"/>
              <w:rPr>
                <w:sz w:val="18"/>
              </w:rPr>
            </w:pPr>
          </w:p>
        </w:tc>
        <w:tc>
          <w:tcPr>
            <w:tcW w:w="0" w:type="auto"/>
            <w:shd w:val="clear" w:color="auto" w:fill="auto"/>
          </w:tcPr>
          <w:p w:rsidR="00BC788F" w:rsidRPr="00F074F9" w:rsidRDefault="00BC788F" w:rsidP="00A131BF">
            <w:pPr>
              <w:spacing w:after="60"/>
              <w:jc w:val="right"/>
              <w:rPr>
                <w:sz w:val="18"/>
              </w:rPr>
            </w:pPr>
          </w:p>
        </w:tc>
        <w:tc>
          <w:tcPr>
            <w:tcW w:w="0" w:type="auto"/>
            <w:shd w:val="clear" w:color="auto" w:fill="auto"/>
          </w:tcPr>
          <w:p w:rsidR="00BC788F" w:rsidRPr="00F074F9" w:rsidRDefault="00BC788F" w:rsidP="00A131BF">
            <w:pPr>
              <w:spacing w:after="60"/>
              <w:jc w:val="right"/>
              <w:rPr>
                <w:sz w:val="18"/>
              </w:rPr>
            </w:pPr>
          </w:p>
        </w:tc>
        <w:tc>
          <w:tcPr>
            <w:tcW w:w="0" w:type="auto"/>
            <w:shd w:val="clear" w:color="auto" w:fill="auto"/>
          </w:tcPr>
          <w:p w:rsidR="00BC788F" w:rsidRPr="00F074F9" w:rsidRDefault="00BC788F" w:rsidP="00A131BF">
            <w:pPr>
              <w:spacing w:after="60"/>
              <w:jc w:val="right"/>
              <w:rPr>
                <w:sz w:val="18"/>
              </w:rPr>
            </w:pPr>
            <w:r w:rsidRPr="00F074F9">
              <w:rPr>
                <w:sz w:val="18"/>
              </w:rPr>
              <w:t>0</w:t>
            </w:r>
            <w:r w:rsidR="00B558A6" w:rsidRPr="00F074F9">
              <w:rPr>
                <w:sz w:val="18"/>
              </w:rPr>
              <w:t>.04</w:t>
            </w:r>
          </w:p>
        </w:tc>
        <w:tc>
          <w:tcPr>
            <w:tcW w:w="0" w:type="auto"/>
            <w:shd w:val="clear" w:color="auto" w:fill="auto"/>
          </w:tcPr>
          <w:p w:rsidR="00BC788F" w:rsidRPr="00F074F9" w:rsidRDefault="00BC788F" w:rsidP="00A131BF">
            <w:pPr>
              <w:spacing w:after="60"/>
              <w:jc w:val="right"/>
              <w:rPr>
                <w:sz w:val="18"/>
              </w:rPr>
            </w:pPr>
          </w:p>
        </w:tc>
        <w:tc>
          <w:tcPr>
            <w:tcW w:w="0" w:type="auto"/>
            <w:shd w:val="clear" w:color="auto" w:fill="auto"/>
          </w:tcPr>
          <w:p w:rsidR="00BC788F" w:rsidRPr="00F074F9" w:rsidRDefault="00BC788F" w:rsidP="00A131BF">
            <w:pPr>
              <w:spacing w:after="60"/>
              <w:jc w:val="right"/>
              <w:rPr>
                <w:sz w:val="18"/>
              </w:rPr>
            </w:pPr>
          </w:p>
        </w:tc>
        <w:tc>
          <w:tcPr>
            <w:tcW w:w="0" w:type="auto"/>
            <w:shd w:val="clear" w:color="auto" w:fill="auto"/>
          </w:tcPr>
          <w:p w:rsidR="00BC788F" w:rsidRPr="00F074F9" w:rsidRDefault="00BC788F" w:rsidP="00A131BF">
            <w:pPr>
              <w:spacing w:after="60"/>
              <w:jc w:val="right"/>
              <w:rPr>
                <w:sz w:val="18"/>
              </w:rPr>
            </w:pPr>
          </w:p>
        </w:tc>
        <w:tc>
          <w:tcPr>
            <w:tcW w:w="1902" w:type="dxa"/>
            <w:shd w:val="clear" w:color="auto" w:fill="auto"/>
          </w:tcPr>
          <w:p w:rsidR="00BC788F" w:rsidRPr="00F074F9" w:rsidRDefault="00BC788F" w:rsidP="00B558A6">
            <w:pPr>
              <w:spacing w:after="60"/>
              <w:jc w:val="right"/>
              <w:rPr>
                <w:sz w:val="18"/>
              </w:rPr>
            </w:pPr>
            <w:r w:rsidRPr="00F074F9">
              <w:rPr>
                <w:sz w:val="18"/>
              </w:rPr>
              <w:t>0</w:t>
            </w:r>
            <w:r w:rsidR="00B558A6" w:rsidRPr="00F074F9">
              <w:rPr>
                <w:sz w:val="18"/>
              </w:rPr>
              <w:t>.04</w:t>
            </w:r>
          </w:p>
        </w:tc>
      </w:tr>
    </w:tbl>
    <w:p w:rsidR="00BC788F" w:rsidRPr="00F074F9" w:rsidRDefault="00BC788F" w:rsidP="00BC788F">
      <w:pPr>
        <w:spacing w:after="60"/>
        <w:jc w:val="cente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83"/>
        <w:gridCol w:w="560"/>
        <w:gridCol w:w="3969"/>
        <w:gridCol w:w="1091"/>
      </w:tblGrid>
      <w:tr w:rsidR="00BC788F" w:rsidRPr="00F074F9" w:rsidTr="00E63899">
        <w:trPr>
          <w:trHeight w:val="240"/>
        </w:trPr>
        <w:tc>
          <w:tcPr>
            <w:tcW w:w="10903" w:type="dxa"/>
            <w:gridSpan w:val="4"/>
            <w:shd w:val="clear" w:color="auto" w:fill="auto"/>
          </w:tcPr>
          <w:p w:rsidR="00BC788F" w:rsidRPr="00F074F9" w:rsidRDefault="00BC788F" w:rsidP="00A131BF">
            <w:pPr>
              <w:spacing w:after="60"/>
              <w:jc w:val="left"/>
              <w:rPr>
                <w:b/>
                <w:sz w:val="18"/>
              </w:rPr>
            </w:pPr>
            <w:r w:rsidRPr="00F074F9">
              <w:rPr>
                <w:b/>
                <w:sz w:val="18"/>
              </w:rPr>
              <w:t>(IV) CONSUMPTION DATA (ODP tonnes)</w:t>
            </w:r>
          </w:p>
        </w:tc>
      </w:tr>
      <w:tr w:rsidR="00BC788F" w:rsidRPr="00F074F9" w:rsidTr="00E63899">
        <w:trPr>
          <w:trHeight w:val="240"/>
        </w:trPr>
        <w:tc>
          <w:tcPr>
            <w:tcW w:w="5005" w:type="dxa"/>
            <w:shd w:val="clear" w:color="auto" w:fill="auto"/>
          </w:tcPr>
          <w:p w:rsidR="00BC788F" w:rsidRPr="00F074F9" w:rsidRDefault="00BC788F" w:rsidP="00A131BF">
            <w:pPr>
              <w:spacing w:after="60"/>
              <w:jc w:val="center"/>
              <w:rPr>
                <w:sz w:val="18"/>
              </w:rPr>
            </w:pPr>
            <w:r w:rsidRPr="00F074F9">
              <w:rPr>
                <w:sz w:val="18"/>
              </w:rPr>
              <w:t>2009 - 2010 baseline:</w:t>
            </w:r>
          </w:p>
        </w:tc>
        <w:tc>
          <w:tcPr>
            <w:tcW w:w="0" w:type="auto"/>
            <w:shd w:val="clear" w:color="auto" w:fill="auto"/>
          </w:tcPr>
          <w:p w:rsidR="00BC788F" w:rsidRPr="00F074F9" w:rsidRDefault="00BC788F" w:rsidP="00A131BF">
            <w:pPr>
              <w:spacing w:after="60"/>
              <w:jc w:val="right"/>
              <w:rPr>
                <w:sz w:val="18"/>
              </w:rPr>
            </w:pPr>
            <w:r w:rsidRPr="00F074F9">
              <w:rPr>
                <w:sz w:val="18"/>
              </w:rPr>
              <w:t>1.8</w:t>
            </w:r>
          </w:p>
        </w:tc>
        <w:tc>
          <w:tcPr>
            <w:tcW w:w="0" w:type="auto"/>
            <w:shd w:val="clear" w:color="auto" w:fill="auto"/>
          </w:tcPr>
          <w:p w:rsidR="00BC788F" w:rsidRPr="00F074F9" w:rsidRDefault="00BC788F" w:rsidP="00A131BF">
            <w:pPr>
              <w:spacing w:after="60"/>
              <w:jc w:val="center"/>
              <w:rPr>
                <w:sz w:val="18"/>
              </w:rPr>
            </w:pPr>
            <w:r w:rsidRPr="00F074F9">
              <w:rPr>
                <w:sz w:val="18"/>
              </w:rPr>
              <w:t>Starting point for sustained aggregate reductions:</w:t>
            </w:r>
          </w:p>
        </w:tc>
        <w:tc>
          <w:tcPr>
            <w:tcW w:w="1034" w:type="dxa"/>
            <w:shd w:val="clear" w:color="auto" w:fill="auto"/>
          </w:tcPr>
          <w:p w:rsidR="00BC788F" w:rsidRPr="00F074F9" w:rsidRDefault="00BC788F" w:rsidP="00A131BF">
            <w:pPr>
              <w:spacing w:after="60"/>
              <w:jc w:val="right"/>
              <w:rPr>
                <w:sz w:val="18"/>
              </w:rPr>
            </w:pPr>
            <w:r w:rsidRPr="00F074F9">
              <w:rPr>
                <w:sz w:val="18"/>
              </w:rPr>
              <w:t>3.35</w:t>
            </w:r>
          </w:p>
        </w:tc>
      </w:tr>
      <w:tr w:rsidR="00BC788F" w:rsidRPr="00F074F9" w:rsidTr="00E63899">
        <w:trPr>
          <w:trHeight w:val="240"/>
        </w:trPr>
        <w:tc>
          <w:tcPr>
            <w:tcW w:w="10903" w:type="dxa"/>
            <w:gridSpan w:val="4"/>
            <w:shd w:val="clear" w:color="auto" w:fill="auto"/>
          </w:tcPr>
          <w:p w:rsidR="00BC788F" w:rsidRPr="00F074F9" w:rsidRDefault="00BC788F" w:rsidP="00A131BF">
            <w:pPr>
              <w:spacing w:after="60"/>
              <w:jc w:val="center"/>
              <w:rPr>
                <w:b/>
                <w:sz w:val="18"/>
              </w:rPr>
            </w:pPr>
            <w:r w:rsidRPr="00F074F9">
              <w:rPr>
                <w:b/>
                <w:sz w:val="18"/>
              </w:rPr>
              <w:t>CONSUMPTION ELIGIBLE FOR FUNDING (ODP tonnes)</w:t>
            </w:r>
          </w:p>
        </w:tc>
      </w:tr>
      <w:tr w:rsidR="00BC788F" w:rsidRPr="00F074F9" w:rsidTr="00E63899">
        <w:trPr>
          <w:trHeight w:val="240"/>
        </w:trPr>
        <w:tc>
          <w:tcPr>
            <w:tcW w:w="5005" w:type="dxa"/>
            <w:shd w:val="clear" w:color="auto" w:fill="auto"/>
          </w:tcPr>
          <w:p w:rsidR="00BC788F" w:rsidRPr="00F074F9" w:rsidRDefault="00BC788F" w:rsidP="00A131BF">
            <w:pPr>
              <w:spacing w:after="60"/>
              <w:jc w:val="center"/>
              <w:rPr>
                <w:sz w:val="18"/>
              </w:rPr>
            </w:pPr>
            <w:r w:rsidRPr="00F074F9">
              <w:rPr>
                <w:sz w:val="18"/>
              </w:rPr>
              <w:t>Already approved:</w:t>
            </w:r>
          </w:p>
        </w:tc>
        <w:tc>
          <w:tcPr>
            <w:tcW w:w="0" w:type="auto"/>
            <w:shd w:val="clear" w:color="auto" w:fill="auto"/>
          </w:tcPr>
          <w:p w:rsidR="00BC788F" w:rsidRPr="00F074F9" w:rsidRDefault="00BC788F" w:rsidP="00A131BF">
            <w:pPr>
              <w:spacing w:after="60"/>
              <w:jc w:val="right"/>
              <w:rPr>
                <w:sz w:val="18"/>
              </w:rPr>
            </w:pPr>
            <w:r w:rsidRPr="00F074F9">
              <w:rPr>
                <w:sz w:val="18"/>
              </w:rPr>
              <w:t>2.18</w:t>
            </w:r>
          </w:p>
        </w:tc>
        <w:tc>
          <w:tcPr>
            <w:tcW w:w="0" w:type="auto"/>
            <w:shd w:val="clear" w:color="auto" w:fill="auto"/>
          </w:tcPr>
          <w:p w:rsidR="00BC788F" w:rsidRPr="00F074F9" w:rsidRDefault="00BC788F" w:rsidP="00A131BF">
            <w:pPr>
              <w:spacing w:after="60"/>
              <w:jc w:val="center"/>
              <w:rPr>
                <w:sz w:val="18"/>
              </w:rPr>
            </w:pPr>
            <w:r w:rsidRPr="00F074F9">
              <w:rPr>
                <w:sz w:val="18"/>
              </w:rPr>
              <w:t>Remaining:</w:t>
            </w:r>
          </w:p>
        </w:tc>
        <w:tc>
          <w:tcPr>
            <w:tcW w:w="1034" w:type="dxa"/>
            <w:shd w:val="clear" w:color="auto" w:fill="auto"/>
          </w:tcPr>
          <w:p w:rsidR="00BC788F" w:rsidRPr="00F074F9" w:rsidRDefault="00BC788F" w:rsidP="00A131BF">
            <w:pPr>
              <w:spacing w:after="60"/>
              <w:jc w:val="right"/>
              <w:rPr>
                <w:sz w:val="18"/>
              </w:rPr>
            </w:pPr>
            <w:r w:rsidRPr="00F074F9">
              <w:rPr>
                <w:sz w:val="18"/>
              </w:rPr>
              <w:t>1.17</w:t>
            </w:r>
          </w:p>
        </w:tc>
      </w:tr>
    </w:tbl>
    <w:p w:rsidR="00BC788F" w:rsidRPr="00F074F9" w:rsidRDefault="00BC788F" w:rsidP="00BC788F"/>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24"/>
        <w:gridCol w:w="3329"/>
        <w:gridCol w:w="1165"/>
        <w:gridCol w:w="1166"/>
        <w:gridCol w:w="1165"/>
        <w:gridCol w:w="2254"/>
      </w:tblGrid>
      <w:tr w:rsidR="00B52FDE" w:rsidRPr="00F074F9" w:rsidTr="00E63899">
        <w:trPr>
          <w:trHeight w:val="257"/>
        </w:trPr>
        <w:tc>
          <w:tcPr>
            <w:tcW w:w="5153" w:type="dxa"/>
            <w:gridSpan w:val="2"/>
            <w:shd w:val="clear" w:color="auto" w:fill="auto"/>
          </w:tcPr>
          <w:p w:rsidR="00B52FDE" w:rsidRPr="00F074F9" w:rsidRDefault="00B52FDE" w:rsidP="00A131BF">
            <w:pPr>
              <w:spacing w:after="60"/>
              <w:jc w:val="left"/>
              <w:rPr>
                <w:b/>
                <w:sz w:val="18"/>
              </w:rPr>
            </w:pPr>
            <w:r w:rsidRPr="00F074F9">
              <w:rPr>
                <w:b/>
                <w:sz w:val="18"/>
              </w:rPr>
              <w:t>(V) BUSINESS PLAN</w:t>
            </w:r>
          </w:p>
        </w:tc>
        <w:tc>
          <w:tcPr>
            <w:tcW w:w="1165" w:type="dxa"/>
            <w:shd w:val="clear" w:color="auto" w:fill="auto"/>
          </w:tcPr>
          <w:p w:rsidR="00B52FDE" w:rsidRPr="00F074F9" w:rsidRDefault="00B52FDE" w:rsidP="00A131BF">
            <w:pPr>
              <w:spacing w:after="60"/>
              <w:jc w:val="center"/>
              <w:rPr>
                <w:b/>
                <w:sz w:val="18"/>
              </w:rPr>
            </w:pPr>
            <w:r w:rsidRPr="00F074F9">
              <w:rPr>
                <w:b/>
                <w:sz w:val="18"/>
              </w:rPr>
              <w:t>2018</w:t>
            </w:r>
          </w:p>
        </w:tc>
        <w:tc>
          <w:tcPr>
            <w:tcW w:w="1166" w:type="dxa"/>
            <w:shd w:val="clear" w:color="auto" w:fill="auto"/>
          </w:tcPr>
          <w:p w:rsidR="00B52FDE" w:rsidRPr="00F074F9" w:rsidRDefault="00B52FDE" w:rsidP="00A131BF">
            <w:pPr>
              <w:spacing w:after="60"/>
              <w:jc w:val="center"/>
              <w:rPr>
                <w:b/>
                <w:sz w:val="18"/>
              </w:rPr>
            </w:pPr>
            <w:r w:rsidRPr="00F074F9">
              <w:rPr>
                <w:b/>
                <w:sz w:val="18"/>
              </w:rPr>
              <w:t>2019</w:t>
            </w:r>
          </w:p>
        </w:tc>
        <w:tc>
          <w:tcPr>
            <w:tcW w:w="1165" w:type="dxa"/>
            <w:shd w:val="clear" w:color="auto" w:fill="auto"/>
          </w:tcPr>
          <w:p w:rsidR="00B52FDE" w:rsidRPr="00F074F9" w:rsidRDefault="00B52FDE" w:rsidP="00A131BF">
            <w:pPr>
              <w:spacing w:after="60"/>
              <w:jc w:val="center"/>
              <w:rPr>
                <w:b/>
                <w:sz w:val="18"/>
              </w:rPr>
            </w:pPr>
            <w:r w:rsidRPr="00F074F9">
              <w:rPr>
                <w:b/>
                <w:sz w:val="18"/>
              </w:rPr>
              <w:t>2020</w:t>
            </w:r>
          </w:p>
        </w:tc>
        <w:tc>
          <w:tcPr>
            <w:tcW w:w="2254" w:type="dxa"/>
            <w:shd w:val="clear" w:color="auto" w:fill="auto"/>
          </w:tcPr>
          <w:p w:rsidR="00B52FDE" w:rsidRPr="00F074F9" w:rsidRDefault="00B52FDE" w:rsidP="00A131BF">
            <w:pPr>
              <w:spacing w:after="60"/>
              <w:jc w:val="center"/>
              <w:rPr>
                <w:b/>
                <w:sz w:val="18"/>
              </w:rPr>
            </w:pPr>
            <w:r w:rsidRPr="00F074F9">
              <w:rPr>
                <w:b/>
                <w:sz w:val="18"/>
              </w:rPr>
              <w:t>Total</w:t>
            </w:r>
          </w:p>
        </w:tc>
      </w:tr>
      <w:tr w:rsidR="00B52FDE" w:rsidRPr="00F074F9" w:rsidTr="00E63899">
        <w:trPr>
          <w:trHeight w:val="257"/>
        </w:trPr>
        <w:tc>
          <w:tcPr>
            <w:tcW w:w="1824" w:type="dxa"/>
            <w:vMerge w:val="restart"/>
            <w:shd w:val="clear" w:color="auto" w:fill="auto"/>
          </w:tcPr>
          <w:p w:rsidR="00B52FDE" w:rsidRPr="00F074F9" w:rsidRDefault="00B52FDE" w:rsidP="00B52FDE">
            <w:pPr>
              <w:spacing w:after="60"/>
              <w:jc w:val="center"/>
              <w:rPr>
                <w:sz w:val="18"/>
              </w:rPr>
            </w:pPr>
            <w:r w:rsidRPr="00F074F9">
              <w:rPr>
                <w:sz w:val="18"/>
              </w:rPr>
              <w:t>UNIDO</w:t>
            </w:r>
          </w:p>
        </w:tc>
        <w:tc>
          <w:tcPr>
            <w:tcW w:w="0" w:type="auto"/>
            <w:shd w:val="clear" w:color="auto" w:fill="auto"/>
          </w:tcPr>
          <w:p w:rsidR="00B52FDE" w:rsidRPr="00F074F9" w:rsidRDefault="00B52FDE" w:rsidP="00B52FDE">
            <w:pPr>
              <w:spacing w:after="60"/>
              <w:jc w:val="left"/>
              <w:rPr>
                <w:sz w:val="18"/>
              </w:rPr>
            </w:pPr>
            <w:r w:rsidRPr="00F074F9">
              <w:rPr>
                <w:sz w:val="18"/>
              </w:rPr>
              <w:t>ODS phase-out (ODP tonnes)</w:t>
            </w:r>
          </w:p>
        </w:tc>
        <w:tc>
          <w:tcPr>
            <w:tcW w:w="1165" w:type="dxa"/>
            <w:shd w:val="clear" w:color="auto" w:fill="auto"/>
          </w:tcPr>
          <w:p w:rsidR="00B52FDE" w:rsidRPr="00F074F9" w:rsidRDefault="00B52FDE" w:rsidP="00B52FDE">
            <w:pPr>
              <w:spacing w:after="60"/>
              <w:jc w:val="right"/>
              <w:rPr>
                <w:sz w:val="18"/>
                <w:lang w:val="en-CA"/>
              </w:rPr>
            </w:pPr>
            <w:r w:rsidRPr="00F074F9">
              <w:rPr>
                <w:sz w:val="18"/>
                <w:lang w:val="en-CA"/>
              </w:rPr>
              <w:t>0.2</w:t>
            </w:r>
            <w:r w:rsidR="007F2224" w:rsidRPr="00F074F9">
              <w:rPr>
                <w:sz w:val="18"/>
                <w:lang w:val="en-CA"/>
              </w:rPr>
              <w:t>4</w:t>
            </w:r>
          </w:p>
        </w:tc>
        <w:tc>
          <w:tcPr>
            <w:tcW w:w="1166" w:type="dxa"/>
            <w:shd w:val="clear" w:color="auto" w:fill="auto"/>
          </w:tcPr>
          <w:p w:rsidR="00B52FDE" w:rsidRPr="00F074F9" w:rsidRDefault="00B52FDE" w:rsidP="00B52FDE">
            <w:pPr>
              <w:spacing w:after="60"/>
              <w:jc w:val="right"/>
              <w:rPr>
                <w:sz w:val="18"/>
                <w:lang w:val="en-CA"/>
              </w:rPr>
            </w:pPr>
            <w:r w:rsidRPr="00F074F9">
              <w:rPr>
                <w:sz w:val="18"/>
                <w:lang w:val="en-CA"/>
              </w:rPr>
              <w:t>0.1</w:t>
            </w:r>
            <w:r w:rsidR="007F2224" w:rsidRPr="00F074F9">
              <w:rPr>
                <w:sz w:val="18"/>
                <w:lang w:val="en-CA"/>
              </w:rPr>
              <w:t>4</w:t>
            </w:r>
          </w:p>
        </w:tc>
        <w:tc>
          <w:tcPr>
            <w:tcW w:w="1165" w:type="dxa"/>
            <w:shd w:val="clear" w:color="auto" w:fill="auto"/>
          </w:tcPr>
          <w:p w:rsidR="00B52FDE" w:rsidRPr="00F074F9" w:rsidRDefault="00B52FDE" w:rsidP="00B52FDE">
            <w:pPr>
              <w:spacing w:after="60"/>
              <w:jc w:val="right"/>
              <w:rPr>
                <w:sz w:val="18"/>
                <w:lang w:val="en-CA"/>
              </w:rPr>
            </w:pPr>
            <w:r w:rsidRPr="00F074F9">
              <w:rPr>
                <w:sz w:val="18"/>
                <w:lang w:val="en-CA"/>
              </w:rPr>
              <w:t>0.1</w:t>
            </w:r>
            <w:r w:rsidR="007F2224" w:rsidRPr="00F074F9">
              <w:rPr>
                <w:sz w:val="18"/>
                <w:lang w:val="en-CA"/>
              </w:rPr>
              <w:t>4</w:t>
            </w:r>
          </w:p>
        </w:tc>
        <w:tc>
          <w:tcPr>
            <w:tcW w:w="2254" w:type="dxa"/>
            <w:shd w:val="clear" w:color="auto" w:fill="auto"/>
          </w:tcPr>
          <w:p w:rsidR="00B52FDE" w:rsidRPr="00F074F9" w:rsidRDefault="007F2224" w:rsidP="00B52FDE">
            <w:pPr>
              <w:spacing w:after="60"/>
              <w:jc w:val="right"/>
              <w:rPr>
                <w:sz w:val="18"/>
                <w:lang w:val="en-CA"/>
              </w:rPr>
            </w:pPr>
            <w:r w:rsidRPr="00F074F9">
              <w:rPr>
                <w:sz w:val="18"/>
                <w:lang w:val="en-CA"/>
              </w:rPr>
              <w:fldChar w:fldCharType="begin"/>
            </w:r>
            <w:r w:rsidRPr="00F074F9">
              <w:rPr>
                <w:sz w:val="18"/>
                <w:lang w:val="en-CA"/>
              </w:rPr>
              <w:instrText xml:space="preserve"> =SUM(LEFT)\ </w:instrText>
            </w:r>
            <w:r w:rsidRPr="00F074F9">
              <w:rPr>
                <w:sz w:val="18"/>
                <w:lang w:val="en-CA"/>
              </w:rPr>
              <w:fldChar w:fldCharType="separate"/>
            </w:r>
            <w:r w:rsidRPr="00F074F9">
              <w:rPr>
                <w:noProof/>
                <w:sz w:val="18"/>
                <w:lang w:val="en-CA"/>
              </w:rPr>
              <w:t>0.52</w:t>
            </w:r>
            <w:r w:rsidRPr="00F074F9">
              <w:rPr>
                <w:sz w:val="18"/>
                <w:lang w:val="en-CA"/>
              </w:rPr>
              <w:fldChar w:fldCharType="end"/>
            </w:r>
          </w:p>
        </w:tc>
      </w:tr>
      <w:tr w:rsidR="00B52FDE" w:rsidRPr="00F074F9" w:rsidTr="00E63899">
        <w:trPr>
          <w:trHeight w:val="257"/>
        </w:trPr>
        <w:tc>
          <w:tcPr>
            <w:tcW w:w="1824" w:type="dxa"/>
            <w:vMerge/>
            <w:shd w:val="clear" w:color="auto" w:fill="auto"/>
          </w:tcPr>
          <w:p w:rsidR="00B52FDE" w:rsidRPr="00F074F9" w:rsidRDefault="00B52FDE" w:rsidP="00B52FDE">
            <w:pPr>
              <w:spacing w:after="60"/>
              <w:jc w:val="center"/>
              <w:rPr>
                <w:sz w:val="18"/>
              </w:rPr>
            </w:pPr>
          </w:p>
        </w:tc>
        <w:tc>
          <w:tcPr>
            <w:tcW w:w="0" w:type="auto"/>
            <w:shd w:val="clear" w:color="auto" w:fill="auto"/>
          </w:tcPr>
          <w:p w:rsidR="00B52FDE" w:rsidRPr="00F074F9" w:rsidRDefault="00B52FDE" w:rsidP="00B52FDE">
            <w:pPr>
              <w:spacing w:after="60"/>
              <w:jc w:val="left"/>
              <w:rPr>
                <w:sz w:val="18"/>
              </w:rPr>
            </w:pPr>
            <w:r w:rsidRPr="00F074F9">
              <w:rPr>
                <w:sz w:val="18"/>
              </w:rPr>
              <w:t>Funding (US $)</w:t>
            </w:r>
          </w:p>
        </w:tc>
        <w:tc>
          <w:tcPr>
            <w:tcW w:w="1165" w:type="dxa"/>
            <w:shd w:val="clear" w:color="auto" w:fill="auto"/>
          </w:tcPr>
          <w:p w:rsidR="00B52FDE" w:rsidRPr="00F074F9" w:rsidRDefault="00B52FDE" w:rsidP="00B52FDE">
            <w:pPr>
              <w:spacing w:after="60"/>
              <w:jc w:val="right"/>
              <w:rPr>
                <w:sz w:val="18"/>
                <w:lang w:val="en-CA"/>
              </w:rPr>
            </w:pPr>
            <w:r w:rsidRPr="00F074F9">
              <w:rPr>
                <w:sz w:val="18"/>
                <w:lang w:val="en-CA"/>
              </w:rPr>
              <w:t>140,825</w:t>
            </w:r>
          </w:p>
        </w:tc>
        <w:tc>
          <w:tcPr>
            <w:tcW w:w="1166" w:type="dxa"/>
            <w:shd w:val="clear" w:color="auto" w:fill="auto"/>
          </w:tcPr>
          <w:p w:rsidR="00B52FDE" w:rsidRPr="00F074F9" w:rsidRDefault="00B52FDE" w:rsidP="00B52FDE">
            <w:pPr>
              <w:spacing w:after="60"/>
              <w:jc w:val="right"/>
              <w:rPr>
                <w:sz w:val="18"/>
                <w:lang w:val="en-CA"/>
              </w:rPr>
            </w:pPr>
            <w:r w:rsidRPr="00F074F9">
              <w:rPr>
                <w:sz w:val="18"/>
                <w:lang w:val="en-CA"/>
              </w:rPr>
              <w:t>80,625</w:t>
            </w:r>
          </w:p>
        </w:tc>
        <w:tc>
          <w:tcPr>
            <w:tcW w:w="1165" w:type="dxa"/>
            <w:shd w:val="clear" w:color="auto" w:fill="auto"/>
          </w:tcPr>
          <w:p w:rsidR="00B52FDE" w:rsidRPr="00F074F9" w:rsidRDefault="00B52FDE" w:rsidP="00B52FDE">
            <w:pPr>
              <w:spacing w:after="60"/>
              <w:jc w:val="right"/>
              <w:rPr>
                <w:sz w:val="18"/>
                <w:lang w:val="en-CA"/>
              </w:rPr>
            </w:pPr>
            <w:r w:rsidRPr="00F074F9">
              <w:rPr>
                <w:sz w:val="18"/>
                <w:lang w:val="en-CA"/>
              </w:rPr>
              <w:t>80,625</w:t>
            </w:r>
          </w:p>
        </w:tc>
        <w:tc>
          <w:tcPr>
            <w:tcW w:w="2254" w:type="dxa"/>
            <w:shd w:val="clear" w:color="auto" w:fill="auto"/>
          </w:tcPr>
          <w:p w:rsidR="00B52FDE" w:rsidRPr="00F074F9" w:rsidRDefault="007F2224" w:rsidP="00B52FDE">
            <w:pPr>
              <w:spacing w:after="60"/>
              <w:jc w:val="right"/>
              <w:rPr>
                <w:sz w:val="18"/>
                <w:lang w:val="en-CA"/>
              </w:rPr>
            </w:pPr>
            <w:r w:rsidRPr="00F074F9">
              <w:rPr>
                <w:sz w:val="18"/>
                <w:lang w:val="en-CA"/>
              </w:rPr>
              <w:fldChar w:fldCharType="begin"/>
            </w:r>
            <w:r w:rsidRPr="00F074F9">
              <w:rPr>
                <w:sz w:val="18"/>
                <w:lang w:val="en-CA"/>
              </w:rPr>
              <w:instrText xml:space="preserve"> =SUM(left) </w:instrText>
            </w:r>
            <w:r w:rsidRPr="00F074F9">
              <w:rPr>
                <w:sz w:val="18"/>
                <w:lang w:val="en-CA"/>
              </w:rPr>
              <w:fldChar w:fldCharType="separate"/>
            </w:r>
            <w:r w:rsidRPr="00F074F9">
              <w:rPr>
                <w:noProof/>
                <w:sz w:val="18"/>
                <w:lang w:val="en-CA"/>
              </w:rPr>
              <w:t>302,075</w:t>
            </w:r>
            <w:r w:rsidRPr="00F074F9">
              <w:rPr>
                <w:sz w:val="18"/>
                <w:lang w:val="en-CA"/>
              </w:rPr>
              <w:fldChar w:fldCharType="end"/>
            </w:r>
          </w:p>
        </w:tc>
      </w:tr>
    </w:tbl>
    <w:p w:rsidR="00BC788F" w:rsidRPr="00F074F9" w:rsidRDefault="00BC788F" w:rsidP="00BC788F"/>
    <w:tbl>
      <w:tblPr>
        <w:tblStyle w:val="TableGrid"/>
        <w:tblW w:w="109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5"/>
        <w:gridCol w:w="764"/>
        <w:gridCol w:w="755"/>
        <w:gridCol w:w="684"/>
        <w:gridCol w:w="769"/>
        <w:gridCol w:w="769"/>
        <w:gridCol w:w="769"/>
        <w:gridCol w:w="684"/>
        <w:gridCol w:w="684"/>
        <w:gridCol w:w="684"/>
        <w:gridCol w:w="769"/>
        <w:gridCol w:w="854"/>
        <w:gridCol w:w="684"/>
        <w:gridCol w:w="684"/>
        <w:gridCol w:w="896"/>
      </w:tblGrid>
      <w:tr w:rsidR="00BC788F" w:rsidRPr="00F074F9" w:rsidTr="009E3D69">
        <w:trPr>
          <w:jc w:val="center"/>
        </w:trPr>
        <w:tc>
          <w:tcPr>
            <w:tcW w:w="2127" w:type="dxa"/>
            <w:gridSpan w:val="3"/>
            <w:shd w:val="clear" w:color="auto" w:fill="auto"/>
          </w:tcPr>
          <w:p w:rsidR="00BC788F" w:rsidRPr="00F074F9" w:rsidRDefault="00BC788F" w:rsidP="00A131BF">
            <w:pPr>
              <w:spacing w:after="60"/>
              <w:jc w:val="left"/>
              <w:rPr>
                <w:b/>
                <w:sz w:val="17"/>
                <w:szCs w:val="17"/>
              </w:rPr>
            </w:pPr>
            <w:r w:rsidRPr="00F074F9">
              <w:rPr>
                <w:b/>
                <w:sz w:val="17"/>
                <w:szCs w:val="17"/>
              </w:rPr>
              <w:t>(VI) PROJECT DATA</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2010</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2011</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2012</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2013</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2014</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2015</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2016</w:t>
            </w:r>
          </w:p>
        </w:tc>
        <w:tc>
          <w:tcPr>
            <w:tcW w:w="0" w:type="auto"/>
            <w:shd w:val="clear" w:color="auto" w:fill="auto"/>
          </w:tcPr>
          <w:p w:rsidR="00BC788F" w:rsidRPr="00F074F9" w:rsidRDefault="00BC788F" w:rsidP="00BC2417">
            <w:pPr>
              <w:spacing w:after="60"/>
              <w:jc w:val="center"/>
              <w:rPr>
                <w:b/>
                <w:sz w:val="17"/>
                <w:szCs w:val="17"/>
              </w:rPr>
            </w:pPr>
            <w:r w:rsidRPr="00F074F9">
              <w:rPr>
                <w:b/>
                <w:sz w:val="17"/>
                <w:szCs w:val="17"/>
              </w:rPr>
              <w:t>2017</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2018</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2019</w:t>
            </w:r>
          </w:p>
        </w:tc>
        <w:tc>
          <w:tcPr>
            <w:tcW w:w="0" w:type="auto"/>
            <w:shd w:val="clear" w:color="auto" w:fill="auto"/>
          </w:tcPr>
          <w:p w:rsidR="00BC788F" w:rsidRPr="00F074F9" w:rsidRDefault="00BC788F" w:rsidP="00A131BF">
            <w:pPr>
              <w:spacing w:after="60"/>
              <w:jc w:val="center"/>
              <w:rPr>
                <w:b/>
                <w:sz w:val="17"/>
                <w:szCs w:val="17"/>
              </w:rPr>
            </w:pPr>
            <w:r w:rsidRPr="00F074F9">
              <w:rPr>
                <w:b/>
                <w:sz w:val="17"/>
                <w:szCs w:val="17"/>
              </w:rPr>
              <w:t>2020</w:t>
            </w:r>
          </w:p>
        </w:tc>
        <w:tc>
          <w:tcPr>
            <w:tcW w:w="896" w:type="dxa"/>
            <w:shd w:val="clear" w:color="auto" w:fill="auto"/>
          </w:tcPr>
          <w:p w:rsidR="00BC788F" w:rsidRPr="00F074F9" w:rsidRDefault="00BC788F" w:rsidP="00A131BF">
            <w:pPr>
              <w:spacing w:after="60"/>
              <w:jc w:val="center"/>
              <w:rPr>
                <w:b/>
                <w:sz w:val="17"/>
                <w:szCs w:val="17"/>
              </w:rPr>
            </w:pPr>
            <w:r w:rsidRPr="00F074F9">
              <w:rPr>
                <w:b/>
                <w:sz w:val="17"/>
                <w:szCs w:val="17"/>
              </w:rPr>
              <w:t>Total</w:t>
            </w:r>
          </w:p>
        </w:tc>
      </w:tr>
      <w:tr w:rsidR="00BC788F" w:rsidRPr="00F074F9" w:rsidTr="009E3D69">
        <w:trPr>
          <w:jc w:val="center"/>
        </w:trPr>
        <w:tc>
          <w:tcPr>
            <w:tcW w:w="2127" w:type="dxa"/>
            <w:gridSpan w:val="3"/>
            <w:shd w:val="clear" w:color="auto" w:fill="auto"/>
          </w:tcPr>
          <w:p w:rsidR="00BC788F" w:rsidRPr="00F074F9" w:rsidRDefault="00BC788F" w:rsidP="00A131BF">
            <w:pPr>
              <w:spacing w:after="60"/>
              <w:jc w:val="left"/>
              <w:rPr>
                <w:sz w:val="17"/>
                <w:szCs w:val="17"/>
              </w:rPr>
            </w:pPr>
            <w:r w:rsidRPr="00F074F9">
              <w:rPr>
                <w:sz w:val="17"/>
                <w:szCs w:val="17"/>
              </w:rPr>
              <w:t>Montreal Protocol consumption limits</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n/a</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n/a</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n/a</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1.80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1.80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1.62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1.62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1.62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1.62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1.62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1.17</w:t>
            </w:r>
          </w:p>
        </w:tc>
        <w:tc>
          <w:tcPr>
            <w:tcW w:w="896" w:type="dxa"/>
            <w:shd w:val="clear" w:color="auto" w:fill="auto"/>
          </w:tcPr>
          <w:p w:rsidR="00BC788F" w:rsidRPr="00F074F9" w:rsidRDefault="00BC788F" w:rsidP="00A131BF">
            <w:pPr>
              <w:spacing w:after="60"/>
              <w:jc w:val="right"/>
              <w:rPr>
                <w:sz w:val="17"/>
                <w:szCs w:val="17"/>
              </w:rPr>
            </w:pPr>
            <w:r w:rsidRPr="00F074F9">
              <w:rPr>
                <w:sz w:val="17"/>
                <w:szCs w:val="17"/>
              </w:rPr>
              <w:t>n/a</w:t>
            </w:r>
          </w:p>
        </w:tc>
      </w:tr>
      <w:tr w:rsidR="00BC788F" w:rsidRPr="00F074F9" w:rsidTr="009E3D69">
        <w:trPr>
          <w:jc w:val="center"/>
        </w:trPr>
        <w:tc>
          <w:tcPr>
            <w:tcW w:w="2127" w:type="dxa"/>
            <w:gridSpan w:val="3"/>
            <w:shd w:val="clear" w:color="auto" w:fill="auto"/>
          </w:tcPr>
          <w:p w:rsidR="00BC788F" w:rsidRPr="00F074F9" w:rsidRDefault="00BC788F" w:rsidP="00A131BF">
            <w:pPr>
              <w:spacing w:after="60"/>
              <w:jc w:val="left"/>
              <w:rPr>
                <w:sz w:val="17"/>
                <w:szCs w:val="17"/>
              </w:rPr>
            </w:pPr>
            <w:r w:rsidRPr="00F074F9">
              <w:rPr>
                <w:sz w:val="17"/>
                <w:szCs w:val="17"/>
              </w:rPr>
              <w:t>Maximum allowable consumption (ODP tonnes)</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n/a</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n/a</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n/a</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1.80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1.80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1.62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1.53</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1.44</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1.35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1.26</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1.17</w:t>
            </w:r>
          </w:p>
        </w:tc>
        <w:tc>
          <w:tcPr>
            <w:tcW w:w="896" w:type="dxa"/>
            <w:shd w:val="clear" w:color="auto" w:fill="auto"/>
          </w:tcPr>
          <w:p w:rsidR="00BC788F" w:rsidRPr="00F074F9" w:rsidRDefault="00BC788F" w:rsidP="00A131BF">
            <w:pPr>
              <w:spacing w:after="60"/>
              <w:jc w:val="right"/>
              <w:rPr>
                <w:sz w:val="17"/>
                <w:szCs w:val="17"/>
              </w:rPr>
            </w:pPr>
            <w:r w:rsidRPr="00F074F9">
              <w:rPr>
                <w:sz w:val="17"/>
                <w:szCs w:val="17"/>
              </w:rPr>
              <w:t>n/a</w:t>
            </w:r>
          </w:p>
        </w:tc>
      </w:tr>
      <w:tr w:rsidR="00BC788F" w:rsidRPr="00F074F9" w:rsidTr="009E3D69">
        <w:trPr>
          <w:jc w:val="center"/>
        </w:trPr>
        <w:tc>
          <w:tcPr>
            <w:tcW w:w="608" w:type="dxa"/>
            <w:vMerge w:val="restart"/>
            <w:shd w:val="clear" w:color="auto" w:fill="auto"/>
          </w:tcPr>
          <w:p w:rsidR="00BC788F" w:rsidRPr="00F074F9" w:rsidRDefault="00BC788F" w:rsidP="00A131BF">
            <w:pPr>
              <w:spacing w:after="60"/>
              <w:jc w:val="left"/>
              <w:rPr>
                <w:sz w:val="17"/>
                <w:szCs w:val="17"/>
              </w:rPr>
            </w:pPr>
            <w:r w:rsidRPr="00F074F9">
              <w:rPr>
                <w:sz w:val="17"/>
                <w:szCs w:val="17"/>
              </w:rPr>
              <w:t>Agreed funding (US $)</w:t>
            </w:r>
          </w:p>
        </w:tc>
        <w:tc>
          <w:tcPr>
            <w:tcW w:w="0" w:type="auto"/>
            <w:vMerge w:val="restart"/>
            <w:shd w:val="clear" w:color="auto" w:fill="auto"/>
          </w:tcPr>
          <w:p w:rsidR="00BC788F" w:rsidRPr="00F074F9" w:rsidRDefault="00BC788F" w:rsidP="00A131BF">
            <w:pPr>
              <w:spacing w:after="60"/>
              <w:jc w:val="center"/>
              <w:rPr>
                <w:sz w:val="17"/>
                <w:szCs w:val="17"/>
              </w:rPr>
            </w:pPr>
            <w:r w:rsidRPr="00F074F9">
              <w:rPr>
                <w:sz w:val="17"/>
                <w:szCs w:val="17"/>
              </w:rPr>
              <w:t>UNIDO</w:t>
            </w:r>
          </w:p>
        </w:tc>
        <w:tc>
          <w:tcPr>
            <w:tcW w:w="0" w:type="auto"/>
            <w:shd w:val="clear" w:color="auto" w:fill="auto"/>
          </w:tcPr>
          <w:p w:rsidR="00BC788F" w:rsidRPr="00F074F9" w:rsidRDefault="00BC788F" w:rsidP="00A131BF">
            <w:pPr>
              <w:spacing w:after="60"/>
              <w:jc w:val="left"/>
              <w:rPr>
                <w:sz w:val="17"/>
                <w:szCs w:val="17"/>
              </w:rPr>
            </w:pPr>
            <w:r w:rsidRPr="00F074F9">
              <w:rPr>
                <w:sz w:val="17"/>
                <w:szCs w:val="17"/>
              </w:rPr>
              <w:t>Project costs</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15,000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107,000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294,955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148,000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82,000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82,000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82,000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131,000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75,000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75,000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75,000</w:t>
            </w:r>
          </w:p>
        </w:tc>
        <w:tc>
          <w:tcPr>
            <w:tcW w:w="896" w:type="dxa"/>
            <w:shd w:val="clear" w:color="auto" w:fill="auto"/>
          </w:tcPr>
          <w:p w:rsidR="00BC788F" w:rsidRPr="00F074F9" w:rsidRDefault="00BC788F" w:rsidP="00A131BF">
            <w:pPr>
              <w:spacing w:after="60"/>
              <w:jc w:val="right"/>
              <w:rPr>
                <w:sz w:val="17"/>
                <w:szCs w:val="17"/>
              </w:rPr>
            </w:pPr>
            <w:r w:rsidRPr="00F074F9">
              <w:rPr>
                <w:sz w:val="17"/>
                <w:szCs w:val="17"/>
              </w:rPr>
              <w:t>1,166,955</w:t>
            </w:r>
          </w:p>
        </w:tc>
      </w:tr>
      <w:tr w:rsidR="00BC788F" w:rsidRPr="00F074F9" w:rsidTr="009E3D69">
        <w:trPr>
          <w:jc w:val="center"/>
        </w:trPr>
        <w:tc>
          <w:tcPr>
            <w:tcW w:w="608" w:type="dxa"/>
            <w:vMerge/>
            <w:shd w:val="clear" w:color="auto" w:fill="auto"/>
          </w:tcPr>
          <w:p w:rsidR="00BC788F" w:rsidRPr="00F074F9" w:rsidRDefault="00BC788F" w:rsidP="00A131BF">
            <w:pPr>
              <w:spacing w:after="60"/>
              <w:jc w:val="center"/>
              <w:rPr>
                <w:sz w:val="17"/>
                <w:szCs w:val="17"/>
              </w:rPr>
            </w:pPr>
          </w:p>
        </w:tc>
        <w:tc>
          <w:tcPr>
            <w:tcW w:w="0" w:type="auto"/>
            <w:vMerge/>
            <w:shd w:val="clear" w:color="auto" w:fill="auto"/>
          </w:tcPr>
          <w:p w:rsidR="00BC788F" w:rsidRPr="00F074F9" w:rsidRDefault="00BC788F" w:rsidP="00A131BF">
            <w:pPr>
              <w:spacing w:after="60"/>
              <w:jc w:val="center"/>
              <w:rPr>
                <w:sz w:val="17"/>
                <w:szCs w:val="17"/>
              </w:rPr>
            </w:pPr>
          </w:p>
        </w:tc>
        <w:tc>
          <w:tcPr>
            <w:tcW w:w="0" w:type="auto"/>
            <w:shd w:val="clear" w:color="auto" w:fill="auto"/>
          </w:tcPr>
          <w:p w:rsidR="00BC788F" w:rsidRPr="00F074F9" w:rsidRDefault="00BC788F" w:rsidP="00A131BF">
            <w:pPr>
              <w:spacing w:after="60"/>
              <w:jc w:val="left"/>
              <w:rPr>
                <w:sz w:val="17"/>
                <w:szCs w:val="17"/>
              </w:rPr>
            </w:pPr>
            <w:r w:rsidRPr="00F074F9">
              <w:rPr>
                <w:sz w:val="17"/>
                <w:szCs w:val="17"/>
              </w:rPr>
              <w:t>Support costs</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1,125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8,025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22,122</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11,100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6,150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6,150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6,150</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9,825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5,625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5,625</w:t>
            </w:r>
          </w:p>
        </w:tc>
        <w:tc>
          <w:tcPr>
            <w:tcW w:w="0" w:type="auto"/>
            <w:shd w:val="clear" w:color="auto" w:fill="auto"/>
          </w:tcPr>
          <w:p w:rsidR="00BC788F" w:rsidRPr="00F074F9" w:rsidRDefault="00BC788F" w:rsidP="00A131BF">
            <w:pPr>
              <w:spacing w:after="60"/>
              <w:jc w:val="right"/>
              <w:rPr>
                <w:sz w:val="17"/>
                <w:szCs w:val="17"/>
              </w:rPr>
            </w:pPr>
            <w:r w:rsidRPr="00F074F9">
              <w:rPr>
                <w:sz w:val="17"/>
                <w:szCs w:val="17"/>
              </w:rPr>
              <w:t>5,625</w:t>
            </w:r>
          </w:p>
        </w:tc>
        <w:tc>
          <w:tcPr>
            <w:tcW w:w="896" w:type="dxa"/>
            <w:shd w:val="clear" w:color="auto" w:fill="auto"/>
          </w:tcPr>
          <w:p w:rsidR="00BC788F" w:rsidRPr="00F074F9" w:rsidRDefault="00BC788F" w:rsidP="00A131BF">
            <w:pPr>
              <w:spacing w:after="60"/>
              <w:jc w:val="right"/>
              <w:rPr>
                <w:sz w:val="17"/>
                <w:szCs w:val="17"/>
              </w:rPr>
            </w:pPr>
            <w:r w:rsidRPr="00F074F9">
              <w:rPr>
                <w:sz w:val="17"/>
                <w:szCs w:val="17"/>
              </w:rPr>
              <w:t>87,522</w:t>
            </w:r>
          </w:p>
        </w:tc>
      </w:tr>
      <w:tr w:rsidR="00BC788F" w:rsidRPr="00F074F9" w:rsidTr="009E3D69">
        <w:trPr>
          <w:jc w:val="center"/>
        </w:trPr>
        <w:tc>
          <w:tcPr>
            <w:tcW w:w="1372" w:type="dxa"/>
            <w:gridSpan w:val="2"/>
            <w:vMerge w:val="restart"/>
            <w:shd w:val="clear" w:color="auto" w:fill="auto"/>
          </w:tcPr>
          <w:p w:rsidR="00BC788F" w:rsidRPr="00F074F9" w:rsidRDefault="00BC788F" w:rsidP="00BC788F">
            <w:pPr>
              <w:spacing w:after="60"/>
              <w:jc w:val="left"/>
              <w:rPr>
                <w:sz w:val="17"/>
                <w:szCs w:val="17"/>
              </w:rPr>
            </w:pPr>
            <w:r w:rsidRPr="00F074F9">
              <w:rPr>
                <w:sz w:val="17"/>
                <w:szCs w:val="17"/>
              </w:rPr>
              <w:t>Funds approved by ExCom (US $)</w:t>
            </w:r>
          </w:p>
        </w:tc>
        <w:tc>
          <w:tcPr>
            <w:tcW w:w="0" w:type="auto"/>
            <w:shd w:val="clear" w:color="auto" w:fill="auto"/>
          </w:tcPr>
          <w:p w:rsidR="00BC788F" w:rsidRPr="00F074F9" w:rsidRDefault="00BC788F" w:rsidP="00BC788F">
            <w:pPr>
              <w:spacing w:after="60"/>
              <w:jc w:val="left"/>
              <w:rPr>
                <w:sz w:val="17"/>
                <w:szCs w:val="17"/>
              </w:rPr>
            </w:pPr>
            <w:r w:rsidRPr="00F074F9">
              <w:rPr>
                <w:sz w:val="17"/>
                <w:szCs w:val="17"/>
              </w:rPr>
              <w:t>Project costs</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15,000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107,000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294,955</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148,000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82,000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82,000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82,000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896" w:type="dxa"/>
            <w:shd w:val="clear" w:color="auto" w:fill="auto"/>
          </w:tcPr>
          <w:p w:rsidR="00BC788F" w:rsidRPr="00F074F9" w:rsidRDefault="00BC2417" w:rsidP="00BC788F">
            <w:pPr>
              <w:spacing w:after="60"/>
              <w:jc w:val="right"/>
              <w:rPr>
                <w:sz w:val="17"/>
                <w:szCs w:val="17"/>
              </w:rPr>
            </w:pPr>
            <w:r w:rsidRPr="00F074F9">
              <w:rPr>
                <w:sz w:val="17"/>
                <w:szCs w:val="17"/>
              </w:rPr>
              <w:t>810,955</w:t>
            </w:r>
          </w:p>
        </w:tc>
      </w:tr>
      <w:tr w:rsidR="00BC788F" w:rsidRPr="00F074F9" w:rsidTr="009E3D69">
        <w:trPr>
          <w:jc w:val="center"/>
        </w:trPr>
        <w:tc>
          <w:tcPr>
            <w:tcW w:w="1372" w:type="dxa"/>
            <w:gridSpan w:val="2"/>
            <w:vMerge/>
            <w:shd w:val="clear" w:color="auto" w:fill="auto"/>
          </w:tcPr>
          <w:p w:rsidR="00BC788F" w:rsidRPr="00F074F9" w:rsidRDefault="00BC788F" w:rsidP="00BC788F">
            <w:pPr>
              <w:spacing w:after="60"/>
              <w:jc w:val="center"/>
              <w:rPr>
                <w:sz w:val="17"/>
                <w:szCs w:val="17"/>
              </w:rPr>
            </w:pPr>
          </w:p>
        </w:tc>
        <w:tc>
          <w:tcPr>
            <w:tcW w:w="0" w:type="auto"/>
            <w:shd w:val="clear" w:color="auto" w:fill="auto"/>
          </w:tcPr>
          <w:p w:rsidR="00BC788F" w:rsidRPr="00F074F9" w:rsidRDefault="00BC788F" w:rsidP="00BC788F">
            <w:pPr>
              <w:spacing w:after="60"/>
              <w:jc w:val="left"/>
              <w:rPr>
                <w:sz w:val="17"/>
                <w:szCs w:val="17"/>
              </w:rPr>
            </w:pPr>
            <w:r w:rsidRPr="00F074F9">
              <w:rPr>
                <w:sz w:val="17"/>
                <w:szCs w:val="17"/>
              </w:rPr>
              <w:t>Support costs</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1,125</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8,025</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22,122</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11,100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6,150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6,150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6,150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896" w:type="dxa"/>
            <w:shd w:val="clear" w:color="auto" w:fill="auto"/>
          </w:tcPr>
          <w:p w:rsidR="00BC788F" w:rsidRPr="00F074F9" w:rsidRDefault="00BC2417" w:rsidP="00BC2417">
            <w:pPr>
              <w:spacing w:after="60"/>
              <w:jc w:val="right"/>
              <w:rPr>
                <w:sz w:val="17"/>
                <w:szCs w:val="17"/>
              </w:rPr>
            </w:pPr>
            <w:r w:rsidRPr="00F074F9">
              <w:rPr>
                <w:sz w:val="17"/>
                <w:szCs w:val="17"/>
              </w:rPr>
              <w:t>60,822</w:t>
            </w:r>
            <w:r w:rsidR="00BC788F" w:rsidRPr="00F074F9">
              <w:rPr>
                <w:sz w:val="17"/>
                <w:szCs w:val="17"/>
              </w:rPr>
              <w:fldChar w:fldCharType="begin"/>
            </w:r>
            <w:r w:rsidR="00BC788F" w:rsidRPr="00F074F9">
              <w:rPr>
                <w:sz w:val="17"/>
                <w:szCs w:val="17"/>
              </w:rPr>
              <w:instrText xml:space="preserve"> =SUM(left) </w:instrText>
            </w:r>
            <w:r w:rsidR="00BC788F" w:rsidRPr="00F074F9">
              <w:rPr>
                <w:sz w:val="17"/>
                <w:szCs w:val="17"/>
              </w:rPr>
              <w:fldChar w:fldCharType="end"/>
            </w:r>
          </w:p>
        </w:tc>
      </w:tr>
      <w:tr w:rsidR="00BC788F" w:rsidRPr="00F074F9" w:rsidTr="009E3D69">
        <w:trPr>
          <w:jc w:val="center"/>
        </w:trPr>
        <w:tc>
          <w:tcPr>
            <w:tcW w:w="1372" w:type="dxa"/>
            <w:gridSpan w:val="2"/>
            <w:vMerge w:val="restart"/>
            <w:shd w:val="clear" w:color="auto" w:fill="auto"/>
          </w:tcPr>
          <w:p w:rsidR="00BC788F" w:rsidRPr="00F074F9" w:rsidRDefault="00BC788F" w:rsidP="00BC788F">
            <w:pPr>
              <w:spacing w:after="60"/>
              <w:jc w:val="left"/>
              <w:rPr>
                <w:sz w:val="17"/>
                <w:szCs w:val="17"/>
              </w:rPr>
            </w:pPr>
            <w:r w:rsidRPr="00F074F9">
              <w:rPr>
                <w:sz w:val="17"/>
                <w:szCs w:val="17"/>
              </w:rPr>
              <w:t>Total funds requested for approval at this meeting (US $)</w:t>
            </w:r>
          </w:p>
        </w:tc>
        <w:tc>
          <w:tcPr>
            <w:tcW w:w="0" w:type="auto"/>
            <w:shd w:val="clear" w:color="auto" w:fill="auto"/>
          </w:tcPr>
          <w:p w:rsidR="00BC788F" w:rsidRPr="00F074F9" w:rsidRDefault="00BC788F" w:rsidP="00BC788F">
            <w:pPr>
              <w:spacing w:after="60"/>
              <w:jc w:val="left"/>
              <w:rPr>
                <w:sz w:val="17"/>
                <w:szCs w:val="17"/>
              </w:rPr>
            </w:pPr>
            <w:r w:rsidRPr="00F074F9">
              <w:rPr>
                <w:sz w:val="17"/>
                <w:szCs w:val="17"/>
              </w:rPr>
              <w:t>Project costs</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p>
        </w:tc>
        <w:tc>
          <w:tcPr>
            <w:tcW w:w="0" w:type="auto"/>
            <w:shd w:val="clear" w:color="auto" w:fill="auto"/>
          </w:tcPr>
          <w:p w:rsidR="00BC788F" w:rsidRPr="00F074F9" w:rsidRDefault="00BC788F" w:rsidP="00BC788F">
            <w:pPr>
              <w:spacing w:after="60"/>
              <w:jc w:val="right"/>
              <w:rPr>
                <w:sz w:val="17"/>
                <w:szCs w:val="17"/>
              </w:rPr>
            </w:pP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131,000</w:t>
            </w:r>
            <w:r w:rsidR="00BC2417" w:rsidRPr="00F074F9">
              <w:rPr>
                <w:sz w:val="17"/>
                <w:szCs w:val="17"/>
              </w:rPr>
              <w:t>*</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896" w:type="dxa"/>
            <w:shd w:val="clear" w:color="auto" w:fill="auto"/>
          </w:tcPr>
          <w:p w:rsidR="00BC788F" w:rsidRPr="00F074F9" w:rsidRDefault="00BC788F" w:rsidP="00BC788F">
            <w:pPr>
              <w:spacing w:after="60"/>
              <w:jc w:val="right"/>
              <w:rPr>
                <w:sz w:val="17"/>
                <w:szCs w:val="17"/>
              </w:rPr>
            </w:pPr>
            <w:r w:rsidRPr="00F074F9">
              <w:rPr>
                <w:sz w:val="17"/>
                <w:szCs w:val="17"/>
              </w:rPr>
              <w:t>131,000</w:t>
            </w:r>
          </w:p>
        </w:tc>
      </w:tr>
      <w:tr w:rsidR="00BC788F" w:rsidRPr="00F074F9" w:rsidTr="009E3D69">
        <w:trPr>
          <w:jc w:val="center"/>
        </w:trPr>
        <w:tc>
          <w:tcPr>
            <w:tcW w:w="1372" w:type="dxa"/>
            <w:gridSpan w:val="2"/>
            <w:vMerge/>
            <w:shd w:val="clear" w:color="auto" w:fill="auto"/>
          </w:tcPr>
          <w:p w:rsidR="00BC788F" w:rsidRPr="00F074F9" w:rsidRDefault="00BC788F" w:rsidP="00BC788F">
            <w:pPr>
              <w:spacing w:after="60"/>
              <w:jc w:val="center"/>
              <w:rPr>
                <w:sz w:val="17"/>
                <w:szCs w:val="17"/>
              </w:rPr>
            </w:pPr>
          </w:p>
        </w:tc>
        <w:tc>
          <w:tcPr>
            <w:tcW w:w="0" w:type="auto"/>
            <w:shd w:val="clear" w:color="auto" w:fill="auto"/>
          </w:tcPr>
          <w:p w:rsidR="00BC788F" w:rsidRPr="00F074F9" w:rsidRDefault="00BC788F" w:rsidP="00BC788F">
            <w:pPr>
              <w:spacing w:after="60"/>
              <w:jc w:val="left"/>
              <w:rPr>
                <w:sz w:val="17"/>
                <w:szCs w:val="17"/>
              </w:rPr>
            </w:pPr>
            <w:r w:rsidRPr="00F074F9">
              <w:rPr>
                <w:sz w:val="17"/>
                <w:szCs w:val="17"/>
              </w:rPr>
              <w:t>Support costs</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p>
        </w:tc>
        <w:tc>
          <w:tcPr>
            <w:tcW w:w="0" w:type="auto"/>
            <w:shd w:val="clear" w:color="auto" w:fill="auto"/>
          </w:tcPr>
          <w:p w:rsidR="00BC788F" w:rsidRPr="00F074F9" w:rsidRDefault="00BC788F" w:rsidP="00BC788F">
            <w:pPr>
              <w:spacing w:after="60"/>
              <w:jc w:val="right"/>
              <w:rPr>
                <w:sz w:val="17"/>
                <w:szCs w:val="17"/>
              </w:rPr>
            </w:pP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9,825</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0" w:type="auto"/>
            <w:shd w:val="clear" w:color="auto" w:fill="auto"/>
          </w:tcPr>
          <w:p w:rsidR="00BC788F" w:rsidRPr="00F074F9" w:rsidRDefault="00BC788F" w:rsidP="00BC788F">
            <w:pPr>
              <w:spacing w:after="60"/>
              <w:jc w:val="right"/>
              <w:rPr>
                <w:sz w:val="17"/>
                <w:szCs w:val="17"/>
              </w:rPr>
            </w:pPr>
            <w:r w:rsidRPr="00F074F9">
              <w:rPr>
                <w:sz w:val="17"/>
                <w:szCs w:val="17"/>
              </w:rPr>
              <w:t>0</w:t>
            </w:r>
          </w:p>
        </w:tc>
        <w:tc>
          <w:tcPr>
            <w:tcW w:w="896" w:type="dxa"/>
            <w:shd w:val="clear" w:color="auto" w:fill="auto"/>
          </w:tcPr>
          <w:p w:rsidR="00BC788F" w:rsidRPr="00F074F9" w:rsidRDefault="00BC788F" w:rsidP="00BC788F">
            <w:pPr>
              <w:spacing w:after="60"/>
              <w:jc w:val="right"/>
              <w:rPr>
                <w:sz w:val="17"/>
                <w:szCs w:val="17"/>
              </w:rPr>
            </w:pPr>
            <w:r w:rsidRPr="00F074F9">
              <w:rPr>
                <w:sz w:val="17"/>
                <w:szCs w:val="17"/>
              </w:rPr>
              <w:t>9,825</w:t>
            </w:r>
          </w:p>
        </w:tc>
      </w:tr>
    </w:tbl>
    <w:p w:rsidR="00BC788F" w:rsidRPr="00F074F9" w:rsidRDefault="00BC788F" w:rsidP="008A5CD5">
      <w:pPr>
        <w:rPr>
          <w:sz w:val="16"/>
          <w:szCs w:val="16"/>
        </w:rPr>
      </w:pPr>
      <w:r w:rsidRPr="00F074F9">
        <w:rPr>
          <w:sz w:val="16"/>
          <w:szCs w:val="16"/>
        </w:rPr>
        <w:t>*The eighth tranche should have been submitted in 2017</w:t>
      </w:r>
    </w:p>
    <w:p w:rsidR="00BC788F" w:rsidRPr="00F074F9" w:rsidRDefault="00BC788F" w:rsidP="00BC788F">
      <w:pPr>
        <w:spacing w:after="60"/>
        <w:rPr>
          <w:sz w:val="16"/>
          <w:szCs w:val="16"/>
        </w:rPr>
      </w:pPr>
    </w:p>
    <w:p w:rsidR="00BC788F" w:rsidRPr="00F074F9" w:rsidRDefault="00BC788F" w:rsidP="00BC788F">
      <w:pPr>
        <w:spacing w:after="60"/>
        <w:rPr>
          <w:sz w:val="16"/>
          <w:szCs w:val="16"/>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BC788F" w:rsidRPr="00F074F9" w:rsidTr="009E3D69">
        <w:trPr>
          <w:trHeight w:val="240"/>
        </w:trPr>
        <w:tc>
          <w:tcPr>
            <w:tcW w:w="3714" w:type="dxa"/>
            <w:shd w:val="clear" w:color="auto" w:fill="auto"/>
          </w:tcPr>
          <w:p w:rsidR="00BC788F" w:rsidRPr="00F074F9" w:rsidRDefault="00BC788F" w:rsidP="00A131BF">
            <w:pPr>
              <w:spacing w:after="60"/>
              <w:jc w:val="left"/>
              <w:rPr>
                <w:b/>
                <w:sz w:val="18"/>
              </w:rPr>
            </w:pPr>
            <w:r w:rsidRPr="00F074F9">
              <w:rPr>
                <w:b/>
                <w:sz w:val="18"/>
              </w:rPr>
              <w:t>Secretariat's recommendation:</w:t>
            </w:r>
          </w:p>
        </w:tc>
        <w:tc>
          <w:tcPr>
            <w:tcW w:w="7278" w:type="dxa"/>
            <w:shd w:val="clear" w:color="auto" w:fill="auto"/>
          </w:tcPr>
          <w:p w:rsidR="00BC788F" w:rsidRPr="00F074F9" w:rsidRDefault="00BC788F" w:rsidP="00A131BF">
            <w:pPr>
              <w:spacing w:after="60"/>
              <w:jc w:val="center"/>
              <w:rPr>
                <w:sz w:val="18"/>
              </w:rPr>
            </w:pPr>
            <w:r w:rsidRPr="00F074F9">
              <w:rPr>
                <w:sz w:val="18"/>
              </w:rPr>
              <w:t>For blanket approval</w:t>
            </w:r>
          </w:p>
        </w:tc>
      </w:tr>
    </w:tbl>
    <w:p w:rsidR="00BC788F" w:rsidRPr="00F074F9" w:rsidRDefault="00BC788F" w:rsidP="00BC788F">
      <w:pPr>
        <w:spacing w:after="60"/>
        <w:jc w:val="center"/>
      </w:pPr>
    </w:p>
    <w:p w:rsidR="008C5738" w:rsidRPr="00F074F9" w:rsidRDefault="008C5738" w:rsidP="00772ECE">
      <w:pPr>
        <w:rPr>
          <w:lang w:val="en-CA"/>
        </w:rPr>
      </w:pPr>
    </w:p>
    <w:p w:rsidR="008C5738" w:rsidRPr="00F074F9" w:rsidRDefault="008C5738" w:rsidP="00772ECE">
      <w:pPr>
        <w:rPr>
          <w:lang w:val="en-CA"/>
        </w:rPr>
      </w:pPr>
    </w:p>
    <w:p w:rsidR="004E7F9C" w:rsidRPr="00F074F9" w:rsidRDefault="004E7F9C" w:rsidP="00772ECE">
      <w:pPr>
        <w:rPr>
          <w:lang w:val="en-CA"/>
        </w:rPr>
      </w:pPr>
      <w:r w:rsidRPr="00F074F9">
        <w:rPr>
          <w:lang w:val="en-CA"/>
        </w:rPr>
        <w:br w:type="page"/>
      </w:r>
    </w:p>
    <w:p w:rsidR="00772ECE" w:rsidRPr="00F074F9" w:rsidRDefault="00772ECE" w:rsidP="00F074F9">
      <w:pPr>
        <w:jc w:val="center"/>
        <w:rPr>
          <w:b/>
          <w:lang w:val="en-CA"/>
        </w:rPr>
      </w:pPr>
      <w:r w:rsidRPr="00F074F9">
        <w:rPr>
          <w:b/>
          <w:lang w:val="en-CA"/>
        </w:rPr>
        <w:lastRenderedPageBreak/>
        <w:t>PROJECT DESCRIPTION</w:t>
      </w:r>
    </w:p>
    <w:p w:rsidR="00772ECE" w:rsidRPr="00F074F9" w:rsidRDefault="00772ECE" w:rsidP="00F074F9">
      <w:pPr>
        <w:rPr>
          <w:lang w:val="en-CA"/>
        </w:rPr>
      </w:pPr>
    </w:p>
    <w:p w:rsidR="00772ECE" w:rsidRPr="00F074F9" w:rsidRDefault="00772ECE" w:rsidP="00F074F9">
      <w:pPr>
        <w:pStyle w:val="Heading1"/>
        <w:rPr>
          <w:lang w:val="en-CA"/>
        </w:rPr>
      </w:pPr>
      <w:r w:rsidRPr="00F074F9">
        <w:rPr>
          <w:lang w:val="en-CA"/>
        </w:rPr>
        <w:t>On behalf of the Government of</w:t>
      </w:r>
      <w:r w:rsidR="00DA4F5E" w:rsidRPr="00F074F9">
        <w:rPr>
          <w:lang w:val="en-CA"/>
        </w:rPr>
        <w:t xml:space="preserve"> the former Yugoslav Republic of Macedonia</w:t>
      </w:r>
      <w:r w:rsidRPr="00F074F9">
        <w:rPr>
          <w:lang w:val="en-CA"/>
        </w:rPr>
        <w:t xml:space="preserve">, </w:t>
      </w:r>
      <w:r w:rsidR="00DA4F5E" w:rsidRPr="00F074F9">
        <w:rPr>
          <w:lang w:val="en-CA"/>
        </w:rPr>
        <w:t>UNIDO</w:t>
      </w:r>
      <w:r w:rsidRPr="00F074F9">
        <w:rPr>
          <w:lang w:val="en-CA"/>
        </w:rPr>
        <w:t xml:space="preserve"> as the </w:t>
      </w:r>
      <w:r w:rsidR="00DA4F5E" w:rsidRPr="00F074F9">
        <w:rPr>
          <w:lang w:val="en-CA"/>
        </w:rPr>
        <w:t>designated</w:t>
      </w:r>
      <w:r w:rsidRPr="00F074F9">
        <w:rPr>
          <w:lang w:val="en-CA"/>
        </w:rPr>
        <w:t xml:space="preserve"> implementing agency, has submitted a request for funding for the</w:t>
      </w:r>
      <w:r w:rsidR="00DA4F5E" w:rsidRPr="00F074F9">
        <w:rPr>
          <w:lang w:val="en-CA"/>
        </w:rPr>
        <w:t xml:space="preserve"> eighth </w:t>
      </w:r>
      <w:r w:rsidRPr="00F074F9">
        <w:rPr>
          <w:lang w:val="en-CA"/>
        </w:rPr>
        <w:t xml:space="preserve">tranche of </w:t>
      </w:r>
      <w:r w:rsidR="009045C1" w:rsidRPr="00F074F9">
        <w:rPr>
          <w:lang w:val="en-CA"/>
        </w:rPr>
        <w:t>stage </w:t>
      </w:r>
      <w:r w:rsidRPr="00F074F9">
        <w:rPr>
          <w:lang w:val="en-CA"/>
        </w:rPr>
        <w:t>I</w:t>
      </w:r>
      <w:r w:rsidR="00DA4F5E" w:rsidRPr="00F074F9">
        <w:rPr>
          <w:lang w:val="en-CA"/>
        </w:rPr>
        <w:t xml:space="preserve"> </w:t>
      </w:r>
      <w:r w:rsidRPr="00F074F9">
        <w:rPr>
          <w:lang w:val="en-CA"/>
        </w:rPr>
        <w:t xml:space="preserve">of the HCFC phase-out management plan (HPMP), at the amount of </w:t>
      </w:r>
      <w:r w:rsidR="009045C1" w:rsidRPr="00F074F9">
        <w:rPr>
          <w:lang w:val="en-CA"/>
        </w:rPr>
        <w:t>US $</w:t>
      </w:r>
      <w:r w:rsidR="001D278F" w:rsidRPr="00F074F9">
        <w:rPr>
          <w:lang w:val="en-CA"/>
        </w:rPr>
        <w:t>131</w:t>
      </w:r>
      <w:r w:rsidR="00DA4F5E" w:rsidRPr="00F074F9">
        <w:rPr>
          <w:lang w:val="en-CA"/>
        </w:rPr>
        <w:t>,000</w:t>
      </w:r>
      <w:r w:rsidRPr="00F074F9">
        <w:rPr>
          <w:lang w:val="en-CA"/>
        </w:rPr>
        <w:t xml:space="preserve">, plus agency support costs of </w:t>
      </w:r>
      <w:r w:rsidR="009045C1" w:rsidRPr="00F074F9">
        <w:rPr>
          <w:lang w:val="en-CA"/>
        </w:rPr>
        <w:t>US $</w:t>
      </w:r>
      <w:r w:rsidR="001D278F" w:rsidRPr="00F074F9">
        <w:rPr>
          <w:lang w:val="en-CA"/>
        </w:rPr>
        <w:t>9,8</w:t>
      </w:r>
      <w:r w:rsidR="00BC2417" w:rsidRPr="00F074F9">
        <w:rPr>
          <w:lang w:val="en-CA"/>
        </w:rPr>
        <w:t>2</w:t>
      </w:r>
      <w:r w:rsidR="001D278F" w:rsidRPr="00F074F9">
        <w:rPr>
          <w:lang w:val="en-CA"/>
        </w:rPr>
        <w:t>5</w:t>
      </w:r>
      <w:r w:rsidRPr="00F074F9">
        <w:rPr>
          <w:lang w:val="en-CA"/>
        </w:rPr>
        <w:t>.</w:t>
      </w:r>
      <w:r w:rsidR="007535E4" w:rsidRPr="00F074F9">
        <w:rPr>
          <w:rStyle w:val="FootnoteReference"/>
          <w:lang w:val="en-CA"/>
        </w:rPr>
        <w:footnoteReference w:id="1"/>
      </w:r>
      <w:r w:rsidRPr="00F074F9">
        <w:rPr>
          <w:lang w:val="en-CA"/>
        </w:rPr>
        <w:t xml:space="preserve"> The submission includes a progress report on the implementation of the</w:t>
      </w:r>
      <w:r w:rsidR="00DA4F5E" w:rsidRPr="00F074F9">
        <w:rPr>
          <w:lang w:val="en-CA"/>
        </w:rPr>
        <w:t xml:space="preserve"> seventh </w:t>
      </w:r>
      <w:r w:rsidRPr="00F074F9">
        <w:rPr>
          <w:lang w:val="en-CA"/>
        </w:rPr>
        <w:t>tranche</w:t>
      </w:r>
      <w:r w:rsidR="00AF1E56" w:rsidRPr="00F074F9">
        <w:rPr>
          <w:lang w:val="en-CA"/>
        </w:rPr>
        <w:t>, the verification report on HCFC consumption for 2017</w:t>
      </w:r>
      <w:r w:rsidR="009E3D69" w:rsidRPr="00F074F9">
        <w:rPr>
          <w:lang w:val="en-CA"/>
        </w:rPr>
        <w:t>,</w:t>
      </w:r>
      <w:r w:rsidRPr="00F074F9">
        <w:rPr>
          <w:lang w:val="en-CA"/>
        </w:rPr>
        <w:t xml:space="preserve"> and the tranche implementation plan for 20</w:t>
      </w:r>
      <w:r w:rsidR="00DA4F5E" w:rsidRPr="00F074F9">
        <w:rPr>
          <w:lang w:val="en-CA"/>
        </w:rPr>
        <w:t>19</w:t>
      </w:r>
      <w:r w:rsidRPr="00F074F9">
        <w:rPr>
          <w:lang w:val="en-CA"/>
        </w:rPr>
        <w:t>.</w:t>
      </w:r>
      <w:r w:rsidR="00550EC5" w:rsidRPr="00F074F9">
        <w:t xml:space="preserve"> </w:t>
      </w:r>
      <w:r w:rsidR="00550EC5" w:rsidRPr="00F074F9">
        <w:rPr>
          <w:lang w:val="en-CA"/>
        </w:rPr>
        <w:t>Institutional strengthening (IS) is a component of stage I of the HPMP.</w:t>
      </w:r>
    </w:p>
    <w:p w:rsidR="00772ECE" w:rsidRPr="00F074F9" w:rsidRDefault="00772ECE" w:rsidP="00F074F9">
      <w:pPr>
        <w:spacing w:after="240"/>
        <w:rPr>
          <w:u w:val="single"/>
          <w:lang w:val="en-CA"/>
        </w:rPr>
      </w:pPr>
      <w:r w:rsidRPr="00F074F9">
        <w:rPr>
          <w:u w:val="single"/>
          <w:lang w:val="en-CA"/>
        </w:rPr>
        <w:t>Report on HCFC consumption</w:t>
      </w:r>
    </w:p>
    <w:p w:rsidR="00772ECE" w:rsidRPr="00F074F9" w:rsidRDefault="00772ECE" w:rsidP="00F074F9">
      <w:pPr>
        <w:pStyle w:val="Heading1"/>
        <w:rPr>
          <w:lang w:val="en-CA"/>
        </w:rPr>
      </w:pPr>
      <w:r w:rsidRPr="00F074F9">
        <w:rPr>
          <w:lang w:val="en-CA"/>
        </w:rPr>
        <w:t xml:space="preserve">The Government of </w:t>
      </w:r>
      <w:r w:rsidR="00A131BF" w:rsidRPr="00F074F9">
        <w:rPr>
          <w:lang w:val="en-CA"/>
        </w:rPr>
        <w:t>the former Yugoslav Republic of Macedonia</w:t>
      </w:r>
      <w:r w:rsidRPr="00F074F9">
        <w:rPr>
          <w:lang w:val="en-CA"/>
        </w:rPr>
        <w:t xml:space="preserve"> reported </w:t>
      </w:r>
      <w:r w:rsidR="00BC2417" w:rsidRPr="00F074F9">
        <w:rPr>
          <w:lang w:val="en-CA"/>
        </w:rPr>
        <w:t>zero</w:t>
      </w:r>
      <w:r w:rsidRPr="00F074F9">
        <w:rPr>
          <w:lang w:val="en-CA"/>
        </w:rPr>
        <w:t xml:space="preserve"> consumption of HCFC in 2017. The 2013</w:t>
      </w:r>
      <w:r w:rsidR="009E3D69" w:rsidRPr="00F074F9">
        <w:rPr>
          <w:lang w:val="en-CA"/>
        </w:rPr>
        <w:noBreakHyphen/>
      </w:r>
      <w:r w:rsidRPr="00F074F9">
        <w:rPr>
          <w:lang w:val="en-CA"/>
        </w:rPr>
        <w:t xml:space="preserve">2017 HCFC consumption is shown in </w:t>
      </w:r>
      <w:r w:rsidR="009045C1" w:rsidRPr="00F074F9">
        <w:rPr>
          <w:lang w:val="en-CA"/>
        </w:rPr>
        <w:t>Table </w:t>
      </w:r>
      <w:r w:rsidRPr="00F074F9">
        <w:rPr>
          <w:lang w:val="en-CA"/>
        </w:rPr>
        <w:t xml:space="preserve">1. </w:t>
      </w:r>
    </w:p>
    <w:p w:rsidR="00CA7391" w:rsidRPr="00F074F9" w:rsidRDefault="009045C1" w:rsidP="00F074F9">
      <w:pPr>
        <w:rPr>
          <w:b/>
          <w:sz w:val="21"/>
          <w:szCs w:val="21"/>
          <w:lang w:val="en-CA"/>
        </w:rPr>
      </w:pPr>
      <w:r w:rsidRPr="00F074F9">
        <w:rPr>
          <w:b/>
          <w:sz w:val="21"/>
          <w:szCs w:val="21"/>
          <w:lang w:val="en-CA"/>
        </w:rPr>
        <w:t>Table </w:t>
      </w:r>
      <w:r w:rsidR="00772ECE" w:rsidRPr="00F074F9">
        <w:rPr>
          <w:b/>
          <w:sz w:val="21"/>
          <w:szCs w:val="21"/>
          <w:lang w:val="en-CA"/>
        </w:rPr>
        <w:t xml:space="preserve">1. HCFC consumption in </w:t>
      </w:r>
      <w:r w:rsidR="00A131BF" w:rsidRPr="00F074F9">
        <w:rPr>
          <w:b/>
          <w:sz w:val="21"/>
          <w:szCs w:val="21"/>
          <w:lang w:val="en-CA"/>
        </w:rPr>
        <w:t>the former Yugoslav Republic of Macedonia</w:t>
      </w:r>
      <w:r w:rsidR="00772ECE" w:rsidRPr="00F074F9">
        <w:rPr>
          <w:b/>
          <w:sz w:val="21"/>
          <w:szCs w:val="21"/>
          <w:lang w:val="en-CA"/>
        </w:rPr>
        <w:t xml:space="preserve"> (2013-2017 Article</w:t>
      </w:r>
      <w:r w:rsidR="008769F2" w:rsidRPr="00F074F9">
        <w:rPr>
          <w:b/>
          <w:sz w:val="21"/>
          <w:szCs w:val="21"/>
          <w:lang w:val="en-CA"/>
        </w:rPr>
        <w:t> </w:t>
      </w:r>
      <w:r w:rsidR="00772ECE" w:rsidRPr="00F074F9">
        <w:rPr>
          <w:b/>
          <w:sz w:val="21"/>
          <w:szCs w:val="21"/>
          <w:lang w:val="en-CA"/>
        </w:rPr>
        <w:t>7 data)</w:t>
      </w:r>
    </w:p>
    <w:tbl>
      <w:tblPr>
        <w:tblW w:w="5000" w:type="pct"/>
        <w:tblInd w:w="-48" w:type="dxa"/>
        <w:tblLook w:val="04A0" w:firstRow="1" w:lastRow="0" w:firstColumn="1" w:lastColumn="0" w:noHBand="0" w:noVBand="1"/>
      </w:tblPr>
      <w:tblGrid>
        <w:gridCol w:w="3798"/>
        <w:gridCol w:w="864"/>
        <w:gridCol w:w="864"/>
        <w:gridCol w:w="864"/>
        <w:gridCol w:w="864"/>
        <w:gridCol w:w="864"/>
        <w:gridCol w:w="1232"/>
      </w:tblGrid>
      <w:tr w:rsidR="00CA7391" w:rsidRPr="00F074F9" w:rsidTr="00BC2417">
        <w:trPr>
          <w:tblHeader/>
        </w:trPr>
        <w:tc>
          <w:tcPr>
            <w:tcW w:w="203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5DAC" w:rsidRPr="00F074F9" w:rsidRDefault="00205DAC" w:rsidP="00F074F9">
            <w:pPr>
              <w:widowControl w:val="0"/>
              <w:rPr>
                <w:b/>
                <w:bCs/>
                <w:color w:val="000000"/>
                <w:sz w:val="20"/>
                <w:szCs w:val="20"/>
              </w:rPr>
            </w:pPr>
            <w:r w:rsidRPr="00F074F9">
              <w:rPr>
                <w:b/>
                <w:bCs/>
                <w:color w:val="000000"/>
                <w:sz w:val="20"/>
                <w:szCs w:val="20"/>
              </w:rPr>
              <w:t>HCFC</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05DAC" w:rsidRPr="00F074F9" w:rsidRDefault="00CA7391" w:rsidP="00F074F9">
            <w:pPr>
              <w:widowControl w:val="0"/>
              <w:jc w:val="center"/>
              <w:rPr>
                <w:b/>
                <w:bCs/>
                <w:color w:val="000000"/>
                <w:sz w:val="20"/>
                <w:szCs w:val="20"/>
              </w:rPr>
            </w:pPr>
            <w:r w:rsidRPr="00F074F9">
              <w:rPr>
                <w:b/>
                <w:bCs/>
                <w:color w:val="000000"/>
                <w:sz w:val="20"/>
                <w:szCs w:val="20"/>
              </w:rPr>
              <w:t>2013</w:t>
            </w:r>
          </w:p>
        </w:tc>
        <w:tc>
          <w:tcPr>
            <w:tcW w:w="462" w:type="pct"/>
            <w:tcBorders>
              <w:top w:val="single" w:sz="4" w:space="0" w:color="auto"/>
              <w:left w:val="nil"/>
              <w:bottom w:val="single" w:sz="4" w:space="0" w:color="auto"/>
              <w:right w:val="single" w:sz="4" w:space="0" w:color="auto"/>
            </w:tcBorders>
            <w:shd w:val="clear" w:color="auto" w:fill="auto"/>
            <w:noWrap/>
          </w:tcPr>
          <w:p w:rsidR="00205DAC" w:rsidRPr="00F074F9" w:rsidRDefault="00205DAC" w:rsidP="00F074F9">
            <w:pPr>
              <w:widowControl w:val="0"/>
              <w:jc w:val="center"/>
              <w:rPr>
                <w:b/>
                <w:bCs/>
                <w:color w:val="000000"/>
                <w:sz w:val="20"/>
                <w:szCs w:val="20"/>
              </w:rPr>
            </w:pPr>
            <w:r w:rsidRPr="00F074F9">
              <w:rPr>
                <w:b/>
                <w:bCs/>
                <w:color w:val="000000"/>
                <w:sz w:val="20"/>
                <w:szCs w:val="20"/>
              </w:rPr>
              <w:t>201</w:t>
            </w:r>
            <w:r w:rsidR="00CA7391" w:rsidRPr="00F074F9">
              <w:rPr>
                <w:b/>
                <w:bCs/>
                <w:color w:val="000000"/>
                <w:sz w:val="20"/>
                <w:szCs w:val="20"/>
              </w:rPr>
              <w:t>4</w:t>
            </w:r>
          </w:p>
        </w:tc>
        <w:tc>
          <w:tcPr>
            <w:tcW w:w="462" w:type="pct"/>
            <w:tcBorders>
              <w:top w:val="single" w:sz="4" w:space="0" w:color="auto"/>
              <w:left w:val="nil"/>
              <w:bottom w:val="single" w:sz="4" w:space="0" w:color="auto"/>
              <w:right w:val="single" w:sz="4" w:space="0" w:color="auto"/>
            </w:tcBorders>
            <w:shd w:val="clear" w:color="auto" w:fill="auto"/>
            <w:noWrap/>
          </w:tcPr>
          <w:p w:rsidR="00205DAC" w:rsidRPr="00F074F9" w:rsidRDefault="00205DAC" w:rsidP="00F074F9">
            <w:pPr>
              <w:widowControl w:val="0"/>
              <w:jc w:val="center"/>
              <w:rPr>
                <w:b/>
                <w:bCs/>
                <w:color w:val="000000"/>
                <w:sz w:val="20"/>
                <w:szCs w:val="20"/>
              </w:rPr>
            </w:pPr>
            <w:r w:rsidRPr="00F074F9">
              <w:rPr>
                <w:b/>
                <w:bCs/>
                <w:color w:val="000000"/>
                <w:sz w:val="20"/>
                <w:szCs w:val="20"/>
              </w:rPr>
              <w:t>201</w:t>
            </w:r>
            <w:r w:rsidR="00CA7391" w:rsidRPr="00F074F9">
              <w:rPr>
                <w:b/>
                <w:bCs/>
                <w:color w:val="000000"/>
                <w:sz w:val="20"/>
                <w:szCs w:val="20"/>
              </w:rPr>
              <w:t>5</w:t>
            </w:r>
          </w:p>
        </w:tc>
        <w:tc>
          <w:tcPr>
            <w:tcW w:w="462" w:type="pct"/>
            <w:tcBorders>
              <w:top w:val="single" w:sz="4" w:space="0" w:color="auto"/>
              <w:left w:val="nil"/>
              <w:bottom w:val="single" w:sz="4" w:space="0" w:color="auto"/>
              <w:right w:val="single" w:sz="4" w:space="0" w:color="auto"/>
            </w:tcBorders>
          </w:tcPr>
          <w:p w:rsidR="00205DAC" w:rsidRPr="00F074F9" w:rsidRDefault="00205DAC" w:rsidP="00F074F9">
            <w:pPr>
              <w:widowControl w:val="0"/>
              <w:jc w:val="center"/>
              <w:rPr>
                <w:b/>
                <w:bCs/>
                <w:color w:val="000000"/>
                <w:sz w:val="20"/>
                <w:szCs w:val="20"/>
              </w:rPr>
            </w:pPr>
            <w:r w:rsidRPr="00F074F9">
              <w:rPr>
                <w:b/>
                <w:bCs/>
                <w:color w:val="000000"/>
                <w:sz w:val="20"/>
                <w:szCs w:val="20"/>
              </w:rPr>
              <w:t>201</w:t>
            </w:r>
            <w:r w:rsidR="00CA7391" w:rsidRPr="00F074F9">
              <w:rPr>
                <w:b/>
                <w:bCs/>
                <w:color w:val="000000"/>
                <w:sz w:val="20"/>
                <w:szCs w:val="20"/>
              </w:rPr>
              <w:t>6</w:t>
            </w:r>
          </w:p>
        </w:tc>
        <w:tc>
          <w:tcPr>
            <w:tcW w:w="462" w:type="pct"/>
            <w:tcBorders>
              <w:top w:val="single" w:sz="4" w:space="0" w:color="auto"/>
              <w:left w:val="single" w:sz="4" w:space="0" w:color="auto"/>
              <w:bottom w:val="single" w:sz="4" w:space="0" w:color="auto"/>
              <w:right w:val="single" w:sz="4" w:space="0" w:color="auto"/>
            </w:tcBorders>
          </w:tcPr>
          <w:p w:rsidR="00205DAC" w:rsidRPr="00F074F9" w:rsidRDefault="00205DAC" w:rsidP="00F074F9">
            <w:pPr>
              <w:widowControl w:val="0"/>
              <w:jc w:val="center"/>
              <w:rPr>
                <w:b/>
                <w:bCs/>
                <w:color w:val="000000"/>
                <w:sz w:val="20"/>
                <w:szCs w:val="20"/>
              </w:rPr>
            </w:pPr>
            <w:r w:rsidRPr="00F074F9">
              <w:rPr>
                <w:b/>
                <w:bCs/>
                <w:color w:val="000000"/>
                <w:sz w:val="20"/>
                <w:szCs w:val="20"/>
              </w:rPr>
              <w:t>201</w:t>
            </w:r>
            <w:r w:rsidR="00CA7391" w:rsidRPr="00F074F9">
              <w:rPr>
                <w:b/>
                <w:bCs/>
                <w:color w:val="000000"/>
                <w:sz w:val="20"/>
                <w:szCs w:val="20"/>
              </w:rPr>
              <w:t>7</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5DAC" w:rsidRPr="00F074F9" w:rsidRDefault="00205DAC" w:rsidP="00F074F9">
            <w:pPr>
              <w:widowControl w:val="0"/>
              <w:jc w:val="center"/>
              <w:rPr>
                <w:b/>
                <w:bCs/>
                <w:color w:val="000000"/>
                <w:sz w:val="20"/>
                <w:szCs w:val="20"/>
              </w:rPr>
            </w:pPr>
            <w:r w:rsidRPr="00F074F9">
              <w:rPr>
                <w:b/>
                <w:bCs/>
                <w:color w:val="000000"/>
                <w:sz w:val="20"/>
                <w:szCs w:val="20"/>
              </w:rPr>
              <w:t>Baseline</w:t>
            </w:r>
          </w:p>
        </w:tc>
      </w:tr>
      <w:tr w:rsidR="00CA7391" w:rsidRPr="00F074F9" w:rsidTr="00BC2417">
        <w:tc>
          <w:tcPr>
            <w:tcW w:w="203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5DAC" w:rsidRPr="00F074F9" w:rsidRDefault="00205DAC" w:rsidP="00F074F9">
            <w:pPr>
              <w:widowControl w:val="0"/>
              <w:rPr>
                <w:b/>
                <w:bCs/>
                <w:color w:val="000000"/>
                <w:sz w:val="20"/>
                <w:szCs w:val="20"/>
              </w:rPr>
            </w:pPr>
            <w:r w:rsidRPr="00F074F9">
              <w:rPr>
                <w:b/>
                <w:bCs/>
                <w:color w:val="000000"/>
                <w:sz w:val="20"/>
                <w:szCs w:val="20"/>
              </w:rPr>
              <w:t>Metric tonnes</w:t>
            </w:r>
          </w:p>
        </w:tc>
        <w:tc>
          <w:tcPr>
            <w:tcW w:w="462" w:type="pct"/>
            <w:tcBorders>
              <w:top w:val="nil"/>
              <w:left w:val="nil"/>
              <w:bottom w:val="single" w:sz="4" w:space="0" w:color="auto"/>
              <w:right w:val="single" w:sz="4" w:space="0" w:color="auto"/>
            </w:tcBorders>
            <w:shd w:val="clear" w:color="auto" w:fill="auto"/>
            <w:noWrap/>
            <w:vAlign w:val="center"/>
            <w:hideMark/>
          </w:tcPr>
          <w:p w:rsidR="00205DAC" w:rsidRPr="00F074F9" w:rsidRDefault="00205DAC" w:rsidP="00F074F9">
            <w:pPr>
              <w:widowControl w:val="0"/>
              <w:jc w:val="center"/>
              <w:rPr>
                <w:b/>
                <w:bCs/>
                <w:color w:val="000000"/>
                <w:sz w:val="20"/>
                <w:szCs w:val="20"/>
              </w:rPr>
            </w:pPr>
          </w:p>
        </w:tc>
        <w:tc>
          <w:tcPr>
            <w:tcW w:w="462" w:type="pct"/>
            <w:tcBorders>
              <w:top w:val="nil"/>
              <w:left w:val="nil"/>
              <w:bottom w:val="single" w:sz="4" w:space="0" w:color="auto"/>
              <w:right w:val="single" w:sz="4" w:space="0" w:color="auto"/>
            </w:tcBorders>
            <w:shd w:val="clear" w:color="auto" w:fill="auto"/>
            <w:noWrap/>
            <w:vAlign w:val="center"/>
            <w:hideMark/>
          </w:tcPr>
          <w:p w:rsidR="00205DAC" w:rsidRPr="00F074F9" w:rsidRDefault="00205DAC" w:rsidP="00F074F9">
            <w:pPr>
              <w:widowControl w:val="0"/>
              <w:jc w:val="center"/>
              <w:rPr>
                <w:b/>
                <w:bCs/>
                <w:color w:val="000000"/>
                <w:sz w:val="20"/>
                <w:szCs w:val="20"/>
              </w:rPr>
            </w:pPr>
          </w:p>
        </w:tc>
        <w:tc>
          <w:tcPr>
            <w:tcW w:w="462" w:type="pct"/>
            <w:tcBorders>
              <w:top w:val="nil"/>
              <w:left w:val="nil"/>
              <w:bottom w:val="single" w:sz="4" w:space="0" w:color="auto"/>
              <w:right w:val="single" w:sz="4" w:space="0" w:color="auto"/>
            </w:tcBorders>
            <w:shd w:val="clear" w:color="auto" w:fill="auto"/>
            <w:noWrap/>
            <w:vAlign w:val="center"/>
            <w:hideMark/>
          </w:tcPr>
          <w:p w:rsidR="00205DAC" w:rsidRPr="00F074F9" w:rsidRDefault="00205DAC" w:rsidP="00F074F9">
            <w:pPr>
              <w:widowControl w:val="0"/>
              <w:jc w:val="center"/>
              <w:rPr>
                <w:b/>
                <w:bCs/>
                <w:color w:val="000000"/>
                <w:sz w:val="20"/>
                <w:szCs w:val="20"/>
              </w:rPr>
            </w:pPr>
          </w:p>
        </w:tc>
        <w:tc>
          <w:tcPr>
            <w:tcW w:w="462" w:type="pct"/>
            <w:tcBorders>
              <w:top w:val="single" w:sz="4" w:space="0" w:color="auto"/>
              <w:left w:val="nil"/>
              <w:bottom w:val="single" w:sz="4" w:space="0" w:color="auto"/>
              <w:right w:val="single" w:sz="4" w:space="0" w:color="auto"/>
            </w:tcBorders>
          </w:tcPr>
          <w:p w:rsidR="00205DAC" w:rsidRPr="00F074F9" w:rsidRDefault="00205DAC" w:rsidP="00F074F9">
            <w:pPr>
              <w:widowControl w:val="0"/>
              <w:jc w:val="center"/>
              <w:rPr>
                <w:b/>
                <w:bCs/>
                <w:color w:val="000000"/>
                <w:sz w:val="20"/>
                <w:szCs w:val="20"/>
              </w:rPr>
            </w:pPr>
          </w:p>
        </w:tc>
        <w:tc>
          <w:tcPr>
            <w:tcW w:w="462" w:type="pct"/>
            <w:tcBorders>
              <w:top w:val="nil"/>
              <w:left w:val="single" w:sz="4" w:space="0" w:color="auto"/>
              <w:bottom w:val="single" w:sz="4" w:space="0" w:color="auto"/>
              <w:right w:val="single" w:sz="4" w:space="0" w:color="auto"/>
            </w:tcBorders>
          </w:tcPr>
          <w:p w:rsidR="00205DAC" w:rsidRPr="00F074F9" w:rsidRDefault="00205DAC" w:rsidP="00F074F9">
            <w:pPr>
              <w:widowControl w:val="0"/>
              <w:jc w:val="center"/>
              <w:rPr>
                <w:b/>
                <w:bCs/>
                <w:color w:val="000000"/>
                <w:sz w:val="20"/>
                <w:szCs w:val="20"/>
              </w:rPr>
            </w:pPr>
          </w:p>
        </w:tc>
        <w:tc>
          <w:tcPr>
            <w:tcW w:w="659" w:type="pct"/>
            <w:tcBorders>
              <w:top w:val="nil"/>
              <w:left w:val="single" w:sz="4" w:space="0" w:color="auto"/>
              <w:bottom w:val="single" w:sz="4" w:space="0" w:color="auto"/>
              <w:right w:val="single" w:sz="4" w:space="0" w:color="auto"/>
            </w:tcBorders>
            <w:shd w:val="clear" w:color="auto" w:fill="auto"/>
            <w:noWrap/>
            <w:vAlign w:val="center"/>
            <w:hideMark/>
          </w:tcPr>
          <w:p w:rsidR="00205DAC" w:rsidRPr="00F074F9" w:rsidRDefault="00205DAC" w:rsidP="00F074F9">
            <w:pPr>
              <w:widowControl w:val="0"/>
              <w:jc w:val="center"/>
              <w:rPr>
                <w:b/>
                <w:bCs/>
                <w:color w:val="000000"/>
                <w:sz w:val="20"/>
                <w:szCs w:val="20"/>
              </w:rPr>
            </w:pPr>
          </w:p>
        </w:tc>
      </w:tr>
      <w:tr w:rsidR="00CA7391" w:rsidRPr="00F074F9" w:rsidTr="00BC2417">
        <w:tc>
          <w:tcPr>
            <w:tcW w:w="203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5DAC" w:rsidRPr="00F074F9" w:rsidRDefault="00205DAC" w:rsidP="00F074F9">
            <w:pPr>
              <w:widowControl w:val="0"/>
              <w:rPr>
                <w:color w:val="000000"/>
                <w:sz w:val="20"/>
                <w:szCs w:val="20"/>
              </w:rPr>
            </w:pPr>
            <w:r w:rsidRPr="00F074F9">
              <w:rPr>
                <w:color w:val="000000"/>
                <w:sz w:val="20"/>
                <w:szCs w:val="20"/>
              </w:rPr>
              <w:t>HCFC-22</w:t>
            </w:r>
          </w:p>
        </w:tc>
        <w:tc>
          <w:tcPr>
            <w:tcW w:w="462" w:type="pct"/>
            <w:tcBorders>
              <w:top w:val="nil"/>
              <w:left w:val="nil"/>
              <w:bottom w:val="single" w:sz="4" w:space="0" w:color="auto"/>
              <w:right w:val="single" w:sz="4" w:space="0" w:color="auto"/>
            </w:tcBorders>
            <w:shd w:val="clear" w:color="auto" w:fill="auto"/>
            <w:noWrap/>
            <w:vAlign w:val="bottom"/>
          </w:tcPr>
          <w:p w:rsidR="00205DAC" w:rsidRPr="00F074F9" w:rsidRDefault="00205DAC" w:rsidP="00F074F9">
            <w:pPr>
              <w:jc w:val="right"/>
              <w:rPr>
                <w:sz w:val="20"/>
                <w:szCs w:val="20"/>
              </w:rPr>
            </w:pPr>
            <w:r w:rsidRPr="00F074F9">
              <w:rPr>
                <w:sz w:val="20"/>
                <w:szCs w:val="20"/>
              </w:rPr>
              <w:t>13.</w:t>
            </w:r>
            <w:r w:rsidR="00CA7391" w:rsidRPr="00F074F9">
              <w:rPr>
                <w:sz w:val="20"/>
                <w:szCs w:val="20"/>
              </w:rPr>
              <w:t>06</w:t>
            </w:r>
          </w:p>
        </w:tc>
        <w:tc>
          <w:tcPr>
            <w:tcW w:w="462" w:type="pct"/>
            <w:tcBorders>
              <w:top w:val="nil"/>
              <w:left w:val="nil"/>
              <w:bottom w:val="single" w:sz="4" w:space="0" w:color="auto"/>
              <w:right w:val="single" w:sz="4" w:space="0" w:color="auto"/>
            </w:tcBorders>
            <w:shd w:val="clear" w:color="auto" w:fill="auto"/>
            <w:noWrap/>
            <w:vAlign w:val="bottom"/>
          </w:tcPr>
          <w:p w:rsidR="00205DAC" w:rsidRPr="00F074F9" w:rsidRDefault="00CA7391" w:rsidP="00F074F9">
            <w:pPr>
              <w:jc w:val="right"/>
              <w:rPr>
                <w:sz w:val="20"/>
                <w:szCs w:val="20"/>
              </w:rPr>
            </w:pPr>
            <w:r w:rsidRPr="00F074F9">
              <w:rPr>
                <w:sz w:val="20"/>
                <w:szCs w:val="20"/>
              </w:rPr>
              <w:t>10.44</w:t>
            </w:r>
          </w:p>
        </w:tc>
        <w:tc>
          <w:tcPr>
            <w:tcW w:w="462" w:type="pct"/>
            <w:tcBorders>
              <w:top w:val="nil"/>
              <w:left w:val="nil"/>
              <w:bottom w:val="single" w:sz="4" w:space="0" w:color="auto"/>
              <w:right w:val="single" w:sz="4" w:space="0" w:color="auto"/>
            </w:tcBorders>
            <w:shd w:val="clear" w:color="auto" w:fill="auto"/>
            <w:noWrap/>
          </w:tcPr>
          <w:p w:rsidR="00205DAC" w:rsidRPr="00F074F9" w:rsidRDefault="00CA7391" w:rsidP="00F074F9">
            <w:pPr>
              <w:widowControl w:val="0"/>
              <w:jc w:val="right"/>
              <w:rPr>
                <w:color w:val="000000"/>
                <w:sz w:val="20"/>
                <w:szCs w:val="20"/>
              </w:rPr>
            </w:pPr>
            <w:r w:rsidRPr="00F074F9">
              <w:rPr>
                <w:color w:val="000000" w:themeColor="text1"/>
                <w:sz w:val="20"/>
                <w:szCs w:val="20"/>
              </w:rPr>
              <w:t>3.36</w:t>
            </w:r>
          </w:p>
        </w:tc>
        <w:tc>
          <w:tcPr>
            <w:tcW w:w="462" w:type="pct"/>
            <w:tcBorders>
              <w:top w:val="single" w:sz="4" w:space="0" w:color="auto"/>
              <w:left w:val="nil"/>
              <w:bottom w:val="single" w:sz="4" w:space="0" w:color="auto"/>
              <w:right w:val="single" w:sz="4" w:space="0" w:color="auto"/>
            </w:tcBorders>
            <w:vAlign w:val="bottom"/>
          </w:tcPr>
          <w:p w:rsidR="00205DAC" w:rsidRPr="00F074F9" w:rsidRDefault="00CA7391" w:rsidP="00F074F9">
            <w:pPr>
              <w:jc w:val="right"/>
              <w:rPr>
                <w:color w:val="000000" w:themeColor="text1"/>
                <w:sz w:val="20"/>
                <w:szCs w:val="20"/>
              </w:rPr>
            </w:pPr>
            <w:r w:rsidRPr="00F074F9">
              <w:rPr>
                <w:color w:val="000000"/>
                <w:sz w:val="20"/>
                <w:szCs w:val="20"/>
              </w:rPr>
              <w:t>4.92</w:t>
            </w:r>
          </w:p>
        </w:tc>
        <w:tc>
          <w:tcPr>
            <w:tcW w:w="462" w:type="pct"/>
            <w:tcBorders>
              <w:top w:val="nil"/>
              <w:left w:val="single" w:sz="4" w:space="0" w:color="auto"/>
              <w:bottom w:val="single" w:sz="4" w:space="0" w:color="auto"/>
              <w:right w:val="single" w:sz="4" w:space="0" w:color="auto"/>
            </w:tcBorders>
          </w:tcPr>
          <w:p w:rsidR="00205DAC" w:rsidRPr="00F074F9" w:rsidRDefault="00CA7391" w:rsidP="00F074F9">
            <w:pPr>
              <w:widowControl w:val="0"/>
              <w:jc w:val="right"/>
              <w:rPr>
                <w:color w:val="000000"/>
                <w:sz w:val="20"/>
                <w:szCs w:val="20"/>
              </w:rPr>
            </w:pPr>
            <w:r w:rsidRPr="00F074F9">
              <w:rPr>
                <w:color w:val="000000"/>
                <w:sz w:val="20"/>
                <w:szCs w:val="20"/>
              </w:rPr>
              <w:t>0</w:t>
            </w:r>
            <w:r w:rsidR="009E3D69" w:rsidRPr="00F074F9">
              <w:rPr>
                <w:color w:val="000000"/>
                <w:sz w:val="20"/>
                <w:szCs w:val="20"/>
              </w:rPr>
              <w:t>.00</w:t>
            </w:r>
          </w:p>
        </w:tc>
        <w:tc>
          <w:tcPr>
            <w:tcW w:w="659" w:type="pct"/>
            <w:tcBorders>
              <w:top w:val="nil"/>
              <w:left w:val="single" w:sz="4" w:space="0" w:color="auto"/>
              <w:bottom w:val="single" w:sz="4" w:space="0" w:color="auto"/>
              <w:right w:val="single" w:sz="4" w:space="0" w:color="auto"/>
            </w:tcBorders>
            <w:shd w:val="clear" w:color="auto" w:fill="auto"/>
            <w:noWrap/>
            <w:vAlign w:val="center"/>
          </w:tcPr>
          <w:p w:rsidR="00205DAC" w:rsidRPr="00F074F9" w:rsidRDefault="00205DAC" w:rsidP="00F074F9">
            <w:pPr>
              <w:widowControl w:val="0"/>
              <w:jc w:val="right"/>
              <w:rPr>
                <w:color w:val="000000"/>
                <w:sz w:val="20"/>
                <w:szCs w:val="20"/>
              </w:rPr>
            </w:pPr>
            <w:r w:rsidRPr="00F074F9">
              <w:rPr>
                <w:color w:val="000000"/>
                <w:sz w:val="20"/>
                <w:szCs w:val="20"/>
              </w:rPr>
              <w:t>32.78</w:t>
            </w:r>
          </w:p>
        </w:tc>
      </w:tr>
      <w:tr w:rsidR="00CA7391" w:rsidRPr="00F074F9" w:rsidTr="00BC2417">
        <w:tc>
          <w:tcPr>
            <w:tcW w:w="203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205DAC" w:rsidRPr="00F074F9" w:rsidRDefault="00205DAC" w:rsidP="00F074F9">
            <w:pPr>
              <w:rPr>
                <w:b/>
                <w:bCs/>
                <w:color w:val="000000"/>
                <w:sz w:val="20"/>
                <w:szCs w:val="20"/>
              </w:rPr>
            </w:pPr>
            <w:r w:rsidRPr="00F074F9">
              <w:rPr>
                <w:color w:val="000000"/>
                <w:sz w:val="20"/>
                <w:szCs w:val="20"/>
              </w:rPr>
              <w:t>HCFC-141b in imported pre-blended polyols</w:t>
            </w:r>
            <w:r w:rsidR="00BC2417" w:rsidRPr="00F074F9">
              <w:rPr>
                <w:color w:val="000000"/>
                <w:sz w:val="20"/>
                <w:szCs w:val="20"/>
              </w:rPr>
              <w:t>*</w:t>
            </w:r>
          </w:p>
        </w:tc>
        <w:tc>
          <w:tcPr>
            <w:tcW w:w="462" w:type="pct"/>
            <w:tcBorders>
              <w:top w:val="nil"/>
              <w:left w:val="nil"/>
              <w:bottom w:val="single" w:sz="4" w:space="0" w:color="auto"/>
              <w:right w:val="single" w:sz="4" w:space="0" w:color="auto"/>
            </w:tcBorders>
            <w:shd w:val="clear" w:color="auto" w:fill="auto"/>
            <w:noWrap/>
          </w:tcPr>
          <w:p w:rsidR="00205DAC" w:rsidRPr="00F074F9" w:rsidRDefault="00CA7391" w:rsidP="00F074F9">
            <w:pPr>
              <w:jc w:val="right"/>
              <w:rPr>
                <w:sz w:val="20"/>
                <w:szCs w:val="20"/>
              </w:rPr>
            </w:pPr>
            <w:r w:rsidRPr="00F074F9">
              <w:rPr>
                <w:sz w:val="20"/>
                <w:szCs w:val="20"/>
              </w:rPr>
              <w:t>0</w:t>
            </w:r>
          </w:p>
        </w:tc>
        <w:tc>
          <w:tcPr>
            <w:tcW w:w="462" w:type="pct"/>
            <w:tcBorders>
              <w:top w:val="nil"/>
              <w:left w:val="nil"/>
              <w:bottom w:val="single" w:sz="4" w:space="0" w:color="auto"/>
              <w:right w:val="single" w:sz="4" w:space="0" w:color="auto"/>
            </w:tcBorders>
            <w:shd w:val="clear" w:color="auto" w:fill="auto"/>
            <w:noWrap/>
          </w:tcPr>
          <w:p w:rsidR="00205DAC" w:rsidRPr="00F074F9" w:rsidRDefault="009E3D69" w:rsidP="00F074F9">
            <w:pPr>
              <w:jc w:val="right"/>
              <w:rPr>
                <w:sz w:val="20"/>
                <w:szCs w:val="20"/>
              </w:rPr>
            </w:pPr>
            <w:r w:rsidRPr="00F074F9">
              <w:rPr>
                <w:sz w:val="20"/>
                <w:szCs w:val="20"/>
              </w:rPr>
              <w:t>0</w:t>
            </w:r>
          </w:p>
        </w:tc>
        <w:tc>
          <w:tcPr>
            <w:tcW w:w="462" w:type="pct"/>
            <w:tcBorders>
              <w:top w:val="nil"/>
              <w:left w:val="nil"/>
              <w:bottom w:val="single" w:sz="4" w:space="0" w:color="auto"/>
              <w:right w:val="single" w:sz="4" w:space="0" w:color="auto"/>
            </w:tcBorders>
            <w:shd w:val="clear" w:color="auto" w:fill="auto"/>
            <w:noWrap/>
          </w:tcPr>
          <w:p w:rsidR="00205DAC" w:rsidRPr="00F074F9" w:rsidRDefault="00205DAC" w:rsidP="00F074F9">
            <w:pPr>
              <w:jc w:val="right"/>
              <w:rPr>
                <w:sz w:val="20"/>
                <w:szCs w:val="20"/>
              </w:rPr>
            </w:pPr>
            <w:r w:rsidRPr="00F074F9">
              <w:rPr>
                <w:sz w:val="20"/>
                <w:szCs w:val="20"/>
              </w:rPr>
              <w:t>0</w:t>
            </w:r>
          </w:p>
        </w:tc>
        <w:tc>
          <w:tcPr>
            <w:tcW w:w="462" w:type="pct"/>
            <w:tcBorders>
              <w:top w:val="single" w:sz="4" w:space="0" w:color="auto"/>
              <w:left w:val="nil"/>
              <w:bottom w:val="single" w:sz="4" w:space="0" w:color="auto"/>
              <w:right w:val="single" w:sz="4" w:space="0" w:color="auto"/>
            </w:tcBorders>
          </w:tcPr>
          <w:p w:rsidR="00205DAC" w:rsidRPr="00F074F9" w:rsidRDefault="00205DAC" w:rsidP="00F074F9">
            <w:pPr>
              <w:jc w:val="right"/>
              <w:rPr>
                <w:color w:val="000000" w:themeColor="text1"/>
                <w:sz w:val="20"/>
                <w:szCs w:val="20"/>
              </w:rPr>
            </w:pPr>
            <w:r w:rsidRPr="00F074F9">
              <w:rPr>
                <w:color w:val="000000" w:themeColor="text1"/>
                <w:sz w:val="20"/>
                <w:szCs w:val="20"/>
              </w:rPr>
              <w:t>0</w:t>
            </w:r>
          </w:p>
        </w:tc>
        <w:tc>
          <w:tcPr>
            <w:tcW w:w="462" w:type="pct"/>
            <w:tcBorders>
              <w:top w:val="nil"/>
              <w:left w:val="single" w:sz="4" w:space="0" w:color="auto"/>
              <w:bottom w:val="single" w:sz="4" w:space="0" w:color="auto"/>
              <w:right w:val="single" w:sz="4" w:space="0" w:color="auto"/>
            </w:tcBorders>
          </w:tcPr>
          <w:p w:rsidR="00205DAC" w:rsidRPr="00F074F9" w:rsidRDefault="00205DAC" w:rsidP="00F074F9">
            <w:pPr>
              <w:jc w:val="right"/>
              <w:rPr>
                <w:sz w:val="20"/>
                <w:szCs w:val="20"/>
              </w:rPr>
            </w:pPr>
            <w:r w:rsidRPr="00F074F9">
              <w:rPr>
                <w:sz w:val="20"/>
                <w:szCs w:val="20"/>
              </w:rPr>
              <w:t>0</w:t>
            </w:r>
          </w:p>
        </w:tc>
        <w:tc>
          <w:tcPr>
            <w:tcW w:w="659" w:type="pct"/>
            <w:tcBorders>
              <w:top w:val="nil"/>
              <w:left w:val="single" w:sz="4" w:space="0" w:color="auto"/>
              <w:bottom w:val="single" w:sz="4" w:space="0" w:color="auto"/>
              <w:right w:val="single" w:sz="4" w:space="0" w:color="auto"/>
            </w:tcBorders>
            <w:shd w:val="clear" w:color="auto" w:fill="auto"/>
            <w:noWrap/>
          </w:tcPr>
          <w:p w:rsidR="00205DAC" w:rsidRPr="00F074F9" w:rsidRDefault="00205DAC" w:rsidP="00F074F9">
            <w:pPr>
              <w:jc w:val="right"/>
              <w:rPr>
                <w:sz w:val="20"/>
                <w:szCs w:val="20"/>
              </w:rPr>
            </w:pPr>
            <w:r w:rsidRPr="00F074F9">
              <w:rPr>
                <w:sz w:val="20"/>
                <w:szCs w:val="20"/>
              </w:rPr>
              <w:t>14.1</w:t>
            </w:r>
            <w:r w:rsidR="009E3D69" w:rsidRPr="00F074F9">
              <w:rPr>
                <w:sz w:val="20"/>
                <w:szCs w:val="20"/>
              </w:rPr>
              <w:t>0</w:t>
            </w:r>
            <w:r w:rsidRPr="00F074F9">
              <w:rPr>
                <w:sz w:val="20"/>
                <w:szCs w:val="20"/>
              </w:rPr>
              <w:t>*</w:t>
            </w:r>
            <w:r w:rsidR="00BC2417" w:rsidRPr="00F074F9">
              <w:rPr>
                <w:sz w:val="20"/>
                <w:szCs w:val="20"/>
              </w:rPr>
              <w:t>*</w:t>
            </w:r>
          </w:p>
        </w:tc>
      </w:tr>
      <w:tr w:rsidR="00CA7391" w:rsidRPr="00F074F9" w:rsidTr="00BC2417">
        <w:trPr>
          <w:trHeight w:val="262"/>
        </w:trPr>
        <w:tc>
          <w:tcPr>
            <w:tcW w:w="203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5DAC" w:rsidRPr="00F074F9" w:rsidRDefault="00205DAC" w:rsidP="00F074F9">
            <w:pPr>
              <w:widowControl w:val="0"/>
              <w:rPr>
                <w:b/>
                <w:bCs/>
                <w:color w:val="000000"/>
                <w:sz w:val="20"/>
                <w:szCs w:val="20"/>
              </w:rPr>
            </w:pPr>
            <w:r w:rsidRPr="00F074F9">
              <w:rPr>
                <w:b/>
                <w:bCs/>
                <w:color w:val="000000"/>
                <w:sz w:val="20"/>
                <w:szCs w:val="20"/>
              </w:rPr>
              <w:t>ODP tonnes</w:t>
            </w:r>
          </w:p>
        </w:tc>
        <w:tc>
          <w:tcPr>
            <w:tcW w:w="462" w:type="pct"/>
            <w:tcBorders>
              <w:top w:val="nil"/>
              <w:left w:val="nil"/>
              <w:bottom w:val="single" w:sz="4" w:space="0" w:color="auto"/>
              <w:right w:val="single" w:sz="4" w:space="0" w:color="auto"/>
            </w:tcBorders>
            <w:shd w:val="clear" w:color="auto" w:fill="auto"/>
            <w:noWrap/>
            <w:vAlign w:val="center"/>
          </w:tcPr>
          <w:p w:rsidR="00205DAC" w:rsidRPr="00F074F9" w:rsidRDefault="00205DAC" w:rsidP="00F074F9">
            <w:pPr>
              <w:widowControl w:val="0"/>
              <w:jc w:val="right"/>
              <w:rPr>
                <w:color w:val="000000"/>
                <w:sz w:val="20"/>
                <w:szCs w:val="20"/>
              </w:rPr>
            </w:pPr>
          </w:p>
        </w:tc>
        <w:tc>
          <w:tcPr>
            <w:tcW w:w="462" w:type="pct"/>
            <w:tcBorders>
              <w:top w:val="nil"/>
              <w:left w:val="nil"/>
              <w:bottom w:val="single" w:sz="4" w:space="0" w:color="auto"/>
              <w:right w:val="single" w:sz="4" w:space="0" w:color="auto"/>
            </w:tcBorders>
            <w:shd w:val="clear" w:color="auto" w:fill="auto"/>
            <w:noWrap/>
            <w:vAlign w:val="center"/>
          </w:tcPr>
          <w:p w:rsidR="00205DAC" w:rsidRPr="00F074F9" w:rsidRDefault="00205DAC" w:rsidP="00F074F9">
            <w:pPr>
              <w:widowControl w:val="0"/>
              <w:jc w:val="right"/>
              <w:rPr>
                <w:color w:val="000000"/>
                <w:sz w:val="20"/>
                <w:szCs w:val="20"/>
              </w:rPr>
            </w:pPr>
          </w:p>
        </w:tc>
        <w:tc>
          <w:tcPr>
            <w:tcW w:w="462" w:type="pct"/>
            <w:tcBorders>
              <w:top w:val="nil"/>
              <w:left w:val="nil"/>
              <w:bottom w:val="single" w:sz="4" w:space="0" w:color="auto"/>
              <w:right w:val="single" w:sz="4" w:space="0" w:color="auto"/>
            </w:tcBorders>
            <w:shd w:val="clear" w:color="auto" w:fill="auto"/>
            <w:noWrap/>
            <w:vAlign w:val="center"/>
          </w:tcPr>
          <w:p w:rsidR="00205DAC" w:rsidRPr="00F074F9" w:rsidRDefault="00205DAC" w:rsidP="00F074F9">
            <w:pPr>
              <w:widowControl w:val="0"/>
              <w:jc w:val="right"/>
              <w:rPr>
                <w:color w:val="000000"/>
                <w:sz w:val="20"/>
                <w:szCs w:val="20"/>
              </w:rPr>
            </w:pPr>
          </w:p>
        </w:tc>
        <w:tc>
          <w:tcPr>
            <w:tcW w:w="462" w:type="pct"/>
            <w:tcBorders>
              <w:top w:val="single" w:sz="4" w:space="0" w:color="auto"/>
              <w:left w:val="nil"/>
              <w:bottom w:val="single" w:sz="4" w:space="0" w:color="auto"/>
              <w:right w:val="single" w:sz="4" w:space="0" w:color="auto"/>
            </w:tcBorders>
          </w:tcPr>
          <w:p w:rsidR="00205DAC" w:rsidRPr="00F074F9" w:rsidRDefault="00205DAC" w:rsidP="00F074F9">
            <w:pPr>
              <w:widowControl w:val="0"/>
              <w:jc w:val="right"/>
              <w:rPr>
                <w:color w:val="000000" w:themeColor="text1"/>
                <w:sz w:val="20"/>
                <w:szCs w:val="20"/>
              </w:rPr>
            </w:pPr>
          </w:p>
        </w:tc>
        <w:tc>
          <w:tcPr>
            <w:tcW w:w="462" w:type="pct"/>
            <w:tcBorders>
              <w:top w:val="nil"/>
              <w:left w:val="single" w:sz="4" w:space="0" w:color="auto"/>
              <w:bottom w:val="single" w:sz="4" w:space="0" w:color="auto"/>
              <w:right w:val="single" w:sz="4" w:space="0" w:color="auto"/>
            </w:tcBorders>
          </w:tcPr>
          <w:p w:rsidR="00205DAC" w:rsidRPr="00F074F9" w:rsidRDefault="00205DAC" w:rsidP="00F074F9">
            <w:pPr>
              <w:widowControl w:val="0"/>
              <w:jc w:val="right"/>
              <w:rPr>
                <w:color w:val="000000"/>
                <w:sz w:val="20"/>
                <w:szCs w:val="20"/>
              </w:rPr>
            </w:pPr>
          </w:p>
        </w:tc>
        <w:tc>
          <w:tcPr>
            <w:tcW w:w="659" w:type="pct"/>
            <w:tcBorders>
              <w:top w:val="nil"/>
              <w:left w:val="single" w:sz="4" w:space="0" w:color="auto"/>
              <w:bottom w:val="single" w:sz="4" w:space="0" w:color="auto"/>
              <w:right w:val="single" w:sz="4" w:space="0" w:color="auto"/>
            </w:tcBorders>
            <w:shd w:val="clear" w:color="auto" w:fill="auto"/>
            <w:noWrap/>
            <w:vAlign w:val="center"/>
          </w:tcPr>
          <w:p w:rsidR="00205DAC" w:rsidRPr="00F074F9" w:rsidRDefault="00205DAC" w:rsidP="00F074F9">
            <w:pPr>
              <w:widowControl w:val="0"/>
              <w:jc w:val="right"/>
              <w:rPr>
                <w:color w:val="000000"/>
                <w:sz w:val="20"/>
                <w:szCs w:val="20"/>
              </w:rPr>
            </w:pPr>
          </w:p>
        </w:tc>
      </w:tr>
      <w:tr w:rsidR="00CA7391" w:rsidRPr="00F074F9" w:rsidTr="00BC2417">
        <w:tc>
          <w:tcPr>
            <w:tcW w:w="203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5DAC" w:rsidRPr="00F074F9" w:rsidRDefault="00205DAC" w:rsidP="00F074F9">
            <w:pPr>
              <w:widowControl w:val="0"/>
              <w:rPr>
                <w:color w:val="000000"/>
                <w:sz w:val="20"/>
                <w:szCs w:val="20"/>
              </w:rPr>
            </w:pPr>
            <w:r w:rsidRPr="00F074F9">
              <w:rPr>
                <w:color w:val="000000"/>
                <w:sz w:val="20"/>
                <w:szCs w:val="20"/>
              </w:rPr>
              <w:t>HCFC-22</w:t>
            </w:r>
          </w:p>
        </w:tc>
        <w:tc>
          <w:tcPr>
            <w:tcW w:w="462" w:type="pct"/>
            <w:tcBorders>
              <w:top w:val="nil"/>
              <w:left w:val="nil"/>
              <w:bottom w:val="single" w:sz="4" w:space="0" w:color="auto"/>
              <w:right w:val="single" w:sz="4" w:space="0" w:color="auto"/>
            </w:tcBorders>
            <w:shd w:val="clear" w:color="auto" w:fill="auto"/>
            <w:noWrap/>
          </w:tcPr>
          <w:p w:rsidR="00205DAC" w:rsidRPr="00F074F9" w:rsidRDefault="00205DAC" w:rsidP="00F074F9">
            <w:pPr>
              <w:jc w:val="right"/>
              <w:rPr>
                <w:sz w:val="20"/>
                <w:szCs w:val="20"/>
              </w:rPr>
            </w:pPr>
            <w:r w:rsidRPr="00F074F9">
              <w:rPr>
                <w:sz w:val="20"/>
                <w:szCs w:val="20"/>
              </w:rPr>
              <w:t>0.7</w:t>
            </w:r>
            <w:r w:rsidR="00CA7391" w:rsidRPr="00F074F9">
              <w:rPr>
                <w:sz w:val="20"/>
                <w:szCs w:val="20"/>
              </w:rPr>
              <w:t>2</w:t>
            </w:r>
          </w:p>
        </w:tc>
        <w:tc>
          <w:tcPr>
            <w:tcW w:w="462" w:type="pct"/>
            <w:tcBorders>
              <w:top w:val="nil"/>
              <w:left w:val="nil"/>
              <w:bottom w:val="single" w:sz="4" w:space="0" w:color="auto"/>
              <w:right w:val="single" w:sz="4" w:space="0" w:color="auto"/>
            </w:tcBorders>
            <w:shd w:val="clear" w:color="auto" w:fill="auto"/>
            <w:noWrap/>
          </w:tcPr>
          <w:p w:rsidR="00205DAC" w:rsidRPr="00F074F9" w:rsidRDefault="00205DAC" w:rsidP="00F074F9">
            <w:pPr>
              <w:jc w:val="right"/>
              <w:rPr>
                <w:sz w:val="20"/>
                <w:szCs w:val="20"/>
              </w:rPr>
            </w:pPr>
            <w:r w:rsidRPr="00F074F9">
              <w:rPr>
                <w:sz w:val="20"/>
                <w:szCs w:val="20"/>
              </w:rPr>
              <w:t>0.</w:t>
            </w:r>
            <w:r w:rsidR="00CA7391" w:rsidRPr="00F074F9">
              <w:rPr>
                <w:sz w:val="20"/>
                <w:szCs w:val="20"/>
              </w:rPr>
              <w:t>57</w:t>
            </w:r>
          </w:p>
        </w:tc>
        <w:tc>
          <w:tcPr>
            <w:tcW w:w="462" w:type="pct"/>
            <w:tcBorders>
              <w:top w:val="nil"/>
              <w:left w:val="nil"/>
              <w:bottom w:val="single" w:sz="4" w:space="0" w:color="auto"/>
              <w:right w:val="single" w:sz="4" w:space="0" w:color="auto"/>
            </w:tcBorders>
            <w:shd w:val="clear" w:color="auto" w:fill="auto"/>
            <w:noWrap/>
          </w:tcPr>
          <w:p w:rsidR="00205DAC" w:rsidRPr="00F074F9" w:rsidRDefault="00205DAC" w:rsidP="00F074F9">
            <w:pPr>
              <w:widowControl w:val="0"/>
              <w:jc w:val="right"/>
              <w:rPr>
                <w:color w:val="000000"/>
                <w:sz w:val="20"/>
                <w:szCs w:val="20"/>
              </w:rPr>
            </w:pPr>
            <w:r w:rsidRPr="00F074F9">
              <w:rPr>
                <w:color w:val="000000"/>
                <w:sz w:val="20"/>
                <w:szCs w:val="20"/>
              </w:rPr>
              <w:t>0.</w:t>
            </w:r>
            <w:r w:rsidR="00CA7391" w:rsidRPr="00F074F9">
              <w:rPr>
                <w:color w:val="000000"/>
                <w:sz w:val="20"/>
                <w:szCs w:val="20"/>
              </w:rPr>
              <w:t>18</w:t>
            </w:r>
          </w:p>
        </w:tc>
        <w:tc>
          <w:tcPr>
            <w:tcW w:w="462" w:type="pct"/>
            <w:tcBorders>
              <w:top w:val="single" w:sz="4" w:space="0" w:color="auto"/>
              <w:left w:val="nil"/>
              <w:bottom w:val="single" w:sz="4" w:space="0" w:color="auto"/>
              <w:right w:val="single" w:sz="4" w:space="0" w:color="auto"/>
            </w:tcBorders>
          </w:tcPr>
          <w:p w:rsidR="00205DAC" w:rsidRPr="00F074F9" w:rsidRDefault="00205DAC" w:rsidP="00F074F9">
            <w:pPr>
              <w:jc w:val="right"/>
              <w:rPr>
                <w:color w:val="000000" w:themeColor="text1"/>
                <w:sz w:val="20"/>
                <w:szCs w:val="20"/>
              </w:rPr>
            </w:pPr>
            <w:r w:rsidRPr="00F074F9">
              <w:rPr>
                <w:color w:val="000000" w:themeColor="text1"/>
                <w:sz w:val="20"/>
                <w:szCs w:val="20"/>
              </w:rPr>
              <w:t>0.</w:t>
            </w:r>
            <w:r w:rsidR="00CA7391" w:rsidRPr="00F074F9">
              <w:rPr>
                <w:color w:val="000000" w:themeColor="text1"/>
                <w:sz w:val="20"/>
                <w:szCs w:val="20"/>
              </w:rPr>
              <w:t>27</w:t>
            </w:r>
          </w:p>
        </w:tc>
        <w:tc>
          <w:tcPr>
            <w:tcW w:w="462" w:type="pct"/>
            <w:tcBorders>
              <w:top w:val="nil"/>
              <w:left w:val="single" w:sz="4" w:space="0" w:color="auto"/>
              <w:bottom w:val="single" w:sz="4" w:space="0" w:color="auto"/>
              <w:right w:val="single" w:sz="4" w:space="0" w:color="auto"/>
            </w:tcBorders>
          </w:tcPr>
          <w:p w:rsidR="00205DAC" w:rsidRPr="00F074F9" w:rsidRDefault="00CA7391" w:rsidP="00F074F9">
            <w:pPr>
              <w:widowControl w:val="0"/>
              <w:jc w:val="right"/>
              <w:rPr>
                <w:color w:val="000000"/>
                <w:sz w:val="20"/>
                <w:szCs w:val="20"/>
              </w:rPr>
            </w:pPr>
            <w:r w:rsidRPr="00F074F9">
              <w:rPr>
                <w:color w:val="000000"/>
                <w:sz w:val="20"/>
                <w:szCs w:val="20"/>
              </w:rPr>
              <w:t>0</w:t>
            </w:r>
            <w:r w:rsidR="009E3D69" w:rsidRPr="00F074F9">
              <w:rPr>
                <w:color w:val="000000"/>
                <w:sz w:val="20"/>
                <w:szCs w:val="20"/>
              </w:rPr>
              <w:t>.00</w:t>
            </w:r>
          </w:p>
        </w:tc>
        <w:tc>
          <w:tcPr>
            <w:tcW w:w="659" w:type="pct"/>
            <w:tcBorders>
              <w:top w:val="nil"/>
              <w:left w:val="single" w:sz="4" w:space="0" w:color="auto"/>
              <w:bottom w:val="single" w:sz="4" w:space="0" w:color="auto"/>
              <w:right w:val="single" w:sz="4" w:space="0" w:color="auto"/>
            </w:tcBorders>
            <w:shd w:val="clear" w:color="auto" w:fill="auto"/>
            <w:noWrap/>
            <w:vAlign w:val="center"/>
          </w:tcPr>
          <w:p w:rsidR="00205DAC" w:rsidRPr="00F074F9" w:rsidRDefault="00205DAC" w:rsidP="00F074F9">
            <w:pPr>
              <w:widowControl w:val="0"/>
              <w:jc w:val="right"/>
              <w:rPr>
                <w:color w:val="000000"/>
                <w:sz w:val="20"/>
                <w:szCs w:val="20"/>
              </w:rPr>
            </w:pPr>
            <w:r w:rsidRPr="00F074F9">
              <w:rPr>
                <w:color w:val="000000"/>
                <w:sz w:val="20"/>
                <w:szCs w:val="20"/>
              </w:rPr>
              <w:t>1.8</w:t>
            </w:r>
            <w:r w:rsidR="009E3D69" w:rsidRPr="00F074F9">
              <w:rPr>
                <w:color w:val="000000"/>
                <w:sz w:val="20"/>
                <w:szCs w:val="20"/>
              </w:rPr>
              <w:t>0</w:t>
            </w:r>
          </w:p>
        </w:tc>
      </w:tr>
      <w:tr w:rsidR="00CA7391" w:rsidRPr="00F074F9" w:rsidTr="00BC2417">
        <w:tc>
          <w:tcPr>
            <w:tcW w:w="203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205DAC" w:rsidRPr="00F074F9" w:rsidRDefault="00205DAC" w:rsidP="00F074F9">
            <w:pPr>
              <w:rPr>
                <w:color w:val="000000"/>
                <w:sz w:val="20"/>
                <w:szCs w:val="20"/>
              </w:rPr>
            </w:pPr>
            <w:r w:rsidRPr="00F074F9">
              <w:rPr>
                <w:color w:val="000000"/>
                <w:sz w:val="20"/>
                <w:szCs w:val="20"/>
              </w:rPr>
              <w:t>HCFC-141b in imported pre-blended polyols</w:t>
            </w:r>
            <w:r w:rsidR="00BC2417" w:rsidRPr="00F074F9">
              <w:rPr>
                <w:color w:val="000000"/>
                <w:sz w:val="20"/>
                <w:szCs w:val="20"/>
              </w:rPr>
              <w:t>*</w:t>
            </w:r>
          </w:p>
        </w:tc>
        <w:tc>
          <w:tcPr>
            <w:tcW w:w="462" w:type="pct"/>
            <w:tcBorders>
              <w:top w:val="single" w:sz="4" w:space="0" w:color="auto"/>
              <w:left w:val="nil"/>
              <w:bottom w:val="single" w:sz="4" w:space="0" w:color="auto"/>
              <w:right w:val="single" w:sz="4" w:space="0" w:color="auto"/>
            </w:tcBorders>
            <w:shd w:val="clear" w:color="auto" w:fill="auto"/>
            <w:noWrap/>
          </w:tcPr>
          <w:p w:rsidR="00205DAC" w:rsidRPr="00F074F9" w:rsidRDefault="00CA7391" w:rsidP="00F074F9">
            <w:pPr>
              <w:jc w:val="right"/>
              <w:rPr>
                <w:sz w:val="20"/>
                <w:szCs w:val="20"/>
              </w:rPr>
            </w:pPr>
            <w:r w:rsidRPr="00F074F9">
              <w:rPr>
                <w:color w:val="000000" w:themeColor="text1"/>
                <w:sz w:val="20"/>
                <w:szCs w:val="20"/>
              </w:rPr>
              <w:t>0</w:t>
            </w:r>
          </w:p>
        </w:tc>
        <w:tc>
          <w:tcPr>
            <w:tcW w:w="462" w:type="pct"/>
            <w:tcBorders>
              <w:top w:val="single" w:sz="4" w:space="0" w:color="auto"/>
              <w:left w:val="nil"/>
              <w:bottom w:val="single" w:sz="4" w:space="0" w:color="auto"/>
              <w:right w:val="single" w:sz="4" w:space="0" w:color="auto"/>
            </w:tcBorders>
            <w:shd w:val="clear" w:color="auto" w:fill="auto"/>
            <w:noWrap/>
          </w:tcPr>
          <w:p w:rsidR="00205DAC" w:rsidRPr="00F074F9" w:rsidRDefault="00205DAC" w:rsidP="00F074F9">
            <w:pPr>
              <w:jc w:val="right"/>
              <w:rPr>
                <w:sz w:val="20"/>
                <w:szCs w:val="20"/>
              </w:rPr>
            </w:pPr>
            <w:r w:rsidRPr="00F074F9">
              <w:rPr>
                <w:sz w:val="20"/>
                <w:szCs w:val="20"/>
              </w:rPr>
              <w:t>0</w:t>
            </w:r>
          </w:p>
        </w:tc>
        <w:tc>
          <w:tcPr>
            <w:tcW w:w="462" w:type="pct"/>
            <w:tcBorders>
              <w:top w:val="single" w:sz="4" w:space="0" w:color="auto"/>
              <w:left w:val="nil"/>
              <w:bottom w:val="single" w:sz="4" w:space="0" w:color="auto"/>
              <w:right w:val="single" w:sz="4" w:space="0" w:color="auto"/>
            </w:tcBorders>
            <w:shd w:val="clear" w:color="auto" w:fill="auto"/>
            <w:noWrap/>
          </w:tcPr>
          <w:p w:rsidR="00205DAC" w:rsidRPr="00F074F9" w:rsidRDefault="00205DAC" w:rsidP="00F074F9">
            <w:pPr>
              <w:jc w:val="right"/>
              <w:rPr>
                <w:rFonts w:eastAsiaTheme="minorHAnsi"/>
                <w:color w:val="000000"/>
                <w:sz w:val="20"/>
                <w:szCs w:val="20"/>
              </w:rPr>
            </w:pPr>
            <w:r w:rsidRPr="00F074F9">
              <w:rPr>
                <w:rFonts w:eastAsiaTheme="minorHAnsi"/>
                <w:color w:val="000000"/>
                <w:sz w:val="20"/>
                <w:szCs w:val="20"/>
              </w:rPr>
              <w:t>0</w:t>
            </w:r>
          </w:p>
        </w:tc>
        <w:tc>
          <w:tcPr>
            <w:tcW w:w="462" w:type="pct"/>
            <w:tcBorders>
              <w:top w:val="single" w:sz="4" w:space="0" w:color="auto"/>
              <w:left w:val="nil"/>
              <w:bottom w:val="single" w:sz="4" w:space="0" w:color="auto"/>
              <w:right w:val="single" w:sz="4" w:space="0" w:color="auto"/>
            </w:tcBorders>
          </w:tcPr>
          <w:p w:rsidR="00205DAC" w:rsidRPr="00F074F9" w:rsidRDefault="00205DAC" w:rsidP="00F074F9">
            <w:pPr>
              <w:jc w:val="right"/>
              <w:rPr>
                <w:color w:val="000000" w:themeColor="text1"/>
                <w:sz w:val="20"/>
                <w:szCs w:val="20"/>
              </w:rPr>
            </w:pPr>
            <w:r w:rsidRPr="00F074F9">
              <w:rPr>
                <w:color w:val="000000" w:themeColor="text1"/>
                <w:sz w:val="20"/>
                <w:szCs w:val="20"/>
              </w:rPr>
              <w:t>0</w:t>
            </w:r>
          </w:p>
        </w:tc>
        <w:tc>
          <w:tcPr>
            <w:tcW w:w="462" w:type="pct"/>
            <w:tcBorders>
              <w:top w:val="single" w:sz="4" w:space="0" w:color="auto"/>
              <w:left w:val="single" w:sz="4" w:space="0" w:color="auto"/>
              <w:bottom w:val="single" w:sz="4" w:space="0" w:color="auto"/>
              <w:right w:val="single" w:sz="4" w:space="0" w:color="auto"/>
            </w:tcBorders>
          </w:tcPr>
          <w:p w:rsidR="00205DAC" w:rsidRPr="00F074F9" w:rsidRDefault="00205DAC" w:rsidP="00F074F9">
            <w:pPr>
              <w:jc w:val="right"/>
              <w:rPr>
                <w:rFonts w:eastAsiaTheme="minorHAnsi"/>
                <w:color w:val="000000"/>
                <w:sz w:val="20"/>
                <w:szCs w:val="20"/>
              </w:rPr>
            </w:pPr>
            <w:r w:rsidRPr="00F074F9">
              <w:rPr>
                <w:rFonts w:eastAsiaTheme="minorHAnsi"/>
                <w:color w:val="000000"/>
                <w:sz w:val="20"/>
                <w:szCs w:val="20"/>
              </w:rPr>
              <w:t>0</w:t>
            </w:r>
          </w:p>
        </w:tc>
        <w:tc>
          <w:tcPr>
            <w:tcW w:w="659" w:type="pct"/>
            <w:tcBorders>
              <w:top w:val="single" w:sz="4" w:space="0" w:color="auto"/>
              <w:left w:val="single" w:sz="4" w:space="0" w:color="auto"/>
              <w:bottom w:val="single" w:sz="4" w:space="0" w:color="auto"/>
              <w:right w:val="single" w:sz="4" w:space="0" w:color="auto"/>
            </w:tcBorders>
            <w:shd w:val="clear" w:color="auto" w:fill="auto"/>
            <w:noWrap/>
          </w:tcPr>
          <w:p w:rsidR="00205DAC" w:rsidRPr="00F074F9" w:rsidRDefault="00205DAC" w:rsidP="00F074F9">
            <w:pPr>
              <w:jc w:val="right"/>
              <w:rPr>
                <w:rFonts w:eastAsiaTheme="minorHAnsi"/>
                <w:color w:val="000000"/>
                <w:sz w:val="20"/>
                <w:szCs w:val="20"/>
              </w:rPr>
            </w:pPr>
            <w:r w:rsidRPr="00F074F9">
              <w:rPr>
                <w:rFonts w:eastAsiaTheme="minorHAnsi"/>
                <w:color w:val="000000"/>
                <w:sz w:val="20"/>
                <w:szCs w:val="20"/>
              </w:rPr>
              <w:t>1.55*</w:t>
            </w:r>
            <w:r w:rsidR="00BC2417" w:rsidRPr="00F074F9">
              <w:rPr>
                <w:rFonts w:eastAsiaTheme="minorHAnsi"/>
                <w:color w:val="000000"/>
                <w:sz w:val="20"/>
                <w:szCs w:val="20"/>
              </w:rPr>
              <w:t>*</w:t>
            </w:r>
          </w:p>
        </w:tc>
      </w:tr>
    </w:tbl>
    <w:p w:rsidR="00BC2417" w:rsidRPr="00F074F9" w:rsidRDefault="00BC2417" w:rsidP="00F074F9">
      <w:pPr>
        <w:rPr>
          <w:sz w:val="16"/>
          <w:szCs w:val="16"/>
          <w:lang w:val="en-CA"/>
        </w:rPr>
      </w:pPr>
      <w:r w:rsidRPr="00F074F9">
        <w:rPr>
          <w:sz w:val="16"/>
          <w:szCs w:val="16"/>
          <w:lang w:val="en-CA"/>
        </w:rPr>
        <w:t>*Country programme (CP) data</w:t>
      </w:r>
    </w:p>
    <w:p w:rsidR="0048336E" w:rsidRPr="00F074F9" w:rsidRDefault="0048336E" w:rsidP="00F074F9">
      <w:pPr>
        <w:rPr>
          <w:sz w:val="16"/>
          <w:szCs w:val="16"/>
          <w:lang w:val="en-CA"/>
        </w:rPr>
      </w:pPr>
      <w:r w:rsidRPr="00F074F9">
        <w:rPr>
          <w:sz w:val="16"/>
          <w:szCs w:val="16"/>
          <w:lang w:val="en-CA"/>
        </w:rPr>
        <w:t>*</w:t>
      </w:r>
      <w:r w:rsidR="00BC2417" w:rsidRPr="00F074F9">
        <w:rPr>
          <w:sz w:val="16"/>
          <w:szCs w:val="16"/>
          <w:lang w:val="en-CA"/>
        </w:rPr>
        <w:t>*</w:t>
      </w:r>
      <w:r w:rsidR="003F1A22" w:rsidRPr="00F074F9">
        <w:rPr>
          <w:sz w:val="16"/>
          <w:szCs w:val="16"/>
          <w:lang w:val="en-CA"/>
        </w:rPr>
        <w:t>Average consumption between 2007 and 2009</w:t>
      </w:r>
      <w:r w:rsidR="009E3D69" w:rsidRPr="00F074F9">
        <w:rPr>
          <w:sz w:val="16"/>
          <w:szCs w:val="16"/>
          <w:lang w:val="en-CA"/>
        </w:rPr>
        <w:t>.</w:t>
      </w:r>
    </w:p>
    <w:p w:rsidR="00B56B5F" w:rsidRPr="00F074F9" w:rsidRDefault="00B56B5F" w:rsidP="00F074F9">
      <w:pPr>
        <w:rPr>
          <w:lang w:val="en-CA"/>
        </w:rPr>
      </w:pPr>
    </w:p>
    <w:p w:rsidR="00CA7391" w:rsidRPr="00F074F9" w:rsidRDefault="003F1A22" w:rsidP="00F074F9">
      <w:pPr>
        <w:pStyle w:val="Heading1"/>
        <w:rPr>
          <w:lang w:val="en-CA"/>
        </w:rPr>
      </w:pPr>
      <w:r w:rsidRPr="00F074F9">
        <w:rPr>
          <w:lang w:val="en-CA"/>
        </w:rPr>
        <w:t>The decreases in</w:t>
      </w:r>
      <w:r w:rsidR="00894514" w:rsidRPr="00F074F9">
        <w:rPr>
          <w:lang w:val="en-CA"/>
        </w:rPr>
        <w:t xml:space="preserve"> HCFC consumption is due to </w:t>
      </w:r>
      <w:r w:rsidR="00BC2417" w:rsidRPr="00F074F9">
        <w:rPr>
          <w:lang w:val="en-CA"/>
        </w:rPr>
        <w:t xml:space="preserve">a five per cent annual reduction on </w:t>
      </w:r>
      <w:r w:rsidRPr="00F074F9">
        <w:rPr>
          <w:lang w:val="en-CA"/>
        </w:rPr>
        <w:t xml:space="preserve">the import quota of HCFCs </w:t>
      </w:r>
      <w:r w:rsidR="00741CF0" w:rsidRPr="00F074F9">
        <w:rPr>
          <w:lang w:val="en-CA"/>
        </w:rPr>
        <w:t>since</w:t>
      </w:r>
      <w:r w:rsidRPr="00F074F9">
        <w:rPr>
          <w:lang w:val="en-CA"/>
        </w:rPr>
        <w:t xml:space="preserve"> 2013</w:t>
      </w:r>
      <w:r w:rsidR="00C61602" w:rsidRPr="00F074F9">
        <w:rPr>
          <w:lang w:val="en-CA"/>
        </w:rPr>
        <w:t>;</w:t>
      </w:r>
      <w:r w:rsidR="00894514" w:rsidRPr="00F074F9">
        <w:rPr>
          <w:lang w:val="en-CA"/>
        </w:rPr>
        <w:t xml:space="preserve"> and the activities conducted under the HPMP</w:t>
      </w:r>
      <w:r w:rsidR="00AA41C4" w:rsidRPr="00F074F9">
        <w:rPr>
          <w:lang w:val="en-CA"/>
        </w:rPr>
        <w:t>,</w:t>
      </w:r>
      <w:r w:rsidRPr="00F074F9">
        <w:rPr>
          <w:lang w:val="en-CA"/>
        </w:rPr>
        <w:t xml:space="preserve"> </w:t>
      </w:r>
      <w:r w:rsidR="00AA41C4" w:rsidRPr="00F074F9">
        <w:rPr>
          <w:lang w:val="en-CA"/>
        </w:rPr>
        <w:t xml:space="preserve">namely regulations to minimize refrigerant emissions during servicing, training of technicians, </w:t>
      </w:r>
      <w:r w:rsidRPr="00F074F9">
        <w:rPr>
          <w:lang w:val="en-CA"/>
        </w:rPr>
        <w:t xml:space="preserve">recovery and recycling (R&amp;R) </w:t>
      </w:r>
      <w:r w:rsidR="00AA41C4" w:rsidRPr="00F074F9">
        <w:rPr>
          <w:lang w:val="en-CA"/>
        </w:rPr>
        <w:t xml:space="preserve">of refrigerants, </w:t>
      </w:r>
      <w:r w:rsidR="00C61602" w:rsidRPr="00F074F9">
        <w:rPr>
          <w:lang w:val="en-CA"/>
        </w:rPr>
        <w:t>as well as</w:t>
      </w:r>
      <w:r w:rsidRPr="00F074F9">
        <w:rPr>
          <w:lang w:val="en-CA"/>
        </w:rPr>
        <w:t xml:space="preserve"> the implementation of </w:t>
      </w:r>
      <w:r w:rsidR="00C61602" w:rsidRPr="00F074F9">
        <w:rPr>
          <w:lang w:val="en-CA"/>
        </w:rPr>
        <w:t xml:space="preserve">other </w:t>
      </w:r>
      <w:r w:rsidRPr="00F074F9">
        <w:rPr>
          <w:lang w:val="en-CA"/>
        </w:rPr>
        <w:t>activities in the refrigeration servicing sector</w:t>
      </w:r>
      <w:r w:rsidR="00894514" w:rsidRPr="00F074F9">
        <w:rPr>
          <w:lang w:val="en-CA"/>
        </w:rPr>
        <w:t xml:space="preserve">. </w:t>
      </w:r>
      <w:r w:rsidR="00AA41C4" w:rsidRPr="00F074F9">
        <w:rPr>
          <w:lang w:val="en-CA"/>
        </w:rPr>
        <w:t xml:space="preserve">These activities were </w:t>
      </w:r>
      <w:r w:rsidRPr="00F074F9">
        <w:rPr>
          <w:lang w:val="en-CA"/>
        </w:rPr>
        <w:t>further supported by an</w:t>
      </w:r>
      <w:r w:rsidR="00CA7391" w:rsidRPr="00F074F9">
        <w:rPr>
          <w:lang w:val="en-CA"/>
        </w:rPr>
        <w:t xml:space="preserve"> environmental tax (US</w:t>
      </w:r>
      <w:r w:rsidR="0072487C" w:rsidRPr="00F074F9">
        <w:rPr>
          <w:lang w:val="en-CA"/>
        </w:rPr>
        <w:t> </w:t>
      </w:r>
      <w:r w:rsidR="00CA7391" w:rsidRPr="00F074F9">
        <w:rPr>
          <w:lang w:val="en-CA"/>
        </w:rPr>
        <w:t>$1.</w:t>
      </w:r>
      <w:r w:rsidRPr="00F074F9">
        <w:rPr>
          <w:lang w:val="en-CA"/>
        </w:rPr>
        <w:t>13/kg) on the import of HCFCs</w:t>
      </w:r>
      <w:r w:rsidR="00D56223" w:rsidRPr="00F074F9">
        <w:rPr>
          <w:lang w:val="en-CA"/>
        </w:rPr>
        <w:t>,</w:t>
      </w:r>
      <w:r w:rsidRPr="00F074F9">
        <w:rPr>
          <w:lang w:val="en-CA"/>
        </w:rPr>
        <w:t xml:space="preserve"> and </w:t>
      </w:r>
      <w:r w:rsidR="0072487C" w:rsidRPr="00F074F9">
        <w:rPr>
          <w:lang w:val="en-CA"/>
        </w:rPr>
        <w:t>other regulatory</w:t>
      </w:r>
      <w:r w:rsidR="00CA7391" w:rsidRPr="00F074F9">
        <w:rPr>
          <w:lang w:val="en-CA"/>
        </w:rPr>
        <w:t xml:space="preserve"> measu</w:t>
      </w:r>
      <w:r w:rsidRPr="00F074F9">
        <w:rPr>
          <w:lang w:val="en-CA"/>
        </w:rPr>
        <w:t>res that have been put in place.</w:t>
      </w:r>
      <w:r w:rsidR="00CA7391" w:rsidRPr="00F074F9">
        <w:rPr>
          <w:lang w:val="en-CA"/>
        </w:rPr>
        <w:t xml:space="preserve"> </w:t>
      </w:r>
    </w:p>
    <w:p w:rsidR="00AA41C4" w:rsidRPr="00F074F9" w:rsidRDefault="00D56223" w:rsidP="00F074F9">
      <w:pPr>
        <w:pStyle w:val="Heading1"/>
        <w:rPr>
          <w:lang w:val="en-CA"/>
        </w:rPr>
      </w:pPr>
      <w:r w:rsidRPr="00F074F9">
        <w:rPr>
          <w:lang w:val="en-CA"/>
        </w:rPr>
        <w:t>While the import quota for 2017 was established at 1.35 ODP tonnes, there</w:t>
      </w:r>
      <w:r w:rsidR="009064D4" w:rsidRPr="00F074F9">
        <w:rPr>
          <w:lang w:val="en-CA"/>
        </w:rPr>
        <w:t xml:space="preserve"> was no import of HCFCs in </w:t>
      </w:r>
      <w:r w:rsidRPr="00F074F9">
        <w:rPr>
          <w:lang w:val="en-CA"/>
        </w:rPr>
        <w:t>that year</w:t>
      </w:r>
      <w:r w:rsidR="009064D4" w:rsidRPr="00F074F9">
        <w:rPr>
          <w:lang w:val="en-CA"/>
        </w:rPr>
        <w:t xml:space="preserve"> thus, zero </w:t>
      </w:r>
      <w:r w:rsidR="00AA41C4" w:rsidRPr="00F074F9">
        <w:rPr>
          <w:lang w:val="en-CA"/>
        </w:rPr>
        <w:t>consumption</w:t>
      </w:r>
      <w:r w:rsidR="009064D4" w:rsidRPr="00F074F9">
        <w:rPr>
          <w:lang w:val="en-CA"/>
        </w:rPr>
        <w:t xml:space="preserve"> </w:t>
      </w:r>
      <w:r w:rsidRPr="00F074F9">
        <w:rPr>
          <w:lang w:val="en-CA"/>
        </w:rPr>
        <w:t>was reported</w:t>
      </w:r>
      <w:r w:rsidR="0017646F" w:rsidRPr="00F074F9">
        <w:rPr>
          <w:lang w:val="en-CA"/>
        </w:rPr>
        <w:t xml:space="preserve"> since some stocks of HCFCs from previous imports were available and sufficient for the market</w:t>
      </w:r>
      <w:r w:rsidR="009064D4" w:rsidRPr="00F074F9">
        <w:rPr>
          <w:lang w:val="en-CA"/>
        </w:rPr>
        <w:t>.</w:t>
      </w:r>
    </w:p>
    <w:p w:rsidR="00772ECE" w:rsidRPr="00F074F9" w:rsidRDefault="00772ECE" w:rsidP="00F074F9">
      <w:pPr>
        <w:pStyle w:val="Heading1"/>
        <w:numPr>
          <w:ilvl w:val="0"/>
          <w:numId w:val="0"/>
        </w:numPr>
        <w:rPr>
          <w:i/>
          <w:lang w:val="en-CA"/>
        </w:rPr>
      </w:pPr>
      <w:r w:rsidRPr="00F074F9">
        <w:rPr>
          <w:i/>
          <w:lang w:val="en-CA"/>
        </w:rPr>
        <w:t>Country programme (CP) implementation report</w:t>
      </w:r>
    </w:p>
    <w:p w:rsidR="00894514" w:rsidRPr="00F074F9" w:rsidRDefault="00772ECE" w:rsidP="00F074F9">
      <w:pPr>
        <w:pStyle w:val="Heading1"/>
        <w:rPr>
          <w:lang w:val="en-CA"/>
        </w:rPr>
      </w:pPr>
      <w:r w:rsidRPr="00F074F9">
        <w:rPr>
          <w:lang w:val="en-CA"/>
        </w:rPr>
        <w:t>The Government of</w:t>
      </w:r>
      <w:r w:rsidR="00DA4F5E" w:rsidRPr="00F074F9">
        <w:rPr>
          <w:lang w:val="en-CA"/>
        </w:rPr>
        <w:t xml:space="preserve"> the former Yugoslav Republic of Macedonia</w:t>
      </w:r>
      <w:r w:rsidRPr="00F074F9">
        <w:rPr>
          <w:lang w:val="en-CA"/>
        </w:rPr>
        <w:t xml:space="preserve"> reported HCFC consumption data under the 2017 CP implementation report </w:t>
      </w:r>
      <w:r w:rsidR="005B7385" w:rsidRPr="00F074F9">
        <w:rPr>
          <w:lang w:val="en-CA"/>
        </w:rPr>
        <w:t xml:space="preserve">of 698.5 kg (0.04 ODP tonne) of HCFC-22 </w:t>
      </w:r>
      <w:r w:rsidRPr="00F074F9">
        <w:rPr>
          <w:lang w:val="en-CA"/>
        </w:rPr>
        <w:t xml:space="preserve">which is </w:t>
      </w:r>
      <w:r w:rsidR="00C806E0" w:rsidRPr="00F074F9">
        <w:rPr>
          <w:lang w:val="en-CA"/>
        </w:rPr>
        <w:t xml:space="preserve">not </w:t>
      </w:r>
      <w:r w:rsidRPr="00F074F9">
        <w:rPr>
          <w:lang w:val="en-CA"/>
        </w:rPr>
        <w:t>consistent with the data reported under Article</w:t>
      </w:r>
      <w:r w:rsidR="008769F2" w:rsidRPr="00F074F9">
        <w:rPr>
          <w:lang w:val="en-CA"/>
        </w:rPr>
        <w:t> </w:t>
      </w:r>
      <w:r w:rsidRPr="00F074F9">
        <w:rPr>
          <w:lang w:val="en-CA"/>
        </w:rPr>
        <w:t xml:space="preserve">7 of the Montreal Protocol. </w:t>
      </w:r>
      <w:r w:rsidR="00B56B5F" w:rsidRPr="00F074F9">
        <w:rPr>
          <w:lang w:val="en-CA"/>
        </w:rPr>
        <w:t xml:space="preserve">The quantity reported under the CP was </w:t>
      </w:r>
      <w:r w:rsidR="00205DAC" w:rsidRPr="00F074F9">
        <w:rPr>
          <w:lang w:val="en-CA"/>
        </w:rPr>
        <w:t>from stockpiles</w:t>
      </w:r>
      <w:r w:rsidR="005B7385" w:rsidRPr="00F074F9">
        <w:rPr>
          <w:lang w:val="en-CA"/>
        </w:rPr>
        <w:t xml:space="preserve"> that were</w:t>
      </w:r>
      <w:r w:rsidR="00B56B5F" w:rsidRPr="00F074F9">
        <w:rPr>
          <w:lang w:val="en-CA"/>
        </w:rPr>
        <w:t xml:space="preserve"> placed on the market </w:t>
      </w:r>
      <w:r w:rsidR="00205DAC" w:rsidRPr="00F074F9">
        <w:rPr>
          <w:lang w:val="en-CA"/>
        </w:rPr>
        <w:t xml:space="preserve">only </w:t>
      </w:r>
      <w:r w:rsidR="00B56B5F" w:rsidRPr="00F074F9">
        <w:rPr>
          <w:lang w:val="en-CA"/>
        </w:rPr>
        <w:t xml:space="preserve">in 2017. </w:t>
      </w:r>
      <w:r w:rsidR="00894514" w:rsidRPr="00F074F9">
        <w:rPr>
          <w:lang w:val="en-CA"/>
        </w:rPr>
        <w:t xml:space="preserve">The CP data on imports of HCFCs is consistent with </w:t>
      </w:r>
      <w:r w:rsidR="00C61602" w:rsidRPr="00F074F9">
        <w:rPr>
          <w:lang w:val="en-CA"/>
        </w:rPr>
        <w:t>that</w:t>
      </w:r>
      <w:r w:rsidR="00894514" w:rsidRPr="00F074F9">
        <w:rPr>
          <w:lang w:val="en-CA"/>
        </w:rPr>
        <w:t xml:space="preserve"> reported under Article 7. </w:t>
      </w:r>
    </w:p>
    <w:p w:rsidR="00AF1E56" w:rsidRPr="00F074F9" w:rsidRDefault="00AF1E56" w:rsidP="00F074F9">
      <w:pPr>
        <w:pStyle w:val="Heading1"/>
        <w:numPr>
          <w:ilvl w:val="0"/>
          <w:numId w:val="0"/>
        </w:numPr>
        <w:rPr>
          <w:i/>
          <w:lang w:val="en-CA"/>
        </w:rPr>
      </w:pPr>
      <w:r w:rsidRPr="00F074F9">
        <w:rPr>
          <w:i/>
          <w:lang w:val="en-CA"/>
        </w:rPr>
        <w:t>Verification report</w:t>
      </w:r>
    </w:p>
    <w:p w:rsidR="00205DAC" w:rsidRPr="00F074F9" w:rsidRDefault="00AF1E56" w:rsidP="00F074F9">
      <w:pPr>
        <w:pStyle w:val="Heading1"/>
        <w:rPr>
          <w:lang w:val="en-CA"/>
        </w:rPr>
      </w:pPr>
      <w:r w:rsidRPr="00F074F9">
        <w:rPr>
          <w:lang w:val="en-CA"/>
        </w:rPr>
        <w:t xml:space="preserve">The verification report confirmed that the Government is implementing a licensing and quota system for HCFC imports and exports and that the </w:t>
      </w:r>
      <w:r w:rsidR="000057AB" w:rsidRPr="00F074F9">
        <w:rPr>
          <w:lang w:val="en-CA"/>
        </w:rPr>
        <w:t>annual</w:t>
      </w:r>
      <w:r w:rsidRPr="00F074F9">
        <w:rPr>
          <w:lang w:val="en-CA"/>
        </w:rPr>
        <w:t xml:space="preserve"> consumption of HCFC</w:t>
      </w:r>
      <w:r w:rsidR="000057AB" w:rsidRPr="00F074F9">
        <w:rPr>
          <w:lang w:val="en-CA"/>
        </w:rPr>
        <w:t>-22</w:t>
      </w:r>
      <w:r w:rsidRPr="00F074F9">
        <w:rPr>
          <w:lang w:val="en-CA"/>
        </w:rPr>
        <w:t xml:space="preserve"> </w:t>
      </w:r>
      <w:r w:rsidR="000057AB" w:rsidRPr="00F074F9">
        <w:rPr>
          <w:lang w:val="en-CA"/>
        </w:rPr>
        <w:t>in</w:t>
      </w:r>
      <w:r w:rsidRPr="00F074F9">
        <w:rPr>
          <w:lang w:val="en-CA"/>
        </w:rPr>
        <w:t xml:space="preserve"> 2017 was </w:t>
      </w:r>
      <w:r w:rsidR="005B7385" w:rsidRPr="00F074F9">
        <w:rPr>
          <w:lang w:val="en-CA"/>
        </w:rPr>
        <w:t>zero</w:t>
      </w:r>
      <w:r w:rsidRPr="00F074F9">
        <w:rPr>
          <w:lang w:val="en-CA"/>
        </w:rPr>
        <w:t>.</w:t>
      </w:r>
      <w:r w:rsidR="000057AB" w:rsidRPr="00F074F9">
        <w:rPr>
          <w:lang w:val="en-CA"/>
        </w:rPr>
        <w:t xml:space="preserve"> Although one company applied </w:t>
      </w:r>
      <w:r w:rsidR="00646C3E">
        <w:rPr>
          <w:lang w:val="en-CA"/>
        </w:rPr>
        <w:t xml:space="preserve">for </w:t>
      </w:r>
      <w:r w:rsidR="00D37ED6" w:rsidRPr="00F074F9">
        <w:rPr>
          <w:lang w:val="en-CA"/>
        </w:rPr>
        <w:t xml:space="preserve">a license to import HCFC-22 (i.e., 10 mt) in 2017, </w:t>
      </w:r>
      <w:r w:rsidR="00205DAC" w:rsidRPr="00F074F9">
        <w:rPr>
          <w:lang w:val="en-CA"/>
        </w:rPr>
        <w:t>no actual import was made</w:t>
      </w:r>
      <w:r w:rsidR="00741CF0" w:rsidRPr="00F074F9">
        <w:rPr>
          <w:lang w:val="en-CA"/>
        </w:rPr>
        <w:t xml:space="preserve"> that year</w:t>
      </w:r>
      <w:r w:rsidR="000057AB" w:rsidRPr="00F074F9">
        <w:rPr>
          <w:lang w:val="en-CA"/>
        </w:rPr>
        <w:t>.</w:t>
      </w:r>
      <w:r w:rsidRPr="00F074F9">
        <w:rPr>
          <w:lang w:val="en-CA"/>
        </w:rPr>
        <w:t xml:space="preserve"> </w:t>
      </w:r>
    </w:p>
    <w:p w:rsidR="00772ECE" w:rsidRPr="00F074F9" w:rsidRDefault="00772ECE" w:rsidP="00F074F9">
      <w:pPr>
        <w:pStyle w:val="Heading1"/>
        <w:numPr>
          <w:ilvl w:val="0"/>
          <w:numId w:val="0"/>
        </w:numPr>
        <w:rPr>
          <w:u w:val="single"/>
          <w:lang w:val="en-CA"/>
        </w:rPr>
      </w:pPr>
      <w:r w:rsidRPr="00F074F9">
        <w:rPr>
          <w:u w:val="single"/>
          <w:lang w:val="en-CA"/>
        </w:rPr>
        <w:lastRenderedPageBreak/>
        <w:t>Progress report on the implementation of the</w:t>
      </w:r>
      <w:r w:rsidR="00DA4F5E" w:rsidRPr="00F074F9">
        <w:rPr>
          <w:u w:val="single"/>
          <w:lang w:val="en-CA"/>
        </w:rPr>
        <w:t xml:space="preserve"> </w:t>
      </w:r>
      <w:r w:rsidR="00DA7B53" w:rsidRPr="00F074F9">
        <w:rPr>
          <w:u w:val="single"/>
          <w:lang w:val="en-CA"/>
        </w:rPr>
        <w:t>seventh</w:t>
      </w:r>
      <w:r w:rsidRPr="00F074F9">
        <w:rPr>
          <w:u w:val="single"/>
          <w:lang w:val="en-CA"/>
        </w:rPr>
        <w:t xml:space="preserve"> tranche of the HPMP</w:t>
      </w:r>
    </w:p>
    <w:p w:rsidR="00772ECE" w:rsidRPr="00F074F9" w:rsidRDefault="00772ECE" w:rsidP="00F074F9">
      <w:pPr>
        <w:spacing w:after="240"/>
        <w:rPr>
          <w:i/>
          <w:lang w:val="en-CA"/>
        </w:rPr>
      </w:pPr>
      <w:r w:rsidRPr="00F074F9">
        <w:rPr>
          <w:i/>
          <w:lang w:val="en-CA"/>
        </w:rPr>
        <w:t>Legal framework</w:t>
      </w:r>
    </w:p>
    <w:p w:rsidR="00772ECE" w:rsidRPr="00F074F9" w:rsidRDefault="00D37ED6" w:rsidP="00F074F9">
      <w:pPr>
        <w:pStyle w:val="Heading1"/>
        <w:rPr>
          <w:lang w:val="en-CA"/>
        </w:rPr>
      </w:pPr>
      <w:r w:rsidRPr="00F074F9">
        <w:rPr>
          <w:lang w:val="en-CA"/>
        </w:rPr>
        <w:t xml:space="preserve">The Law on Environment which is the basis for the licensing system was amended to include specific provisions on </w:t>
      </w:r>
      <w:r w:rsidR="0002797A" w:rsidRPr="00F074F9">
        <w:rPr>
          <w:lang w:val="en-CA"/>
        </w:rPr>
        <w:t xml:space="preserve">types </w:t>
      </w:r>
      <w:r w:rsidRPr="00F074F9">
        <w:rPr>
          <w:lang w:val="en-CA"/>
        </w:rPr>
        <w:t>and</w:t>
      </w:r>
      <w:r w:rsidR="0002797A" w:rsidRPr="00F074F9">
        <w:rPr>
          <w:lang w:val="en-CA"/>
        </w:rPr>
        <w:t xml:space="preserve"> categories of licenses for management of refrigerants and/or products containing refrigerants, </w:t>
      </w:r>
      <w:r w:rsidRPr="00F074F9">
        <w:rPr>
          <w:lang w:val="en-CA"/>
        </w:rPr>
        <w:t>procedures applied for</w:t>
      </w:r>
      <w:r w:rsidR="0002797A" w:rsidRPr="00F074F9">
        <w:rPr>
          <w:lang w:val="en-CA"/>
        </w:rPr>
        <w:t xml:space="preserve"> </w:t>
      </w:r>
      <w:r w:rsidR="005B7385" w:rsidRPr="00F074F9">
        <w:rPr>
          <w:lang w:val="en-CA"/>
        </w:rPr>
        <w:t>R&amp;R</w:t>
      </w:r>
      <w:r w:rsidRPr="00F074F9">
        <w:rPr>
          <w:lang w:val="en-CA"/>
        </w:rPr>
        <w:t>, equipment installation and servicing</w:t>
      </w:r>
      <w:r w:rsidR="0017646F" w:rsidRPr="00F074F9">
        <w:rPr>
          <w:lang w:val="en-CA"/>
        </w:rPr>
        <w:t>,</w:t>
      </w:r>
      <w:r w:rsidR="0002797A" w:rsidRPr="00F074F9">
        <w:rPr>
          <w:lang w:val="en-CA"/>
        </w:rPr>
        <w:t xml:space="preserve"> </w:t>
      </w:r>
      <w:r w:rsidR="005B7385" w:rsidRPr="00F074F9">
        <w:rPr>
          <w:lang w:val="en-CA"/>
        </w:rPr>
        <w:t>and</w:t>
      </w:r>
      <w:r w:rsidR="0017646F" w:rsidRPr="00F074F9">
        <w:rPr>
          <w:lang w:val="en-CA"/>
        </w:rPr>
        <w:t xml:space="preserve"> these</w:t>
      </w:r>
      <w:r w:rsidR="005B7385" w:rsidRPr="00F074F9">
        <w:rPr>
          <w:lang w:val="en-CA"/>
        </w:rPr>
        <w:t xml:space="preserve"> </w:t>
      </w:r>
      <w:r w:rsidR="00363558" w:rsidRPr="00F074F9">
        <w:rPr>
          <w:lang w:val="en-CA"/>
        </w:rPr>
        <w:t>are scheduled to be adopted by 2019</w:t>
      </w:r>
      <w:r w:rsidR="0002797A" w:rsidRPr="00F074F9">
        <w:rPr>
          <w:lang w:val="en-CA"/>
        </w:rPr>
        <w:t xml:space="preserve">. Amendments to the </w:t>
      </w:r>
      <w:r w:rsidR="00E2204F" w:rsidRPr="00F074F9">
        <w:rPr>
          <w:lang w:val="en-CA"/>
        </w:rPr>
        <w:t xml:space="preserve">Law on Electrical and Electronic Equipment and Waste Electrical and Electronic Equipment Management </w:t>
      </w:r>
      <w:r w:rsidRPr="00F074F9">
        <w:rPr>
          <w:lang w:val="en-CA"/>
        </w:rPr>
        <w:t>(including refrigeration and air</w:t>
      </w:r>
      <w:r w:rsidRPr="00F074F9">
        <w:rPr>
          <w:lang w:val="en-CA"/>
        </w:rPr>
        <w:noBreakHyphen/>
        <w:t xml:space="preserve">conditioning (RAC) equipment) </w:t>
      </w:r>
      <w:r w:rsidR="0002797A" w:rsidRPr="00F074F9">
        <w:rPr>
          <w:lang w:val="en-CA"/>
        </w:rPr>
        <w:t xml:space="preserve">were drafted to include provisions for </w:t>
      </w:r>
      <w:r w:rsidRPr="00F074F9">
        <w:rPr>
          <w:lang w:val="en-CA"/>
        </w:rPr>
        <w:t>ODS waste management</w:t>
      </w:r>
      <w:r w:rsidR="0017646F" w:rsidRPr="00F074F9">
        <w:rPr>
          <w:lang w:val="en-CA"/>
        </w:rPr>
        <w:t xml:space="preserve"> from those equipment</w:t>
      </w:r>
      <w:r w:rsidR="0002797A" w:rsidRPr="00F074F9">
        <w:rPr>
          <w:lang w:val="en-CA"/>
        </w:rPr>
        <w:t xml:space="preserve">. </w:t>
      </w:r>
    </w:p>
    <w:p w:rsidR="00772ECE" w:rsidRPr="00F074F9" w:rsidRDefault="00772ECE" w:rsidP="00F074F9">
      <w:pPr>
        <w:spacing w:after="240"/>
        <w:rPr>
          <w:i/>
          <w:lang w:val="en-CA"/>
        </w:rPr>
      </w:pPr>
      <w:r w:rsidRPr="00F074F9">
        <w:rPr>
          <w:i/>
          <w:lang w:val="en-CA"/>
        </w:rPr>
        <w:t>Manufacturing sector</w:t>
      </w:r>
    </w:p>
    <w:p w:rsidR="00772ECE" w:rsidRPr="00F074F9" w:rsidRDefault="007173C6" w:rsidP="00F074F9">
      <w:pPr>
        <w:pStyle w:val="Heading1"/>
        <w:rPr>
          <w:lang w:val="en-CA"/>
        </w:rPr>
      </w:pPr>
      <w:r w:rsidRPr="00F074F9">
        <w:rPr>
          <w:lang w:val="en-CA"/>
        </w:rPr>
        <w:t xml:space="preserve">The enterprise </w:t>
      </w:r>
      <w:r w:rsidR="00A00DF9" w:rsidRPr="00F074F9">
        <w:rPr>
          <w:lang w:val="en-CA"/>
        </w:rPr>
        <w:t>Frigoteknika</w:t>
      </w:r>
      <w:r w:rsidRPr="00F074F9">
        <w:rPr>
          <w:lang w:val="en-CA"/>
        </w:rPr>
        <w:t xml:space="preserve"> completed installation of its </w:t>
      </w:r>
      <w:r w:rsidR="005B7385" w:rsidRPr="00F074F9">
        <w:rPr>
          <w:lang w:val="en-CA"/>
        </w:rPr>
        <w:t>polyurethane (</w:t>
      </w:r>
      <w:r w:rsidRPr="00F074F9">
        <w:rPr>
          <w:lang w:val="en-CA"/>
        </w:rPr>
        <w:t>PU</w:t>
      </w:r>
      <w:r w:rsidR="005B7385" w:rsidRPr="00F074F9">
        <w:rPr>
          <w:lang w:val="en-CA"/>
        </w:rPr>
        <w:t>)</w:t>
      </w:r>
      <w:r w:rsidRPr="00F074F9">
        <w:rPr>
          <w:lang w:val="en-CA"/>
        </w:rPr>
        <w:t xml:space="preserve"> foaming machine in July 2018 </w:t>
      </w:r>
      <w:r w:rsidR="00BC2CE4" w:rsidRPr="00F074F9">
        <w:rPr>
          <w:lang w:val="en-CA"/>
        </w:rPr>
        <w:t xml:space="preserve">and </w:t>
      </w:r>
      <w:r w:rsidRPr="00F074F9">
        <w:rPr>
          <w:lang w:val="en-CA"/>
        </w:rPr>
        <w:t xml:space="preserve">started production immediately thereafter; training of personnel was conducted by the supplier. </w:t>
      </w:r>
      <w:r w:rsidR="00BC2CE4" w:rsidRPr="00F074F9">
        <w:rPr>
          <w:lang w:val="en-CA"/>
        </w:rPr>
        <w:t xml:space="preserve">The conversion of </w:t>
      </w:r>
      <w:r w:rsidR="00E63899" w:rsidRPr="00F074F9">
        <w:rPr>
          <w:lang w:val="en-CA"/>
        </w:rPr>
        <w:t xml:space="preserve">three </w:t>
      </w:r>
      <w:r w:rsidR="00B81B93" w:rsidRPr="00F074F9">
        <w:rPr>
          <w:lang w:val="en-CA"/>
        </w:rPr>
        <w:t xml:space="preserve">foam </w:t>
      </w:r>
      <w:r w:rsidR="00E63899" w:rsidRPr="00F074F9">
        <w:rPr>
          <w:lang w:val="en-CA"/>
        </w:rPr>
        <w:t xml:space="preserve">enterprises </w:t>
      </w:r>
      <w:r w:rsidR="00B81B93" w:rsidRPr="00F074F9">
        <w:rPr>
          <w:lang w:val="en-CA"/>
        </w:rPr>
        <w:t xml:space="preserve">to methyl formate </w:t>
      </w:r>
      <w:r w:rsidR="00E63899" w:rsidRPr="00F074F9">
        <w:rPr>
          <w:lang w:val="en-CA"/>
        </w:rPr>
        <w:t>(Koper</w:t>
      </w:r>
      <w:r w:rsidR="003F1A22" w:rsidRPr="00F074F9">
        <w:rPr>
          <w:lang w:val="en-CA"/>
        </w:rPr>
        <w:t>-Negotino</w:t>
      </w:r>
      <w:r w:rsidR="00E63899" w:rsidRPr="00F074F9">
        <w:rPr>
          <w:lang w:val="en-CA"/>
        </w:rPr>
        <w:t xml:space="preserve">, Zlatna Raka </w:t>
      </w:r>
      <w:r w:rsidR="00B81B93" w:rsidRPr="00F074F9">
        <w:rPr>
          <w:lang w:val="en-CA"/>
        </w:rPr>
        <w:t xml:space="preserve">(completed prior to the sixth tranche) </w:t>
      </w:r>
      <w:r w:rsidR="00E63899" w:rsidRPr="00F074F9">
        <w:rPr>
          <w:lang w:val="en-CA"/>
        </w:rPr>
        <w:t xml:space="preserve">and Frigoteknika) </w:t>
      </w:r>
      <w:r w:rsidR="00B81B93" w:rsidRPr="00F074F9">
        <w:rPr>
          <w:lang w:val="en-CA"/>
        </w:rPr>
        <w:t>has</w:t>
      </w:r>
      <w:r w:rsidR="00E63899" w:rsidRPr="00F074F9">
        <w:rPr>
          <w:lang w:val="en-CA"/>
        </w:rPr>
        <w:t xml:space="preserve"> result</w:t>
      </w:r>
      <w:r w:rsidR="00B81B93" w:rsidRPr="00F074F9">
        <w:rPr>
          <w:lang w:val="en-CA"/>
        </w:rPr>
        <w:t>ed</w:t>
      </w:r>
      <w:r w:rsidR="00E63899" w:rsidRPr="00F074F9">
        <w:rPr>
          <w:lang w:val="en-CA"/>
        </w:rPr>
        <w:t xml:space="preserve"> in the </w:t>
      </w:r>
      <w:r w:rsidR="00BC2CE4" w:rsidRPr="00F074F9">
        <w:rPr>
          <w:lang w:val="en-CA"/>
        </w:rPr>
        <w:t>phase</w:t>
      </w:r>
      <w:r w:rsidR="00E63899" w:rsidRPr="00F074F9">
        <w:rPr>
          <w:lang w:val="en-CA"/>
        </w:rPr>
        <w:noBreakHyphen/>
      </w:r>
      <w:r w:rsidR="00BC2CE4" w:rsidRPr="00F074F9">
        <w:rPr>
          <w:lang w:val="en-CA"/>
        </w:rPr>
        <w:t xml:space="preserve">out </w:t>
      </w:r>
      <w:r w:rsidR="00E63899" w:rsidRPr="00F074F9">
        <w:rPr>
          <w:lang w:val="en-CA"/>
        </w:rPr>
        <w:t xml:space="preserve">of </w:t>
      </w:r>
      <w:r w:rsidR="00C06647" w:rsidRPr="00F074F9">
        <w:rPr>
          <w:lang w:val="en-CA"/>
        </w:rPr>
        <w:t>1.73</w:t>
      </w:r>
      <w:r w:rsidR="00E63899" w:rsidRPr="00F074F9">
        <w:rPr>
          <w:lang w:val="en-CA"/>
        </w:rPr>
        <w:t> </w:t>
      </w:r>
      <w:r w:rsidR="00BC2CE4" w:rsidRPr="00F074F9">
        <w:rPr>
          <w:lang w:val="en-CA"/>
        </w:rPr>
        <w:t>ODP</w:t>
      </w:r>
      <w:r w:rsidR="00E63899" w:rsidRPr="00F074F9">
        <w:rPr>
          <w:lang w:val="en-CA"/>
        </w:rPr>
        <w:t> </w:t>
      </w:r>
      <w:r w:rsidR="00BC2CE4" w:rsidRPr="00F074F9">
        <w:rPr>
          <w:lang w:val="en-CA"/>
        </w:rPr>
        <w:t>tonnes of HCFC-141b</w:t>
      </w:r>
      <w:r w:rsidR="00B81B93" w:rsidRPr="00F074F9">
        <w:rPr>
          <w:lang w:val="en-CA"/>
        </w:rPr>
        <w:t xml:space="preserve"> contained in imported pre-blended polyols</w:t>
      </w:r>
      <w:r w:rsidR="00BC2CE4" w:rsidRPr="00F074F9">
        <w:rPr>
          <w:lang w:val="en-CA"/>
        </w:rPr>
        <w:t>.</w:t>
      </w:r>
      <w:r w:rsidR="00B81B93" w:rsidRPr="00F074F9">
        <w:rPr>
          <w:lang w:val="en-CA"/>
        </w:rPr>
        <w:t xml:space="preserve"> Since 2013, zero </w:t>
      </w:r>
      <w:r w:rsidR="0017646F" w:rsidRPr="00F074F9">
        <w:rPr>
          <w:lang w:val="en-CA"/>
        </w:rPr>
        <w:t>imports</w:t>
      </w:r>
      <w:r w:rsidR="00B81B93" w:rsidRPr="00F074F9">
        <w:rPr>
          <w:lang w:val="en-CA"/>
        </w:rPr>
        <w:t xml:space="preserve"> </w:t>
      </w:r>
      <w:r w:rsidR="00D37ED6" w:rsidRPr="00F074F9">
        <w:rPr>
          <w:lang w:val="en-CA"/>
        </w:rPr>
        <w:t xml:space="preserve">of HCFC-141b </w:t>
      </w:r>
      <w:r w:rsidR="00B81B93" w:rsidRPr="00F074F9">
        <w:rPr>
          <w:lang w:val="en-CA"/>
        </w:rPr>
        <w:t>has been reported</w:t>
      </w:r>
      <w:r w:rsidR="0017646F" w:rsidRPr="00F074F9">
        <w:rPr>
          <w:lang w:val="en-CA"/>
        </w:rPr>
        <w:t xml:space="preserve">; the remaining enterprise </w:t>
      </w:r>
      <w:r w:rsidR="00646C3E">
        <w:rPr>
          <w:lang w:val="en-CA"/>
        </w:rPr>
        <w:t xml:space="preserve">(Sileks) </w:t>
      </w:r>
      <w:r w:rsidR="0017646F" w:rsidRPr="00F074F9">
        <w:rPr>
          <w:lang w:val="en-CA"/>
        </w:rPr>
        <w:t xml:space="preserve">was using stocks of HCFC-141b from previous years for its operations. </w:t>
      </w:r>
      <w:r w:rsidR="00646C3E">
        <w:rPr>
          <w:lang w:val="en-CA"/>
        </w:rPr>
        <w:t>However, a</w:t>
      </w:r>
      <w:r w:rsidR="00B81B93" w:rsidRPr="00F074F9">
        <w:rPr>
          <w:lang w:val="en-CA"/>
        </w:rPr>
        <w:t xml:space="preserve"> fire at </w:t>
      </w:r>
      <w:r w:rsidRPr="00F074F9">
        <w:rPr>
          <w:lang w:val="en-CA"/>
        </w:rPr>
        <w:t xml:space="preserve">Sileks </w:t>
      </w:r>
      <w:r w:rsidR="00213A37" w:rsidRPr="00F074F9">
        <w:rPr>
          <w:lang w:val="en-CA"/>
        </w:rPr>
        <w:t>destroyed the foam production facilit</w:t>
      </w:r>
      <w:r w:rsidR="00B81B93" w:rsidRPr="00F074F9">
        <w:rPr>
          <w:lang w:val="en-CA"/>
        </w:rPr>
        <w:t>y</w:t>
      </w:r>
      <w:r w:rsidR="00213A37" w:rsidRPr="00F074F9">
        <w:rPr>
          <w:lang w:val="en-CA"/>
        </w:rPr>
        <w:t xml:space="preserve">, and it is unclear whether this production will be restarted in the future. </w:t>
      </w:r>
    </w:p>
    <w:p w:rsidR="00772ECE" w:rsidRPr="00F074F9" w:rsidRDefault="00772ECE" w:rsidP="00F074F9">
      <w:pPr>
        <w:spacing w:after="240"/>
        <w:rPr>
          <w:i/>
          <w:lang w:val="en-CA"/>
        </w:rPr>
      </w:pPr>
      <w:r w:rsidRPr="00F074F9">
        <w:rPr>
          <w:i/>
          <w:lang w:val="en-CA"/>
        </w:rPr>
        <w:t>Refrigeration servicing sector</w:t>
      </w:r>
    </w:p>
    <w:p w:rsidR="009C2B40" w:rsidRPr="00F074F9" w:rsidRDefault="003F1A22" w:rsidP="00F074F9">
      <w:pPr>
        <w:pStyle w:val="Heading1"/>
        <w:rPr>
          <w:lang w:val="en-CA"/>
        </w:rPr>
      </w:pPr>
      <w:r w:rsidRPr="00F074F9">
        <w:rPr>
          <w:lang w:val="en-CA"/>
        </w:rPr>
        <w:t>The following activities were implemented: t</w:t>
      </w:r>
      <w:r w:rsidR="00B61699" w:rsidRPr="00F074F9">
        <w:rPr>
          <w:lang w:val="en-CA"/>
        </w:rPr>
        <w:t xml:space="preserve">hree training workshops </w:t>
      </w:r>
      <w:r w:rsidR="00550EC5" w:rsidRPr="00F074F9">
        <w:rPr>
          <w:lang w:val="en-CA"/>
        </w:rPr>
        <w:t xml:space="preserve">for 101 service technicians </w:t>
      </w:r>
      <w:r w:rsidR="009C2B40" w:rsidRPr="00F074F9">
        <w:rPr>
          <w:lang w:val="en-CA"/>
        </w:rPr>
        <w:t>on</w:t>
      </w:r>
      <w:r w:rsidR="00B61699" w:rsidRPr="00F074F9">
        <w:rPr>
          <w:lang w:val="en-CA"/>
        </w:rPr>
        <w:t xml:space="preserve"> leak </w:t>
      </w:r>
      <w:r w:rsidR="00550EC5" w:rsidRPr="00F074F9">
        <w:rPr>
          <w:lang w:val="en-CA"/>
        </w:rPr>
        <w:t>inspections</w:t>
      </w:r>
      <w:r w:rsidR="00B61699" w:rsidRPr="00F074F9">
        <w:rPr>
          <w:lang w:val="en-CA"/>
        </w:rPr>
        <w:t xml:space="preserve"> and recovery of refrigerant</w:t>
      </w:r>
      <w:r w:rsidR="00550EC5" w:rsidRPr="00F074F9">
        <w:rPr>
          <w:lang w:val="en-CA"/>
        </w:rPr>
        <w:t xml:space="preserve">s; and a </w:t>
      </w:r>
      <w:r w:rsidR="009C2B40" w:rsidRPr="00F074F9">
        <w:rPr>
          <w:lang w:val="en-CA"/>
        </w:rPr>
        <w:t xml:space="preserve">workshop on good servicing practices in the handling of waste electrical equipment </w:t>
      </w:r>
      <w:r w:rsidR="00B81B93" w:rsidRPr="00F074F9">
        <w:rPr>
          <w:lang w:val="en-CA"/>
        </w:rPr>
        <w:t xml:space="preserve">including RAC </w:t>
      </w:r>
      <w:r w:rsidR="009C2B40" w:rsidRPr="00F074F9">
        <w:rPr>
          <w:lang w:val="en-CA"/>
        </w:rPr>
        <w:t>was conducted for 19 participants.</w:t>
      </w:r>
    </w:p>
    <w:p w:rsidR="009C2B40" w:rsidRPr="00F074F9" w:rsidRDefault="007C2E9C" w:rsidP="00F074F9">
      <w:pPr>
        <w:pStyle w:val="Heading1"/>
        <w:rPr>
          <w:lang w:val="en-CA"/>
        </w:rPr>
      </w:pPr>
      <w:r w:rsidRPr="00F074F9">
        <w:rPr>
          <w:lang w:val="en-CA"/>
        </w:rPr>
        <w:t xml:space="preserve">Monitoring of </w:t>
      </w:r>
      <w:r w:rsidR="00205DAC" w:rsidRPr="00F074F9">
        <w:rPr>
          <w:lang w:val="en-CA"/>
        </w:rPr>
        <w:t xml:space="preserve">the </w:t>
      </w:r>
      <w:r w:rsidR="00E603B1" w:rsidRPr="00F074F9">
        <w:rPr>
          <w:lang w:val="en-CA"/>
        </w:rPr>
        <w:t>R&amp;R</w:t>
      </w:r>
      <w:r w:rsidR="00205DAC" w:rsidRPr="00F074F9">
        <w:rPr>
          <w:lang w:val="en-CA"/>
        </w:rPr>
        <w:t xml:space="preserve"> programme </w:t>
      </w:r>
      <w:r w:rsidR="00A62B93" w:rsidRPr="00F074F9">
        <w:rPr>
          <w:lang w:val="en-CA"/>
        </w:rPr>
        <w:t>was carried out through v</w:t>
      </w:r>
      <w:r w:rsidR="009C2B40" w:rsidRPr="00F074F9">
        <w:rPr>
          <w:lang w:val="en-CA"/>
        </w:rPr>
        <w:t>isits to the 22 service shops that received R&amp;R equipment</w:t>
      </w:r>
      <w:r w:rsidR="00A62B93" w:rsidRPr="00F074F9">
        <w:rPr>
          <w:lang w:val="en-CA"/>
        </w:rPr>
        <w:t xml:space="preserve">; meetings were conducted to discuss the application of the R&amp;R equipment and general management of the recovered refrigerants. The service shops/companies are also required to submit annual reports on quantities of recovered and recycled refrigerants to the </w:t>
      </w:r>
      <w:r w:rsidRPr="00F074F9">
        <w:rPr>
          <w:lang w:val="en-CA"/>
        </w:rPr>
        <w:t>National Ozone Unit (</w:t>
      </w:r>
      <w:r w:rsidR="00A62B93" w:rsidRPr="00F074F9">
        <w:rPr>
          <w:lang w:val="en-CA"/>
        </w:rPr>
        <w:t>NOU</w:t>
      </w:r>
      <w:r w:rsidRPr="00F074F9">
        <w:rPr>
          <w:lang w:val="en-CA"/>
        </w:rPr>
        <w:t>)</w:t>
      </w:r>
      <w:r w:rsidR="00E603B1" w:rsidRPr="00F074F9">
        <w:rPr>
          <w:lang w:val="en-CA"/>
        </w:rPr>
        <w:t>.</w:t>
      </w:r>
      <w:r w:rsidR="00A62B93" w:rsidRPr="00F074F9">
        <w:rPr>
          <w:lang w:val="en-CA"/>
        </w:rPr>
        <w:t xml:space="preserve"> </w:t>
      </w:r>
    </w:p>
    <w:p w:rsidR="00703CA8" w:rsidRPr="00F074F9" w:rsidRDefault="00703CA8" w:rsidP="00F074F9">
      <w:pPr>
        <w:pStyle w:val="Heading1"/>
        <w:rPr>
          <w:lang w:val="en-CA"/>
        </w:rPr>
      </w:pPr>
      <w:r w:rsidRPr="00F074F9">
        <w:rPr>
          <w:lang w:val="en-CA"/>
        </w:rPr>
        <w:t xml:space="preserve">The implementation of activities in the servicing sector is </w:t>
      </w:r>
      <w:r w:rsidR="00913CC5" w:rsidRPr="00F074F9">
        <w:rPr>
          <w:lang w:val="en-CA"/>
        </w:rPr>
        <w:t xml:space="preserve">strengthened through </w:t>
      </w:r>
      <w:r w:rsidRPr="00F074F9">
        <w:rPr>
          <w:lang w:val="en-CA"/>
        </w:rPr>
        <w:t xml:space="preserve">institutional support to service technicians through a helpdesk. The helpdesk facilitated reporting on recovered and recycled quantities of refrigerant coming from service technicians and service shops, and provided clarification on the procedures for recording and labeling of equipment containing 3kg and more of refrigerants by companies/equipment owners as required by regulation. This ensured a more efficient implementation of the R&amp;R scheme which reported that 67.2 per cent of </w:t>
      </w:r>
      <w:r w:rsidR="00D37ED6" w:rsidRPr="00F074F9">
        <w:rPr>
          <w:lang w:val="en-CA"/>
        </w:rPr>
        <w:t xml:space="preserve">the 36 mt </w:t>
      </w:r>
      <w:r w:rsidRPr="00F074F9">
        <w:rPr>
          <w:lang w:val="en-CA"/>
        </w:rPr>
        <w:t>recovered and recycled refrigerants (i.e., comprising HCFC</w:t>
      </w:r>
      <w:r w:rsidRPr="00F074F9">
        <w:rPr>
          <w:lang w:val="en-CA"/>
        </w:rPr>
        <w:noBreakHyphen/>
        <w:t xml:space="preserve">22, HFC-134a, R-404A, R-407C, and R-410A) </w:t>
      </w:r>
      <w:r w:rsidR="0017646F" w:rsidRPr="00F074F9">
        <w:rPr>
          <w:lang w:val="en-CA"/>
        </w:rPr>
        <w:t xml:space="preserve">in 2017 </w:t>
      </w:r>
      <w:r w:rsidRPr="00F074F9">
        <w:rPr>
          <w:lang w:val="en-CA"/>
        </w:rPr>
        <w:t>had been reused in the market.</w:t>
      </w:r>
    </w:p>
    <w:p w:rsidR="00772ECE" w:rsidRPr="00F074F9" w:rsidRDefault="00772ECE" w:rsidP="00F074F9">
      <w:pPr>
        <w:spacing w:after="240"/>
        <w:rPr>
          <w:i/>
          <w:lang w:val="en-CA"/>
        </w:rPr>
      </w:pPr>
      <w:r w:rsidRPr="00F074F9">
        <w:rPr>
          <w:i/>
          <w:lang w:val="en-CA"/>
        </w:rPr>
        <w:t>Project implementation and monitoring unit (PMU)</w:t>
      </w:r>
      <w:r w:rsidR="00550EC5" w:rsidRPr="00F074F9">
        <w:rPr>
          <w:i/>
          <w:lang w:val="en-CA"/>
        </w:rPr>
        <w:t xml:space="preserve"> and IS</w:t>
      </w:r>
    </w:p>
    <w:p w:rsidR="00ED780D" w:rsidRPr="00F074F9" w:rsidRDefault="00A62B93" w:rsidP="00F074F9">
      <w:pPr>
        <w:pStyle w:val="Heading1"/>
        <w:rPr>
          <w:u w:val="single"/>
          <w:lang w:val="en-CA"/>
        </w:rPr>
      </w:pPr>
      <w:r w:rsidRPr="00F074F9">
        <w:rPr>
          <w:lang w:val="en-CA"/>
        </w:rPr>
        <w:t xml:space="preserve">The NOU </w:t>
      </w:r>
      <w:r w:rsidR="00ED780D" w:rsidRPr="00F074F9">
        <w:rPr>
          <w:lang w:val="en-CA"/>
        </w:rPr>
        <w:t xml:space="preserve">is involved in issuing permits for </w:t>
      </w:r>
      <w:r w:rsidR="006462FF" w:rsidRPr="00F074F9">
        <w:rPr>
          <w:lang w:val="en-CA"/>
        </w:rPr>
        <w:t xml:space="preserve">import/export of </w:t>
      </w:r>
      <w:r w:rsidR="00ED780D" w:rsidRPr="00F074F9">
        <w:rPr>
          <w:lang w:val="en-CA"/>
        </w:rPr>
        <w:t xml:space="preserve">ODS, ODS alternative refrigerants and equipment containing refrigerants; it </w:t>
      </w:r>
      <w:r w:rsidR="00C641C5" w:rsidRPr="00F074F9">
        <w:rPr>
          <w:lang w:val="en-CA"/>
        </w:rPr>
        <w:t xml:space="preserve">coordinates the work to harmonize its </w:t>
      </w:r>
      <w:r w:rsidR="00ED780D" w:rsidRPr="00F074F9">
        <w:rPr>
          <w:lang w:val="en-CA"/>
        </w:rPr>
        <w:t>national legislation with European Union regulations</w:t>
      </w:r>
      <w:r w:rsidR="006462FF" w:rsidRPr="00F074F9">
        <w:rPr>
          <w:lang w:val="en-CA"/>
        </w:rPr>
        <w:t>.</w:t>
      </w:r>
      <w:r w:rsidR="00ED780D" w:rsidRPr="00F074F9">
        <w:rPr>
          <w:lang w:val="en-CA"/>
        </w:rPr>
        <w:t xml:space="preserve"> </w:t>
      </w:r>
      <w:r w:rsidR="006462FF" w:rsidRPr="00F074F9">
        <w:rPr>
          <w:lang w:val="en-CA"/>
        </w:rPr>
        <w:t xml:space="preserve">The NOU </w:t>
      </w:r>
      <w:r w:rsidR="00ED780D" w:rsidRPr="00F074F9">
        <w:rPr>
          <w:lang w:val="en-CA"/>
        </w:rPr>
        <w:t>implemented a public awareness programme</w:t>
      </w:r>
      <w:r w:rsidR="006462FF" w:rsidRPr="00F074F9">
        <w:rPr>
          <w:lang w:val="en-CA"/>
        </w:rPr>
        <w:t>:</w:t>
      </w:r>
      <w:r w:rsidR="00ED780D" w:rsidRPr="00F074F9">
        <w:rPr>
          <w:lang w:val="en-CA"/>
        </w:rPr>
        <w:t xml:space="preserve"> conduct</w:t>
      </w:r>
      <w:r w:rsidR="006462FF" w:rsidRPr="00F074F9">
        <w:rPr>
          <w:lang w:val="en-CA"/>
        </w:rPr>
        <w:t>ed</w:t>
      </w:r>
      <w:r w:rsidR="00ED780D" w:rsidRPr="00F074F9">
        <w:rPr>
          <w:lang w:val="en-CA"/>
        </w:rPr>
        <w:t xml:space="preserve"> training for service technicians, environmental inspectors and equipment owners</w:t>
      </w:r>
      <w:r w:rsidR="006462FF" w:rsidRPr="00F074F9">
        <w:rPr>
          <w:lang w:val="en-CA"/>
        </w:rPr>
        <w:t>;</w:t>
      </w:r>
      <w:r w:rsidR="00ED780D" w:rsidRPr="00F074F9">
        <w:rPr>
          <w:lang w:val="en-CA"/>
        </w:rPr>
        <w:t xml:space="preserve"> and develop</w:t>
      </w:r>
      <w:r w:rsidR="006462FF" w:rsidRPr="00F074F9">
        <w:rPr>
          <w:lang w:val="en-CA"/>
        </w:rPr>
        <w:t>ed</w:t>
      </w:r>
      <w:r w:rsidR="00ED780D" w:rsidRPr="00F074F9">
        <w:rPr>
          <w:lang w:val="en-CA"/>
        </w:rPr>
        <w:t xml:space="preserve"> training and other information materials; and participated in </w:t>
      </w:r>
      <w:r w:rsidR="00BC2CE4" w:rsidRPr="00F074F9">
        <w:rPr>
          <w:lang w:val="en-CA"/>
        </w:rPr>
        <w:t>regional and international workshops.</w:t>
      </w:r>
      <w:r w:rsidR="00DB5782" w:rsidRPr="00F074F9">
        <w:rPr>
          <w:lang w:val="en-CA"/>
        </w:rPr>
        <w:t xml:space="preserve"> It is also responsible for reporting CP and Article 7 data to the Multilateral Fund Secretariat and the Ozone Secretariat, respectively.</w:t>
      </w:r>
    </w:p>
    <w:p w:rsidR="00772ECE" w:rsidRPr="00F074F9" w:rsidRDefault="00772ECE" w:rsidP="00F074F9">
      <w:pPr>
        <w:pStyle w:val="Heading1"/>
        <w:keepNext/>
        <w:numPr>
          <w:ilvl w:val="0"/>
          <w:numId w:val="0"/>
        </w:numPr>
        <w:rPr>
          <w:u w:val="single"/>
          <w:lang w:val="en-CA"/>
        </w:rPr>
      </w:pPr>
      <w:r w:rsidRPr="00F074F9">
        <w:rPr>
          <w:u w:val="single"/>
          <w:lang w:val="en-CA"/>
        </w:rPr>
        <w:lastRenderedPageBreak/>
        <w:t>Level of fund disbursement</w:t>
      </w:r>
    </w:p>
    <w:p w:rsidR="00772ECE" w:rsidRPr="00F074F9" w:rsidRDefault="00772ECE" w:rsidP="00F074F9">
      <w:pPr>
        <w:pStyle w:val="Heading1"/>
        <w:keepNext/>
        <w:rPr>
          <w:lang w:val="en-CA"/>
        </w:rPr>
      </w:pPr>
      <w:r w:rsidRPr="00F074F9">
        <w:rPr>
          <w:lang w:val="en-CA"/>
        </w:rPr>
        <w:t xml:space="preserve">As of </w:t>
      </w:r>
      <w:r w:rsidR="00BC2CE4" w:rsidRPr="00F074F9">
        <w:rPr>
          <w:lang w:val="en-CA"/>
        </w:rPr>
        <w:t>September</w:t>
      </w:r>
      <w:r w:rsidR="00EC6F2A" w:rsidRPr="00F074F9">
        <w:rPr>
          <w:lang w:val="en-CA"/>
        </w:rPr>
        <w:t xml:space="preserve"> 2018</w:t>
      </w:r>
      <w:r w:rsidRPr="00F074F9">
        <w:rPr>
          <w:lang w:val="en-CA"/>
        </w:rPr>
        <w:t xml:space="preserve">, of the </w:t>
      </w:r>
      <w:r w:rsidR="009045C1" w:rsidRPr="00F074F9">
        <w:rPr>
          <w:lang w:val="en-CA"/>
        </w:rPr>
        <w:t>US $</w:t>
      </w:r>
      <w:r w:rsidR="008A5CD5" w:rsidRPr="00F074F9">
        <w:rPr>
          <w:lang w:val="en-CA"/>
        </w:rPr>
        <w:t>810,955</w:t>
      </w:r>
      <w:r w:rsidRPr="00F074F9">
        <w:rPr>
          <w:lang w:val="en-CA"/>
        </w:rPr>
        <w:t xml:space="preserve"> approved so far, </w:t>
      </w:r>
      <w:r w:rsidR="009045C1" w:rsidRPr="00F074F9">
        <w:rPr>
          <w:lang w:val="en-CA"/>
        </w:rPr>
        <w:t>US $</w:t>
      </w:r>
      <w:r w:rsidR="00BC2CE4" w:rsidRPr="00F074F9">
        <w:rPr>
          <w:lang w:val="en-CA"/>
        </w:rPr>
        <w:t>741,761</w:t>
      </w:r>
      <w:r w:rsidRPr="00F074F9">
        <w:rPr>
          <w:lang w:val="en-CA"/>
        </w:rPr>
        <w:t xml:space="preserve"> had been disbursed as shown in </w:t>
      </w:r>
      <w:r w:rsidR="009045C1" w:rsidRPr="00F074F9">
        <w:rPr>
          <w:lang w:val="en-CA"/>
        </w:rPr>
        <w:t>Table </w:t>
      </w:r>
      <w:r w:rsidRPr="00F074F9">
        <w:rPr>
          <w:lang w:val="en-CA"/>
        </w:rPr>
        <w:t xml:space="preserve">2. The balance of </w:t>
      </w:r>
      <w:r w:rsidR="009045C1" w:rsidRPr="00F074F9">
        <w:rPr>
          <w:lang w:val="en-CA"/>
        </w:rPr>
        <w:t>US $</w:t>
      </w:r>
      <w:r w:rsidR="00BC2CE4" w:rsidRPr="00F074F9">
        <w:rPr>
          <w:lang w:val="en-CA"/>
        </w:rPr>
        <w:t>69,194</w:t>
      </w:r>
      <w:r w:rsidRPr="00F074F9">
        <w:rPr>
          <w:lang w:val="en-CA"/>
        </w:rPr>
        <w:t xml:space="preserve"> will be disbursed in </w:t>
      </w:r>
      <w:r w:rsidR="00205DAC" w:rsidRPr="00F074F9">
        <w:rPr>
          <w:lang w:val="en-CA"/>
        </w:rPr>
        <w:t>2018.</w:t>
      </w:r>
    </w:p>
    <w:p w:rsidR="00772ECE" w:rsidRPr="00F074F9" w:rsidRDefault="009045C1" w:rsidP="00F074F9">
      <w:pPr>
        <w:rPr>
          <w:b/>
          <w:sz w:val="21"/>
          <w:szCs w:val="21"/>
          <w:lang w:val="en-CA"/>
        </w:rPr>
      </w:pPr>
      <w:r w:rsidRPr="00F074F9">
        <w:rPr>
          <w:b/>
          <w:sz w:val="21"/>
          <w:szCs w:val="21"/>
          <w:lang w:val="en-CA"/>
        </w:rPr>
        <w:t>Table </w:t>
      </w:r>
      <w:r w:rsidR="00772ECE" w:rsidRPr="00F074F9">
        <w:rPr>
          <w:b/>
          <w:sz w:val="21"/>
          <w:szCs w:val="21"/>
          <w:lang w:val="en-CA"/>
        </w:rPr>
        <w:t xml:space="preserve">2. Financial report of </w:t>
      </w:r>
      <w:r w:rsidRPr="00F074F9">
        <w:rPr>
          <w:b/>
          <w:sz w:val="21"/>
          <w:szCs w:val="21"/>
          <w:lang w:val="en-CA"/>
        </w:rPr>
        <w:t>stage </w:t>
      </w:r>
      <w:r w:rsidR="00772ECE" w:rsidRPr="00F074F9">
        <w:rPr>
          <w:b/>
          <w:sz w:val="21"/>
          <w:szCs w:val="21"/>
          <w:lang w:val="en-CA"/>
        </w:rPr>
        <w:t xml:space="preserve">I of the HPMP for </w:t>
      </w:r>
      <w:r w:rsidR="000C187A" w:rsidRPr="00F074F9">
        <w:rPr>
          <w:b/>
          <w:sz w:val="21"/>
          <w:szCs w:val="21"/>
          <w:lang w:val="en-CA"/>
        </w:rPr>
        <w:t xml:space="preserve">the former Yugoslav Republic of Macedonia </w:t>
      </w:r>
      <w:r w:rsidR="00772ECE" w:rsidRPr="00F074F9">
        <w:rPr>
          <w:b/>
          <w:sz w:val="21"/>
          <w:szCs w:val="21"/>
          <w:lang w:val="en-CA"/>
        </w:rPr>
        <w:t>(</w:t>
      </w:r>
      <w:r w:rsidRPr="00F074F9">
        <w:rPr>
          <w:b/>
          <w:sz w:val="21"/>
          <w:szCs w:val="21"/>
          <w:lang w:val="en-CA"/>
        </w:rPr>
        <w:t>US $</w:t>
      </w:r>
      <w:r w:rsidR="00772ECE" w:rsidRPr="00F074F9">
        <w:rPr>
          <w:b/>
          <w:sz w:val="21"/>
          <w:szCs w:val="21"/>
          <w:lang w:val="en-CA"/>
        </w:rPr>
        <w:t>)</w:t>
      </w:r>
    </w:p>
    <w:tbl>
      <w:tblPr>
        <w:tblStyle w:val="TableGrid"/>
        <w:tblW w:w="0" w:type="auto"/>
        <w:tblInd w:w="108" w:type="dxa"/>
        <w:tblLook w:val="04A0" w:firstRow="1" w:lastRow="0" w:firstColumn="1" w:lastColumn="0" w:noHBand="0" w:noVBand="1"/>
      </w:tblPr>
      <w:tblGrid>
        <w:gridCol w:w="2043"/>
        <w:gridCol w:w="1080"/>
        <w:gridCol w:w="1237"/>
        <w:gridCol w:w="1119"/>
        <w:gridCol w:w="1256"/>
        <w:gridCol w:w="1251"/>
        <w:gridCol w:w="1256"/>
      </w:tblGrid>
      <w:tr w:rsidR="001D278F" w:rsidRPr="00F074F9" w:rsidTr="00E2204F">
        <w:tc>
          <w:tcPr>
            <w:tcW w:w="2160" w:type="dxa"/>
            <w:vMerge w:val="restart"/>
            <w:tcMar>
              <w:left w:w="29" w:type="dxa"/>
              <w:right w:w="29" w:type="dxa"/>
            </w:tcMar>
            <w:vAlign w:val="center"/>
          </w:tcPr>
          <w:p w:rsidR="001D278F" w:rsidRPr="00F074F9" w:rsidRDefault="001D278F" w:rsidP="00F074F9">
            <w:pPr>
              <w:jc w:val="left"/>
              <w:rPr>
                <w:b/>
                <w:sz w:val="20"/>
                <w:szCs w:val="20"/>
              </w:rPr>
            </w:pPr>
            <w:r w:rsidRPr="00F074F9">
              <w:rPr>
                <w:b/>
                <w:sz w:val="20"/>
                <w:szCs w:val="20"/>
              </w:rPr>
              <w:t>Agency</w:t>
            </w:r>
          </w:p>
        </w:tc>
        <w:tc>
          <w:tcPr>
            <w:tcW w:w="2340" w:type="dxa"/>
            <w:gridSpan w:val="2"/>
          </w:tcPr>
          <w:p w:rsidR="001D278F" w:rsidRPr="00F074F9" w:rsidRDefault="001D278F" w:rsidP="00F074F9">
            <w:pPr>
              <w:jc w:val="center"/>
              <w:rPr>
                <w:b/>
                <w:sz w:val="20"/>
                <w:szCs w:val="20"/>
              </w:rPr>
            </w:pPr>
            <w:r w:rsidRPr="00F074F9">
              <w:rPr>
                <w:b/>
                <w:sz w:val="20"/>
                <w:szCs w:val="20"/>
              </w:rPr>
              <w:t>First-sixth tranche</w:t>
            </w:r>
          </w:p>
        </w:tc>
        <w:tc>
          <w:tcPr>
            <w:tcW w:w="2408" w:type="dxa"/>
            <w:gridSpan w:val="2"/>
          </w:tcPr>
          <w:p w:rsidR="001D278F" w:rsidRPr="00F074F9" w:rsidRDefault="001D278F" w:rsidP="00F074F9">
            <w:pPr>
              <w:jc w:val="center"/>
              <w:rPr>
                <w:b/>
                <w:sz w:val="20"/>
                <w:szCs w:val="20"/>
              </w:rPr>
            </w:pPr>
            <w:r w:rsidRPr="00F074F9">
              <w:rPr>
                <w:b/>
                <w:sz w:val="20"/>
                <w:szCs w:val="20"/>
              </w:rPr>
              <w:t>Seventh tranche</w:t>
            </w:r>
          </w:p>
        </w:tc>
        <w:tc>
          <w:tcPr>
            <w:tcW w:w="2560" w:type="dxa"/>
            <w:gridSpan w:val="2"/>
          </w:tcPr>
          <w:p w:rsidR="001D278F" w:rsidRPr="00F074F9" w:rsidRDefault="001D278F" w:rsidP="00F074F9">
            <w:pPr>
              <w:jc w:val="center"/>
              <w:rPr>
                <w:b/>
                <w:sz w:val="20"/>
                <w:szCs w:val="20"/>
              </w:rPr>
            </w:pPr>
            <w:r w:rsidRPr="00F074F9">
              <w:rPr>
                <w:b/>
                <w:sz w:val="20"/>
                <w:szCs w:val="20"/>
              </w:rPr>
              <w:t xml:space="preserve">Total </w:t>
            </w:r>
          </w:p>
        </w:tc>
      </w:tr>
      <w:tr w:rsidR="001D278F" w:rsidRPr="00F074F9" w:rsidTr="00E2204F">
        <w:trPr>
          <w:trHeight w:val="262"/>
        </w:trPr>
        <w:tc>
          <w:tcPr>
            <w:tcW w:w="2160" w:type="dxa"/>
            <w:vMerge/>
            <w:tcMar>
              <w:left w:w="29" w:type="dxa"/>
              <w:right w:w="29" w:type="dxa"/>
            </w:tcMar>
          </w:tcPr>
          <w:p w:rsidR="001D278F" w:rsidRPr="00F074F9" w:rsidRDefault="001D278F" w:rsidP="00F074F9">
            <w:pPr>
              <w:jc w:val="center"/>
              <w:rPr>
                <w:b/>
                <w:sz w:val="20"/>
                <w:szCs w:val="20"/>
              </w:rPr>
            </w:pPr>
          </w:p>
        </w:tc>
        <w:tc>
          <w:tcPr>
            <w:tcW w:w="1080" w:type="dxa"/>
          </w:tcPr>
          <w:p w:rsidR="001D278F" w:rsidRPr="00F074F9" w:rsidRDefault="001D278F" w:rsidP="00F074F9">
            <w:pPr>
              <w:jc w:val="center"/>
              <w:rPr>
                <w:b/>
                <w:sz w:val="20"/>
                <w:szCs w:val="20"/>
              </w:rPr>
            </w:pPr>
            <w:r w:rsidRPr="00F074F9">
              <w:rPr>
                <w:b/>
                <w:sz w:val="20"/>
                <w:szCs w:val="20"/>
              </w:rPr>
              <w:t>Approved</w:t>
            </w:r>
          </w:p>
        </w:tc>
        <w:tc>
          <w:tcPr>
            <w:tcW w:w="1260" w:type="dxa"/>
          </w:tcPr>
          <w:p w:rsidR="001D278F" w:rsidRPr="00F074F9" w:rsidRDefault="001D278F" w:rsidP="00F074F9">
            <w:pPr>
              <w:jc w:val="center"/>
              <w:rPr>
                <w:b/>
                <w:sz w:val="20"/>
                <w:szCs w:val="20"/>
              </w:rPr>
            </w:pPr>
            <w:r w:rsidRPr="00F074F9">
              <w:rPr>
                <w:b/>
                <w:sz w:val="20"/>
                <w:szCs w:val="20"/>
              </w:rPr>
              <w:t>Disbursed</w:t>
            </w:r>
          </w:p>
        </w:tc>
        <w:tc>
          <w:tcPr>
            <w:tcW w:w="1126" w:type="dxa"/>
          </w:tcPr>
          <w:p w:rsidR="001D278F" w:rsidRPr="00F074F9" w:rsidRDefault="001D278F" w:rsidP="00F074F9">
            <w:pPr>
              <w:jc w:val="center"/>
              <w:rPr>
                <w:b/>
                <w:sz w:val="20"/>
                <w:szCs w:val="20"/>
              </w:rPr>
            </w:pPr>
            <w:r w:rsidRPr="00F074F9">
              <w:rPr>
                <w:b/>
                <w:sz w:val="20"/>
                <w:szCs w:val="20"/>
              </w:rPr>
              <w:t>Approved</w:t>
            </w:r>
          </w:p>
        </w:tc>
        <w:tc>
          <w:tcPr>
            <w:tcW w:w="1282" w:type="dxa"/>
          </w:tcPr>
          <w:p w:rsidR="001D278F" w:rsidRPr="00F074F9" w:rsidRDefault="001D278F" w:rsidP="00F074F9">
            <w:pPr>
              <w:jc w:val="center"/>
              <w:rPr>
                <w:b/>
                <w:sz w:val="20"/>
                <w:szCs w:val="20"/>
              </w:rPr>
            </w:pPr>
            <w:r w:rsidRPr="00F074F9">
              <w:rPr>
                <w:b/>
                <w:sz w:val="20"/>
                <w:szCs w:val="20"/>
              </w:rPr>
              <w:t>Disbursed</w:t>
            </w:r>
          </w:p>
        </w:tc>
        <w:tc>
          <w:tcPr>
            <w:tcW w:w="1278" w:type="dxa"/>
          </w:tcPr>
          <w:p w:rsidR="001D278F" w:rsidRPr="00F074F9" w:rsidRDefault="001D278F" w:rsidP="00F074F9">
            <w:pPr>
              <w:jc w:val="center"/>
              <w:rPr>
                <w:b/>
                <w:sz w:val="20"/>
                <w:szCs w:val="20"/>
              </w:rPr>
            </w:pPr>
            <w:r w:rsidRPr="00F074F9">
              <w:rPr>
                <w:b/>
                <w:sz w:val="20"/>
                <w:szCs w:val="20"/>
              </w:rPr>
              <w:t>Approved</w:t>
            </w:r>
          </w:p>
        </w:tc>
        <w:tc>
          <w:tcPr>
            <w:tcW w:w="1282" w:type="dxa"/>
          </w:tcPr>
          <w:p w:rsidR="001D278F" w:rsidRPr="00F074F9" w:rsidRDefault="001D278F" w:rsidP="00F074F9">
            <w:pPr>
              <w:jc w:val="center"/>
              <w:rPr>
                <w:b/>
                <w:sz w:val="20"/>
                <w:szCs w:val="20"/>
              </w:rPr>
            </w:pPr>
            <w:r w:rsidRPr="00F074F9">
              <w:rPr>
                <w:b/>
                <w:sz w:val="20"/>
                <w:szCs w:val="20"/>
              </w:rPr>
              <w:t>Disbursed</w:t>
            </w:r>
          </w:p>
        </w:tc>
      </w:tr>
      <w:tr w:rsidR="001D278F" w:rsidRPr="00F074F9" w:rsidTr="00E2204F">
        <w:trPr>
          <w:trHeight w:val="263"/>
        </w:trPr>
        <w:tc>
          <w:tcPr>
            <w:tcW w:w="2160" w:type="dxa"/>
            <w:tcMar>
              <w:left w:w="29" w:type="dxa"/>
              <w:right w:w="29" w:type="dxa"/>
            </w:tcMar>
          </w:tcPr>
          <w:p w:rsidR="001D278F" w:rsidRPr="00F074F9" w:rsidRDefault="001D278F" w:rsidP="00F074F9">
            <w:pPr>
              <w:rPr>
                <w:sz w:val="20"/>
                <w:szCs w:val="20"/>
              </w:rPr>
            </w:pPr>
            <w:r w:rsidRPr="00F074F9">
              <w:rPr>
                <w:sz w:val="20"/>
                <w:szCs w:val="20"/>
              </w:rPr>
              <w:t>UNIDO</w:t>
            </w:r>
          </w:p>
        </w:tc>
        <w:tc>
          <w:tcPr>
            <w:tcW w:w="1080" w:type="dxa"/>
          </w:tcPr>
          <w:p w:rsidR="001D278F" w:rsidRPr="00F074F9" w:rsidRDefault="001D278F" w:rsidP="00F074F9">
            <w:pPr>
              <w:jc w:val="right"/>
              <w:rPr>
                <w:sz w:val="20"/>
                <w:szCs w:val="20"/>
              </w:rPr>
            </w:pPr>
            <w:r w:rsidRPr="00F074F9">
              <w:rPr>
                <w:sz w:val="20"/>
                <w:szCs w:val="20"/>
              </w:rPr>
              <w:t>728,955</w:t>
            </w:r>
          </w:p>
        </w:tc>
        <w:tc>
          <w:tcPr>
            <w:tcW w:w="1260" w:type="dxa"/>
          </w:tcPr>
          <w:p w:rsidR="001D278F" w:rsidRPr="00F074F9" w:rsidRDefault="00BC2CE4" w:rsidP="00F074F9">
            <w:pPr>
              <w:jc w:val="right"/>
              <w:rPr>
                <w:sz w:val="20"/>
                <w:szCs w:val="20"/>
              </w:rPr>
            </w:pPr>
            <w:r w:rsidRPr="00F074F9">
              <w:rPr>
                <w:sz w:val="20"/>
                <w:szCs w:val="20"/>
              </w:rPr>
              <w:t>714,161</w:t>
            </w:r>
          </w:p>
        </w:tc>
        <w:tc>
          <w:tcPr>
            <w:tcW w:w="1126" w:type="dxa"/>
          </w:tcPr>
          <w:p w:rsidR="001D278F" w:rsidRPr="00F074F9" w:rsidRDefault="001D278F" w:rsidP="00F074F9">
            <w:pPr>
              <w:jc w:val="right"/>
              <w:rPr>
                <w:sz w:val="20"/>
                <w:szCs w:val="20"/>
              </w:rPr>
            </w:pPr>
            <w:r w:rsidRPr="00F074F9">
              <w:rPr>
                <w:sz w:val="20"/>
                <w:szCs w:val="20"/>
              </w:rPr>
              <w:t>82,000</w:t>
            </w:r>
          </w:p>
        </w:tc>
        <w:tc>
          <w:tcPr>
            <w:tcW w:w="1282" w:type="dxa"/>
          </w:tcPr>
          <w:p w:rsidR="001D278F" w:rsidRPr="00F074F9" w:rsidRDefault="00BC2CE4" w:rsidP="00F074F9">
            <w:pPr>
              <w:jc w:val="right"/>
              <w:rPr>
                <w:sz w:val="20"/>
                <w:szCs w:val="20"/>
              </w:rPr>
            </w:pPr>
            <w:r w:rsidRPr="00F074F9">
              <w:rPr>
                <w:sz w:val="20"/>
                <w:szCs w:val="20"/>
              </w:rPr>
              <w:t>27,600</w:t>
            </w:r>
          </w:p>
        </w:tc>
        <w:tc>
          <w:tcPr>
            <w:tcW w:w="1278" w:type="dxa"/>
          </w:tcPr>
          <w:p w:rsidR="001D278F" w:rsidRPr="00F074F9" w:rsidRDefault="00032594" w:rsidP="00F074F9">
            <w:pPr>
              <w:jc w:val="right"/>
              <w:rPr>
                <w:sz w:val="20"/>
                <w:szCs w:val="20"/>
              </w:rPr>
            </w:pPr>
            <w:r w:rsidRPr="00F074F9">
              <w:rPr>
                <w:sz w:val="20"/>
                <w:szCs w:val="20"/>
              </w:rPr>
              <w:t>810,955</w:t>
            </w:r>
          </w:p>
        </w:tc>
        <w:tc>
          <w:tcPr>
            <w:tcW w:w="1282" w:type="dxa"/>
          </w:tcPr>
          <w:p w:rsidR="001D278F" w:rsidRPr="00F074F9" w:rsidRDefault="00BC2CE4" w:rsidP="00F074F9">
            <w:pPr>
              <w:jc w:val="right"/>
              <w:rPr>
                <w:sz w:val="20"/>
                <w:szCs w:val="20"/>
              </w:rPr>
            </w:pPr>
            <w:r w:rsidRPr="00F074F9">
              <w:rPr>
                <w:sz w:val="20"/>
                <w:szCs w:val="20"/>
              </w:rPr>
              <w:t>741,761</w:t>
            </w:r>
          </w:p>
        </w:tc>
      </w:tr>
      <w:tr w:rsidR="001D278F" w:rsidRPr="00F074F9" w:rsidTr="00E2204F">
        <w:trPr>
          <w:trHeight w:val="206"/>
        </w:trPr>
        <w:tc>
          <w:tcPr>
            <w:tcW w:w="2160" w:type="dxa"/>
            <w:tcMar>
              <w:left w:w="29" w:type="dxa"/>
              <w:right w:w="29" w:type="dxa"/>
            </w:tcMar>
          </w:tcPr>
          <w:p w:rsidR="001D278F" w:rsidRPr="00F074F9" w:rsidRDefault="001D278F" w:rsidP="00F074F9">
            <w:pPr>
              <w:rPr>
                <w:b/>
                <w:sz w:val="20"/>
                <w:szCs w:val="20"/>
              </w:rPr>
            </w:pPr>
            <w:r w:rsidRPr="00F074F9">
              <w:rPr>
                <w:b/>
                <w:sz w:val="20"/>
                <w:szCs w:val="20"/>
              </w:rPr>
              <w:t>Disbursement rate (%)</w:t>
            </w:r>
          </w:p>
        </w:tc>
        <w:tc>
          <w:tcPr>
            <w:tcW w:w="2340" w:type="dxa"/>
            <w:gridSpan w:val="2"/>
          </w:tcPr>
          <w:p w:rsidR="001D278F" w:rsidRPr="00F074F9" w:rsidRDefault="00BC2CE4" w:rsidP="00F074F9">
            <w:pPr>
              <w:jc w:val="right"/>
              <w:rPr>
                <w:sz w:val="20"/>
                <w:szCs w:val="20"/>
              </w:rPr>
            </w:pPr>
            <w:r w:rsidRPr="00F074F9">
              <w:rPr>
                <w:sz w:val="20"/>
                <w:szCs w:val="20"/>
              </w:rPr>
              <w:t>98</w:t>
            </w:r>
          </w:p>
        </w:tc>
        <w:tc>
          <w:tcPr>
            <w:tcW w:w="2408" w:type="dxa"/>
            <w:gridSpan w:val="2"/>
          </w:tcPr>
          <w:p w:rsidR="001D278F" w:rsidRPr="00F074F9" w:rsidRDefault="00BC2CE4" w:rsidP="00F074F9">
            <w:pPr>
              <w:jc w:val="right"/>
              <w:rPr>
                <w:sz w:val="20"/>
                <w:szCs w:val="20"/>
              </w:rPr>
            </w:pPr>
            <w:r w:rsidRPr="00F074F9">
              <w:rPr>
                <w:sz w:val="20"/>
                <w:szCs w:val="20"/>
              </w:rPr>
              <w:t>34</w:t>
            </w:r>
          </w:p>
        </w:tc>
        <w:tc>
          <w:tcPr>
            <w:tcW w:w="2560" w:type="dxa"/>
            <w:gridSpan w:val="2"/>
          </w:tcPr>
          <w:p w:rsidR="001D278F" w:rsidRPr="00F074F9" w:rsidRDefault="00BC2CE4" w:rsidP="00F074F9">
            <w:pPr>
              <w:jc w:val="right"/>
              <w:rPr>
                <w:sz w:val="20"/>
                <w:szCs w:val="20"/>
              </w:rPr>
            </w:pPr>
            <w:r w:rsidRPr="00F074F9">
              <w:rPr>
                <w:sz w:val="20"/>
                <w:szCs w:val="20"/>
              </w:rPr>
              <w:t>91</w:t>
            </w:r>
          </w:p>
        </w:tc>
      </w:tr>
    </w:tbl>
    <w:p w:rsidR="001D278F" w:rsidRPr="00F074F9" w:rsidRDefault="001D278F" w:rsidP="00F074F9">
      <w:pPr>
        <w:rPr>
          <w:lang w:val="en-CA"/>
        </w:rPr>
      </w:pPr>
    </w:p>
    <w:p w:rsidR="00772ECE" w:rsidRPr="00F074F9" w:rsidRDefault="00772ECE" w:rsidP="00F074F9">
      <w:pPr>
        <w:spacing w:after="240"/>
        <w:rPr>
          <w:u w:val="single"/>
          <w:lang w:val="en-CA"/>
        </w:rPr>
      </w:pPr>
      <w:r w:rsidRPr="00F074F9">
        <w:rPr>
          <w:u w:val="single"/>
          <w:lang w:val="en-CA"/>
        </w:rPr>
        <w:t xml:space="preserve">Implementation plan for the </w:t>
      </w:r>
      <w:r w:rsidR="001D278F" w:rsidRPr="00F074F9">
        <w:rPr>
          <w:u w:val="single"/>
          <w:lang w:val="en-CA"/>
        </w:rPr>
        <w:t>eighth</w:t>
      </w:r>
      <w:r w:rsidRPr="00F074F9">
        <w:rPr>
          <w:u w:val="single"/>
          <w:lang w:val="en-CA"/>
        </w:rPr>
        <w:t xml:space="preserve"> tranche of the HPMP</w:t>
      </w:r>
    </w:p>
    <w:p w:rsidR="00772ECE" w:rsidRPr="00F074F9" w:rsidRDefault="00772ECE" w:rsidP="00F074F9">
      <w:pPr>
        <w:pStyle w:val="Heading1"/>
        <w:rPr>
          <w:lang w:val="en-CA"/>
        </w:rPr>
      </w:pPr>
      <w:r w:rsidRPr="00F074F9">
        <w:rPr>
          <w:lang w:val="en-CA"/>
        </w:rPr>
        <w:t xml:space="preserve">The following activities will be implemented between </w:t>
      </w:r>
      <w:r w:rsidR="00205DAC" w:rsidRPr="00F074F9">
        <w:rPr>
          <w:lang w:val="en-CA"/>
        </w:rPr>
        <w:t>January and</w:t>
      </w:r>
      <w:r w:rsidRPr="00F074F9">
        <w:rPr>
          <w:lang w:val="en-CA"/>
        </w:rPr>
        <w:t xml:space="preserve"> </w:t>
      </w:r>
      <w:r w:rsidR="00394922" w:rsidRPr="00F074F9">
        <w:rPr>
          <w:lang w:val="en-CA"/>
        </w:rPr>
        <w:t>December 2019</w:t>
      </w:r>
      <w:r w:rsidRPr="00F074F9">
        <w:rPr>
          <w:lang w:val="en-CA"/>
        </w:rPr>
        <w:t>:</w:t>
      </w:r>
    </w:p>
    <w:p w:rsidR="00FA46E9" w:rsidRPr="00F074F9" w:rsidRDefault="00550EC5" w:rsidP="00F074F9">
      <w:pPr>
        <w:pStyle w:val="Heading2"/>
        <w:rPr>
          <w:lang w:val="en-CA"/>
        </w:rPr>
      </w:pPr>
      <w:r w:rsidRPr="00F074F9">
        <w:rPr>
          <w:lang w:val="en-CA"/>
        </w:rPr>
        <w:t>Completion of the conversion of the remaining foam enterprise</w:t>
      </w:r>
      <w:r w:rsidR="0017646F" w:rsidRPr="00F074F9">
        <w:rPr>
          <w:lang w:val="en-CA"/>
        </w:rPr>
        <w:t xml:space="preserve"> after confirmation on production</w:t>
      </w:r>
      <w:r w:rsidRPr="00F074F9">
        <w:rPr>
          <w:lang w:val="en-CA"/>
        </w:rPr>
        <w:t xml:space="preserve"> (funds from </w:t>
      </w:r>
      <w:r w:rsidR="00646C3E">
        <w:rPr>
          <w:lang w:val="en-CA"/>
        </w:rPr>
        <w:t xml:space="preserve">the </w:t>
      </w:r>
      <w:r w:rsidRPr="00F074F9">
        <w:rPr>
          <w:lang w:val="en-CA"/>
        </w:rPr>
        <w:t>previous tranche), and monitoring the progress of the foam sector conversion</w:t>
      </w:r>
      <w:r w:rsidR="00FA46E9" w:rsidRPr="00F074F9">
        <w:rPr>
          <w:lang w:val="en-CA"/>
        </w:rPr>
        <w:t xml:space="preserve"> (US $30,000);</w:t>
      </w:r>
    </w:p>
    <w:p w:rsidR="00FA46E9" w:rsidRPr="00F074F9" w:rsidRDefault="00E603B1" w:rsidP="00F074F9">
      <w:pPr>
        <w:pStyle w:val="Heading2"/>
        <w:rPr>
          <w:lang w:val="en-CA"/>
        </w:rPr>
      </w:pPr>
      <w:r w:rsidRPr="00F074F9">
        <w:rPr>
          <w:lang w:val="en-CA"/>
        </w:rPr>
        <w:t>T</w:t>
      </w:r>
      <w:r w:rsidR="00FA46E9" w:rsidRPr="00F074F9">
        <w:rPr>
          <w:lang w:val="en-CA"/>
        </w:rPr>
        <w:t>raining on good servicing practices for 30 service technicians</w:t>
      </w:r>
      <w:r w:rsidR="00C641C5" w:rsidRPr="00F074F9">
        <w:rPr>
          <w:lang w:val="en-CA"/>
        </w:rPr>
        <w:t xml:space="preserve"> including equipment control and leak check (equipment recording and labelling, distribution of logbooks and labels, on-site assistance for proper application of logbooks and labels (</w:t>
      </w:r>
      <w:r w:rsidR="00FA46E9" w:rsidRPr="00F074F9">
        <w:rPr>
          <w:lang w:val="en-CA"/>
        </w:rPr>
        <w:t>US $21,000);</w:t>
      </w:r>
    </w:p>
    <w:p w:rsidR="00FA46E9" w:rsidRPr="00F074F9" w:rsidRDefault="00C641C5" w:rsidP="00F074F9">
      <w:pPr>
        <w:pStyle w:val="Heading2"/>
        <w:rPr>
          <w:lang w:val="en-CA"/>
        </w:rPr>
      </w:pPr>
      <w:r w:rsidRPr="00F074F9">
        <w:rPr>
          <w:lang w:val="en-CA"/>
        </w:rPr>
        <w:t>Improving the electronic database for equipment containing three or more kilograms of refrigerant) (</w:t>
      </w:r>
      <w:r w:rsidR="00FA46E9" w:rsidRPr="00F074F9">
        <w:rPr>
          <w:lang w:val="en-CA"/>
        </w:rPr>
        <w:t>US $5,000); and</w:t>
      </w:r>
    </w:p>
    <w:p w:rsidR="00772ECE" w:rsidRPr="00F074F9" w:rsidRDefault="00394922" w:rsidP="00F074F9">
      <w:pPr>
        <w:pStyle w:val="Heading2"/>
        <w:rPr>
          <w:lang w:val="en-CA"/>
        </w:rPr>
      </w:pPr>
      <w:r w:rsidRPr="00F074F9">
        <w:rPr>
          <w:lang w:val="en-CA"/>
        </w:rPr>
        <w:t xml:space="preserve">Activities related to IS: finalization </w:t>
      </w:r>
      <w:r w:rsidR="00550EC5" w:rsidRPr="00F074F9">
        <w:rPr>
          <w:lang w:val="en-CA"/>
        </w:rPr>
        <w:t xml:space="preserve">of </w:t>
      </w:r>
      <w:r w:rsidRPr="00F074F9">
        <w:rPr>
          <w:lang w:val="en-CA"/>
        </w:rPr>
        <w:t>legislation related to establishment of sustainable licensing system,</w:t>
      </w:r>
      <w:r w:rsidR="00FA46E9" w:rsidRPr="00F074F9">
        <w:rPr>
          <w:lang w:val="en-CA"/>
        </w:rPr>
        <w:t xml:space="preserve"> control of import/export of refrigerants and equipment, monitoring of R&amp;R scheme, aw</w:t>
      </w:r>
      <w:r w:rsidR="006462FF" w:rsidRPr="00F074F9">
        <w:rPr>
          <w:lang w:val="en-CA"/>
        </w:rPr>
        <w:t>areness raising activities</w:t>
      </w:r>
      <w:r w:rsidR="00114907" w:rsidRPr="00F074F9">
        <w:rPr>
          <w:lang w:val="en-CA"/>
        </w:rPr>
        <w:t xml:space="preserve"> (US $</w:t>
      </w:r>
      <w:r w:rsidR="00FA46E9" w:rsidRPr="00F074F9">
        <w:rPr>
          <w:lang w:val="en-CA"/>
        </w:rPr>
        <w:t>75,000).</w:t>
      </w:r>
    </w:p>
    <w:p w:rsidR="00772ECE" w:rsidRPr="00F074F9" w:rsidRDefault="00772ECE" w:rsidP="00F074F9">
      <w:pPr>
        <w:rPr>
          <w:lang w:val="en-CA"/>
        </w:rPr>
      </w:pPr>
    </w:p>
    <w:p w:rsidR="00772ECE" w:rsidRPr="00F074F9" w:rsidRDefault="00772ECE" w:rsidP="00F074F9">
      <w:pPr>
        <w:jc w:val="center"/>
        <w:rPr>
          <w:b/>
          <w:lang w:val="en-CA"/>
        </w:rPr>
      </w:pPr>
      <w:r w:rsidRPr="00F074F9">
        <w:rPr>
          <w:b/>
          <w:lang w:val="en-CA"/>
        </w:rPr>
        <w:t>SECRETARIAT’S COMMENTS AND RECOMMENDATION</w:t>
      </w:r>
    </w:p>
    <w:p w:rsidR="00772ECE" w:rsidRPr="00F074F9" w:rsidRDefault="00772ECE" w:rsidP="00F074F9">
      <w:pPr>
        <w:rPr>
          <w:lang w:val="en-CA"/>
        </w:rPr>
      </w:pPr>
    </w:p>
    <w:p w:rsidR="00772ECE" w:rsidRPr="00F074F9" w:rsidRDefault="00772ECE" w:rsidP="00F074F9">
      <w:pPr>
        <w:spacing w:after="240"/>
        <w:rPr>
          <w:b/>
          <w:lang w:val="en-CA"/>
        </w:rPr>
      </w:pPr>
      <w:r w:rsidRPr="00F074F9">
        <w:rPr>
          <w:b/>
          <w:lang w:val="en-CA"/>
        </w:rPr>
        <w:t>COMMENTS</w:t>
      </w:r>
    </w:p>
    <w:p w:rsidR="00772ECE" w:rsidRPr="00F074F9" w:rsidRDefault="00772ECE" w:rsidP="00F074F9">
      <w:pPr>
        <w:spacing w:after="240"/>
        <w:rPr>
          <w:u w:val="single"/>
          <w:lang w:val="en-CA"/>
        </w:rPr>
      </w:pPr>
      <w:r w:rsidRPr="00F074F9">
        <w:rPr>
          <w:u w:val="single"/>
          <w:lang w:val="en-CA"/>
        </w:rPr>
        <w:t>Progress report on the implementation of the</w:t>
      </w:r>
      <w:r w:rsidR="008A5CD5" w:rsidRPr="00F074F9">
        <w:rPr>
          <w:u w:val="single"/>
          <w:lang w:val="en-CA"/>
        </w:rPr>
        <w:t xml:space="preserve"> seventh</w:t>
      </w:r>
      <w:r w:rsidRPr="00F074F9">
        <w:rPr>
          <w:u w:val="single"/>
          <w:lang w:val="en-CA"/>
        </w:rPr>
        <w:t xml:space="preserve"> tranche of the HPMP</w:t>
      </w:r>
    </w:p>
    <w:p w:rsidR="00772ECE" w:rsidRPr="00F074F9" w:rsidRDefault="00772ECE" w:rsidP="00F074F9">
      <w:pPr>
        <w:spacing w:after="240"/>
        <w:rPr>
          <w:i/>
          <w:lang w:val="en-CA"/>
        </w:rPr>
      </w:pPr>
      <w:r w:rsidRPr="00F074F9">
        <w:rPr>
          <w:i/>
          <w:lang w:val="en-CA"/>
        </w:rPr>
        <w:t>Legal framework</w:t>
      </w:r>
    </w:p>
    <w:p w:rsidR="00772ECE" w:rsidRPr="00F074F9" w:rsidRDefault="00772ECE" w:rsidP="00F074F9">
      <w:pPr>
        <w:pStyle w:val="Heading1"/>
        <w:rPr>
          <w:lang w:val="en-CA"/>
        </w:rPr>
      </w:pPr>
      <w:r w:rsidRPr="00F074F9">
        <w:rPr>
          <w:lang w:val="en-CA"/>
        </w:rPr>
        <w:t xml:space="preserve">The Government of </w:t>
      </w:r>
      <w:r w:rsidR="008A5CD5" w:rsidRPr="00F074F9">
        <w:rPr>
          <w:lang w:val="en-CA"/>
        </w:rPr>
        <w:t>the former Yugoslav Republic of Macedonia</w:t>
      </w:r>
      <w:r w:rsidRPr="00F074F9">
        <w:rPr>
          <w:lang w:val="en-CA"/>
        </w:rPr>
        <w:t xml:space="preserve"> has already issued HCFC import quotas for 2018 at </w:t>
      </w:r>
      <w:r w:rsidR="00E63899" w:rsidRPr="00F074F9">
        <w:rPr>
          <w:lang w:val="en-CA"/>
        </w:rPr>
        <w:t>1.26</w:t>
      </w:r>
      <w:r w:rsidR="009045C1" w:rsidRPr="00F074F9">
        <w:rPr>
          <w:lang w:val="en-CA"/>
        </w:rPr>
        <w:t> ODP tonnes</w:t>
      </w:r>
      <w:r w:rsidRPr="00F074F9">
        <w:rPr>
          <w:lang w:val="en-CA"/>
        </w:rPr>
        <w:t>, which is lower than the Montreal Protocol control targets.</w:t>
      </w:r>
    </w:p>
    <w:p w:rsidR="00772ECE" w:rsidRPr="00F074F9" w:rsidRDefault="00772ECE" w:rsidP="00C23B42">
      <w:pPr>
        <w:spacing w:after="240"/>
        <w:rPr>
          <w:i/>
          <w:lang w:val="en-CA"/>
        </w:rPr>
      </w:pPr>
      <w:r w:rsidRPr="00F074F9">
        <w:rPr>
          <w:i/>
          <w:lang w:val="en-CA"/>
        </w:rPr>
        <w:t>Manufacturing sector</w:t>
      </w:r>
    </w:p>
    <w:p w:rsidR="00E63899" w:rsidRPr="00F074F9" w:rsidRDefault="00213A37" w:rsidP="00F074F9">
      <w:pPr>
        <w:pStyle w:val="Heading1"/>
        <w:rPr>
          <w:lang w:val="en-CA"/>
        </w:rPr>
      </w:pPr>
      <w:r w:rsidRPr="00F074F9">
        <w:rPr>
          <w:lang w:val="en-CA"/>
        </w:rPr>
        <w:t xml:space="preserve">In clarifying the situation concerning the conversion in the remaining </w:t>
      </w:r>
      <w:r w:rsidR="006462FF" w:rsidRPr="00F074F9">
        <w:rPr>
          <w:lang w:val="en-CA"/>
        </w:rPr>
        <w:t xml:space="preserve">foam </w:t>
      </w:r>
      <w:r w:rsidRPr="00F074F9">
        <w:rPr>
          <w:lang w:val="en-CA"/>
        </w:rPr>
        <w:t>enterprise (Sileks), UNIDO explained that the fire which destroyed the facilit</w:t>
      </w:r>
      <w:r w:rsidR="006462FF" w:rsidRPr="00F074F9">
        <w:rPr>
          <w:lang w:val="en-CA"/>
        </w:rPr>
        <w:t>y</w:t>
      </w:r>
      <w:r w:rsidRPr="00F074F9">
        <w:rPr>
          <w:lang w:val="en-CA"/>
        </w:rPr>
        <w:t xml:space="preserve"> happened in 2016, yet UNIDO was informed </w:t>
      </w:r>
      <w:r w:rsidR="00E603B1" w:rsidRPr="00F074F9">
        <w:rPr>
          <w:lang w:val="en-CA"/>
        </w:rPr>
        <w:t>about</w:t>
      </w:r>
      <w:r w:rsidRPr="00F074F9">
        <w:rPr>
          <w:lang w:val="en-CA"/>
        </w:rPr>
        <w:t xml:space="preserve"> it only in 2018 during a visit to the country. </w:t>
      </w:r>
      <w:r w:rsidR="0017646F" w:rsidRPr="00F074F9">
        <w:rPr>
          <w:lang w:val="en-CA"/>
        </w:rPr>
        <w:t>As of writing this document, no decision has been made on whether the enterprise will continue with its planned conversion or whether the funds will be returned; UNIDO is still consulting with the Government on a way forward.</w:t>
      </w:r>
    </w:p>
    <w:p w:rsidR="00213A37" w:rsidRPr="00F074F9" w:rsidRDefault="00213A37" w:rsidP="00646C3E">
      <w:pPr>
        <w:pStyle w:val="Heading1"/>
        <w:rPr>
          <w:lang w:val="en-CA"/>
        </w:rPr>
      </w:pPr>
      <w:r w:rsidRPr="00F074F9">
        <w:rPr>
          <w:lang w:val="en-CA"/>
        </w:rPr>
        <w:t xml:space="preserve">The Secretariat advised UNIDO that if </w:t>
      </w:r>
      <w:r w:rsidR="00E10683" w:rsidRPr="00F074F9">
        <w:rPr>
          <w:lang w:val="en-CA"/>
        </w:rPr>
        <w:t>the enterprise had stopped production of PU foam</w:t>
      </w:r>
      <w:r w:rsidRPr="00F074F9">
        <w:rPr>
          <w:lang w:val="en-CA"/>
        </w:rPr>
        <w:t xml:space="preserve">, then the funding associated with </w:t>
      </w:r>
      <w:r w:rsidR="00E10683" w:rsidRPr="00F074F9">
        <w:rPr>
          <w:lang w:val="en-CA"/>
        </w:rPr>
        <w:t>it</w:t>
      </w:r>
      <w:r w:rsidRPr="00F074F9">
        <w:rPr>
          <w:lang w:val="en-CA"/>
        </w:rPr>
        <w:t xml:space="preserve"> will have to be returned to the Multilateral Fund. </w:t>
      </w:r>
      <w:r w:rsidR="00E10683" w:rsidRPr="00F074F9">
        <w:rPr>
          <w:lang w:val="en-CA"/>
        </w:rPr>
        <w:t>Since</w:t>
      </w:r>
      <w:r w:rsidR="00C06647" w:rsidRPr="00F074F9">
        <w:rPr>
          <w:lang w:val="en-CA"/>
        </w:rPr>
        <w:t xml:space="preserve"> all other beneficiaries </w:t>
      </w:r>
      <w:r w:rsidR="00E10683" w:rsidRPr="00F074F9">
        <w:rPr>
          <w:lang w:val="en-CA"/>
        </w:rPr>
        <w:t>under this umbrella project</w:t>
      </w:r>
      <w:r w:rsidR="00C06647" w:rsidRPr="00F074F9">
        <w:rPr>
          <w:lang w:val="en-CA"/>
        </w:rPr>
        <w:t xml:space="preserve"> have completed conversions, </w:t>
      </w:r>
      <w:r w:rsidR="006462FF" w:rsidRPr="00F074F9">
        <w:rPr>
          <w:lang w:val="en-CA"/>
        </w:rPr>
        <w:t xml:space="preserve">and zero consumption of HCFC-141b has been </w:t>
      </w:r>
      <w:r w:rsidR="006462FF" w:rsidRPr="00F074F9">
        <w:rPr>
          <w:lang w:val="en-CA"/>
        </w:rPr>
        <w:lastRenderedPageBreak/>
        <w:t xml:space="preserve">reported since 2013 </w:t>
      </w:r>
      <w:r w:rsidR="00C06647" w:rsidRPr="00F074F9">
        <w:rPr>
          <w:lang w:val="en-CA"/>
        </w:rPr>
        <w:t xml:space="preserve">this sector plan can be considered completed. </w:t>
      </w:r>
      <w:r w:rsidR="00646C3E" w:rsidRPr="00646C3E">
        <w:rPr>
          <w:lang w:val="en-CA"/>
        </w:rPr>
        <w:t>UNIDO was requested to provide a report to the 83</w:t>
      </w:r>
      <w:r w:rsidR="00646C3E" w:rsidRPr="00646C3E">
        <w:rPr>
          <w:vertAlign w:val="superscript"/>
          <w:lang w:val="en-CA"/>
        </w:rPr>
        <w:t>rd</w:t>
      </w:r>
      <w:r w:rsidR="00646C3E" w:rsidRPr="00646C3E">
        <w:rPr>
          <w:lang w:val="en-CA"/>
        </w:rPr>
        <w:t> meeting on this.</w:t>
      </w:r>
    </w:p>
    <w:p w:rsidR="00C06647" w:rsidRPr="00F074F9" w:rsidRDefault="0017646F" w:rsidP="00F074F9">
      <w:pPr>
        <w:pStyle w:val="Heading1"/>
        <w:rPr>
          <w:lang w:val="en-CA"/>
        </w:rPr>
      </w:pPr>
      <w:r w:rsidRPr="00F074F9">
        <w:rPr>
          <w:lang w:val="en-CA"/>
        </w:rPr>
        <w:t xml:space="preserve">The Secretariat </w:t>
      </w:r>
      <w:r w:rsidR="00895AF5" w:rsidRPr="00F074F9">
        <w:rPr>
          <w:lang w:val="en-CA"/>
        </w:rPr>
        <w:t xml:space="preserve">noted that the financial report showed that more funds were used for one enterprise’s conversion. </w:t>
      </w:r>
      <w:r w:rsidR="00743DF5" w:rsidRPr="00F074F9">
        <w:rPr>
          <w:lang w:val="en-CA"/>
        </w:rPr>
        <w:t xml:space="preserve">In explaining </w:t>
      </w:r>
      <w:r w:rsidR="00895AF5" w:rsidRPr="00F074F9">
        <w:rPr>
          <w:lang w:val="en-CA"/>
        </w:rPr>
        <w:t xml:space="preserve">this, </w:t>
      </w:r>
      <w:r w:rsidR="001D25F3" w:rsidRPr="00F074F9">
        <w:rPr>
          <w:lang w:val="en-CA"/>
        </w:rPr>
        <w:t>UNIDO indicated that prices of the equipment had increased between the planning phase and implementation, therefore the count</w:t>
      </w:r>
      <w:r w:rsidR="00E10683" w:rsidRPr="00F074F9">
        <w:rPr>
          <w:lang w:val="en-CA"/>
        </w:rPr>
        <w:t xml:space="preserve">ry made adjustments to the </w:t>
      </w:r>
      <w:r w:rsidR="00EB3FC8" w:rsidRPr="00F074F9">
        <w:rPr>
          <w:lang w:val="en-CA"/>
        </w:rPr>
        <w:t>funding, which</w:t>
      </w:r>
      <w:r w:rsidR="00895AF5" w:rsidRPr="00F074F9">
        <w:rPr>
          <w:lang w:val="en-CA"/>
        </w:rPr>
        <w:t xml:space="preserve"> they understood was possible under an </w:t>
      </w:r>
      <w:r w:rsidR="00E10683" w:rsidRPr="00F074F9">
        <w:rPr>
          <w:lang w:val="en-CA"/>
        </w:rPr>
        <w:t xml:space="preserve">umbrella project, </w:t>
      </w:r>
      <w:r w:rsidR="00EB3FC8" w:rsidRPr="00F074F9">
        <w:rPr>
          <w:lang w:val="en-CA"/>
        </w:rPr>
        <w:t xml:space="preserve">where </w:t>
      </w:r>
      <w:r w:rsidR="00E10683" w:rsidRPr="00F074F9">
        <w:rPr>
          <w:lang w:val="en-CA"/>
        </w:rPr>
        <w:t xml:space="preserve">more flexibility </w:t>
      </w:r>
      <w:r w:rsidR="00EB3FC8" w:rsidRPr="00F074F9">
        <w:rPr>
          <w:lang w:val="en-CA"/>
        </w:rPr>
        <w:t xml:space="preserve">was allowed </w:t>
      </w:r>
      <w:r w:rsidR="00E10683" w:rsidRPr="00F074F9">
        <w:rPr>
          <w:lang w:val="en-CA"/>
        </w:rPr>
        <w:t>to make changes in the overall approach.</w:t>
      </w:r>
      <w:r w:rsidR="006462FF" w:rsidRPr="00F074F9">
        <w:rPr>
          <w:lang w:val="en-CA"/>
        </w:rPr>
        <w:t xml:space="preserve"> </w:t>
      </w:r>
      <w:r w:rsidR="00EB3FC8" w:rsidRPr="00F074F9">
        <w:rPr>
          <w:lang w:val="en-CA"/>
        </w:rPr>
        <w:t xml:space="preserve">Some eligible equipment that were meant to be retrofitted were instead replaced because of age and utility. </w:t>
      </w:r>
      <w:r w:rsidR="0093643A" w:rsidRPr="00F074F9">
        <w:rPr>
          <w:lang w:val="en-CA"/>
        </w:rPr>
        <w:t>The</w:t>
      </w:r>
      <w:r w:rsidR="00703CA8" w:rsidRPr="00F074F9">
        <w:rPr>
          <w:lang w:val="en-CA"/>
        </w:rPr>
        <w:t xml:space="preserve"> IOC</w:t>
      </w:r>
      <w:r w:rsidR="0093643A" w:rsidRPr="00F074F9">
        <w:rPr>
          <w:lang w:val="en-CA"/>
        </w:rPr>
        <w:t xml:space="preserve"> was used to fund these overruns in line with decision 20/6. </w:t>
      </w:r>
    </w:p>
    <w:p w:rsidR="00772ECE" w:rsidRPr="00F074F9" w:rsidRDefault="00772ECE" w:rsidP="00C23B42">
      <w:pPr>
        <w:keepNext/>
        <w:spacing w:after="240"/>
        <w:rPr>
          <w:u w:val="single"/>
          <w:lang w:val="en-CA"/>
        </w:rPr>
      </w:pPr>
      <w:r w:rsidRPr="00F074F9">
        <w:rPr>
          <w:u w:val="single"/>
          <w:lang w:val="en-CA"/>
        </w:rPr>
        <w:t xml:space="preserve">Conclusion </w:t>
      </w:r>
    </w:p>
    <w:p w:rsidR="00772ECE" w:rsidRPr="00F074F9" w:rsidRDefault="002E13EE" w:rsidP="00F074F9">
      <w:pPr>
        <w:pStyle w:val="Heading1"/>
        <w:keepNext/>
        <w:rPr>
          <w:lang w:val="en-CA"/>
        </w:rPr>
      </w:pPr>
      <w:r w:rsidRPr="00F074F9">
        <w:rPr>
          <w:lang w:val="en-CA"/>
        </w:rPr>
        <w:t>The former Yugoslav Republic of Macedonia continues to be in compliance with the Montreal Protocol and the HCFC consumption targets defined in its Agreement with the Executive Committee</w:t>
      </w:r>
      <w:r w:rsidR="00D7583D" w:rsidRPr="00F074F9">
        <w:rPr>
          <w:lang w:val="en-CA"/>
        </w:rPr>
        <w:t>,</w:t>
      </w:r>
      <w:r w:rsidR="0093643A" w:rsidRPr="00F074F9">
        <w:rPr>
          <w:lang w:val="en-CA"/>
        </w:rPr>
        <w:t xml:space="preserve"> in 2017, consumption of all HCFCs was zero, and there has been </w:t>
      </w:r>
      <w:r w:rsidR="00D7583D" w:rsidRPr="00F074F9">
        <w:rPr>
          <w:lang w:val="en-CA"/>
        </w:rPr>
        <w:t>zero reported consumption of HCFC</w:t>
      </w:r>
      <w:r w:rsidR="00D7583D" w:rsidRPr="00F074F9">
        <w:rPr>
          <w:lang w:val="en-CA"/>
        </w:rPr>
        <w:noBreakHyphen/>
        <w:t>141b since 2013</w:t>
      </w:r>
      <w:r w:rsidRPr="00F074F9">
        <w:rPr>
          <w:lang w:val="en-CA"/>
        </w:rPr>
        <w:t>. The implementation of the seventh tranche progressed well. The licensing and quota system is functioning. The R&amp;R scheme is functioning successfully and has reported that 62.</w:t>
      </w:r>
      <w:r w:rsidR="00913CC5" w:rsidRPr="00F074F9">
        <w:rPr>
          <w:lang w:val="en-CA"/>
        </w:rPr>
        <w:t>2</w:t>
      </w:r>
      <w:r w:rsidRPr="00F074F9">
        <w:rPr>
          <w:lang w:val="en-CA"/>
        </w:rPr>
        <w:t xml:space="preserve"> per cent of recycled material has been reused in the market, and this is expected to increase in the future. The conversion of three out of the four foam </w:t>
      </w:r>
      <w:r w:rsidR="00913CC5" w:rsidRPr="00F074F9">
        <w:rPr>
          <w:lang w:val="en-CA"/>
        </w:rPr>
        <w:t>enterprises have been completed, and UNIDO will provide an update to the 83</w:t>
      </w:r>
      <w:r w:rsidR="00913CC5" w:rsidRPr="00F074F9">
        <w:rPr>
          <w:vertAlign w:val="superscript"/>
          <w:lang w:val="en-CA"/>
        </w:rPr>
        <w:t>rd</w:t>
      </w:r>
      <w:r w:rsidR="00646C3E" w:rsidRPr="00646C3E">
        <w:rPr>
          <w:lang w:val="en-CA"/>
        </w:rPr>
        <w:t> </w:t>
      </w:r>
      <w:r w:rsidR="00913CC5" w:rsidRPr="00F074F9">
        <w:rPr>
          <w:lang w:val="en-CA"/>
        </w:rPr>
        <w:t>meeting on the conversion of the remaining enterprise.</w:t>
      </w:r>
      <w:r w:rsidRPr="00F074F9">
        <w:rPr>
          <w:lang w:val="en-CA"/>
        </w:rPr>
        <w:t xml:space="preserve"> The level of disbursement </w:t>
      </w:r>
      <w:r w:rsidR="00913CC5" w:rsidRPr="00F074F9">
        <w:rPr>
          <w:lang w:val="en-CA"/>
        </w:rPr>
        <w:t xml:space="preserve">of the seventh tranche is 34 per cent and the overall disbursement rate has reached </w:t>
      </w:r>
      <w:r w:rsidRPr="00F074F9">
        <w:rPr>
          <w:lang w:val="en-CA"/>
        </w:rPr>
        <w:t xml:space="preserve">91 per cent. The activities so far implemented and those planned under the </w:t>
      </w:r>
      <w:r w:rsidR="003D0D9A" w:rsidRPr="00F074F9">
        <w:rPr>
          <w:lang w:val="en-CA"/>
        </w:rPr>
        <w:t>eighth</w:t>
      </w:r>
      <w:r w:rsidRPr="00F074F9">
        <w:rPr>
          <w:lang w:val="en-CA"/>
        </w:rPr>
        <w:t xml:space="preserve"> tranche will continue to support the country meet its compliance obligations under the Protocol. </w:t>
      </w:r>
    </w:p>
    <w:p w:rsidR="00772ECE" w:rsidRPr="00F074F9" w:rsidRDefault="00772ECE" w:rsidP="00C23B42">
      <w:pPr>
        <w:spacing w:after="240"/>
        <w:rPr>
          <w:lang w:val="en-CA"/>
        </w:rPr>
      </w:pPr>
      <w:r w:rsidRPr="00F074F9">
        <w:rPr>
          <w:b/>
          <w:lang w:val="en-CA"/>
        </w:rPr>
        <w:t>RECOMMENDATION</w:t>
      </w:r>
    </w:p>
    <w:p w:rsidR="00E85409" w:rsidRPr="00F074F9" w:rsidRDefault="00772ECE" w:rsidP="00F074F9">
      <w:pPr>
        <w:pStyle w:val="Heading1"/>
        <w:rPr>
          <w:lang w:val="en-CA"/>
        </w:rPr>
      </w:pPr>
      <w:r w:rsidRPr="00F074F9">
        <w:rPr>
          <w:lang w:val="en-CA"/>
        </w:rPr>
        <w:t>The Fund Secretariat recommends that the Executive Committee</w:t>
      </w:r>
      <w:r w:rsidR="00533D59" w:rsidRPr="00F074F9">
        <w:rPr>
          <w:lang w:val="en-CA"/>
        </w:rPr>
        <w:t xml:space="preserve"> t</w:t>
      </w:r>
      <w:r w:rsidRPr="00F074F9">
        <w:rPr>
          <w:lang w:val="en-CA"/>
        </w:rPr>
        <w:t>akes note of the progress report on the implementation of the</w:t>
      </w:r>
      <w:r w:rsidR="008A5CD5" w:rsidRPr="00F074F9">
        <w:rPr>
          <w:lang w:val="en-CA"/>
        </w:rPr>
        <w:t xml:space="preserve"> seventh </w:t>
      </w:r>
      <w:r w:rsidRPr="00F074F9">
        <w:rPr>
          <w:lang w:val="en-CA"/>
        </w:rPr>
        <w:t xml:space="preserve">tranche of </w:t>
      </w:r>
      <w:r w:rsidR="009045C1" w:rsidRPr="00F074F9">
        <w:rPr>
          <w:lang w:val="en-CA"/>
        </w:rPr>
        <w:t>stage </w:t>
      </w:r>
      <w:r w:rsidRPr="00F074F9">
        <w:rPr>
          <w:lang w:val="en-CA"/>
        </w:rPr>
        <w:t xml:space="preserve">I of the HCFC phase-out management plan of (HPMP) for </w:t>
      </w:r>
      <w:r w:rsidR="000C187A" w:rsidRPr="00F074F9">
        <w:rPr>
          <w:lang w:val="en-CA"/>
        </w:rPr>
        <w:t>the former Yugoslav Republic of Macedonia</w:t>
      </w:r>
      <w:r w:rsidRPr="00F074F9">
        <w:rPr>
          <w:lang w:val="en-CA"/>
        </w:rPr>
        <w:t>; and further recommends blanket approval of the</w:t>
      </w:r>
      <w:r w:rsidR="008A5CD5" w:rsidRPr="00F074F9">
        <w:rPr>
          <w:lang w:val="en-CA"/>
        </w:rPr>
        <w:t xml:space="preserve"> eighth </w:t>
      </w:r>
      <w:r w:rsidRPr="00F074F9">
        <w:rPr>
          <w:lang w:val="en-CA"/>
        </w:rPr>
        <w:t xml:space="preserve">tranche of </w:t>
      </w:r>
      <w:r w:rsidR="009045C1" w:rsidRPr="00F074F9">
        <w:rPr>
          <w:lang w:val="en-CA"/>
        </w:rPr>
        <w:t>stage </w:t>
      </w:r>
      <w:r w:rsidRPr="00F074F9">
        <w:rPr>
          <w:lang w:val="en-CA"/>
        </w:rPr>
        <w:t>I of the HPMP for</w:t>
      </w:r>
      <w:r w:rsidR="000C187A" w:rsidRPr="00F074F9">
        <w:rPr>
          <w:lang w:val="en-CA"/>
        </w:rPr>
        <w:t xml:space="preserve"> the former Yugoslav Republic of Macedonia</w:t>
      </w:r>
      <w:r w:rsidRPr="00F074F9">
        <w:rPr>
          <w:lang w:val="en-CA"/>
        </w:rPr>
        <w:t>, and the corresponding 20</w:t>
      </w:r>
      <w:r w:rsidR="008A5CD5" w:rsidRPr="00F074F9">
        <w:rPr>
          <w:lang w:val="en-CA"/>
        </w:rPr>
        <w:t>19</w:t>
      </w:r>
      <w:r w:rsidRPr="00F074F9">
        <w:rPr>
          <w:lang w:val="en-CA"/>
        </w:rPr>
        <w:t xml:space="preserve"> tranche implementation plan, at the funding level shown in the table below</w:t>
      </w:r>
      <w:r w:rsidR="00347CD8" w:rsidRPr="00F074F9">
        <w:rPr>
          <w:lang w:val="en-CA"/>
        </w:rPr>
        <w:t xml:space="preserve">, on the understanding that an update on the conversion of the foam enterprise Sileks be provided to the </w:t>
      </w:r>
      <w:r w:rsidR="00347CD8" w:rsidRPr="00F074F9">
        <w:t>83</w:t>
      </w:r>
      <w:r w:rsidR="00347CD8" w:rsidRPr="00F074F9">
        <w:rPr>
          <w:vertAlign w:val="superscript"/>
        </w:rPr>
        <w:t>rd</w:t>
      </w:r>
      <w:r w:rsidR="00347CD8" w:rsidRPr="00F074F9">
        <w:t> meeting</w:t>
      </w:r>
      <w:r w:rsidR="00913CC5" w:rsidRPr="00F074F9">
        <w:t xml:space="preserve"> under reports on projects with specific reporting requirements:</w:t>
      </w:r>
      <w:r w:rsidRPr="00F074F9">
        <w:rPr>
          <w:lang w:val="en-CA"/>
        </w:rPr>
        <w:t xml:space="preserve"> </w:t>
      </w:r>
    </w:p>
    <w:tbl>
      <w:tblPr>
        <w:tblStyle w:val="TableGrid"/>
        <w:tblW w:w="0" w:type="auto"/>
        <w:tblLayout w:type="fixed"/>
        <w:tblLook w:val="04A0" w:firstRow="1" w:lastRow="0" w:firstColumn="1" w:lastColumn="0" w:noHBand="0" w:noVBand="1"/>
      </w:tblPr>
      <w:tblGrid>
        <w:gridCol w:w="562"/>
        <w:gridCol w:w="4111"/>
        <w:gridCol w:w="1559"/>
        <w:gridCol w:w="1559"/>
        <w:gridCol w:w="1559"/>
      </w:tblGrid>
      <w:tr w:rsidR="00533D59" w:rsidRPr="00646C3E" w:rsidTr="00E4516A">
        <w:tc>
          <w:tcPr>
            <w:tcW w:w="562" w:type="dxa"/>
          </w:tcPr>
          <w:p w:rsidR="00533D59" w:rsidRPr="00646C3E" w:rsidRDefault="00533D59" w:rsidP="00F074F9">
            <w:pPr>
              <w:rPr>
                <w:sz w:val="20"/>
                <w:szCs w:val="20"/>
                <w:lang w:val="en-CA"/>
              </w:rPr>
            </w:pPr>
          </w:p>
        </w:tc>
        <w:tc>
          <w:tcPr>
            <w:tcW w:w="4111" w:type="dxa"/>
          </w:tcPr>
          <w:p w:rsidR="00533D59" w:rsidRPr="00646C3E" w:rsidRDefault="00533D59" w:rsidP="00F074F9">
            <w:pPr>
              <w:jc w:val="center"/>
              <w:rPr>
                <w:b/>
                <w:bCs/>
                <w:sz w:val="20"/>
                <w:szCs w:val="20"/>
                <w:lang w:val="en-CA"/>
              </w:rPr>
            </w:pPr>
            <w:r w:rsidRPr="00646C3E">
              <w:rPr>
                <w:b/>
                <w:bCs/>
                <w:sz w:val="20"/>
                <w:szCs w:val="20"/>
                <w:lang w:val="en-CA"/>
              </w:rPr>
              <w:t>Project title</w:t>
            </w:r>
          </w:p>
        </w:tc>
        <w:tc>
          <w:tcPr>
            <w:tcW w:w="1559" w:type="dxa"/>
          </w:tcPr>
          <w:p w:rsidR="00533D59" w:rsidRPr="00646C3E" w:rsidRDefault="00533D59" w:rsidP="00F074F9">
            <w:pPr>
              <w:jc w:val="center"/>
              <w:rPr>
                <w:b/>
                <w:bCs/>
                <w:sz w:val="20"/>
                <w:szCs w:val="20"/>
                <w:lang w:val="en-CA"/>
              </w:rPr>
            </w:pPr>
            <w:r w:rsidRPr="00646C3E">
              <w:rPr>
                <w:b/>
                <w:bCs/>
                <w:sz w:val="20"/>
                <w:szCs w:val="20"/>
                <w:lang w:val="en-CA"/>
              </w:rPr>
              <w:t>Project funding (US $)</w:t>
            </w:r>
          </w:p>
        </w:tc>
        <w:tc>
          <w:tcPr>
            <w:tcW w:w="1559" w:type="dxa"/>
          </w:tcPr>
          <w:p w:rsidR="00533D59" w:rsidRPr="00646C3E" w:rsidRDefault="00533D59" w:rsidP="00F074F9">
            <w:pPr>
              <w:jc w:val="center"/>
              <w:rPr>
                <w:b/>
                <w:bCs/>
                <w:sz w:val="20"/>
                <w:szCs w:val="20"/>
                <w:lang w:val="en-CA"/>
              </w:rPr>
            </w:pPr>
            <w:r w:rsidRPr="00646C3E">
              <w:rPr>
                <w:b/>
                <w:bCs/>
                <w:sz w:val="20"/>
                <w:szCs w:val="20"/>
                <w:lang w:val="en-CA"/>
              </w:rPr>
              <w:t>Support cost (US $)</w:t>
            </w:r>
          </w:p>
        </w:tc>
        <w:tc>
          <w:tcPr>
            <w:tcW w:w="1559" w:type="dxa"/>
          </w:tcPr>
          <w:p w:rsidR="00533D59" w:rsidRPr="00646C3E" w:rsidRDefault="00533D59" w:rsidP="00F074F9">
            <w:pPr>
              <w:jc w:val="center"/>
              <w:rPr>
                <w:b/>
                <w:bCs/>
                <w:sz w:val="20"/>
                <w:szCs w:val="20"/>
                <w:lang w:val="en-CA"/>
              </w:rPr>
            </w:pPr>
            <w:r w:rsidRPr="00646C3E">
              <w:rPr>
                <w:b/>
                <w:bCs/>
                <w:sz w:val="20"/>
                <w:szCs w:val="20"/>
                <w:lang w:val="en-CA"/>
              </w:rPr>
              <w:t>Implementing agency</w:t>
            </w:r>
          </w:p>
        </w:tc>
      </w:tr>
      <w:tr w:rsidR="00533D59" w:rsidRPr="00646C3E" w:rsidTr="00E4516A">
        <w:tc>
          <w:tcPr>
            <w:tcW w:w="562" w:type="dxa"/>
          </w:tcPr>
          <w:p w:rsidR="00533D59" w:rsidRPr="00646C3E" w:rsidRDefault="00533D59" w:rsidP="00F074F9">
            <w:pPr>
              <w:rPr>
                <w:sz w:val="20"/>
                <w:szCs w:val="20"/>
                <w:lang w:val="en-CA"/>
              </w:rPr>
            </w:pPr>
            <w:r w:rsidRPr="00646C3E">
              <w:rPr>
                <w:sz w:val="20"/>
                <w:szCs w:val="20"/>
                <w:lang w:val="en-CA"/>
              </w:rPr>
              <w:t>(a)</w:t>
            </w:r>
          </w:p>
        </w:tc>
        <w:tc>
          <w:tcPr>
            <w:tcW w:w="4111" w:type="dxa"/>
          </w:tcPr>
          <w:p w:rsidR="00533D59" w:rsidRPr="00646C3E" w:rsidRDefault="00533D59" w:rsidP="00F074F9">
            <w:pPr>
              <w:rPr>
                <w:sz w:val="20"/>
                <w:szCs w:val="20"/>
                <w:lang w:val="en-CA"/>
              </w:rPr>
            </w:pPr>
            <w:r w:rsidRPr="00646C3E">
              <w:rPr>
                <w:sz w:val="20"/>
                <w:szCs w:val="20"/>
                <w:lang w:val="en-CA"/>
              </w:rPr>
              <w:t>HCFC phase-out management plan (stage I, eighth tranche)</w:t>
            </w:r>
          </w:p>
        </w:tc>
        <w:tc>
          <w:tcPr>
            <w:tcW w:w="1559" w:type="dxa"/>
          </w:tcPr>
          <w:p w:rsidR="00533D59" w:rsidRPr="00646C3E" w:rsidRDefault="00533D59" w:rsidP="00F074F9">
            <w:pPr>
              <w:jc w:val="right"/>
              <w:rPr>
                <w:sz w:val="20"/>
                <w:szCs w:val="20"/>
                <w:lang w:val="en-CA"/>
              </w:rPr>
            </w:pPr>
            <w:r w:rsidRPr="00646C3E">
              <w:rPr>
                <w:sz w:val="20"/>
                <w:szCs w:val="20"/>
                <w:lang w:val="en-CA"/>
              </w:rPr>
              <w:t>131,000</w:t>
            </w:r>
          </w:p>
        </w:tc>
        <w:tc>
          <w:tcPr>
            <w:tcW w:w="1559" w:type="dxa"/>
          </w:tcPr>
          <w:p w:rsidR="00533D59" w:rsidRPr="00646C3E" w:rsidRDefault="00533D59" w:rsidP="00F074F9">
            <w:pPr>
              <w:jc w:val="right"/>
              <w:rPr>
                <w:sz w:val="20"/>
                <w:szCs w:val="20"/>
                <w:lang w:val="en-CA"/>
              </w:rPr>
            </w:pPr>
            <w:r w:rsidRPr="00646C3E">
              <w:rPr>
                <w:sz w:val="20"/>
                <w:szCs w:val="20"/>
                <w:lang w:val="en-CA"/>
              </w:rPr>
              <w:t>9,825</w:t>
            </w:r>
          </w:p>
        </w:tc>
        <w:tc>
          <w:tcPr>
            <w:tcW w:w="1559" w:type="dxa"/>
          </w:tcPr>
          <w:p w:rsidR="00533D59" w:rsidRPr="00646C3E" w:rsidRDefault="00533D59" w:rsidP="00F074F9">
            <w:pPr>
              <w:jc w:val="center"/>
              <w:rPr>
                <w:sz w:val="20"/>
                <w:szCs w:val="20"/>
                <w:lang w:val="en-CA"/>
              </w:rPr>
            </w:pPr>
            <w:r w:rsidRPr="00646C3E">
              <w:rPr>
                <w:sz w:val="20"/>
                <w:szCs w:val="20"/>
                <w:lang w:val="en-CA"/>
              </w:rPr>
              <w:t>UNIDO</w:t>
            </w:r>
          </w:p>
        </w:tc>
      </w:tr>
    </w:tbl>
    <w:p w:rsidR="00533D59" w:rsidRDefault="00533D59" w:rsidP="00F074F9">
      <w:pPr>
        <w:rPr>
          <w:lang w:val="en-CA"/>
        </w:rPr>
      </w:pPr>
    </w:p>
    <w:p w:rsidR="00533D59" w:rsidRPr="008769F2" w:rsidRDefault="00533D59" w:rsidP="00F074F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187A" w:rsidRPr="008769F2" w:rsidTr="00E2204F">
        <w:tc>
          <w:tcPr>
            <w:tcW w:w="1915" w:type="dxa"/>
          </w:tcPr>
          <w:p w:rsidR="000C187A" w:rsidRPr="008769F2" w:rsidRDefault="000C187A" w:rsidP="00E2204F">
            <w:pPr>
              <w:rPr>
                <w:lang w:val="en-CA"/>
              </w:rPr>
            </w:pPr>
          </w:p>
        </w:tc>
        <w:tc>
          <w:tcPr>
            <w:tcW w:w="1915" w:type="dxa"/>
          </w:tcPr>
          <w:p w:rsidR="000C187A" w:rsidRPr="008769F2" w:rsidRDefault="000C187A" w:rsidP="00E2204F">
            <w:pPr>
              <w:rPr>
                <w:lang w:val="en-CA"/>
              </w:rPr>
            </w:pPr>
          </w:p>
        </w:tc>
        <w:tc>
          <w:tcPr>
            <w:tcW w:w="1915" w:type="dxa"/>
            <w:tcBorders>
              <w:bottom w:val="single" w:sz="4" w:space="0" w:color="auto"/>
            </w:tcBorders>
          </w:tcPr>
          <w:p w:rsidR="000C187A" w:rsidRPr="008769F2" w:rsidRDefault="000C187A" w:rsidP="00E2204F">
            <w:pPr>
              <w:rPr>
                <w:lang w:val="en-CA"/>
              </w:rPr>
            </w:pPr>
          </w:p>
        </w:tc>
        <w:tc>
          <w:tcPr>
            <w:tcW w:w="1915" w:type="dxa"/>
          </w:tcPr>
          <w:p w:rsidR="000C187A" w:rsidRPr="008769F2" w:rsidRDefault="000C187A" w:rsidP="00E2204F">
            <w:pPr>
              <w:rPr>
                <w:lang w:val="en-CA"/>
              </w:rPr>
            </w:pPr>
          </w:p>
        </w:tc>
        <w:tc>
          <w:tcPr>
            <w:tcW w:w="1916" w:type="dxa"/>
          </w:tcPr>
          <w:p w:rsidR="000C187A" w:rsidRPr="008769F2" w:rsidRDefault="000C187A" w:rsidP="00E2204F">
            <w:pPr>
              <w:rPr>
                <w:lang w:val="en-CA"/>
              </w:rPr>
            </w:pPr>
          </w:p>
        </w:tc>
      </w:tr>
    </w:tbl>
    <w:p w:rsidR="000C187A" w:rsidRPr="008769F2" w:rsidRDefault="000C187A" w:rsidP="000C187A">
      <w:pPr>
        <w:rPr>
          <w:lang w:val="en-CA"/>
        </w:rPr>
      </w:pPr>
    </w:p>
    <w:p w:rsidR="000C187A" w:rsidRDefault="000C187A" w:rsidP="00772ECE">
      <w:pPr>
        <w:rPr>
          <w:lang w:val="en-CA"/>
        </w:rPr>
      </w:pPr>
    </w:p>
    <w:p w:rsidR="00E85409" w:rsidRPr="008769F2" w:rsidRDefault="00E85409" w:rsidP="00772ECE">
      <w:pPr>
        <w:rPr>
          <w:lang w:val="en-CA"/>
        </w:rPr>
      </w:pPr>
      <w:bookmarkStart w:id="0" w:name="_GoBack"/>
      <w:bookmarkEnd w:id="0"/>
    </w:p>
    <w:sectPr w:rsidR="00E85409"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04F" w:rsidRDefault="00E2204F" w:rsidP="004A504B">
      <w:r>
        <w:separator/>
      </w:r>
    </w:p>
  </w:endnote>
  <w:endnote w:type="continuationSeparator" w:id="0">
    <w:p w:rsidR="00E2204F" w:rsidRDefault="00E220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4F" w:rsidRPr="00FF1066" w:rsidRDefault="00E2204F">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E4516A">
      <w:rPr>
        <w:noProof/>
        <w:lang w:val="en-CA"/>
      </w:rPr>
      <w:t>6</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4F" w:rsidRPr="00FF1066" w:rsidRDefault="00E2204F">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E4516A">
      <w:rPr>
        <w:noProof/>
        <w:lang w:val="en-CA"/>
      </w:rPr>
      <w:t>5</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4F" w:rsidRPr="00FF1066" w:rsidRDefault="00E2204F"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rsidR="00E2204F" w:rsidRPr="00FF1066" w:rsidRDefault="00E2204F"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04F" w:rsidRDefault="00E2204F" w:rsidP="004A504B">
      <w:r>
        <w:separator/>
      </w:r>
    </w:p>
  </w:footnote>
  <w:footnote w:type="continuationSeparator" w:id="0">
    <w:p w:rsidR="00E2204F" w:rsidRDefault="00E2204F" w:rsidP="004A504B">
      <w:r>
        <w:continuationSeparator/>
      </w:r>
    </w:p>
  </w:footnote>
  <w:footnote w:id="1">
    <w:p w:rsidR="00E2204F" w:rsidRPr="007535E4" w:rsidRDefault="00E2204F">
      <w:pPr>
        <w:pStyle w:val="FootnoteText"/>
        <w:rPr>
          <w:lang w:val="en-CA"/>
        </w:rPr>
      </w:pPr>
      <w:r>
        <w:rPr>
          <w:rStyle w:val="FootnoteReference"/>
        </w:rPr>
        <w:footnoteRef/>
      </w:r>
      <w:r>
        <w:t xml:space="preserve"> </w:t>
      </w:r>
      <w:r>
        <w:rPr>
          <w:lang w:val="en-CA"/>
        </w:rPr>
        <w:t xml:space="preserve">As per the letter of 21 September 2018 from the Ministry </w:t>
      </w:r>
      <w:r w:rsidRPr="00700BEA">
        <w:rPr>
          <w:lang w:val="en-CA"/>
        </w:rPr>
        <w:t>of Environment and Physical Planning of the</w:t>
      </w:r>
      <w:r>
        <w:rPr>
          <w:lang w:val="en-CA"/>
        </w:rPr>
        <w:t xml:space="preserve"> former Yugoslav Republic of Macedonia to UNIDO.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4F" w:rsidRPr="00DF266B" w:rsidRDefault="00E2204F">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F07976">
      <w:rPr>
        <w:lang w:val="en-CA"/>
      </w:rPr>
      <w:t>UNEP/OzL.Pro/ExCom/82/60</w:t>
    </w:r>
    <w:r w:rsidRPr="00DF266B">
      <w:rPr>
        <w:lang w:val="en-CA"/>
      </w:rPr>
      <w:fldChar w:fldCharType="end"/>
    </w:r>
  </w:p>
  <w:p w:rsidR="00E2204F" w:rsidRPr="00DF266B" w:rsidRDefault="00E2204F">
    <w:pPr>
      <w:rPr>
        <w:lang w:val="en-CA"/>
      </w:rPr>
    </w:pPr>
  </w:p>
  <w:p w:rsidR="00E2204F" w:rsidRPr="00DF266B" w:rsidRDefault="00E2204F">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04F" w:rsidRPr="00DF266B" w:rsidRDefault="00E2204F">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F07976">
      <w:rPr>
        <w:lang w:val="en-CA"/>
      </w:rPr>
      <w:t>UNEP/OzL.Pro/ExCom/82/60</w:t>
    </w:r>
    <w:r w:rsidRPr="00DF266B">
      <w:rPr>
        <w:lang w:val="en-CA"/>
      </w:rPr>
      <w:fldChar w:fldCharType="end"/>
    </w:r>
  </w:p>
  <w:p w:rsidR="00E2204F" w:rsidRPr="00DF266B" w:rsidRDefault="00E2204F">
    <w:pPr>
      <w:rPr>
        <w:lang w:val="en-CA"/>
      </w:rPr>
    </w:pPr>
  </w:p>
  <w:p w:rsidR="00E2204F" w:rsidRPr="00DF266B" w:rsidRDefault="00E2204F">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057AB"/>
    <w:rsid w:val="00011061"/>
    <w:rsid w:val="000211A9"/>
    <w:rsid w:val="0002797A"/>
    <w:rsid w:val="00031260"/>
    <w:rsid w:val="00032594"/>
    <w:rsid w:val="0003681A"/>
    <w:rsid w:val="00061EC2"/>
    <w:rsid w:val="00065C85"/>
    <w:rsid w:val="00080ED0"/>
    <w:rsid w:val="00085B8F"/>
    <w:rsid w:val="00090481"/>
    <w:rsid w:val="000A6C26"/>
    <w:rsid w:val="000C187A"/>
    <w:rsid w:val="000D52A4"/>
    <w:rsid w:val="000E07BC"/>
    <w:rsid w:val="000F1CD4"/>
    <w:rsid w:val="000F4103"/>
    <w:rsid w:val="000F70A7"/>
    <w:rsid w:val="00113CCA"/>
    <w:rsid w:val="00114907"/>
    <w:rsid w:val="00122F25"/>
    <w:rsid w:val="00135980"/>
    <w:rsid w:val="00164719"/>
    <w:rsid w:val="00166FC4"/>
    <w:rsid w:val="001677AC"/>
    <w:rsid w:val="0017646F"/>
    <w:rsid w:val="001804EA"/>
    <w:rsid w:val="00190A61"/>
    <w:rsid w:val="001A3342"/>
    <w:rsid w:val="001A3E3D"/>
    <w:rsid w:val="001A7049"/>
    <w:rsid w:val="001B1E40"/>
    <w:rsid w:val="001C4164"/>
    <w:rsid w:val="001C764E"/>
    <w:rsid w:val="001D1539"/>
    <w:rsid w:val="001D25F3"/>
    <w:rsid w:val="001D278F"/>
    <w:rsid w:val="001E1052"/>
    <w:rsid w:val="001E21B1"/>
    <w:rsid w:val="001E2F93"/>
    <w:rsid w:val="001E61E5"/>
    <w:rsid w:val="001F2159"/>
    <w:rsid w:val="00205DAC"/>
    <w:rsid w:val="00213A37"/>
    <w:rsid w:val="00214863"/>
    <w:rsid w:val="002156B4"/>
    <w:rsid w:val="00253222"/>
    <w:rsid w:val="00262847"/>
    <w:rsid w:val="00281BB2"/>
    <w:rsid w:val="002B0424"/>
    <w:rsid w:val="002B275A"/>
    <w:rsid w:val="002B72E9"/>
    <w:rsid w:val="002C64C0"/>
    <w:rsid w:val="002C7998"/>
    <w:rsid w:val="002E13EE"/>
    <w:rsid w:val="002F1E53"/>
    <w:rsid w:val="002F2CAA"/>
    <w:rsid w:val="0030052C"/>
    <w:rsid w:val="003306E1"/>
    <w:rsid w:val="003320E4"/>
    <w:rsid w:val="0033525D"/>
    <w:rsid w:val="003414F3"/>
    <w:rsid w:val="00347CD8"/>
    <w:rsid w:val="0035613E"/>
    <w:rsid w:val="00363558"/>
    <w:rsid w:val="00363EE9"/>
    <w:rsid w:val="00376128"/>
    <w:rsid w:val="0037742E"/>
    <w:rsid w:val="0038245A"/>
    <w:rsid w:val="00385CFC"/>
    <w:rsid w:val="0039337A"/>
    <w:rsid w:val="00394922"/>
    <w:rsid w:val="003A3189"/>
    <w:rsid w:val="003B33BD"/>
    <w:rsid w:val="003B569D"/>
    <w:rsid w:val="003C3C0E"/>
    <w:rsid w:val="003D0D9A"/>
    <w:rsid w:val="003D4FAC"/>
    <w:rsid w:val="003E7906"/>
    <w:rsid w:val="003F1A22"/>
    <w:rsid w:val="003F3C50"/>
    <w:rsid w:val="00406A6A"/>
    <w:rsid w:val="00406B22"/>
    <w:rsid w:val="0040761C"/>
    <w:rsid w:val="00431AE5"/>
    <w:rsid w:val="004328A7"/>
    <w:rsid w:val="00434C74"/>
    <w:rsid w:val="00456EB4"/>
    <w:rsid w:val="004718F3"/>
    <w:rsid w:val="00475040"/>
    <w:rsid w:val="0047533D"/>
    <w:rsid w:val="0048336E"/>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3D59"/>
    <w:rsid w:val="00550EC5"/>
    <w:rsid w:val="00555D75"/>
    <w:rsid w:val="00560DF0"/>
    <w:rsid w:val="0056759C"/>
    <w:rsid w:val="00587732"/>
    <w:rsid w:val="0059513E"/>
    <w:rsid w:val="00597070"/>
    <w:rsid w:val="005B48FF"/>
    <w:rsid w:val="005B7385"/>
    <w:rsid w:val="005C2C23"/>
    <w:rsid w:val="005F5A92"/>
    <w:rsid w:val="00604C15"/>
    <w:rsid w:val="006158D5"/>
    <w:rsid w:val="00625D83"/>
    <w:rsid w:val="006349D6"/>
    <w:rsid w:val="006462FF"/>
    <w:rsid w:val="00646C3E"/>
    <w:rsid w:val="00655879"/>
    <w:rsid w:val="006623E7"/>
    <w:rsid w:val="00662B80"/>
    <w:rsid w:val="00670F6C"/>
    <w:rsid w:val="006852C7"/>
    <w:rsid w:val="006A57AD"/>
    <w:rsid w:val="006A605D"/>
    <w:rsid w:val="006B58D3"/>
    <w:rsid w:val="006B7B4F"/>
    <w:rsid w:val="006C1727"/>
    <w:rsid w:val="006C32FD"/>
    <w:rsid w:val="006C39CE"/>
    <w:rsid w:val="006D0FCC"/>
    <w:rsid w:val="006E1FC3"/>
    <w:rsid w:val="00700BEA"/>
    <w:rsid w:val="00703CA8"/>
    <w:rsid w:val="0070616B"/>
    <w:rsid w:val="00706FDA"/>
    <w:rsid w:val="00707043"/>
    <w:rsid w:val="00711F9A"/>
    <w:rsid w:val="00713810"/>
    <w:rsid w:val="007173C6"/>
    <w:rsid w:val="00717DC7"/>
    <w:rsid w:val="00723086"/>
    <w:rsid w:val="0072487C"/>
    <w:rsid w:val="007303A5"/>
    <w:rsid w:val="00730B3E"/>
    <w:rsid w:val="0073420B"/>
    <w:rsid w:val="00741CF0"/>
    <w:rsid w:val="00743DF5"/>
    <w:rsid w:val="0074760E"/>
    <w:rsid w:val="007530F8"/>
    <w:rsid w:val="007535E4"/>
    <w:rsid w:val="00754ABA"/>
    <w:rsid w:val="00772ECE"/>
    <w:rsid w:val="00781914"/>
    <w:rsid w:val="00784E2D"/>
    <w:rsid w:val="007A1546"/>
    <w:rsid w:val="007A228C"/>
    <w:rsid w:val="007A368E"/>
    <w:rsid w:val="007A5868"/>
    <w:rsid w:val="007B04CE"/>
    <w:rsid w:val="007B6871"/>
    <w:rsid w:val="007B7A2F"/>
    <w:rsid w:val="007C2E9C"/>
    <w:rsid w:val="007C3D33"/>
    <w:rsid w:val="007D228F"/>
    <w:rsid w:val="007D294A"/>
    <w:rsid w:val="007D47D2"/>
    <w:rsid w:val="007D6EC0"/>
    <w:rsid w:val="007D7E1D"/>
    <w:rsid w:val="007F2224"/>
    <w:rsid w:val="00802FA6"/>
    <w:rsid w:val="00831979"/>
    <w:rsid w:val="008378B4"/>
    <w:rsid w:val="00851352"/>
    <w:rsid w:val="00863230"/>
    <w:rsid w:val="008717D8"/>
    <w:rsid w:val="0087215C"/>
    <w:rsid w:val="008769F2"/>
    <w:rsid w:val="00880E35"/>
    <w:rsid w:val="008875FE"/>
    <w:rsid w:val="00887F8E"/>
    <w:rsid w:val="00894514"/>
    <w:rsid w:val="00895AF5"/>
    <w:rsid w:val="00896234"/>
    <w:rsid w:val="00897E43"/>
    <w:rsid w:val="008A5CD5"/>
    <w:rsid w:val="008C5738"/>
    <w:rsid w:val="008C7EAD"/>
    <w:rsid w:val="008D0CFE"/>
    <w:rsid w:val="008D6152"/>
    <w:rsid w:val="008F0F81"/>
    <w:rsid w:val="008F27BF"/>
    <w:rsid w:val="009045C1"/>
    <w:rsid w:val="009064D4"/>
    <w:rsid w:val="00913CC5"/>
    <w:rsid w:val="009142EC"/>
    <w:rsid w:val="009154C3"/>
    <w:rsid w:val="00923540"/>
    <w:rsid w:val="00926767"/>
    <w:rsid w:val="009361D5"/>
    <w:rsid w:val="0093643A"/>
    <w:rsid w:val="00941814"/>
    <w:rsid w:val="009428A4"/>
    <w:rsid w:val="009659F4"/>
    <w:rsid w:val="00970D60"/>
    <w:rsid w:val="009960E5"/>
    <w:rsid w:val="009A7ADC"/>
    <w:rsid w:val="009C19B7"/>
    <w:rsid w:val="009C2B40"/>
    <w:rsid w:val="009D7C51"/>
    <w:rsid w:val="009E196C"/>
    <w:rsid w:val="009E3D69"/>
    <w:rsid w:val="009F36BF"/>
    <w:rsid w:val="00A00DF9"/>
    <w:rsid w:val="00A111B6"/>
    <w:rsid w:val="00A131BF"/>
    <w:rsid w:val="00A26D27"/>
    <w:rsid w:val="00A26E19"/>
    <w:rsid w:val="00A320D2"/>
    <w:rsid w:val="00A376EE"/>
    <w:rsid w:val="00A42A99"/>
    <w:rsid w:val="00A5151A"/>
    <w:rsid w:val="00A57E0A"/>
    <w:rsid w:val="00A62B93"/>
    <w:rsid w:val="00A823F6"/>
    <w:rsid w:val="00AA0A89"/>
    <w:rsid w:val="00AA41C4"/>
    <w:rsid w:val="00AA6429"/>
    <w:rsid w:val="00AA6FFB"/>
    <w:rsid w:val="00AC01AA"/>
    <w:rsid w:val="00AC4F72"/>
    <w:rsid w:val="00AF1E56"/>
    <w:rsid w:val="00AF2B47"/>
    <w:rsid w:val="00AF741A"/>
    <w:rsid w:val="00B01ADB"/>
    <w:rsid w:val="00B04161"/>
    <w:rsid w:val="00B056F9"/>
    <w:rsid w:val="00B11E3D"/>
    <w:rsid w:val="00B17E82"/>
    <w:rsid w:val="00B4575A"/>
    <w:rsid w:val="00B52FDE"/>
    <w:rsid w:val="00B558A6"/>
    <w:rsid w:val="00B56B5F"/>
    <w:rsid w:val="00B575BA"/>
    <w:rsid w:val="00B61699"/>
    <w:rsid w:val="00B74849"/>
    <w:rsid w:val="00B76429"/>
    <w:rsid w:val="00B81B93"/>
    <w:rsid w:val="00B956D4"/>
    <w:rsid w:val="00B97446"/>
    <w:rsid w:val="00BA7432"/>
    <w:rsid w:val="00BB07FB"/>
    <w:rsid w:val="00BC1AA0"/>
    <w:rsid w:val="00BC2417"/>
    <w:rsid w:val="00BC2495"/>
    <w:rsid w:val="00BC2CE4"/>
    <w:rsid w:val="00BC788F"/>
    <w:rsid w:val="00BC7EB9"/>
    <w:rsid w:val="00BD168C"/>
    <w:rsid w:val="00BD2643"/>
    <w:rsid w:val="00BD56B1"/>
    <w:rsid w:val="00BD6558"/>
    <w:rsid w:val="00BF3022"/>
    <w:rsid w:val="00BF3214"/>
    <w:rsid w:val="00BF5573"/>
    <w:rsid w:val="00C06647"/>
    <w:rsid w:val="00C15867"/>
    <w:rsid w:val="00C2296D"/>
    <w:rsid w:val="00C23155"/>
    <w:rsid w:val="00C23B42"/>
    <w:rsid w:val="00C40C41"/>
    <w:rsid w:val="00C45885"/>
    <w:rsid w:val="00C50F22"/>
    <w:rsid w:val="00C53F83"/>
    <w:rsid w:val="00C57971"/>
    <w:rsid w:val="00C61602"/>
    <w:rsid w:val="00C61FEB"/>
    <w:rsid w:val="00C641C5"/>
    <w:rsid w:val="00C65BD7"/>
    <w:rsid w:val="00C76BA4"/>
    <w:rsid w:val="00C806E0"/>
    <w:rsid w:val="00C83A48"/>
    <w:rsid w:val="00C85865"/>
    <w:rsid w:val="00C85E85"/>
    <w:rsid w:val="00CA2EAE"/>
    <w:rsid w:val="00CA4AC1"/>
    <w:rsid w:val="00CA739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37ED6"/>
    <w:rsid w:val="00D4741C"/>
    <w:rsid w:val="00D56223"/>
    <w:rsid w:val="00D57918"/>
    <w:rsid w:val="00D73DC6"/>
    <w:rsid w:val="00D74C1A"/>
    <w:rsid w:val="00D754C1"/>
    <w:rsid w:val="00D7583D"/>
    <w:rsid w:val="00D77393"/>
    <w:rsid w:val="00D77A35"/>
    <w:rsid w:val="00D81B3E"/>
    <w:rsid w:val="00D90C70"/>
    <w:rsid w:val="00D90E49"/>
    <w:rsid w:val="00D96ADE"/>
    <w:rsid w:val="00DA4F5E"/>
    <w:rsid w:val="00DA731B"/>
    <w:rsid w:val="00DA7B53"/>
    <w:rsid w:val="00DB5782"/>
    <w:rsid w:val="00DC6A10"/>
    <w:rsid w:val="00DE657E"/>
    <w:rsid w:val="00DF266B"/>
    <w:rsid w:val="00DF4704"/>
    <w:rsid w:val="00E024AA"/>
    <w:rsid w:val="00E10683"/>
    <w:rsid w:val="00E1550B"/>
    <w:rsid w:val="00E2204F"/>
    <w:rsid w:val="00E250F1"/>
    <w:rsid w:val="00E3550D"/>
    <w:rsid w:val="00E4516A"/>
    <w:rsid w:val="00E603B1"/>
    <w:rsid w:val="00E614E0"/>
    <w:rsid w:val="00E63899"/>
    <w:rsid w:val="00E73F7F"/>
    <w:rsid w:val="00E85409"/>
    <w:rsid w:val="00EA429F"/>
    <w:rsid w:val="00EA4F9E"/>
    <w:rsid w:val="00EA63CA"/>
    <w:rsid w:val="00EA6D3B"/>
    <w:rsid w:val="00EB00AD"/>
    <w:rsid w:val="00EB136C"/>
    <w:rsid w:val="00EB3FC8"/>
    <w:rsid w:val="00EB480E"/>
    <w:rsid w:val="00EB5EC6"/>
    <w:rsid w:val="00EB7FC9"/>
    <w:rsid w:val="00EC6F2A"/>
    <w:rsid w:val="00ED27E8"/>
    <w:rsid w:val="00ED7137"/>
    <w:rsid w:val="00ED780D"/>
    <w:rsid w:val="00F074F9"/>
    <w:rsid w:val="00F07976"/>
    <w:rsid w:val="00F21088"/>
    <w:rsid w:val="00F327E7"/>
    <w:rsid w:val="00F35746"/>
    <w:rsid w:val="00F447C7"/>
    <w:rsid w:val="00F5211B"/>
    <w:rsid w:val="00F554A9"/>
    <w:rsid w:val="00F716FD"/>
    <w:rsid w:val="00F80355"/>
    <w:rsid w:val="00F87C43"/>
    <w:rsid w:val="00F97C83"/>
    <w:rsid w:val="00FA46E9"/>
    <w:rsid w:val="00FB0C81"/>
    <w:rsid w:val="00FC2200"/>
    <w:rsid w:val="00FC2540"/>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F090D"/>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UNEP/OzL.Pro/ExCom/82/60</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E11D068C-6807-4013-A568-DD4DEF105830}"/>
</file>

<file path=customXml/itemProps2.xml><?xml version="1.0" encoding="utf-8"?>
<ds:datastoreItem xmlns:ds="http://schemas.openxmlformats.org/officeDocument/2006/customXml" ds:itemID="{E3FDA17F-08A1-42CE-9762-17537C73C346}"/>
</file>

<file path=customXml/itemProps3.xml><?xml version="1.0" encoding="utf-8"?>
<ds:datastoreItem xmlns:ds="http://schemas.openxmlformats.org/officeDocument/2006/customXml" ds:itemID="{4F5EA9F2-AABD-46A1-AF92-434A3AC32338}"/>
</file>

<file path=customXml/itemProps4.xml><?xml version="1.0" encoding="utf-8"?>
<ds:datastoreItem xmlns:ds="http://schemas.openxmlformats.org/officeDocument/2006/customXml" ds:itemID="{6A99EDEE-B643-4BF4-9603-9D27507A1639}"/>
</file>

<file path=docProps/app.xml><?xml version="1.0" encoding="utf-8"?>
<Properties xmlns="http://schemas.openxmlformats.org/officeDocument/2006/extended-properties" xmlns:vt="http://schemas.openxmlformats.org/officeDocument/2006/docPropsVTypes">
  <Template>Eec82G</Template>
  <TotalTime>543</TotalTime>
  <Pages>6</Pages>
  <Words>2142</Words>
  <Characters>11811</Characters>
  <Application>Microsoft Office Word</Application>
  <DocSecurity>0</DocSecurity>
  <Lines>492</Lines>
  <Paragraphs>305</Paragraphs>
  <ScaleCrop>false</ScaleCrop>
  <HeadingPairs>
    <vt:vector size="2" baseType="variant">
      <vt:variant>
        <vt:lpstr>Title</vt:lpstr>
      </vt:variant>
      <vt:variant>
        <vt:i4>1</vt:i4>
      </vt:variant>
    </vt:vector>
  </HeadingPairs>
  <TitlesOfParts>
    <vt:vector size="1" baseType="lpstr">
      <vt:lpstr>Project proposal: the Former Yugoslav Republic of Macedonia</vt:lpstr>
    </vt:vector>
  </TitlesOfParts>
  <Company/>
  <LinksUpToDate>false</LinksUpToDate>
  <CharactersWithSpaces>13671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Former Yugoslav Republic of Macedonia</dc:title>
  <dc:subject>UNEP/OzL.Pro/ExCom/82/60</dc:subject>
  <dc:creator/>
  <dc:description/>
  <cp:lastModifiedBy>Nanette Guerin</cp:lastModifiedBy>
  <cp:revision>19</cp:revision>
  <cp:lastPrinted>2018-10-26T20:02:00Z</cp:lastPrinted>
  <dcterms:created xsi:type="dcterms:W3CDTF">2018-10-16T15:56:00Z</dcterms:created>
  <dcterms:modified xsi:type="dcterms:W3CDTF">2018-11-01T17:58:00Z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UNEP/OzL.Pro/ExCom/82/60</vt:lpwstr>
  </property>
  <property fmtid="{D5CDD505-2E9C-101B-9397-08002B2CF9AE}" pid="3" name="Revision date">
    <vt:lpwstr>11/01/2018</vt:lpwstr>
  </property>
  <property fmtid="{D5CDD505-2E9C-101B-9397-08002B2CF9AE}" pid="4" name="ContentTypeId">
    <vt:lpwstr>0x010100E84C8415FE8D8F42AA10616BA921B3F7</vt:lpwstr>
  </property>
</Properties>
</file>