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3161AE">
        <w:trPr>
          <w:trHeight w:val="720"/>
        </w:trPr>
        <w:tc>
          <w:tcPr>
            <w:tcW w:w="5490" w:type="dxa"/>
            <w:gridSpan w:val="2"/>
            <w:tcBorders>
              <w:bottom w:val="single" w:sz="18" w:space="0" w:color="auto"/>
            </w:tcBorders>
          </w:tcPr>
          <w:p w:rsidR="00C15867" w:rsidRPr="009B0D30" w:rsidRDefault="00C15867" w:rsidP="0031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3161AE">
            <w:pPr>
              <w:jc w:val="right"/>
              <w:rPr>
                <w:sz w:val="52"/>
                <w:szCs w:val="52"/>
              </w:rPr>
            </w:pPr>
            <w:r w:rsidRPr="009B0D30">
              <w:rPr>
                <w:rFonts w:ascii="Univers Bold" w:hAnsi="Univers Bold"/>
                <w:b/>
                <w:sz w:val="72"/>
              </w:rPr>
              <w:t>EP</w:t>
            </w:r>
          </w:p>
        </w:tc>
      </w:tr>
      <w:tr w:rsidR="00C15867" w:rsidRPr="009B0D30" w:rsidTr="00316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3161AE">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C7DA492" wp14:editId="1B1F437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89A12E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31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31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31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3161AE">
            <w:pPr>
              <w:spacing w:before="720"/>
              <w:ind w:left="158"/>
            </w:pPr>
          </w:p>
        </w:tc>
        <w:tc>
          <w:tcPr>
            <w:tcW w:w="4590" w:type="dxa"/>
            <w:tcBorders>
              <w:top w:val="nil"/>
              <w:left w:val="nil"/>
              <w:bottom w:val="single" w:sz="36" w:space="0" w:color="auto"/>
              <w:right w:val="nil"/>
            </w:tcBorders>
          </w:tcPr>
          <w:p w:rsidR="00C15867" w:rsidRPr="009B0D30" w:rsidRDefault="00C15867" w:rsidP="003161AE">
            <w:r w:rsidRPr="009B0D30">
              <w:t>Distr.</w:t>
            </w:r>
          </w:p>
          <w:p w:rsidR="00923540" w:rsidRPr="009B0D30" w:rsidRDefault="00923540" w:rsidP="00923540">
            <w:r w:rsidRPr="009B0D30">
              <w:t>GENERAL</w:t>
            </w:r>
          </w:p>
          <w:p w:rsidR="00C15867" w:rsidRPr="009B0D30" w:rsidRDefault="00C15867" w:rsidP="003161AE"/>
          <w:p w:rsidR="00C15867" w:rsidRPr="009B0D30" w:rsidRDefault="00C15867" w:rsidP="003161AE"/>
          <w:p w:rsidR="00C15867" w:rsidRPr="009B0D30" w:rsidRDefault="003A1CC1" w:rsidP="003161AE">
            <w:r>
              <w:fldChar w:fldCharType="begin"/>
            </w:r>
            <w:r>
              <w:instrText xml:space="preserve"> DOCPROPERTY "Document number"  \* MERGEFORMAT </w:instrText>
            </w:r>
            <w:r>
              <w:fldChar w:fldCharType="separate"/>
            </w:r>
            <w:r w:rsidR="003161AE">
              <w:t>UNEP/</w:t>
            </w:r>
            <w:proofErr w:type="spellStart"/>
            <w:r w:rsidR="003161AE">
              <w:t>OzL.Pro</w:t>
            </w:r>
            <w:proofErr w:type="spellEnd"/>
            <w:r w:rsidR="003161AE">
              <w:t>/</w:t>
            </w:r>
            <w:proofErr w:type="spellStart"/>
            <w:r w:rsidR="003161AE">
              <w:t>ExCom</w:t>
            </w:r>
            <w:proofErr w:type="spellEnd"/>
            <w:r w:rsidR="003161AE">
              <w:t>/88/72</w:t>
            </w:r>
            <w:r>
              <w:fldChar w:fldCharType="end"/>
            </w:r>
          </w:p>
          <w:p w:rsidR="00C15867" w:rsidRPr="009B0D30" w:rsidRDefault="00BC2495" w:rsidP="003161AE">
            <w:r w:rsidRPr="009B0D30">
              <w:fldChar w:fldCharType="begin"/>
            </w:r>
            <w:r w:rsidR="00851352" w:rsidRPr="009B0D30">
              <w:instrText xml:space="preserve"> DOCPROPERTY "Revision date" \@ "d MMMM YYYY"  \* MERGEFORMAT </w:instrText>
            </w:r>
            <w:r w:rsidRPr="009B0D30">
              <w:fldChar w:fldCharType="separate"/>
            </w:r>
            <w:r w:rsidR="003A1CC1">
              <w:t>29 October 2021</w:t>
            </w:r>
            <w:r w:rsidRPr="009B0D30">
              <w:fldChar w:fldCharType="end"/>
            </w:r>
          </w:p>
          <w:p w:rsidR="00C15867" w:rsidRPr="009B0D30" w:rsidRDefault="00C15867" w:rsidP="003161AE">
            <w:pPr>
              <w:rPr>
                <w:caps/>
              </w:rPr>
            </w:pPr>
          </w:p>
          <w:p w:rsidR="00C15867" w:rsidRPr="009B0D30" w:rsidRDefault="00C15867" w:rsidP="003161AE">
            <w:r w:rsidRPr="009B0D30">
              <w:t>ORIGINAL: ENGLISH</w:t>
            </w:r>
          </w:p>
        </w:tc>
      </w:tr>
    </w:tbl>
    <w:p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rsidR="00066CE8" w:rsidRPr="009B0D30" w:rsidRDefault="00066CE8" w:rsidP="009F59B0">
      <w:pPr>
        <w:jc w:val="center"/>
      </w:pPr>
    </w:p>
    <w:p w:rsidR="009F59B0" w:rsidRPr="003161AE" w:rsidRDefault="009F59B0" w:rsidP="003161AE">
      <w:pPr>
        <w:jc w:val="center"/>
      </w:pPr>
    </w:p>
    <w:p w:rsidR="009F59B0" w:rsidRDefault="009F59B0" w:rsidP="003161AE">
      <w:pPr>
        <w:jc w:val="center"/>
        <w:rPr>
          <w:b/>
        </w:rPr>
      </w:pPr>
      <w:r>
        <w:rPr>
          <w:b/>
        </w:rPr>
        <w:t xml:space="preserve">ANALYSIS OF THE LEVEL AND MODALITIES OF FUNDING FOR HFC PHASE-DOWN </w:t>
      </w:r>
    </w:p>
    <w:p w:rsidR="009F59B0" w:rsidRDefault="009F59B0" w:rsidP="003161AE">
      <w:pPr>
        <w:jc w:val="center"/>
        <w:rPr>
          <w:b/>
        </w:rPr>
      </w:pPr>
      <w:r>
        <w:rPr>
          <w:b/>
        </w:rPr>
        <w:t>IN THE REFRIGERATION SERVICING SECTOR</w:t>
      </w:r>
      <w:r>
        <w:t xml:space="preserve"> </w:t>
      </w:r>
      <w:r>
        <w:rPr>
          <w:b/>
        </w:rPr>
        <w:t>(DECISIONS 83/65(b) AND 84/86(b)(ii))</w:t>
      </w:r>
    </w:p>
    <w:p w:rsidR="009F59B0" w:rsidRPr="003161AE" w:rsidRDefault="009F59B0" w:rsidP="003161AE">
      <w:pPr>
        <w:jc w:val="center"/>
      </w:pPr>
    </w:p>
    <w:p w:rsidR="009F59B0" w:rsidRDefault="009F59B0" w:rsidP="003161AE">
      <w:pPr>
        <w:spacing w:after="240"/>
        <w:outlineLvl w:val="0"/>
      </w:pPr>
      <w:r>
        <w:rPr>
          <w:b/>
        </w:rPr>
        <w:t>Background</w:t>
      </w:r>
      <w:r w:rsidRPr="00940584">
        <w:t xml:space="preserve"> </w:t>
      </w:r>
    </w:p>
    <w:p w:rsidR="009F59B0" w:rsidRPr="005863C0" w:rsidRDefault="009F59B0" w:rsidP="003161AE">
      <w:pPr>
        <w:pStyle w:val="Heading1"/>
      </w:pPr>
      <w:r>
        <w:t>Since its 78</w:t>
      </w:r>
      <w:r>
        <w:rPr>
          <w:vertAlign w:val="superscript"/>
        </w:rPr>
        <w:t>th</w:t>
      </w:r>
      <w:r>
        <w:t xml:space="preserve"> meeting, the Executive Committee has been discussing matters related to the HFC phase</w:t>
      </w:r>
      <w:r>
        <w:noBreakHyphen/>
        <w:t xml:space="preserve">down in the refrigeration servicing sector, in the context of the development of the cost guidelines for the phase-down of HFCs. </w:t>
      </w:r>
    </w:p>
    <w:p w:rsidR="009F59B0" w:rsidRDefault="009F59B0" w:rsidP="003161AE">
      <w:pPr>
        <w:pStyle w:val="Heading1"/>
      </w:pPr>
      <w:r>
        <w:t>At its 80</w:t>
      </w:r>
      <w:r>
        <w:rPr>
          <w:vertAlign w:val="superscript"/>
        </w:rPr>
        <w:t>th</w:t>
      </w:r>
      <w:r>
        <w:t xml:space="preserve"> meeting, the Executive Committee:</w:t>
      </w:r>
    </w:p>
    <w:p w:rsidR="009F59B0" w:rsidRDefault="009F59B0" w:rsidP="003161AE">
      <w:pPr>
        <w:pStyle w:val="Heading2"/>
      </w:pPr>
      <w: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rPr>
        <w:footnoteReference w:id="2"/>
      </w:r>
      <w:r>
        <w:t xml:space="preserve"> and</w:t>
      </w:r>
    </w:p>
    <w:p w:rsidR="009F59B0" w:rsidRDefault="009F59B0" w:rsidP="003161AE">
      <w:pPr>
        <w:pStyle w:val="Heading2"/>
        <w:numPr>
          <w:ilvl w:val="1"/>
          <w:numId w:val="22"/>
        </w:numPr>
      </w:pPr>
      <w:r>
        <w:t>Requested the Secretariat to prepare a preliminary document for the 82</w:t>
      </w:r>
      <w:r>
        <w:rPr>
          <w:vertAlign w:val="superscript"/>
        </w:rPr>
        <w:t>nd</w:t>
      </w:r>
      <w:r>
        <w:t xml:space="preserve"> meeting, in cooperation with bilateral and implementing agencies, on all aspects related to the refrigeration servicing sector that support the HFC phase-down (decision 80/76(c)).</w:t>
      </w:r>
      <w:r>
        <w:rPr>
          <w:rStyle w:val="FootnoteReference"/>
        </w:rPr>
        <w:footnoteReference w:id="3"/>
      </w:r>
    </w:p>
    <w:p w:rsidR="009F59B0" w:rsidRDefault="009F59B0" w:rsidP="003161AE">
      <w:pPr>
        <w:pStyle w:val="Heading1"/>
      </w:pPr>
      <w:r>
        <w:t>At its 81</w:t>
      </w:r>
      <w:r>
        <w:rPr>
          <w:vertAlign w:val="superscript"/>
        </w:rPr>
        <w:t>st</w:t>
      </w:r>
      <w:r>
        <w:t xml:space="preserve"> meeting, the Executive Committee decided to consider, at the 82</w:t>
      </w:r>
      <w:r>
        <w:rPr>
          <w:vertAlign w:val="superscript"/>
        </w:rPr>
        <w:t>nd</w:t>
      </w:r>
      <w:r>
        <w:t xml:space="preserve"> meeting, the matter of prioritization of technical assistance and capacity building to address safety issues associated with </w:t>
      </w:r>
      <w:r>
        <w:lastRenderedPageBreak/>
        <w:t>alternatives with low and zero global-warming potential (GWP) for all sectors (paragraph</w:t>
      </w:r>
      <w:r w:rsidR="003161AE">
        <w:t xml:space="preserve"> </w:t>
      </w:r>
      <w:r>
        <w:t>23 of decision XXVIII/2), in light of the document being prepared by the Secretariat in response to decision 80/76 regarding aspects of refrigeration servicing sector that supported HFC phase-down (decision 81/67(c)).</w:t>
      </w:r>
    </w:p>
    <w:p w:rsidR="009F59B0" w:rsidRDefault="009F59B0" w:rsidP="003161AE">
      <w:pPr>
        <w:pStyle w:val="Heading1"/>
      </w:pPr>
      <w:r>
        <w:t>In response to decisions 80/76(c) and 81/67(c), the Secretariat submitted to the 82</w:t>
      </w:r>
      <w:r>
        <w:rPr>
          <w:vertAlign w:val="superscript"/>
        </w:rPr>
        <w:t>nd</w:t>
      </w:r>
      <w:r>
        <w:t> meeting document UNEP/</w:t>
      </w:r>
      <w:proofErr w:type="spellStart"/>
      <w:r>
        <w:t>OzL.Pro</w:t>
      </w:r>
      <w:proofErr w:type="spellEnd"/>
      <w:r>
        <w:t>/</w:t>
      </w:r>
      <w:proofErr w:type="spellStart"/>
      <w:r>
        <w:t>ExCom</w:t>
      </w:r>
      <w:proofErr w:type="spellEnd"/>
      <w:r>
        <w:t>/82/64 on all aspects related to the refrigeration servicing sector that support HFC phase-down. Following a discussion, the Executive Committee took note of the document.</w:t>
      </w:r>
    </w:p>
    <w:p w:rsidR="009F59B0" w:rsidRDefault="009F59B0" w:rsidP="003161AE">
      <w:pPr>
        <w:pStyle w:val="Heading1"/>
      </w:pPr>
      <w:r>
        <w:t>At its 83</w:t>
      </w:r>
      <w:r>
        <w:rPr>
          <w:vertAlign w:val="superscript"/>
        </w:rPr>
        <w:t>rd</w:t>
      </w:r>
      <w:r>
        <w:t xml:space="preserve"> meeting, the Executive Committee agreed to reconstitute the contact group on the development of the cost guidelines for the phase-down of HFCs in Article 5 countries. Following the report by the convener of the contact group, the Committee </w:t>
      </w:r>
      <w:r>
        <w:rPr>
          <w:i/>
        </w:rPr>
        <w:t xml:space="preserve">inter alia </w:t>
      </w:r>
      <w:r>
        <w:t>requested the Secretariat to prepare, for the 85</w:t>
      </w:r>
      <w:r>
        <w:rPr>
          <w:vertAlign w:val="superscript"/>
        </w:rPr>
        <w:t>th</w:t>
      </w:r>
      <w:r>
        <w:t> meeting, a document providing an analysis of the level and modalities of funding for HFC phase</w:t>
      </w:r>
      <w:r>
        <w:noBreakHyphen/>
        <w:t>down in the refrigeration servicing sector, in light of the information provided in document UNEP/</w:t>
      </w:r>
      <w:proofErr w:type="spellStart"/>
      <w:r>
        <w:t>OzL.Pro</w:t>
      </w:r>
      <w:proofErr w:type="spellEnd"/>
      <w:r>
        <w:t>/</w:t>
      </w:r>
      <w:proofErr w:type="spellStart"/>
      <w:r>
        <w:t>ExCom</w:t>
      </w:r>
      <w:proofErr w:type="spellEnd"/>
      <w:r>
        <w:t>/82/64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9F59B0" w:rsidRDefault="009F59B0" w:rsidP="003161AE">
      <w:pPr>
        <w:pStyle w:val="Heading1"/>
      </w:pPr>
      <w:r>
        <w:t>At its 84</w:t>
      </w:r>
      <w:r>
        <w:rPr>
          <w:vertAlign w:val="superscript"/>
        </w:rPr>
        <w:t>th</w:t>
      </w:r>
      <w:r>
        <w:t xml:space="preserve"> meeting, the Executive Committee considered document UNEP/</w:t>
      </w:r>
      <w:proofErr w:type="spellStart"/>
      <w:r>
        <w:t>OzL.Pro</w:t>
      </w:r>
      <w:proofErr w:type="spellEnd"/>
      <w:r>
        <w:t>/</w:t>
      </w:r>
      <w:proofErr w:type="spellStart"/>
      <w:r>
        <w:t>ExCom</w:t>
      </w:r>
      <w:proofErr w:type="spellEnd"/>
      <w:r>
        <w:t>/84/65 on the analysis of the implications of parallel or integrated implementation of HCFC phase-out and HFC phase</w:t>
      </w:r>
      <w:r>
        <w:noBreakHyphen/>
        <w:t xml:space="preserv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rPr>
        <w:t xml:space="preserve">inter alia </w:t>
      </w:r>
      <w: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t>down in the refrigeration servicing sector requested by decision 83/65 (decision 84/86(b)(ii)).</w:t>
      </w:r>
    </w:p>
    <w:p w:rsidR="009F59B0" w:rsidRDefault="009F59B0" w:rsidP="003161AE">
      <w:pPr>
        <w:pStyle w:val="Heading1"/>
        <w:numPr>
          <w:ilvl w:val="0"/>
          <w:numId w:val="0"/>
        </w:numPr>
        <w:tabs>
          <w:tab w:val="left" w:pos="720"/>
        </w:tabs>
        <w:rPr>
          <w:u w:val="single"/>
        </w:rPr>
      </w:pPr>
      <w:r>
        <w:rPr>
          <w:u w:val="single"/>
        </w:rPr>
        <w:t>Inter-agency coordination meeting (IACM)</w:t>
      </w:r>
      <w:r>
        <w:rPr>
          <w:rStyle w:val="FootnoteReference"/>
        </w:rPr>
        <w:footnoteReference w:id="4"/>
      </w:r>
    </w:p>
    <w:p w:rsidR="009F59B0" w:rsidRDefault="009F59B0" w:rsidP="003161AE">
      <w:pPr>
        <w:pStyle w:val="Heading1"/>
        <w:numPr>
          <w:ilvl w:val="0"/>
          <w:numId w:val="22"/>
        </w:numPr>
      </w:pPr>
      <w: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9F59B0" w:rsidRDefault="009F59B0" w:rsidP="003161AE">
      <w:pPr>
        <w:pStyle w:val="Heading1"/>
        <w:widowControl w:val="0"/>
        <w:numPr>
          <w:ilvl w:val="0"/>
          <w:numId w:val="22"/>
        </w:numPr>
      </w:pPr>
      <w:r>
        <w:t>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w:t>
      </w:r>
      <w:r w:rsidR="003161AE">
        <w:noBreakHyphen/>
      </w:r>
      <w:r>
        <w:t xml:space="preserve">conditioning (RAC) equipment operating with low-GWP refrigerants, and sound disposal of unwanted refrigerants. Accordingly, funding for HFC phase-down should be increased, especially for low-volume consuming (LVC) countries. </w:t>
      </w:r>
    </w:p>
    <w:p w:rsidR="009F59B0" w:rsidRDefault="009F59B0" w:rsidP="00ED3F59">
      <w:pPr>
        <w:pStyle w:val="Heading1"/>
        <w:widowControl w:val="0"/>
        <w:numPr>
          <w:ilvl w:val="0"/>
          <w:numId w:val="22"/>
        </w:numPr>
      </w:pPr>
      <w:r>
        <w:lastRenderedPageBreak/>
        <w:t>UNIDO indicated that flammability of refrigerants would be the main issue to be considered when introducing alternative technologies to HFCs. A staged approach would be preferable than a unique 10</w:t>
      </w:r>
      <w: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556967" w:rsidRPr="00E67247" w:rsidRDefault="009F59B0" w:rsidP="00556967">
      <w:pPr>
        <w:pStyle w:val="Heading1"/>
      </w:pPr>
      <w:r>
        <w:t xml:space="preserve">UNEP emphasized that LVC countries will incur in additional costs to scale up the technicians’ certification systems that are currently being established under the HPMPs. </w:t>
      </w:r>
    </w:p>
    <w:p w:rsidR="009F59B0" w:rsidRDefault="009F59B0" w:rsidP="003161AE">
      <w:pPr>
        <w:spacing w:after="240"/>
        <w:outlineLvl w:val="0"/>
        <w:rPr>
          <w:u w:val="single"/>
        </w:rPr>
      </w:pPr>
      <w:r>
        <w:rPr>
          <w:u w:val="single"/>
        </w:rPr>
        <w:t>Structure of the document</w:t>
      </w:r>
    </w:p>
    <w:p w:rsidR="009F59B0" w:rsidRDefault="009F59B0" w:rsidP="003161AE">
      <w:pPr>
        <w:pStyle w:val="Heading1"/>
        <w:numPr>
          <w:ilvl w:val="0"/>
          <w:numId w:val="22"/>
        </w:numPr>
      </w:pPr>
      <w:r>
        <w:t xml:space="preserve">In response to decisions 83/65(b) and 84/86(b)(ii), the Secretariat has prepared the present document and submitted it to the </w:t>
      </w:r>
      <w:r w:rsidR="00892D29">
        <w:t>88</w:t>
      </w:r>
      <w:r w:rsidR="00892D29">
        <w:rPr>
          <w:vertAlign w:val="superscript"/>
        </w:rPr>
        <w:t>th</w:t>
      </w:r>
      <w:r w:rsidR="00892D29">
        <w:t xml:space="preserve"> </w:t>
      </w:r>
      <w:r>
        <w:t>meeting.</w:t>
      </w:r>
      <w:r>
        <w:rPr>
          <w:rStyle w:val="FootnoteReference"/>
        </w:rPr>
        <w:footnoteReference w:id="5"/>
      </w:r>
      <w:r>
        <w:t xml:space="preserve"> </w:t>
      </w:r>
    </w:p>
    <w:p w:rsidR="009F59B0" w:rsidRDefault="009F59B0" w:rsidP="003161AE">
      <w:pPr>
        <w:pStyle w:val="Heading1"/>
        <w:numPr>
          <w:ilvl w:val="0"/>
          <w:numId w:val="22"/>
        </w:numPr>
      </w:pPr>
      <w:r>
        <w:t>The present document is based on document UNEP/</w:t>
      </w:r>
      <w:proofErr w:type="spellStart"/>
      <w:r>
        <w:t>OzL.Pro</w:t>
      </w:r>
      <w:proofErr w:type="spellEnd"/>
      <w:r>
        <w:t>/</w:t>
      </w:r>
      <w:proofErr w:type="spellStart"/>
      <w:r>
        <w:t>ExCom</w:t>
      </w:r>
      <w:proofErr w:type="spellEnd"/>
      <w:r>
        <w:t xml:space="preserve">/82/64, which </w:t>
      </w:r>
      <w:r>
        <w:rPr>
          <w:i/>
        </w:rPr>
        <w:t>inter alia</w:t>
      </w:r>
      <w:r>
        <w:t xml:space="preserve">: </w:t>
      </w:r>
    </w:p>
    <w:p w:rsidR="009F59B0" w:rsidRDefault="009F59B0" w:rsidP="003161AE">
      <w:pPr>
        <w:pStyle w:val="Heading2"/>
        <w:numPr>
          <w:ilvl w:val="1"/>
          <w:numId w:val="22"/>
        </w:numPr>
      </w:pPr>
      <w: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noBreakHyphen/>
        <w:t>down of HFCs in the sector;</w:t>
      </w:r>
    </w:p>
    <w:p w:rsidR="009F59B0" w:rsidRDefault="009F59B0" w:rsidP="003161AE">
      <w:pPr>
        <w:pStyle w:val="Heading2"/>
        <w:numPr>
          <w:ilvl w:val="1"/>
          <w:numId w:val="22"/>
        </w:numPr>
      </w:pPr>
      <w: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9F59B0" w:rsidRDefault="009F59B0" w:rsidP="003161AE">
      <w:pPr>
        <w:pStyle w:val="Heading2"/>
        <w:numPr>
          <w:ilvl w:val="1"/>
          <w:numId w:val="22"/>
        </w:numPr>
      </w:pPr>
      <w:r>
        <w:t>Presents an analysis of the information needed for the development of training and competency</w:t>
      </w:r>
      <w:r>
        <w:noBreakHyphen/>
        <w:t>based certification programmes for service technicians and customs officers; and</w:t>
      </w:r>
    </w:p>
    <w:p w:rsidR="009F59B0" w:rsidRDefault="009F59B0" w:rsidP="003161AE">
      <w:pPr>
        <w:pStyle w:val="Heading2"/>
        <w:numPr>
          <w:ilvl w:val="1"/>
          <w:numId w:val="22"/>
        </w:numPr>
      </w:pPr>
      <w: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9F59B0" w:rsidRDefault="009F59B0" w:rsidP="003161AE">
      <w:pPr>
        <w:pStyle w:val="Heading1"/>
        <w:numPr>
          <w:ilvl w:val="0"/>
          <w:numId w:val="22"/>
        </w:numPr>
      </w:pPr>
      <w:r>
        <w:t>Although document UNEP/</w:t>
      </w:r>
      <w:proofErr w:type="spellStart"/>
      <w:r>
        <w:t>OzL.Pro</w:t>
      </w:r>
      <w:proofErr w:type="spellEnd"/>
      <w:r>
        <w:t>/</w:t>
      </w:r>
      <w:proofErr w:type="spellStart"/>
      <w:r>
        <w:t>ExCom</w:t>
      </w:r>
      <w:proofErr w:type="spellEnd"/>
      <w:r>
        <w:t>/82/64 described the activities, the modalities and funding levels that have been provided for the refrigeration servicing sector, it did not include an analysis of the level and modalities for funding the HFC phase-down in the refrigeration servicing sector, requested by decision 83/65(b). On that basis, the present document is supplementary to document UNEP/</w:t>
      </w:r>
      <w:proofErr w:type="spellStart"/>
      <w:r>
        <w:t>OzL.Pro</w:t>
      </w:r>
      <w:proofErr w:type="spellEnd"/>
      <w:r>
        <w:t>/</w:t>
      </w:r>
      <w:proofErr w:type="spellStart"/>
      <w:r>
        <w:t>ExCom</w:t>
      </w:r>
      <w:proofErr w:type="spellEnd"/>
      <w:r>
        <w:t>/82/64.</w:t>
      </w:r>
    </w:p>
    <w:p w:rsidR="009F59B0" w:rsidRDefault="009F59B0" w:rsidP="00F2394E">
      <w:pPr>
        <w:pStyle w:val="Heading1"/>
      </w:pPr>
      <w:r>
        <w:t>In addition to document UNEP/</w:t>
      </w:r>
      <w:proofErr w:type="spellStart"/>
      <w:r>
        <w:t>OzL.Pro</w:t>
      </w:r>
      <w:proofErr w:type="spellEnd"/>
      <w:r>
        <w:t>/</w:t>
      </w:r>
      <w:proofErr w:type="spellStart"/>
      <w:r>
        <w:t>ExCom</w:t>
      </w:r>
      <w:proofErr w:type="spellEnd"/>
      <w:r>
        <w:t>/82/64, the Secretariat extracted information from the following sources:</w:t>
      </w:r>
    </w:p>
    <w:p w:rsidR="009F59B0" w:rsidRDefault="009F59B0" w:rsidP="00F2394E">
      <w:pPr>
        <w:pStyle w:val="Heading2"/>
      </w:pPr>
      <w:r>
        <w:t xml:space="preserve">The document on key considerations for developing a methodology for establishing the starting point for sustained aggregate reductions for the consumption and production </w:t>
      </w:r>
      <w:r>
        <w:lastRenderedPageBreak/>
        <w:t>sectors under the Kigali Amendment (decision 81/67(e)),</w:t>
      </w:r>
      <w:r>
        <w:rPr>
          <w:rStyle w:val="FootnoteReference"/>
        </w:rPr>
        <w:footnoteReference w:id="6"/>
      </w:r>
      <w:r>
        <w:t xml:space="preserve"> in particular the discussion related to the role of the starting point in the servicing sector, considering </w:t>
      </w:r>
      <w:r>
        <w:rPr>
          <w:i/>
        </w:rPr>
        <w:t xml:space="preserve">inter alia </w:t>
      </w:r>
      <w:r>
        <w:t>that the initial years of the phase-down of HFCs will overlap with the phase-out of HCFCs, which for the majority of Article 5 countries would be mainly used in the refrigeration servicing sector;</w:t>
      </w:r>
    </w:p>
    <w:p w:rsidR="009F59B0" w:rsidRDefault="009F59B0" w:rsidP="003161AE">
      <w:pPr>
        <w:pStyle w:val="Heading2"/>
        <w:numPr>
          <w:ilvl w:val="1"/>
          <w:numId w:val="22"/>
        </w:numPr>
      </w:pPr>
      <w:r>
        <w:t>The document presenting an analysis of the implications of parallel or integrated implementation of HCFC phase-out and HFC phase-down activities,</w:t>
      </w:r>
      <w:r>
        <w:rPr>
          <w:rStyle w:val="FootnoteReference"/>
        </w:rPr>
        <w:footnoteReference w:id="7"/>
      </w:r>
      <w:r>
        <w:t xml:space="preserve"> as the information, analysis, and discussion contained therein supplements</w:t>
      </w:r>
      <w:r>
        <w:rPr>
          <w:rStyle w:val="FootnoteReference"/>
        </w:rPr>
        <w:footnoteReference w:id="8"/>
      </w:r>
      <w:r>
        <w:t xml:space="preserve"> the present document; </w:t>
      </w:r>
    </w:p>
    <w:p w:rsidR="009F59B0" w:rsidRDefault="009F59B0" w:rsidP="003161AE">
      <w:pPr>
        <w:pStyle w:val="Heading2"/>
        <w:numPr>
          <w:ilvl w:val="1"/>
          <w:numId w:val="22"/>
        </w:numPr>
      </w:pPr>
      <w:r>
        <w:t>The document on potential strategies, policy measures and commitments, as well as projects and activities that could be integrated within stage I of HFCs phase-down plans for Article 5 countries,</w:t>
      </w:r>
      <w:r>
        <w:rPr>
          <w:rStyle w:val="FootnoteReference"/>
        </w:rPr>
        <w:footnoteReference w:id="9"/>
      </w:r>
      <w:r>
        <w:t xml:space="preserve"> as it </w:t>
      </w:r>
      <w:r>
        <w:rPr>
          <w:i/>
        </w:rPr>
        <w:t xml:space="preserve">inter alia </w:t>
      </w:r>
      <w: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noBreakHyphen/>
        <w:t>down reducing the number of synchronized tranches resulting in lower transaction costs for reporting and verifications;</w:t>
      </w:r>
    </w:p>
    <w:p w:rsidR="009F59B0" w:rsidRDefault="009F59B0" w:rsidP="003161AE">
      <w:pPr>
        <w:pStyle w:val="Heading2"/>
        <w:numPr>
          <w:ilvl w:val="1"/>
          <w:numId w:val="22"/>
        </w:numPr>
      </w:pPr>
      <w:r>
        <w:t>The draft guidelines for the preparation of HFC phase-down plans for Article 5 countries,</w:t>
      </w:r>
      <w:r>
        <w:rPr>
          <w:rStyle w:val="FootnoteReference"/>
        </w:rPr>
        <w:footnoteReference w:id="10"/>
      </w:r>
      <w:r>
        <w:t xml:space="preserve"> submitted to the 86</w:t>
      </w:r>
      <w:r>
        <w:rPr>
          <w:vertAlign w:val="superscript"/>
        </w:rPr>
        <w:t>th</w:t>
      </w:r>
      <w:r>
        <w:t xml:space="preserve"> meeting in response to decision 84/54(a),</w:t>
      </w:r>
      <w:r>
        <w:rPr>
          <w:rStyle w:val="FootnoteReference"/>
        </w:rPr>
        <w:footnoteReference w:id="11"/>
      </w:r>
      <w:r>
        <w:t xml:space="preserve"> noting that the resulting phase-down plans will include an overarching strategy, an action plan and a set of activities to meet initial reduction obligations for the phase-down of HFCs including in the refrigeration servicing sector; </w:t>
      </w:r>
    </w:p>
    <w:p w:rsidR="009F59B0" w:rsidRDefault="009F59B0" w:rsidP="003161AE">
      <w:pPr>
        <w:pStyle w:val="Heading2"/>
        <w:widowControl/>
        <w:numPr>
          <w:ilvl w:val="1"/>
          <w:numId w:val="22"/>
        </w:numPr>
      </w:pPr>
      <w:r>
        <w:t>The document on ways to operationalize paragraph 16 of decision XXVIII/2, and paragraph 2 of decision XXX/5,</w:t>
      </w:r>
      <w:r>
        <w:rPr>
          <w:rStyle w:val="FootnoteReference"/>
        </w:rPr>
        <w:footnoteReference w:id="12"/>
      </w:r>
      <w:r>
        <w:t xml:space="preserve"> being submitted to the 8</w:t>
      </w:r>
      <w:r w:rsidR="009301F8">
        <w:t>8</w:t>
      </w:r>
      <w:r>
        <w:rPr>
          <w:vertAlign w:val="superscript"/>
        </w:rPr>
        <w:t>th</w:t>
      </w:r>
      <w:r>
        <w:t xml:space="preserve"> meeting in response to decision 84/88, as the document describes ways to increase the funding available under decision 74/50 for LVC countries, when needed, for: the introduction of low- and zero</w:t>
      </w:r>
      <w:r>
        <w:noBreakHyphen/>
        <w:t xml:space="preserve">GWP alternatives to HCFCs or HFCs and maintaining energy efficiency in the servicing/end-user sector, developing and enforcing policies and regulations to avoid the market penetration of energy-inefficient RAC equipment and promoting penetration of </w:t>
      </w:r>
      <w:r>
        <w:lastRenderedPageBreak/>
        <w:t>energy</w:t>
      </w:r>
      <w:r>
        <w:noBreakHyphen/>
        <w:t>efficient equipment, and taking into account the criteria, performance indicators, and funding mechanisms of servicing sector plans in HPMPs;</w:t>
      </w:r>
    </w:p>
    <w:p w:rsidR="009F59B0" w:rsidRDefault="009F59B0" w:rsidP="003161AE">
      <w:pPr>
        <w:pStyle w:val="Heading2"/>
        <w:widowControl/>
        <w:numPr>
          <w:ilvl w:val="1"/>
          <w:numId w:val="22"/>
        </w:numPr>
      </w:pPr>
      <w:r>
        <w:t>The document presenting a synthesis report describing best practices and ways for the Executive Committee to consider operationalizing paragraph 24 of decision XXVIII/2,</w:t>
      </w:r>
      <w:r>
        <w:rPr>
          <w:rStyle w:val="FootnoteReference"/>
        </w:rPr>
        <w:footnoteReference w:id="13"/>
      </w:r>
      <w:r>
        <w:t xml:space="preserve"> as the document describes options when funding the environmentally sound management of waste ODS and other controlled substances, which are largely a result of the servicing of RAC equipment; and</w:t>
      </w:r>
    </w:p>
    <w:p w:rsidR="009F59B0" w:rsidRDefault="009F59B0" w:rsidP="003161AE">
      <w:pPr>
        <w:pStyle w:val="Heading2"/>
        <w:widowControl/>
        <w:numPr>
          <w:ilvl w:val="1"/>
          <w:numId w:val="22"/>
        </w:numPr>
      </w:pPr>
      <w:r>
        <w:t>The document on information relevant to the development of the cost guidelines for the phase</w:t>
      </w:r>
      <w:r>
        <w:noBreakHyphen/>
        <w:t>down of HFCs in Article 5 countries: enabling activities,</w:t>
      </w:r>
      <w:r>
        <w:rPr>
          <w:rStyle w:val="FootnoteReference"/>
        </w:rPr>
        <w:footnoteReference w:id="14"/>
      </w:r>
      <w:r>
        <w:t xml:space="preserve"> which </w:t>
      </w:r>
      <w:r>
        <w:rPr>
          <w:i/>
        </w:rPr>
        <w:t xml:space="preserve">inter alia </w:t>
      </w:r>
      <w:r>
        <w:t>reviewed all the policies and guidelines that have been adopted by the Executive Committee related to enabling activities (listed under paragraph 20 of decision XXVIII/2) to support the phase</w:t>
      </w:r>
      <w:r>
        <w:noBreakHyphen/>
        <w:t>out of controlled substances in Article 5 countries, several of which relates to the refrigeration servicing sector.</w:t>
      </w:r>
    </w:p>
    <w:p w:rsidR="009F59B0" w:rsidRDefault="009F59B0" w:rsidP="003161AE">
      <w:pPr>
        <w:pStyle w:val="Heading1"/>
        <w:numPr>
          <w:ilvl w:val="0"/>
          <w:numId w:val="22"/>
        </w:numPr>
      </w:pPr>
      <w:r>
        <w:t>In preparing this document, the Secretariat also gave due consideration to the comments and observations provided by the implementing agencies during the IACM held from 25 to 27 February 2020.</w:t>
      </w:r>
    </w:p>
    <w:p w:rsidR="00ED3F59" w:rsidRPr="00134E73" w:rsidRDefault="00E6474B" w:rsidP="0001163E">
      <w:pPr>
        <w:pStyle w:val="Heading1"/>
        <w:rPr>
          <w:b/>
        </w:rPr>
      </w:pPr>
      <w:r w:rsidRPr="00134E73">
        <w:rPr>
          <w:b/>
        </w:rPr>
        <w:t>At the 87</w:t>
      </w:r>
      <w:r w:rsidRPr="00134E73">
        <w:rPr>
          <w:b/>
          <w:vertAlign w:val="superscript"/>
        </w:rPr>
        <w:t>th</w:t>
      </w:r>
      <w:r w:rsidRPr="00134E73">
        <w:rPr>
          <w:b/>
        </w:rPr>
        <w:t xml:space="preserve"> meeting, the Executive Committee </w:t>
      </w:r>
      <w:r w:rsidR="00017D49" w:rsidRPr="00134E73">
        <w:rPr>
          <w:b/>
        </w:rPr>
        <w:t xml:space="preserve">continued its consideration of the draft guidelines for the preparation of HFC phase-down plans (now known as </w:t>
      </w:r>
      <w:r w:rsidR="003A1CC1">
        <w:rPr>
          <w:b/>
        </w:rPr>
        <w:t xml:space="preserve">the </w:t>
      </w:r>
      <w:r w:rsidR="002E7B29" w:rsidRPr="00134E73">
        <w:rPr>
          <w:b/>
        </w:rPr>
        <w:t>Kigali HFC implementation plans (</w:t>
      </w:r>
      <w:r w:rsidR="00017D49" w:rsidRPr="00134E73">
        <w:rPr>
          <w:b/>
        </w:rPr>
        <w:t>KIPs</w:t>
      </w:r>
      <w:r w:rsidR="002E7B29" w:rsidRPr="00134E73">
        <w:rPr>
          <w:b/>
        </w:rPr>
        <w:t>)</w:t>
      </w:r>
      <w:r w:rsidR="00017D49" w:rsidRPr="00134E73">
        <w:rPr>
          <w:b/>
        </w:rPr>
        <w:t>) for Article 5 countries. Further to a discussion where consensus was reached, the Committee agreed on the guidelines (decision 87/50). As the present document has not yet been considered by the Executive Committee, the Secretariat reissue</w:t>
      </w:r>
      <w:r w:rsidR="00427339" w:rsidRPr="00134E73">
        <w:rPr>
          <w:b/>
        </w:rPr>
        <w:t>d</w:t>
      </w:r>
      <w:r w:rsidR="00017D49" w:rsidRPr="00134E73">
        <w:rPr>
          <w:b/>
        </w:rPr>
        <w:t xml:space="preserve"> the document submitted to the 87</w:t>
      </w:r>
      <w:r w:rsidR="00017D49" w:rsidRPr="00134E73">
        <w:rPr>
          <w:b/>
          <w:vertAlign w:val="superscript"/>
        </w:rPr>
        <w:t>th</w:t>
      </w:r>
      <w:r w:rsidR="002E7B29" w:rsidRPr="00134E73">
        <w:rPr>
          <w:b/>
        </w:rPr>
        <w:t> </w:t>
      </w:r>
      <w:r w:rsidR="00017D49" w:rsidRPr="00134E73">
        <w:rPr>
          <w:b/>
        </w:rPr>
        <w:t>meeting (</w:t>
      </w:r>
      <w:r w:rsidRPr="00134E73">
        <w:rPr>
          <w:b/>
        </w:rPr>
        <w:t>UNEP/</w:t>
      </w:r>
      <w:proofErr w:type="spellStart"/>
      <w:r w:rsidRPr="00134E73">
        <w:rPr>
          <w:b/>
        </w:rPr>
        <w:t>OzL.Pro</w:t>
      </w:r>
      <w:proofErr w:type="spellEnd"/>
      <w:r w:rsidRPr="00134E73">
        <w:rPr>
          <w:b/>
        </w:rPr>
        <w:t>/</w:t>
      </w:r>
      <w:proofErr w:type="spellStart"/>
      <w:r w:rsidRPr="00134E73">
        <w:rPr>
          <w:b/>
        </w:rPr>
        <w:t>ExCom</w:t>
      </w:r>
      <w:proofErr w:type="spellEnd"/>
      <w:r w:rsidRPr="00134E73">
        <w:rPr>
          <w:b/>
        </w:rPr>
        <w:t>/87/47</w:t>
      </w:r>
      <w:r w:rsidR="00017D49" w:rsidRPr="00134E73">
        <w:rPr>
          <w:b/>
        </w:rPr>
        <w:t>)</w:t>
      </w:r>
      <w:r w:rsidRPr="00134E73">
        <w:rPr>
          <w:b/>
        </w:rPr>
        <w:t>, updat</w:t>
      </w:r>
      <w:r w:rsidR="00017D49" w:rsidRPr="00134E73">
        <w:rPr>
          <w:b/>
        </w:rPr>
        <w:t xml:space="preserve">ing relevant </w:t>
      </w:r>
      <w:r w:rsidRPr="00134E73">
        <w:rPr>
          <w:b/>
        </w:rPr>
        <w:t>figures</w:t>
      </w:r>
      <w:r w:rsidR="00017D49" w:rsidRPr="00134E73">
        <w:rPr>
          <w:b/>
        </w:rPr>
        <w:t xml:space="preserve"> to </w:t>
      </w:r>
      <w:r w:rsidRPr="00134E73">
        <w:rPr>
          <w:b/>
        </w:rPr>
        <w:t xml:space="preserve">reflect the projects in the </w:t>
      </w:r>
      <w:r w:rsidR="00017D49" w:rsidRPr="00134E73">
        <w:rPr>
          <w:b/>
        </w:rPr>
        <w:t xml:space="preserve">refrigeration </w:t>
      </w:r>
      <w:r w:rsidRPr="00134E73">
        <w:rPr>
          <w:b/>
        </w:rPr>
        <w:t>servicing s</w:t>
      </w:r>
      <w:r w:rsidR="00017D49" w:rsidRPr="00134E73">
        <w:rPr>
          <w:b/>
        </w:rPr>
        <w:t>e</w:t>
      </w:r>
      <w:r w:rsidRPr="00134E73">
        <w:rPr>
          <w:b/>
        </w:rPr>
        <w:t xml:space="preserve">ctor </w:t>
      </w:r>
      <w:r w:rsidR="00017D49" w:rsidRPr="00134E73">
        <w:rPr>
          <w:b/>
        </w:rPr>
        <w:t xml:space="preserve">that were approved at the </w:t>
      </w:r>
      <w:r w:rsidRPr="00134E73">
        <w:rPr>
          <w:b/>
        </w:rPr>
        <w:t>87</w:t>
      </w:r>
      <w:r w:rsidRPr="00134E73">
        <w:rPr>
          <w:b/>
          <w:vertAlign w:val="superscript"/>
        </w:rPr>
        <w:t>th</w:t>
      </w:r>
      <w:r w:rsidRPr="00134E73">
        <w:rPr>
          <w:b/>
        </w:rPr>
        <w:t xml:space="preserve"> meeting</w:t>
      </w:r>
      <w:r w:rsidR="00ED3F59" w:rsidRPr="00134E73">
        <w:rPr>
          <w:b/>
        </w:rPr>
        <w:t xml:space="preserve"> (i.e., t</w:t>
      </w:r>
      <w:r w:rsidRPr="00134E73">
        <w:rPr>
          <w:b/>
        </w:rPr>
        <w:t>he issues discussed in the document remain unchanged</w:t>
      </w:r>
      <w:r w:rsidR="00ED3F59" w:rsidRPr="00134E73">
        <w:rPr>
          <w:b/>
        </w:rPr>
        <w:t>)</w:t>
      </w:r>
      <w:r w:rsidRPr="00134E73">
        <w:rPr>
          <w:b/>
        </w:rPr>
        <w:t xml:space="preserve">. </w:t>
      </w:r>
      <w:r w:rsidR="008A2347">
        <w:rPr>
          <w:b/>
        </w:rPr>
        <w:t>In addition, n</w:t>
      </w:r>
      <w:r w:rsidR="00C307F7">
        <w:rPr>
          <w:b/>
        </w:rPr>
        <w:t xml:space="preserve">ew text associated </w:t>
      </w:r>
      <w:r w:rsidR="007C02B2">
        <w:rPr>
          <w:b/>
        </w:rPr>
        <w:t>with</w:t>
      </w:r>
      <w:r w:rsidR="003A1CC1">
        <w:rPr>
          <w:b/>
        </w:rPr>
        <w:t xml:space="preserve"> the approval of</w:t>
      </w:r>
      <w:r w:rsidR="00427339" w:rsidRPr="00134E73">
        <w:rPr>
          <w:b/>
        </w:rPr>
        <w:t xml:space="preserve"> guidelines for </w:t>
      </w:r>
      <w:r w:rsidR="003A1CC1">
        <w:rPr>
          <w:b/>
        </w:rPr>
        <w:t xml:space="preserve">the </w:t>
      </w:r>
      <w:r w:rsidR="00427339" w:rsidRPr="00134E73">
        <w:rPr>
          <w:b/>
        </w:rPr>
        <w:t xml:space="preserve">preparation of KIPs is presented in bold. </w:t>
      </w:r>
    </w:p>
    <w:p w:rsidR="00E6474B" w:rsidRPr="00134E73" w:rsidRDefault="00ED3F59" w:rsidP="0001163E">
      <w:pPr>
        <w:pStyle w:val="Heading1"/>
        <w:rPr>
          <w:b/>
        </w:rPr>
      </w:pPr>
      <w:r w:rsidRPr="00134E73">
        <w:rPr>
          <w:b/>
        </w:rPr>
        <w:t>T</w:t>
      </w:r>
      <w:r w:rsidR="00E6474B" w:rsidRPr="00134E73">
        <w:rPr>
          <w:b/>
        </w:rPr>
        <w:t xml:space="preserve">he Executive Committee may wish to </w:t>
      </w:r>
      <w:r w:rsidRPr="00134E73">
        <w:rPr>
          <w:b/>
        </w:rPr>
        <w:t>consider the present document</w:t>
      </w:r>
      <w:r w:rsidR="003A1CC1">
        <w:rPr>
          <w:b/>
        </w:rPr>
        <w:t>,</w:t>
      </w:r>
      <w:r w:rsidRPr="00134E73">
        <w:rPr>
          <w:b/>
        </w:rPr>
        <w:t xml:space="preserve"> including the recommendation,</w:t>
      </w:r>
      <w:r w:rsidR="00B21BCA" w:rsidRPr="00134E73">
        <w:rPr>
          <w:rStyle w:val="FootnoteReference"/>
          <w:b/>
        </w:rPr>
        <w:footnoteReference w:id="15"/>
      </w:r>
      <w:r w:rsidRPr="00134E73">
        <w:rPr>
          <w:b/>
        </w:rPr>
        <w:t xml:space="preserve"> in light of the </w:t>
      </w:r>
      <w:r w:rsidR="00E6474B" w:rsidRPr="00134E73">
        <w:rPr>
          <w:b/>
        </w:rPr>
        <w:t xml:space="preserve">guidelines for the preparation of KIPs for Article 5 countries </w:t>
      </w:r>
      <w:r w:rsidRPr="00134E73">
        <w:rPr>
          <w:b/>
        </w:rPr>
        <w:t xml:space="preserve">approved at the </w:t>
      </w:r>
      <w:r w:rsidR="00E6474B" w:rsidRPr="00134E73">
        <w:rPr>
          <w:b/>
        </w:rPr>
        <w:t>87</w:t>
      </w:r>
      <w:r w:rsidR="00E6474B" w:rsidRPr="00134E73">
        <w:rPr>
          <w:b/>
          <w:vertAlign w:val="superscript"/>
        </w:rPr>
        <w:t>th</w:t>
      </w:r>
      <w:r w:rsidR="00E6474B" w:rsidRPr="00134E73">
        <w:rPr>
          <w:b/>
        </w:rPr>
        <w:t xml:space="preserve"> meeting</w:t>
      </w:r>
      <w:r w:rsidRPr="00134E73">
        <w:rPr>
          <w:b/>
        </w:rPr>
        <w:t xml:space="preserve">. </w:t>
      </w:r>
    </w:p>
    <w:p w:rsidR="009F59B0" w:rsidRDefault="009F59B0" w:rsidP="003161AE">
      <w:pPr>
        <w:pStyle w:val="Heading1"/>
        <w:numPr>
          <w:ilvl w:val="0"/>
          <w:numId w:val="22"/>
        </w:numPr>
      </w:pPr>
      <w:r>
        <w:t>The present document consists of the following sections:</w:t>
      </w:r>
    </w:p>
    <w:p w:rsidR="009F59B0" w:rsidRDefault="009F59B0" w:rsidP="003161AE">
      <w:pPr>
        <w:pStyle w:val="Heading2"/>
        <w:widowControl/>
        <w:numPr>
          <w:ilvl w:val="1"/>
          <w:numId w:val="22"/>
        </w:numPr>
      </w:pPr>
      <w:r>
        <w:t>Overview of assistance provided under the Multilateral Fund in the refrigeration servicing sector;</w:t>
      </w:r>
    </w:p>
    <w:p w:rsidR="009F59B0" w:rsidRDefault="009F59B0" w:rsidP="003161AE">
      <w:pPr>
        <w:pStyle w:val="Heading2"/>
        <w:numPr>
          <w:ilvl w:val="1"/>
          <w:numId w:val="22"/>
        </w:numPr>
      </w:pPr>
      <w:r>
        <w:t xml:space="preserve">Integrated HCFC and HFC compliance strategy for the refrigeration servicing sector; </w:t>
      </w:r>
    </w:p>
    <w:p w:rsidR="009F59B0" w:rsidRPr="00BD71B5" w:rsidRDefault="009F59B0" w:rsidP="003161AE">
      <w:pPr>
        <w:pStyle w:val="Heading2"/>
        <w:numPr>
          <w:ilvl w:val="1"/>
          <w:numId w:val="22"/>
        </w:numPr>
      </w:pPr>
      <w:r>
        <w:t xml:space="preserve">Modalities and levels of funding for the HFC phase-down in the refrigeration servicing </w:t>
      </w:r>
      <w:r w:rsidRPr="00BD71B5">
        <w:t>sector (stage I); and</w:t>
      </w:r>
    </w:p>
    <w:p w:rsidR="009F59B0" w:rsidRPr="00BD71B5" w:rsidRDefault="009F59B0" w:rsidP="003161AE">
      <w:pPr>
        <w:pStyle w:val="Heading2"/>
        <w:numPr>
          <w:ilvl w:val="1"/>
          <w:numId w:val="22"/>
        </w:numPr>
      </w:pPr>
      <w:r w:rsidRPr="00BD71B5">
        <w:t>Recommendation.</w:t>
      </w:r>
    </w:p>
    <w:p w:rsidR="00B02E06" w:rsidRDefault="00ED3F59" w:rsidP="00212C48">
      <w:pPr>
        <w:pStyle w:val="Heading1"/>
        <w:keepNext/>
      </w:pPr>
      <w:r>
        <w:lastRenderedPageBreak/>
        <w:t xml:space="preserve">The present document also contains the following </w:t>
      </w:r>
      <w:r w:rsidR="00B02E06">
        <w:t>Annexes:</w:t>
      </w:r>
    </w:p>
    <w:p w:rsidR="009F59B0" w:rsidRPr="00134E73" w:rsidRDefault="009F59B0" w:rsidP="00212C48">
      <w:pPr>
        <w:pStyle w:val="Heading3"/>
        <w:keepNext/>
        <w:widowControl/>
        <w:numPr>
          <w:ilvl w:val="0"/>
          <w:numId w:val="0"/>
        </w:numPr>
        <w:ind w:left="1440" w:hanging="720"/>
      </w:pPr>
      <w:r w:rsidRPr="00BD71B5">
        <w:t>I</w:t>
      </w:r>
      <w:r w:rsidR="00ED3F59">
        <w:tab/>
      </w:r>
      <w:proofErr w:type="gramStart"/>
      <w:r w:rsidR="00212C48">
        <w:t>A</w:t>
      </w:r>
      <w:r w:rsidRPr="00134E73">
        <w:t>n</w:t>
      </w:r>
      <w:proofErr w:type="gramEnd"/>
      <w:r w:rsidRPr="00134E73">
        <w:t xml:space="preserve"> overview of potential modalities for integrating HCFC phase</w:t>
      </w:r>
      <w:r w:rsidRPr="00134E73">
        <w:noBreakHyphen/>
        <w:t>out and HFC phase</w:t>
      </w:r>
      <w:r w:rsidR="00212C48">
        <w:noBreakHyphen/>
      </w:r>
      <w:r w:rsidRPr="00134E73">
        <w:t>down activities in the refrigeration servicing sect</w:t>
      </w:r>
      <w:r w:rsidR="00212C48">
        <w:t>or</w:t>
      </w:r>
    </w:p>
    <w:p w:rsidR="00556967" w:rsidRPr="00EF1860" w:rsidRDefault="00556967" w:rsidP="00212C48">
      <w:pPr>
        <w:pStyle w:val="Heading3"/>
        <w:numPr>
          <w:ilvl w:val="0"/>
          <w:numId w:val="0"/>
        </w:numPr>
        <w:ind w:left="1440" w:hanging="720"/>
        <w:rPr>
          <w:b/>
        </w:rPr>
      </w:pPr>
      <w:r w:rsidRPr="00134E73">
        <w:rPr>
          <w:b/>
        </w:rPr>
        <w:t>II</w:t>
      </w:r>
      <w:r w:rsidR="00ED3F59" w:rsidRPr="00134E73">
        <w:rPr>
          <w:b/>
        </w:rPr>
        <w:t>:</w:t>
      </w:r>
      <w:r w:rsidR="00ED3F59" w:rsidRPr="00134E73">
        <w:rPr>
          <w:b/>
        </w:rPr>
        <w:tab/>
      </w:r>
      <w:r w:rsidR="00212C48">
        <w:rPr>
          <w:b/>
        </w:rPr>
        <w:t>G</w:t>
      </w:r>
      <w:r w:rsidRPr="00134E73">
        <w:rPr>
          <w:b/>
        </w:rPr>
        <w:t xml:space="preserve">uidelines for the preparation of </w:t>
      </w:r>
      <w:r w:rsidR="00212C48">
        <w:rPr>
          <w:b/>
        </w:rPr>
        <w:t xml:space="preserve">the </w:t>
      </w:r>
      <w:r w:rsidRPr="00134E73">
        <w:rPr>
          <w:b/>
        </w:rPr>
        <w:t>K</w:t>
      </w:r>
      <w:r w:rsidR="00212C48">
        <w:rPr>
          <w:b/>
        </w:rPr>
        <w:t>igali Implementation Plans</w:t>
      </w:r>
      <w:r w:rsidRPr="00134E73">
        <w:rPr>
          <w:b/>
        </w:rPr>
        <w:t xml:space="preserve"> for Article 5 countries</w:t>
      </w:r>
      <w:r w:rsidRPr="00EF1860">
        <w:rPr>
          <w:b/>
        </w:rPr>
        <w:t xml:space="preserve"> </w:t>
      </w:r>
      <w:r w:rsidR="00212C48">
        <w:rPr>
          <w:b/>
        </w:rPr>
        <w:t>(d</w:t>
      </w:r>
      <w:r w:rsidR="00212C48" w:rsidRPr="00134E73">
        <w:rPr>
          <w:b/>
        </w:rPr>
        <w:t>ecision 87/50</w:t>
      </w:r>
      <w:r w:rsidR="00212C48">
        <w:rPr>
          <w:b/>
        </w:rPr>
        <w:t>)</w:t>
      </w:r>
      <w:r w:rsidR="00212C48" w:rsidRPr="00134E73">
        <w:rPr>
          <w:b/>
        </w:rPr>
        <w:t xml:space="preserve"> </w:t>
      </w:r>
    </w:p>
    <w:p w:rsidR="009F59B0" w:rsidRDefault="009F59B0" w:rsidP="003161AE">
      <w:pPr>
        <w:pStyle w:val="Heading2"/>
        <w:numPr>
          <w:ilvl w:val="0"/>
          <w:numId w:val="0"/>
        </w:numPr>
        <w:tabs>
          <w:tab w:val="left" w:pos="720"/>
        </w:tabs>
        <w:rPr>
          <w:b/>
        </w:rPr>
      </w:pPr>
      <w:r>
        <w:rPr>
          <w:b/>
        </w:rPr>
        <w:t>Overview of assistance provided under the Multilateral Fund in the refrigeration servicing sector</w:t>
      </w:r>
    </w:p>
    <w:p w:rsidR="009F59B0" w:rsidRDefault="009F59B0" w:rsidP="003161AE">
      <w:pPr>
        <w:pStyle w:val="Heading1"/>
        <w:numPr>
          <w:ilvl w:val="0"/>
          <w:numId w:val="22"/>
        </w:numPr>
      </w:pPr>
      <w:r>
        <w:t xml:space="preserve">Since its inception, the Multilateral Fund has provided assistance to Article 5 countries to phase out the controlled substances used in the refrigeration servicing sector. </w:t>
      </w:r>
    </w:p>
    <w:p w:rsidR="009F59B0" w:rsidRDefault="009F59B0" w:rsidP="003161AE">
      <w:pPr>
        <w:rPr>
          <w:u w:val="single"/>
        </w:rPr>
      </w:pPr>
      <w:r>
        <w:rPr>
          <w:u w:val="single"/>
        </w:rPr>
        <w:t>Funding levels and modalities for CFC phase-out in the refrigeration servicing sector</w:t>
      </w:r>
    </w:p>
    <w:p w:rsidR="009F59B0" w:rsidRDefault="009F59B0" w:rsidP="003161AE"/>
    <w:p w:rsidR="009F59B0" w:rsidRDefault="009F59B0" w:rsidP="003161AE">
      <w:pPr>
        <w:pStyle w:val="Heading1"/>
        <w:numPr>
          <w:ilvl w:val="0"/>
          <w:numId w:val="22"/>
        </w:numPr>
      </w:pPr>
      <w: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9F59B0" w:rsidRDefault="009F59B0" w:rsidP="003161AE">
      <w:pPr>
        <w:pStyle w:val="Heading1"/>
        <w:numPr>
          <w:ilvl w:val="0"/>
          <w:numId w:val="22"/>
        </w:numPr>
      </w:pPr>
      <w:r>
        <w:t>As the CFC phase-out progressed, the stand-alone projects were subsumed into a holistic funding plan applicable to LVC countries: a refrigerant management plan (RMP). The RMP was a country</w:t>
      </w:r>
      <w:r>
        <w:noBreakHyphen/>
        <w:t>driven approach that allowed flexibility on the implementation of activities that would enable the relevant country to meet its compliance obligations under the Montreal Protocol. Subsequently, countries could submit an RMP update to achieve 50 per cent and 85 per cent reductions from the CFC consumption baseline in 2005 and 2007, respectively. Finally, to achieve the complete phase</w:t>
      </w:r>
      <w:r>
        <w:noBreakHyphen/>
        <w:t>out of CFCs, terminal phase</w:t>
      </w:r>
      <w:r>
        <w:noBreakHyphen/>
        <w:t>out management plans (TPMPs) were developed for LVC countries and national phase-out plans (NPPs) for non</w:t>
      </w:r>
      <w:r w:rsidR="00E449ED">
        <w:noBreakHyphen/>
      </w:r>
      <w:r>
        <w:t>LVC countries, as performance-based agreements following the country</w:t>
      </w:r>
      <w:r>
        <w:noBreakHyphen/>
        <w:t xml:space="preserve">driven approach. Funding for these plans was provided in tranches upon verification of compliance with specific consumption targets. </w:t>
      </w:r>
    </w:p>
    <w:p w:rsidR="009F59B0" w:rsidRDefault="009F59B0" w:rsidP="003161AE">
      <w:pPr>
        <w:pStyle w:val="Heading1"/>
        <w:widowControl w:val="0"/>
        <w:numPr>
          <w:ilvl w:val="0"/>
          <w:numId w:val="22"/>
        </w:numPr>
      </w:pPr>
      <w:r>
        <w:t>The funding levels for RMP updates, TPMPs and NPPs were pre</w:t>
      </w:r>
      <w:r>
        <w:noBreakHyphen/>
        <w:t>determined by the Executive Committee, rather than allocated on a case-by-case basis, and are summarized in Table 1.</w:t>
      </w:r>
      <w:r>
        <w:rPr>
          <w:sz w:val="18"/>
          <w:szCs w:val="18"/>
        </w:rPr>
        <w:t xml:space="preserve"> </w:t>
      </w:r>
    </w:p>
    <w:p w:rsidR="009F59B0" w:rsidRDefault="009F59B0" w:rsidP="003161AE">
      <w:pPr>
        <w:pStyle w:val="Heading1"/>
        <w:numPr>
          <w:ilvl w:val="0"/>
          <w:numId w:val="0"/>
        </w:numPr>
        <w:tabs>
          <w:tab w:val="left" w:pos="720"/>
        </w:tabs>
        <w:spacing w:after="0"/>
        <w:rPr>
          <w:b/>
        </w:rPr>
      </w:pPr>
      <w:r>
        <w:rPr>
          <w:b/>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332"/>
        <w:gridCol w:w="878"/>
        <w:gridCol w:w="969"/>
        <w:gridCol w:w="1938"/>
        <w:gridCol w:w="2261"/>
        <w:gridCol w:w="2066"/>
      </w:tblGrid>
      <w:tr w:rsidR="009F59B0" w:rsidTr="003161AE">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9F59B0" w:rsidRDefault="009F59B0">
            <w:pPr>
              <w:jc w:val="center"/>
              <w:rPr>
                <w:b/>
                <w:sz w:val="20"/>
                <w:szCs w:val="20"/>
              </w:rPr>
            </w:pPr>
            <w:r>
              <w:rPr>
                <w:b/>
                <w:sz w:val="20"/>
                <w:szCs w:val="20"/>
              </w:rPr>
              <w:t>Commitment</w:t>
            </w:r>
          </w:p>
        </w:tc>
      </w:tr>
      <w:tr w:rsidR="009F59B0" w:rsidTr="003161AE">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9F59B0" w:rsidRDefault="009F59B0">
            <w:pPr>
              <w:jc w:val="left"/>
              <w:rPr>
                <w:sz w:val="20"/>
                <w:szCs w:val="20"/>
              </w:rPr>
            </w:pPr>
            <w:r>
              <w:rPr>
                <w:sz w:val="20"/>
                <w:szCs w:val="20"/>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Reduce a specific tonnage of CFC consumption proposed in the project</w:t>
            </w:r>
          </w:p>
        </w:tc>
      </w:tr>
      <w:tr w:rsidR="009F59B0" w:rsidTr="003161AE">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9F59B0" w:rsidRDefault="009F59B0">
            <w:pPr>
              <w:jc w:val="left"/>
              <w:rPr>
                <w:sz w:val="20"/>
                <w:szCs w:val="20"/>
              </w:rPr>
            </w:pPr>
            <w:r>
              <w:rPr>
                <w:sz w:val="20"/>
                <w:szCs w:val="20"/>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Reduce a specific tonnage of CFC consumption proposed in the project, supported by a policy and regulatory framework, with phase</w:t>
            </w:r>
            <w:r>
              <w:rPr>
                <w:sz w:val="20"/>
                <w:szCs w:val="20"/>
              </w:rPr>
              <w:noBreakHyphen/>
              <w:t>out activities</w:t>
            </w:r>
          </w:p>
        </w:tc>
      </w:tr>
      <w:tr w:rsidR="009F59B0" w:rsidTr="003161AE">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9F59B0" w:rsidRDefault="009F59B0">
            <w:pPr>
              <w:jc w:val="left"/>
              <w:rPr>
                <w:sz w:val="20"/>
                <w:szCs w:val="20"/>
              </w:rPr>
            </w:pPr>
            <w:r>
              <w:rPr>
                <w:sz w:val="20"/>
                <w:szCs w:val="20"/>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rsidP="003161AE">
            <w:pPr>
              <w:jc w:val="left"/>
              <w:rPr>
                <w:sz w:val="20"/>
                <w:szCs w:val="20"/>
              </w:rPr>
            </w:pPr>
            <w:r>
              <w:rPr>
                <w:sz w:val="20"/>
                <w:szCs w:val="20"/>
              </w:rPr>
              <w:t>To achieve the 50 per cent (2005) and 85 per cent (2007) reduction CFC phase</w:t>
            </w:r>
            <w:r>
              <w:rPr>
                <w:sz w:val="20"/>
                <w:szCs w:val="20"/>
              </w:rPr>
              <w:noBreakHyphen/>
              <w:t>out targets</w:t>
            </w:r>
          </w:p>
        </w:tc>
      </w:tr>
      <w:tr w:rsidR="009F59B0" w:rsidTr="003161AE">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lastRenderedPageBreak/>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9F59B0" w:rsidRDefault="009F59B0">
            <w:pPr>
              <w:jc w:val="left"/>
              <w:rPr>
                <w:sz w:val="20"/>
                <w:szCs w:val="20"/>
              </w:rPr>
            </w:pPr>
            <w:r>
              <w:rPr>
                <w:sz w:val="20"/>
                <w:szCs w:val="20"/>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9F59B0" w:rsidRDefault="009F59B0">
            <w:pPr>
              <w:jc w:val="left"/>
              <w:rPr>
                <w:sz w:val="20"/>
                <w:szCs w:val="20"/>
              </w:rPr>
            </w:pPr>
            <w:r>
              <w:rPr>
                <w:sz w:val="20"/>
                <w:szCs w:val="20"/>
              </w:rPr>
              <w:t>Below 15 </w:t>
            </w:r>
            <w:proofErr w:type="spellStart"/>
            <w:r>
              <w:rPr>
                <w:sz w:val="20"/>
                <w:szCs w:val="20"/>
              </w:rPr>
              <w:t>mt</w:t>
            </w:r>
            <w:proofErr w:type="spellEnd"/>
            <w:r>
              <w:rPr>
                <w:sz w:val="20"/>
                <w:szCs w:val="20"/>
              </w:rPr>
              <w:t>: US $205,000</w:t>
            </w:r>
          </w:p>
          <w:p w:rsidR="009F59B0" w:rsidRDefault="009F59B0">
            <w:pPr>
              <w:jc w:val="left"/>
              <w:rPr>
                <w:sz w:val="20"/>
                <w:szCs w:val="20"/>
              </w:rPr>
            </w:pPr>
            <w:r>
              <w:rPr>
                <w:sz w:val="20"/>
                <w:szCs w:val="20"/>
              </w:rPr>
              <w:t>15 to 30 </w:t>
            </w:r>
            <w:proofErr w:type="spellStart"/>
            <w:r>
              <w:rPr>
                <w:sz w:val="20"/>
                <w:szCs w:val="20"/>
              </w:rPr>
              <w:t>mt</w:t>
            </w:r>
            <w:proofErr w:type="spellEnd"/>
            <w:r>
              <w:rPr>
                <w:sz w:val="20"/>
                <w:szCs w:val="20"/>
              </w:rPr>
              <w:t>: US $295,000</w:t>
            </w:r>
          </w:p>
          <w:p w:rsidR="009F59B0" w:rsidRDefault="009F59B0">
            <w:pPr>
              <w:jc w:val="left"/>
              <w:rPr>
                <w:sz w:val="20"/>
                <w:szCs w:val="20"/>
              </w:rPr>
            </w:pPr>
            <w:r>
              <w:rPr>
                <w:sz w:val="20"/>
                <w:szCs w:val="20"/>
              </w:rPr>
              <w:t>30 to 60 </w:t>
            </w:r>
            <w:proofErr w:type="spellStart"/>
            <w:r>
              <w:rPr>
                <w:sz w:val="20"/>
                <w:szCs w:val="20"/>
              </w:rPr>
              <w:t>mt</w:t>
            </w:r>
            <w:proofErr w:type="spellEnd"/>
            <w:r>
              <w:rPr>
                <w:sz w:val="20"/>
                <w:szCs w:val="20"/>
              </w:rPr>
              <w:t>: US $345,000</w:t>
            </w:r>
          </w:p>
          <w:p w:rsidR="009F59B0" w:rsidRDefault="009F59B0">
            <w:pPr>
              <w:jc w:val="left"/>
              <w:rPr>
                <w:sz w:val="20"/>
                <w:szCs w:val="20"/>
              </w:rPr>
            </w:pPr>
            <w:r>
              <w:rPr>
                <w:sz w:val="20"/>
                <w:szCs w:val="20"/>
              </w:rPr>
              <w:t>60 to 120 </w:t>
            </w:r>
            <w:proofErr w:type="spellStart"/>
            <w:r>
              <w:rPr>
                <w:sz w:val="20"/>
                <w:szCs w:val="20"/>
              </w:rPr>
              <w:t>mt</w:t>
            </w:r>
            <w:proofErr w:type="spellEnd"/>
            <w:r>
              <w:rPr>
                <w:sz w:val="20"/>
                <w:szCs w:val="20"/>
              </w:rPr>
              <w:t>: US $520,000</w:t>
            </w:r>
          </w:p>
          <w:p w:rsidR="009F59B0" w:rsidRDefault="00E449ED">
            <w:pPr>
              <w:jc w:val="left"/>
              <w:rPr>
                <w:sz w:val="20"/>
                <w:szCs w:val="20"/>
              </w:rPr>
            </w:pPr>
            <w:r>
              <w:rPr>
                <w:sz w:val="20"/>
                <w:szCs w:val="20"/>
              </w:rPr>
              <w:t>Over</w:t>
            </w:r>
            <w:r w:rsidR="009F59B0">
              <w:rPr>
                <w:sz w:val="20"/>
                <w:szCs w:val="20"/>
              </w:rPr>
              <w:t xml:space="preserve"> 120 </w:t>
            </w:r>
            <w:proofErr w:type="spellStart"/>
            <w:r w:rsidR="009F59B0">
              <w:rPr>
                <w:sz w:val="20"/>
                <w:szCs w:val="20"/>
              </w:rPr>
              <w:t>mt</w:t>
            </w:r>
            <w:proofErr w:type="spellEnd"/>
            <w:r w:rsidR="009F59B0">
              <w:rPr>
                <w:sz w:val="20"/>
                <w:szCs w:val="20"/>
              </w:rPr>
              <w:t>: US $565,000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Performance-based; annual targets up to total CFC phase-out</w:t>
            </w:r>
          </w:p>
        </w:tc>
      </w:tr>
      <w:tr w:rsidR="009F59B0" w:rsidTr="003161AE">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9F59B0" w:rsidRDefault="009F59B0">
            <w:pPr>
              <w:jc w:val="left"/>
              <w:rPr>
                <w:sz w:val="20"/>
                <w:szCs w:val="20"/>
              </w:rPr>
            </w:pPr>
            <w:r>
              <w:rPr>
                <w:sz w:val="20"/>
                <w:szCs w:val="20"/>
              </w:rPr>
              <w:t>Fixed cost</w:t>
            </w:r>
            <w:r>
              <w:rPr>
                <w:sz w:val="20"/>
                <w:szCs w:val="20"/>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 xml:space="preserve">US $5.00/kg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9F59B0" w:rsidRDefault="009F59B0">
            <w:pPr>
              <w:jc w:val="left"/>
              <w:rPr>
                <w:sz w:val="20"/>
                <w:szCs w:val="20"/>
              </w:rPr>
            </w:pPr>
            <w:r>
              <w:rPr>
                <w:sz w:val="20"/>
                <w:szCs w:val="20"/>
              </w:rPr>
              <w:t>Performance-based; total CFC phase-out</w:t>
            </w:r>
          </w:p>
        </w:tc>
      </w:tr>
    </w:tbl>
    <w:p w:rsidR="009F59B0" w:rsidRDefault="009F59B0" w:rsidP="003161AE">
      <w:pPr>
        <w:outlineLvl w:val="0"/>
        <w:rPr>
          <w:u w:val="single"/>
        </w:rPr>
      </w:pPr>
    </w:p>
    <w:p w:rsidR="009F59B0" w:rsidRDefault="009F59B0" w:rsidP="003161AE">
      <w:pPr>
        <w:rPr>
          <w:u w:val="single"/>
        </w:rPr>
      </w:pPr>
      <w:r>
        <w:rPr>
          <w:u w:val="single"/>
        </w:rPr>
        <w:t>Funding levels and modalities for HCFC phase-out in the refrigeration servicing sector</w:t>
      </w:r>
    </w:p>
    <w:p w:rsidR="009F59B0" w:rsidRDefault="009F59B0" w:rsidP="003161AE">
      <w:pPr>
        <w:outlineLvl w:val="0"/>
        <w:rPr>
          <w:u w:val="single"/>
        </w:rPr>
      </w:pPr>
    </w:p>
    <w:p w:rsidR="009F59B0" w:rsidRDefault="009F59B0" w:rsidP="003161AE">
      <w:pPr>
        <w:pStyle w:val="Heading1"/>
        <w:numPr>
          <w:ilvl w:val="0"/>
          <w:numId w:val="22"/>
        </w:numPr>
      </w:pPr>
      <w: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9F59B0" w:rsidRDefault="009F59B0" w:rsidP="003161AE">
      <w:pPr>
        <w:pStyle w:val="Heading1"/>
        <w:numPr>
          <w:ilvl w:val="0"/>
          <w:numId w:val="22"/>
        </w:numPr>
      </w:pPr>
      <w:r>
        <w:t>The funding levels and modalities for the phase</w:t>
      </w:r>
      <w:r>
        <w:noBreakHyphen/>
        <w:t>out of HCFCs in the refrigeration servicing sector were determined by decision 60/44 for stage I of the HPMPs, and decision 74/50 for stage II of the HPMPs. In line with these decisions:</w:t>
      </w:r>
    </w:p>
    <w:p w:rsidR="009F59B0" w:rsidRDefault="009F59B0" w:rsidP="003161AE">
      <w:pPr>
        <w:pStyle w:val="Heading2"/>
        <w:keepNext/>
        <w:widowControl/>
        <w:numPr>
          <w:ilvl w:val="1"/>
          <w:numId w:val="22"/>
        </w:numPr>
      </w:pPr>
      <w:r>
        <w:t>Funding levels for LVC countries (i.e., countries with HCFC consumption below 360 metric tonnes (</w:t>
      </w:r>
      <w:proofErr w:type="spellStart"/>
      <w:r>
        <w:t>mt</w:t>
      </w:r>
      <w:proofErr w:type="spellEnd"/>
      <w:r>
        <w:t>) in the refrigeration servicing sector only) were agreed based on the HCFC baseline for compliance as shown in Table 2; and</w:t>
      </w:r>
    </w:p>
    <w:p w:rsidR="009F59B0" w:rsidRDefault="009F59B0" w:rsidP="003161AE">
      <w:pPr>
        <w:pStyle w:val="Heading2"/>
        <w:numPr>
          <w:ilvl w:val="1"/>
          <w:numId w:val="22"/>
        </w:numPr>
      </w:pPr>
      <w:r>
        <w:t>Funding for non-LVC countries was agreed at US $4.50/metric kg for stage I and US $4.80/metric kg for stage II.</w:t>
      </w:r>
    </w:p>
    <w:p w:rsidR="009F59B0" w:rsidRDefault="009F59B0" w:rsidP="003161AE">
      <w:pPr>
        <w:keepNext/>
        <w:outlineLvl w:val="0"/>
      </w:pPr>
      <w:r>
        <w:rPr>
          <w:b/>
        </w:rPr>
        <w:t>Table 2. Funding for HCFC phase-out in the refrigeration servicing sector for LVC countries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9F59B0" w:rsidTr="00F2394E">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E449ED" w:rsidRDefault="009F59B0">
            <w:pPr>
              <w:widowControl w:val="0"/>
              <w:jc w:val="center"/>
              <w:rPr>
                <w:b/>
                <w:color w:val="000000" w:themeColor="text1"/>
                <w:sz w:val="20"/>
                <w:szCs w:val="20"/>
              </w:rPr>
            </w:pPr>
            <w:r>
              <w:rPr>
                <w:b/>
                <w:color w:val="000000" w:themeColor="text1"/>
                <w:sz w:val="20"/>
                <w:szCs w:val="20"/>
              </w:rPr>
              <w:t>HCFC baseline (</w:t>
            </w:r>
            <w:proofErr w:type="spellStart"/>
            <w:r>
              <w:rPr>
                <w:b/>
                <w:color w:val="000000" w:themeColor="text1"/>
                <w:sz w:val="20"/>
                <w:szCs w:val="20"/>
              </w:rPr>
              <w:t>mt</w:t>
            </w:r>
            <w:proofErr w:type="spellEnd"/>
            <w:r>
              <w:rPr>
                <w:b/>
                <w:color w:val="000000" w:themeColor="text1"/>
                <w:sz w:val="20"/>
                <w:szCs w:val="20"/>
              </w:rPr>
              <w:t>)</w:t>
            </w:r>
          </w:p>
          <w:p w:rsidR="009F59B0" w:rsidRDefault="009F59B0">
            <w:pPr>
              <w:widowControl w:val="0"/>
              <w:jc w:val="center"/>
              <w:rPr>
                <w:b/>
                <w:color w:val="000000" w:themeColor="text1"/>
                <w:sz w:val="20"/>
                <w:szCs w:val="20"/>
              </w:rPr>
            </w:pPr>
            <w:r>
              <w:rPr>
                <w:b/>
                <w:color w:val="000000" w:themeColor="text1"/>
                <w:sz w:val="20"/>
                <w:szCs w:val="20"/>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9F59B0" w:rsidRDefault="009F59B0">
            <w:pPr>
              <w:keepNext/>
              <w:jc w:val="center"/>
              <w:rPr>
                <w:b/>
                <w:color w:val="000000" w:themeColor="text1"/>
                <w:sz w:val="20"/>
                <w:szCs w:val="20"/>
              </w:rPr>
            </w:pPr>
            <w:r>
              <w:rPr>
                <w:b/>
                <w:color w:val="000000" w:themeColor="text1"/>
                <w:sz w:val="20"/>
                <w:szCs w:val="20"/>
              </w:rPr>
              <w:t>Funding (US $)</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9F59B0" w:rsidRDefault="009F59B0">
            <w:pPr>
              <w:keepNext/>
              <w:jc w:val="center"/>
              <w:rPr>
                <w:b/>
                <w:color w:val="000000" w:themeColor="text1"/>
                <w:sz w:val="20"/>
                <w:szCs w:val="20"/>
              </w:rPr>
            </w:pPr>
            <w:r>
              <w:rPr>
                <w:b/>
                <w:color w:val="000000" w:themeColor="text1"/>
                <w:sz w:val="20"/>
                <w:szCs w:val="20"/>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E449ED" w:rsidRDefault="009F59B0">
            <w:pPr>
              <w:keepNext/>
              <w:jc w:val="center"/>
              <w:rPr>
                <w:b/>
                <w:color w:val="000000"/>
                <w:sz w:val="20"/>
                <w:szCs w:val="20"/>
              </w:rPr>
            </w:pPr>
            <w:r>
              <w:rPr>
                <w:b/>
                <w:color w:val="000000"/>
                <w:sz w:val="20"/>
                <w:szCs w:val="20"/>
              </w:rPr>
              <w:t>Consumption (</w:t>
            </w:r>
            <w:proofErr w:type="spellStart"/>
            <w:r>
              <w:rPr>
                <w:b/>
                <w:color w:val="000000"/>
                <w:sz w:val="20"/>
                <w:szCs w:val="20"/>
              </w:rPr>
              <w:t>mt</w:t>
            </w:r>
            <w:proofErr w:type="spellEnd"/>
            <w:r>
              <w:rPr>
                <w:b/>
                <w:color w:val="000000"/>
                <w:sz w:val="20"/>
                <w:szCs w:val="20"/>
              </w:rPr>
              <w:t>)</w:t>
            </w:r>
          </w:p>
          <w:p w:rsidR="009F59B0" w:rsidRDefault="009F59B0">
            <w:pPr>
              <w:keepNext/>
              <w:jc w:val="center"/>
              <w:rPr>
                <w:b/>
                <w:color w:val="000000"/>
                <w:sz w:val="20"/>
                <w:szCs w:val="20"/>
              </w:rPr>
            </w:pPr>
            <w:r>
              <w:rPr>
                <w:b/>
                <w:color w:val="000000"/>
                <w:sz w:val="20"/>
                <w:szCs w:val="2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9F59B0" w:rsidRDefault="009F59B0">
            <w:pPr>
              <w:keepNext/>
              <w:jc w:val="center"/>
              <w:rPr>
                <w:b/>
                <w:color w:val="000000" w:themeColor="text1"/>
                <w:sz w:val="20"/>
                <w:szCs w:val="20"/>
              </w:rPr>
            </w:pPr>
            <w:r>
              <w:rPr>
                <w:b/>
                <w:color w:val="000000" w:themeColor="text1"/>
                <w:sz w:val="20"/>
                <w:szCs w:val="20"/>
              </w:rPr>
              <w:t>Estimated cost (US $)</w:t>
            </w:r>
          </w:p>
        </w:tc>
      </w:tr>
      <w:tr w:rsidR="009F59B0" w:rsidTr="00F2394E">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9F59B0" w:rsidRDefault="009F59B0">
            <w:pPr>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keepNext/>
              <w:jc w:val="center"/>
              <w:rPr>
                <w:color w:val="000000" w:themeColor="text1"/>
                <w:sz w:val="20"/>
                <w:szCs w:val="20"/>
              </w:rPr>
            </w:pPr>
            <w:r>
              <w:rPr>
                <w:b/>
                <w:color w:val="000000" w:themeColor="text1"/>
                <w:sz w:val="20"/>
                <w:szCs w:val="20"/>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keepNext/>
              <w:jc w:val="center"/>
              <w:rPr>
                <w:color w:val="000000" w:themeColor="text1"/>
                <w:sz w:val="20"/>
                <w:szCs w:val="20"/>
              </w:rPr>
            </w:pPr>
            <w:r>
              <w:rPr>
                <w:b/>
                <w:color w:val="000000" w:themeColor="text1"/>
                <w:sz w:val="20"/>
                <w:szCs w:val="20"/>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keepNext/>
              <w:jc w:val="center"/>
              <w:rPr>
                <w:color w:val="000000" w:themeColor="text1"/>
                <w:sz w:val="20"/>
                <w:szCs w:val="20"/>
              </w:rPr>
            </w:pPr>
            <w:r>
              <w:rPr>
                <w:b/>
                <w:color w:val="000000" w:themeColor="text1"/>
                <w:sz w:val="20"/>
                <w:szCs w:val="20"/>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9F59B0" w:rsidRDefault="009F59B0">
            <w:pPr>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rsidR="009F59B0" w:rsidRDefault="009F59B0">
            <w:pPr>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9F59B0" w:rsidRDefault="009F59B0">
            <w:pPr>
              <w:jc w:val="left"/>
              <w:rPr>
                <w:b/>
                <w:color w:val="000000" w:themeColor="text1"/>
                <w:sz w:val="20"/>
                <w:szCs w:val="20"/>
              </w:rPr>
            </w:pP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rsidP="003161AE">
            <w:pPr>
              <w:keepNext/>
              <w:jc w:val="righ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12,337,500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12,750,000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10,400,000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keepNext/>
              <w:jc w:val="right"/>
              <w:rPr>
                <w:color w:val="000000" w:themeColor="text1"/>
                <w:sz w:val="20"/>
                <w:szCs w:val="20"/>
              </w:rPr>
            </w:pPr>
            <w:r>
              <w:rPr>
                <w:color w:val="000000"/>
                <w:sz w:val="20"/>
                <w:szCs w:val="20"/>
              </w:rPr>
              <w:t>9,000,000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8,550,000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3,000,000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19,200,000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Default="009F59B0">
            <w:pPr>
              <w:widowControl w:val="0"/>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Default="009F59B0">
            <w:pPr>
              <w:widowControl w:val="0"/>
              <w:jc w:val="right"/>
              <w:rPr>
                <w:color w:val="000000" w:themeColor="text1"/>
                <w:sz w:val="20"/>
                <w:szCs w:val="20"/>
              </w:rPr>
            </w:pPr>
            <w:r>
              <w:rPr>
                <w:color w:val="000000"/>
                <w:sz w:val="20"/>
                <w:szCs w:val="20"/>
              </w:rPr>
              <w:t>3,600,000</w:t>
            </w:r>
          </w:p>
        </w:tc>
      </w:tr>
      <w:tr w:rsidR="009F59B0" w:rsidTr="00F2394E">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9F59B0" w:rsidRPr="0009550D" w:rsidRDefault="009F59B0">
            <w:pPr>
              <w:widowControl w:val="0"/>
              <w:rPr>
                <w:b/>
                <w:color w:val="000000" w:themeColor="text1"/>
                <w:sz w:val="20"/>
                <w:szCs w:val="20"/>
              </w:rPr>
            </w:pPr>
            <w:r w:rsidRPr="0009550D">
              <w:rPr>
                <w:b/>
                <w:color w:val="000000" w:themeColor="text1"/>
                <w:sz w:val="20"/>
                <w:szCs w:val="20"/>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9F59B0" w:rsidRDefault="009F59B0">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9F59B0" w:rsidRDefault="009F59B0">
            <w:pPr>
              <w:widowControl w:val="0"/>
              <w:jc w:val="righ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9F59B0" w:rsidRDefault="009F59B0">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Pr="0009550D" w:rsidRDefault="009F59B0">
            <w:pPr>
              <w:widowControl w:val="0"/>
              <w:jc w:val="righ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9F59B0" w:rsidRPr="0009550D" w:rsidRDefault="009F59B0">
            <w:pPr>
              <w:widowControl w:val="0"/>
              <w:jc w:val="righ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9F59B0" w:rsidRPr="0009550D" w:rsidRDefault="009F59B0">
            <w:pPr>
              <w:widowControl w:val="0"/>
              <w:jc w:val="right"/>
              <w:rPr>
                <w:b/>
                <w:color w:val="000000" w:themeColor="text1"/>
                <w:sz w:val="20"/>
                <w:szCs w:val="20"/>
              </w:rPr>
            </w:pPr>
            <w:r w:rsidRPr="0009550D">
              <w:rPr>
                <w:b/>
                <w:color w:val="000000"/>
                <w:sz w:val="20"/>
                <w:szCs w:val="20"/>
              </w:rPr>
              <w:t>78,837,500</w:t>
            </w:r>
          </w:p>
        </w:tc>
      </w:tr>
    </w:tbl>
    <w:p w:rsidR="009F59B0" w:rsidRDefault="009F59B0" w:rsidP="003161AE">
      <w:pPr>
        <w:rPr>
          <w:sz w:val="19"/>
          <w:szCs w:val="19"/>
        </w:rPr>
      </w:pPr>
      <w:r>
        <w:rPr>
          <w:sz w:val="19"/>
          <w:szCs w:val="19"/>
        </w:rPr>
        <w:t>* Level of HCFC baseline consumption in the refrigeration servicing sector.</w:t>
      </w:r>
    </w:p>
    <w:p w:rsidR="009F59B0" w:rsidRDefault="009F59B0" w:rsidP="003161AE">
      <w:pPr>
        <w:rPr>
          <w:sz w:val="19"/>
          <w:szCs w:val="19"/>
        </w:rPr>
      </w:pPr>
      <w:r>
        <w:rPr>
          <w:sz w:val="19"/>
          <w:szCs w:val="19"/>
        </w:rPr>
        <w:t>**Estimated consumption calculated as the average consumption in each group of countries multiplied by the number of countries in that group.</w:t>
      </w:r>
    </w:p>
    <w:p w:rsidR="009F59B0" w:rsidRDefault="009F59B0" w:rsidP="003161AE"/>
    <w:p w:rsidR="009F59B0" w:rsidRPr="00427339" w:rsidRDefault="009F59B0" w:rsidP="003161AE">
      <w:pPr>
        <w:pStyle w:val="Heading1"/>
        <w:numPr>
          <w:ilvl w:val="0"/>
          <w:numId w:val="22"/>
        </w:numPr>
      </w:pPr>
      <w:r>
        <w:t xml:space="preserve">Since </w:t>
      </w:r>
      <w:r w:rsidRPr="00427339">
        <w:t>the approval of the first HPMP at the 60</w:t>
      </w:r>
      <w:r w:rsidRPr="00427339">
        <w:rPr>
          <w:vertAlign w:val="superscript"/>
        </w:rPr>
        <w:t>th</w:t>
      </w:r>
      <w:r w:rsidRPr="00427339">
        <w:t xml:space="preserve"> meeting, the Executive Committee has approved stages I, II and III of HPMPs for 145, </w:t>
      </w:r>
      <w:r w:rsidR="00E53C31" w:rsidRPr="00427339">
        <w:t>8</w:t>
      </w:r>
      <w:r w:rsidR="00070F6C" w:rsidRPr="00427339">
        <w:t>4</w:t>
      </w:r>
      <w:r w:rsidRPr="00427339">
        <w:t xml:space="preserve"> and three Article 5 countries, respectively. An additional </w:t>
      </w:r>
      <w:r w:rsidR="0004230A" w:rsidRPr="00427339">
        <w:t>43</w:t>
      </w:r>
      <w:r w:rsidRPr="00427339">
        <w:t> countries are preparing stages II or III that will be submitted in future meetings. Implementation of the already approved HPMPs will result in the phase</w:t>
      </w:r>
      <w:r w:rsidRPr="00427339">
        <w:noBreakHyphen/>
        <w:t xml:space="preserve">out of approximately </w:t>
      </w:r>
      <w:r w:rsidR="00E53C31" w:rsidRPr="00427339">
        <w:t xml:space="preserve">72 </w:t>
      </w:r>
      <w:r w:rsidRPr="00427339">
        <w:t xml:space="preserve">per cent of the starting point for </w:t>
      </w:r>
      <w:r w:rsidRPr="00427339">
        <w:lastRenderedPageBreak/>
        <w:t>aggregate reduction of HCFC consumption, and 86 per cent of the consumption of HCFC-141b contained in imported pre-blended polyols.</w:t>
      </w:r>
      <w:r w:rsidRPr="00427339">
        <w:rPr>
          <w:rStyle w:val="FootnoteReference"/>
        </w:rPr>
        <w:footnoteReference w:id="16"/>
      </w:r>
    </w:p>
    <w:p w:rsidR="009F59B0" w:rsidRDefault="009F59B0" w:rsidP="00ED3F59">
      <w:pPr>
        <w:pStyle w:val="Heading1"/>
        <w:widowControl w:val="0"/>
        <w:numPr>
          <w:ilvl w:val="0"/>
          <w:numId w:val="22"/>
        </w:numPr>
      </w:pPr>
      <w:r w:rsidRPr="00427339">
        <w:t>The total funding that has been approved in principle for the phase</w:t>
      </w:r>
      <w:r w:rsidRPr="00427339">
        <w:noBreakHyphen/>
        <w:t>out of HCFCs in the refrigeration servicing sector amounts to approximately US $</w:t>
      </w:r>
      <w:r w:rsidR="00C17DAA" w:rsidRPr="00427339">
        <w:t>202.2</w:t>
      </w:r>
      <w:r w:rsidRPr="00427339">
        <w:t xml:space="preserve"> million (including US $24.0 million for</w:t>
      </w:r>
      <w:r>
        <w:t xml:space="preserve"> one country). An additional </w:t>
      </w:r>
      <w:r w:rsidRPr="00EF1860">
        <w:t>amount of up to US $</w:t>
      </w:r>
      <w:r w:rsidR="00C17DAA" w:rsidRPr="00EF1860">
        <w:t>572.8</w:t>
      </w:r>
      <w:r w:rsidRPr="00EF1860">
        <w:t xml:space="preserve"> million (including up to US</w:t>
      </w:r>
      <w:r>
        <w:t> $155.7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 74/50.</w:t>
      </w:r>
    </w:p>
    <w:p w:rsidR="009F59B0" w:rsidRPr="00A745CF" w:rsidRDefault="009F59B0" w:rsidP="00F2394E">
      <w:pPr>
        <w:keepNext/>
        <w:rPr>
          <w:b/>
        </w:rPr>
      </w:pPr>
      <w:r w:rsidRPr="00A745CF">
        <w:rPr>
          <w:b/>
        </w:rPr>
        <w:t>Table 3. Funding for the phase</w:t>
      </w:r>
      <w:r w:rsidRPr="00A745CF">
        <w:rPr>
          <w:b/>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9F59B0" w:rsidTr="00ED3F59">
        <w:tc>
          <w:tcPr>
            <w:tcW w:w="624" w:type="pct"/>
            <w:vMerge w:val="restart"/>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left"/>
              <w:rPr>
                <w:b/>
                <w:bCs/>
                <w:color w:val="000000"/>
                <w:sz w:val="20"/>
                <w:szCs w:val="20"/>
              </w:rPr>
            </w:pPr>
            <w:r>
              <w:rPr>
                <w:b/>
                <w:bCs/>
                <w:color w:val="000000"/>
                <w:sz w:val="20"/>
                <w:szCs w:val="20"/>
              </w:rPr>
              <w:t>Countries</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center"/>
              <w:rPr>
                <w:b/>
                <w:bCs/>
                <w:color w:val="000000"/>
                <w:sz w:val="20"/>
                <w:szCs w:val="20"/>
              </w:rPr>
            </w:pPr>
            <w:r>
              <w:rPr>
                <w:b/>
                <w:bCs/>
                <w:color w:val="000000"/>
                <w:sz w:val="20"/>
                <w:szCs w:val="20"/>
              </w:rPr>
              <w:t>Number of countries</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center"/>
              <w:rPr>
                <w:b/>
                <w:bCs/>
                <w:color w:val="000000"/>
                <w:sz w:val="20"/>
                <w:szCs w:val="20"/>
              </w:rPr>
            </w:pPr>
            <w:r>
              <w:rPr>
                <w:b/>
                <w:bCs/>
                <w:color w:val="000000"/>
                <w:sz w:val="20"/>
                <w:szCs w:val="20"/>
              </w:rPr>
              <w:t>Baseline servicing sector (</w:t>
            </w:r>
            <w:proofErr w:type="spellStart"/>
            <w:r>
              <w:rPr>
                <w:b/>
                <w:bCs/>
                <w:color w:val="000000"/>
                <w:sz w:val="20"/>
                <w:szCs w:val="20"/>
              </w:rPr>
              <w:t>mt</w:t>
            </w:r>
            <w:proofErr w:type="spellEnd"/>
            <w:r>
              <w:rPr>
                <w:b/>
                <w:bCs/>
                <w:color w:val="000000"/>
                <w:sz w:val="20"/>
                <w:szCs w:val="20"/>
              </w:rPr>
              <w:t>)*</w:t>
            </w:r>
          </w:p>
        </w:tc>
        <w:tc>
          <w:tcPr>
            <w:tcW w:w="3030" w:type="pct"/>
            <w:gridSpan w:val="2"/>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center"/>
              <w:rPr>
                <w:b/>
                <w:bCs/>
                <w:color w:val="000000"/>
                <w:sz w:val="20"/>
                <w:szCs w:val="20"/>
              </w:rPr>
            </w:pPr>
            <w:r>
              <w:rPr>
                <w:b/>
                <w:bCs/>
                <w:color w:val="000000"/>
                <w:sz w:val="20"/>
                <w:szCs w:val="20"/>
              </w:rPr>
              <w:t>Total funding (US $)</w:t>
            </w:r>
          </w:p>
        </w:tc>
      </w:tr>
      <w:tr w:rsidR="009F59B0" w:rsidTr="00ED3F59">
        <w:tc>
          <w:tcPr>
            <w:tcW w:w="624" w:type="pct"/>
            <w:vMerge/>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left"/>
              <w:rPr>
                <w:b/>
                <w:bCs/>
                <w:color w:val="000000"/>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center"/>
              <w:rPr>
                <w:b/>
                <w:bCs/>
                <w:color w:val="000000"/>
                <w:sz w:val="20"/>
                <w:szCs w:val="20"/>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9F59B0" w:rsidRDefault="009F59B0" w:rsidP="00ED3F59">
            <w:pPr>
              <w:jc w:val="center"/>
              <w:rPr>
                <w:b/>
                <w:bCs/>
                <w:color w:val="000000"/>
                <w:sz w:val="20"/>
                <w:szCs w:val="20"/>
              </w:rPr>
            </w:pPr>
          </w:p>
        </w:tc>
        <w:tc>
          <w:tcPr>
            <w:tcW w:w="1515" w:type="pct"/>
            <w:tcBorders>
              <w:top w:val="single" w:sz="4" w:space="0" w:color="auto"/>
              <w:left w:val="single" w:sz="4" w:space="0" w:color="auto"/>
              <w:bottom w:val="single" w:sz="4" w:space="0" w:color="auto"/>
              <w:right w:val="single" w:sz="4" w:space="0" w:color="auto"/>
            </w:tcBorders>
            <w:vAlign w:val="center"/>
          </w:tcPr>
          <w:p w:rsidR="009F59B0" w:rsidRPr="002E7B29" w:rsidRDefault="009F59B0" w:rsidP="00ED3F59">
            <w:pPr>
              <w:jc w:val="center"/>
              <w:rPr>
                <w:b/>
                <w:bCs/>
                <w:color w:val="000000"/>
                <w:sz w:val="20"/>
                <w:szCs w:val="20"/>
              </w:rPr>
            </w:pPr>
            <w:r w:rsidRPr="002E7B29">
              <w:rPr>
                <w:b/>
                <w:bCs/>
                <w:color w:val="000000"/>
                <w:sz w:val="20"/>
                <w:szCs w:val="20"/>
              </w:rPr>
              <w:t xml:space="preserve">Approved in principle as of the </w:t>
            </w:r>
            <w:r w:rsidR="006950E9" w:rsidRPr="002E7B29">
              <w:rPr>
                <w:b/>
                <w:bCs/>
                <w:color w:val="000000"/>
                <w:sz w:val="20"/>
                <w:szCs w:val="20"/>
              </w:rPr>
              <w:t>87</w:t>
            </w:r>
            <w:r w:rsidR="006950E9" w:rsidRPr="002E7B29">
              <w:rPr>
                <w:b/>
                <w:bCs/>
                <w:color w:val="000000"/>
                <w:sz w:val="20"/>
                <w:szCs w:val="20"/>
                <w:vertAlign w:val="superscript"/>
              </w:rPr>
              <w:t>th</w:t>
            </w:r>
            <w:r w:rsidR="006950E9" w:rsidRPr="002E7B29">
              <w:rPr>
                <w:b/>
                <w:bCs/>
                <w:color w:val="000000"/>
                <w:sz w:val="20"/>
                <w:szCs w:val="20"/>
              </w:rPr>
              <w:t xml:space="preserve"> </w:t>
            </w:r>
            <w:r w:rsidRPr="002E7B29">
              <w:rPr>
                <w:b/>
                <w:bCs/>
                <w:color w:val="000000"/>
                <w:sz w:val="20"/>
                <w:szCs w:val="20"/>
              </w:rPr>
              <w:t>meeting**</w:t>
            </w:r>
          </w:p>
        </w:tc>
        <w:tc>
          <w:tcPr>
            <w:tcW w:w="1515" w:type="pct"/>
            <w:tcBorders>
              <w:top w:val="single" w:sz="4" w:space="0" w:color="auto"/>
              <w:left w:val="single" w:sz="4" w:space="0" w:color="auto"/>
              <w:bottom w:val="single" w:sz="4" w:space="0" w:color="auto"/>
              <w:right w:val="single" w:sz="4" w:space="0" w:color="auto"/>
            </w:tcBorders>
            <w:vAlign w:val="center"/>
            <w:hideMark/>
          </w:tcPr>
          <w:p w:rsidR="009F59B0" w:rsidRPr="002E7B29" w:rsidRDefault="009F59B0" w:rsidP="00ED3F59">
            <w:pPr>
              <w:jc w:val="center"/>
              <w:rPr>
                <w:b/>
                <w:bCs/>
                <w:color w:val="000000"/>
                <w:sz w:val="20"/>
                <w:szCs w:val="20"/>
              </w:rPr>
            </w:pPr>
            <w:r w:rsidRPr="002E7B29">
              <w:rPr>
                <w:b/>
                <w:bCs/>
                <w:color w:val="000000"/>
                <w:sz w:val="20"/>
                <w:szCs w:val="20"/>
              </w:rPr>
              <w:t>Still to be approved in principle based on decision 74/50</w:t>
            </w:r>
          </w:p>
        </w:tc>
      </w:tr>
      <w:tr w:rsidR="009F59B0" w:rsidTr="003161A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9F59B0" w:rsidRDefault="009F59B0">
            <w:pPr>
              <w:jc w:val="left"/>
              <w:rPr>
                <w:color w:val="000000"/>
                <w:sz w:val="20"/>
                <w:szCs w:val="20"/>
              </w:rPr>
            </w:pPr>
            <w:r>
              <w:rPr>
                <w:color w:val="000000"/>
                <w:sz w:val="20"/>
                <w:szCs w:val="20"/>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9F59B0" w:rsidRDefault="009F59B0">
            <w:pPr>
              <w:jc w:val="right"/>
              <w:rPr>
                <w:color w:val="000000"/>
                <w:sz w:val="20"/>
                <w:szCs w:val="20"/>
              </w:rPr>
            </w:pPr>
            <w:r>
              <w:rPr>
                <w:color w:val="000000"/>
                <w:sz w:val="20"/>
                <w:szCs w:val="20"/>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Default="009F59B0">
            <w:pPr>
              <w:jc w:val="right"/>
              <w:rPr>
                <w:color w:val="000000"/>
                <w:sz w:val="20"/>
                <w:szCs w:val="20"/>
              </w:rPr>
            </w:pPr>
            <w:r>
              <w:rPr>
                <w:color w:val="000000"/>
                <w:sz w:val="20"/>
                <w:szCs w:val="20"/>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9F59B0" w:rsidRPr="002E7B29" w:rsidRDefault="004D61AA">
            <w:pPr>
              <w:jc w:val="right"/>
              <w:rPr>
                <w:color w:val="000000"/>
                <w:sz w:val="20"/>
                <w:szCs w:val="20"/>
              </w:rPr>
            </w:pPr>
            <w:r w:rsidRPr="002E7B29">
              <w:rPr>
                <w:color w:val="000000"/>
                <w:sz w:val="20"/>
                <w:szCs w:val="20"/>
              </w:rPr>
              <w:t xml:space="preserve"> </w:t>
            </w:r>
            <w:r w:rsidR="00C17DAA" w:rsidRPr="002E7B29">
              <w:rPr>
                <w:color w:val="000000"/>
                <w:sz w:val="20"/>
                <w:szCs w:val="20"/>
              </w:rPr>
              <w:t>56,504,133</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Pr="002E7B29" w:rsidRDefault="00C17DAA" w:rsidP="00C17DAA">
            <w:pPr>
              <w:jc w:val="right"/>
              <w:rPr>
                <w:color w:val="000000"/>
                <w:sz w:val="20"/>
                <w:szCs w:val="20"/>
              </w:rPr>
            </w:pPr>
            <w:r w:rsidRPr="002E7B29">
              <w:rPr>
                <w:color w:val="000000"/>
                <w:sz w:val="20"/>
                <w:szCs w:val="20"/>
              </w:rPr>
              <w:t>21,302,011</w:t>
            </w:r>
          </w:p>
        </w:tc>
      </w:tr>
      <w:tr w:rsidR="009F59B0" w:rsidTr="003161A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9F59B0" w:rsidRDefault="009F59B0">
            <w:pPr>
              <w:rPr>
                <w:color w:val="000000"/>
                <w:sz w:val="20"/>
                <w:szCs w:val="20"/>
              </w:rPr>
            </w:pPr>
            <w:r>
              <w:rPr>
                <w:color w:val="000000"/>
                <w:sz w:val="20"/>
                <w:szCs w:val="20"/>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9F59B0" w:rsidRDefault="009F59B0">
            <w:pPr>
              <w:jc w:val="right"/>
              <w:rPr>
                <w:color w:val="000000"/>
                <w:sz w:val="20"/>
                <w:szCs w:val="20"/>
              </w:rPr>
            </w:pPr>
            <w:r>
              <w:rPr>
                <w:color w:val="000000"/>
                <w:sz w:val="20"/>
                <w:szCs w:val="20"/>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Default="009F59B0">
            <w:pPr>
              <w:jc w:val="right"/>
              <w:rPr>
                <w:color w:val="000000"/>
                <w:sz w:val="20"/>
                <w:szCs w:val="20"/>
              </w:rPr>
            </w:pPr>
            <w:r>
              <w:rPr>
                <w:color w:val="000000"/>
                <w:sz w:val="20"/>
                <w:szCs w:val="20"/>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9F59B0" w:rsidRPr="002E7B29" w:rsidRDefault="009F59B0" w:rsidP="00C17DAA">
            <w:pPr>
              <w:jc w:val="right"/>
              <w:rPr>
                <w:color w:val="000000"/>
                <w:sz w:val="20"/>
                <w:szCs w:val="20"/>
              </w:rPr>
            </w:pPr>
            <w:r w:rsidRPr="002E7B29">
              <w:rPr>
                <w:color w:val="000000"/>
                <w:sz w:val="20"/>
                <w:szCs w:val="20"/>
              </w:rPr>
              <w:t>***</w:t>
            </w:r>
            <w:r w:rsidR="004D61AA" w:rsidRPr="002E7B29">
              <w:rPr>
                <w:color w:val="000000"/>
                <w:sz w:val="20"/>
                <w:szCs w:val="20"/>
              </w:rPr>
              <w:t xml:space="preserve"> </w:t>
            </w:r>
            <w:r w:rsidR="00C17DAA" w:rsidRPr="002E7B29">
              <w:rPr>
                <w:color w:val="000000"/>
                <w:sz w:val="20"/>
                <w:szCs w:val="20"/>
              </w:rPr>
              <w:t>145,668,668</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Pr="002E7B29" w:rsidRDefault="009F59B0" w:rsidP="00C17DAA">
            <w:pPr>
              <w:jc w:val="right"/>
              <w:rPr>
                <w:color w:val="000000"/>
                <w:sz w:val="20"/>
                <w:szCs w:val="20"/>
              </w:rPr>
            </w:pPr>
            <w:r w:rsidRPr="002E7B29">
              <w:rPr>
                <w:color w:val="000000"/>
                <w:sz w:val="20"/>
                <w:szCs w:val="20"/>
              </w:rPr>
              <w:t>****</w:t>
            </w:r>
            <w:r w:rsidR="00C17DAA" w:rsidRPr="002E7B29">
              <w:rPr>
                <w:color w:val="000000"/>
                <w:sz w:val="20"/>
                <w:szCs w:val="20"/>
              </w:rPr>
              <w:t>551,450,782</w:t>
            </w:r>
          </w:p>
        </w:tc>
      </w:tr>
      <w:tr w:rsidR="009F59B0" w:rsidTr="003161A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9F59B0" w:rsidRDefault="009F59B0">
            <w:pPr>
              <w:rPr>
                <w:b/>
                <w:bCs/>
                <w:color w:val="000000"/>
                <w:sz w:val="20"/>
                <w:szCs w:val="20"/>
              </w:rPr>
            </w:pPr>
            <w:r>
              <w:rPr>
                <w:b/>
                <w:bCs/>
                <w:color w:val="000000"/>
                <w:sz w:val="20"/>
                <w:szCs w:val="20"/>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9F59B0" w:rsidRDefault="009F59B0">
            <w:pPr>
              <w:jc w:val="right"/>
              <w:rPr>
                <w:bCs/>
                <w:color w:val="000000"/>
                <w:sz w:val="20"/>
                <w:szCs w:val="20"/>
              </w:rPr>
            </w:pPr>
            <w:r>
              <w:rPr>
                <w:bCs/>
                <w:color w:val="000000"/>
                <w:sz w:val="20"/>
                <w:szCs w:val="20"/>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Default="009F59B0">
            <w:pPr>
              <w:jc w:val="right"/>
              <w:rPr>
                <w:bCs/>
                <w:color w:val="000000"/>
                <w:sz w:val="20"/>
                <w:szCs w:val="20"/>
              </w:rPr>
            </w:pPr>
            <w:r>
              <w:rPr>
                <w:bCs/>
                <w:color w:val="000000"/>
                <w:sz w:val="20"/>
                <w:szCs w:val="20"/>
              </w:rPr>
              <w:t>198,591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9F59B0" w:rsidRPr="002E7B29" w:rsidRDefault="00C17DAA" w:rsidP="00C17DAA">
            <w:pPr>
              <w:jc w:val="right"/>
              <w:rPr>
                <w:bCs/>
                <w:color w:val="000000"/>
                <w:sz w:val="20"/>
                <w:szCs w:val="20"/>
              </w:rPr>
            </w:pPr>
            <w:r w:rsidRPr="002E7B29">
              <w:rPr>
                <w:bCs/>
                <w:color w:val="000000"/>
                <w:sz w:val="20"/>
                <w:szCs w:val="20"/>
              </w:rPr>
              <w:t>202,172,801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9F59B0" w:rsidRPr="002E7B29" w:rsidRDefault="00C17DAA" w:rsidP="00C17DAA">
            <w:pPr>
              <w:jc w:val="right"/>
              <w:rPr>
                <w:bCs/>
                <w:color w:val="000000"/>
                <w:sz w:val="20"/>
                <w:szCs w:val="20"/>
              </w:rPr>
            </w:pPr>
            <w:r w:rsidRPr="002E7B29">
              <w:rPr>
                <w:bCs/>
                <w:color w:val="000000"/>
                <w:sz w:val="20"/>
                <w:szCs w:val="20"/>
              </w:rPr>
              <w:t>572,752,793</w:t>
            </w:r>
          </w:p>
        </w:tc>
      </w:tr>
    </w:tbl>
    <w:p w:rsidR="009F59B0" w:rsidRDefault="009F59B0" w:rsidP="003161AE">
      <w:pPr>
        <w:rPr>
          <w:sz w:val="19"/>
          <w:szCs w:val="19"/>
        </w:rPr>
      </w:pPr>
      <w:r>
        <w:rPr>
          <w:sz w:val="19"/>
          <w:szCs w:val="19"/>
        </w:rPr>
        <w:t>* Portion of the baseline used in the refrigeration servicing sector based on the country programme report.</w:t>
      </w:r>
    </w:p>
    <w:p w:rsidR="009F59B0" w:rsidRDefault="009F59B0" w:rsidP="003161AE">
      <w:pPr>
        <w:rPr>
          <w:sz w:val="19"/>
          <w:szCs w:val="19"/>
        </w:rPr>
      </w:pPr>
      <w:r>
        <w:rPr>
          <w:sz w:val="19"/>
          <w:szCs w:val="19"/>
        </w:rPr>
        <w:t>** While this funding has been approved in principle, it has only been gradually released as tranches are submitted.</w:t>
      </w:r>
    </w:p>
    <w:p w:rsidR="009F59B0" w:rsidRDefault="009F59B0" w:rsidP="003161AE">
      <w:pPr>
        <w:rPr>
          <w:sz w:val="19"/>
          <w:szCs w:val="19"/>
        </w:rPr>
      </w:pPr>
      <w:r>
        <w:rPr>
          <w:sz w:val="19"/>
          <w:szCs w:val="19"/>
        </w:rPr>
        <w:t>*** Including US $23,982,237 for one Article 5 country.</w:t>
      </w:r>
    </w:p>
    <w:p w:rsidR="009F59B0" w:rsidRDefault="009F59B0" w:rsidP="003161AE">
      <w:pPr>
        <w:rPr>
          <w:sz w:val="19"/>
          <w:szCs w:val="19"/>
        </w:rPr>
      </w:pPr>
      <w:r>
        <w:rPr>
          <w:sz w:val="19"/>
          <w:szCs w:val="19"/>
        </w:rPr>
        <w:t>**** Including US $155,717,354, for one Article 5 country.</w:t>
      </w:r>
    </w:p>
    <w:p w:rsidR="009F59B0" w:rsidRDefault="009F59B0" w:rsidP="003161AE"/>
    <w:p w:rsidR="009F59B0" w:rsidRDefault="009F59B0" w:rsidP="003161AE">
      <w:pPr>
        <w:keepNext/>
        <w:keepLines/>
        <w:widowControl w:val="0"/>
        <w:rPr>
          <w:u w:val="single"/>
        </w:rPr>
      </w:pPr>
      <w:r>
        <w:rPr>
          <w:u w:val="single"/>
        </w:rPr>
        <w:t>Key achievements in the refrigeration servicing sector</w:t>
      </w:r>
    </w:p>
    <w:p w:rsidR="009F59B0" w:rsidRDefault="009F59B0" w:rsidP="003161AE">
      <w:pPr>
        <w:keepNext/>
        <w:keepLines/>
        <w:widowControl w:val="0"/>
      </w:pPr>
    </w:p>
    <w:p w:rsidR="009F59B0" w:rsidRDefault="009F59B0" w:rsidP="003161AE">
      <w:pPr>
        <w:pStyle w:val="Heading1"/>
        <w:keepNext/>
        <w:keepLines/>
        <w:widowControl w:val="0"/>
        <w:numPr>
          <w:ilvl w:val="0"/>
          <w:numId w:val="22"/>
        </w:numPr>
        <w:spacing w:after="120"/>
      </w:pPr>
      <w:r>
        <w:t>Through the technical and financial assistance provided to the refrigeration servicing sector, measures have been put in place to ensure the long</w:t>
      </w:r>
      <w:r>
        <w:noBreakHyphen/>
        <w:t>term sustainability of the activities being implemented.</w:t>
      </w:r>
      <w:r>
        <w:rPr>
          <w:rStyle w:val="FootnoteReference"/>
        </w:rPr>
        <w:footnoteReference w:id="17"/>
      </w:r>
      <w:r>
        <w:t xml:space="preserve"> Specifically, Article 5 countries have:</w:t>
      </w:r>
    </w:p>
    <w:p w:rsidR="009F59B0" w:rsidRDefault="009F59B0" w:rsidP="003161AE">
      <w:pPr>
        <w:pStyle w:val="Heading2"/>
        <w:numPr>
          <w:ilvl w:val="1"/>
          <w:numId w:val="22"/>
        </w:numPr>
      </w:pPr>
      <w:r>
        <w:t xml:space="preserve">Strengthened their national capacity related to customs and law enforcement authorities and their institutes, providing refrigerant identifiers and periodically updating the curricula of the training programmes for customs authorities; </w:t>
      </w:r>
    </w:p>
    <w:p w:rsidR="009F59B0" w:rsidRDefault="009F59B0" w:rsidP="003161AE">
      <w:pPr>
        <w:pStyle w:val="Heading2"/>
        <w:numPr>
          <w:ilvl w:val="1"/>
          <w:numId w:val="22"/>
        </w:numPr>
      </w:pPr>
      <w: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9F59B0" w:rsidRDefault="009F59B0" w:rsidP="003161AE">
      <w:pPr>
        <w:pStyle w:val="Heading2"/>
        <w:numPr>
          <w:ilvl w:val="1"/>
          <w:numId w:val="22"/>
        </w:numPr>
      </w:pPr>
      <w:r>
        <w:t>Established an infrastructure for recovery, recycling and in some cases, reclamation of refrigerants, mostly focused on HCFC-22; and</w:t>
      </w:r>
    </w:p>
    <w:p w:rsidR="009F59B0" w:rsidRDefault="009F59B0" w:rsidP="003161AE">
      <w:pPr>
        <w:pStyle w:val="Heading2"/>
        <w:numPr>
          <w:ilvl w:val="1"/>
          <w:numId w:val="22"/>
        </w:numPr>
      </w:pPr>
      <w:r>
        <w:t>Promoted and participated in the development and/or adaptation of codes of good service practices and standards to facilitate the introduction of equipment based on low-GWP alternative technologies and the management of refrigerants.</w:t>
      </w:r>
    </w:p>
    <w:p w:rsidR="009F59B0" w:rsidRDefault="009F59B0" w:rsidP="003161AE">
      <w:pPr>
        <w:keepNext/>
        <w:rPr>
          <w:b/>
        </w:rPr>
      </w:pPr>
      <w:r>
        <w:rPr>
          <w:b/>
        </w:rPr>
        <w:lastRenderedPageBreak/>
        <w:t>Integrated HCFC and HFC compliance strategy for the refrigeration servicing sector</w:t>
      </w:r>
      <w:r>
        <w:rPr>
          <w:rStyle w:val="FootnoteReference"/>
          <w:b/>
        </w:rPr>
        <w:footnoteReference w:id="18"/>
      </w:r>
    </w:p>
    <w:p w:rsidR="009F59B0" w:rsidRDefault="009F59B0" w:rsidP="003161AE">
      <w:pPr>
        <w:keepNext/>
      </w:pPr>
    </w:p>
    <w:p w:rsidR="009F59B0" w:rsidRDefault="009F59B0" w:rsidP="003161AE">
      <w:pPr>
        <w:pStyle w:val="Heading1"/>
        <w:numPr>
          <w:ilvl w:val="0"/>
          <w:numId w:val="22"/>
        </w:numPr>
      </w:pPr>
      <w: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noBreakHyphen/>
        <w:t>out. Therefore, the 2021-2030 period is of critical importance given the linkages between HCFCs and HFCs.</w:t>
      </w:r>
    </w:p>
    <w:p w:rsidR="009F59B0" w:rsidRPr="00A745CF" w:rsidRDefault="009F59B0" w:rsidP="003161AE">
      <w:pPr>
        <w:spacing w:before="120"/>
        <w:rPr>
          <w:b/>
        </w:rPr>
      </w:pPr>
      <w:r w:rsidRPr="00A745CF">
        <w:rPr>
          <w:b/>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9F59B0" w:rsidTr="00CD030F">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9F59B0" w:rsidRDefault="009F59B0" w:rsidP="00CD030F">
            <w:pPr>
              <w:widowControl w:val="0"/>
              <w:jc w:val="center"/>
              <w:rPr>
                <w:b/>
                <w:sz w:val="20"/>
                <w:szCs w:val="20"/>
              </w:rPr>
            </w:pPr>
            <w:r>
              <w:rPr>
                <w:b/>
                <w:sz w:val="20"/>
                <w:szCs w:val="20"/>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9F59B0" w:rsidRDefault="009F59B0" w:rsidP="00CD030F">
            <w:pPr>
              <w:widowControl w:val="0"/>
              <w:jc w:val="center"/>
              <w:rPr>
                <w:b/>
                <w:sz w:val="20"/>
                <w:szCs w:val="20"/>
              </w:rPr>
            </w:pPr>
            <w:r>
              <w:rPr>
                <w:b/>
                <w:sz w:val="20"/>
                <w:szCs w:val="20"/>
              </w:rPr>
              <w:t>HCFC</w:t>
            </w:r>
            <w:r w:rsidR="00CD030F">
              <w:rPr>
                <w:b/>
                <w:sz w:val="20"/>
                <w:szCs w:val="20"/>
              </w:rPr>
              <w:t>s</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9F59B0" w:rsidRDefault="009F59B0" w:rsidP="00CD030F">
            <w:pPr>
              <w:widowControl w:val="0"/>
              <w:jc w:val="center"/>
              <w:rPr>
                <w:b/>
                <w:sz w:val="20"/>
                <w:szCs w:val="20"/>
              </w:rPr>
            </w:pPr>
            <w:r>
              <w:rPr>
                <w:b/>
                <w:sz w:val="20"/>
                <w:szCs w:val="20"/>
              </w:rPr>
              <w:t>HFC</w:t>
            </w:r>
            <w:r w:rsidR="00CD030F">
              <w:rPr>
                <w:b/>
                <w:sz w:val="20"/>
                <w:szCs w:val="20"/>
              </w:rPr>
              <w:t>s</w:t>
            </w:r>
          </w:p>
        </w:tc>
      </w:tr>
      <w:tr w:rsidR="009F59B0" w:rsidTr="003161A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ED3F59">
            <w:pPr>
              <w:widowControl w:val="0"/>
              <w:jc w:val="left"/>
              <w:rPr>
                <w:sz w:val="20"/>
                <w:szCs w:val="20"/>
              </w:rPr>
            </w:pPr>
            <w:r>
              <w:rPr>
                <w:sz w:val="20"/>
                <w:szCs w:val="20"/>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ED3F59">
            <w:pPr>
              <w:widowControl w:val="0"/>
              <w:jc w:val="left"/>
              <w:rPr>
                <w:sz w:val="20"/>
                <w:szCs w:val="20"/>
              </w:rPr>
            </w:pPr>
            <w:r>
              <w:rPr>
                <w:sz w:val="20"/>
                <w:szCs w:val="20"/>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ED3F59">
            <w:pPr>
              <w:widowControl w:val="0"/>
              <w:jc w:val="left"/>
              <w:rPr>
                <w:sz w:val="20"/>
                <w:szCs w:val="20"/>
              </w:rPr>
            </w:pPr>
            <w:r>
              <w:rPr>
                <w:sz w:val="20"/>
                <w:szCs w:val="20"/>
              </w:rPr>
              <w:t>Annex F and (65 per cent of baseline) Annex C Group I. Two different baselines and phase</w:t>
            </w:r>
            <w:r>
              <w:rPr>
                <w:sz w:val="20"/>
                <w:szCs w:val="20"/>
              </w:rPr>
              <w:noBreakHyphen/>
              <w:t xml:space="preserve">out schedules </w:t>
            </w:r>
            <w:r>
              <w:rPr>
                <w:sz w:val="18"/>
                <w:szCs w:val="18"/>
              </w:rPr>
              <w:t>*</w:t>
            </w:r>
          </w:p>
        </w:tc>
      </w:tr>
      <w:tr w:rsidR="009F59B0" w:rsidTr="003161A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pPr>
              <w:jc w:val="left"/>
              <w:rPr>
                <w:sz w:val="20"/>
                <w:szCs w:val="20"/>
              </w:rPr>
            </w:pPr>
            <w:r>
              <w:rPr>
                <w:sz w:val="20"/>
                <w:szCs w:val="20"/>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pPr>
              <w:jc w:val="left"/>
              <w:rPr>
                <w:sz w:val="20"/>
                <w:szCs w:val="20"/>
              </w:rPr>
            </w:pPr>
            <w:r>
              <w:rPr>
                <w:sz w:val="20"/>
                <w:szCs w:val="20"/>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pPr>
              <w:jc w:val="left"/>
              <w:rPr>
                <w:sz w:val="20"/>
                <w:szCs w:val="20"/>
              </w:rPr>
            </w:pPr>
            <w:r>
              <w:rPr>
                <w:sz w:val="20"/>
                <w:szCs w:val="20"/>
              </w:rPr>
              <w:t xml:space="preserve">Group 1: 2020, 2021, 2022 </w:t>
            </w:r>
          </w:p>
          <w:p w:rsidR="009F59B0" w:rsidRDefault="009F59B0">
            <w:pPr>
              <w:jc w:val="left"/>
              <w:rPr>
                <w:sz w:val="20"/>
                <w:szCs w:val="20"/>
              </w:rPr>
            </w:pPr>
            <w:r>
              <w:rPr>
                <w:sz w:val="20"/>
                <w:szCs w:val="20"/>
              </w:rPr>
              <w:t xml:space="preserve">Group 2: 2024, 2025, 2026 </w:t>
            </w:r>
          </w:p>
        </w:tc>
      </w:tr>
      <w:tr w:rsidR="009F59B0" w:rsidTr="003161A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pPr>
              <w:widowControl w:val="0"/>
              <w:jc w:val="left"/>
              <w:rPr>
                <w:sz w:val="20"/>
                <w:szCs w:val="20"/>
              </w:rPr>
            </w:pPr>
            <w:r>
              <w:rPr>
                <w:sz w:val="20"/>
                <w:szCs w:val="20"/>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3161AE">
            <w:pPr>
              <w:keepNext/>
              <w:jc w:val="left"/>
              <w:rPr>
                <w:sz w:val="20"/>
                <w:szCs w:val="20"/>
              </w:rPr>
            </w:pPr>
            <w:r>
              <w:rPr>
                <w:sz w:val="20"/>
                <w:szCs w:val="20"/>
              </w:rPr>
              <w:t>40, of which HCFC-22, HCFC-141b and HCFC-142b represented over 99 per 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pPr>
              <w:keepNext/>
              <w:jc w:val="left"/>
              <w:rPr>
                <w:sz w:val="20"/>
                <w:szCs w:val="20"/>
              </w:rPr>
            </w:pPr>
            <w:r>
              <w:rPr>
                <w:sz w:val="20"/>
                <w:szCs w:val="20"/>
              </w:rPr>
              <w:t xml:space="preserve">17 in Annex F Group I, 1 in Group II </w:t>
            </w:r>
            <w:r>
              <w:rPr>
                <w:sz w:val="18"/>
                <w:szCs w:val="18"/>
              </w:rPr>
              <w:t>**</w:t>
            </w:r>
          </w:p>
          <w:p w:rsidR="009F59B0" w:rsidRDefault="009F59B0">
            <w:pPr>
              <w:keepNext/>
              <w:jc w:val="left"/>
              <w:rPr>
                <w:sz w:val="20"/>
                <w:szCs w:val="20"/>
              </w:rPr>
            </w:pPr>
            <w:r>
              <w:rPr>
                <w:sz w:val="20"/>
                <w:szCs w:val="20"/>
              </w:rPr>
              <w:t>The most highly consumed are five pure substances (mainly HFC-134a and to a lesser extent HFC</w:t>
            </w:r>
            <w:r>
              <w:rPr>
                <w:sz w:val="20"/>
                <w:szCs w:val="20"/>
              </w:rPr>
              <w:noBreakHyphen/>
              <w:t>152a, HFC</w:t>
            </w:r>
            <w:r>
              <w:rPr>
                <w:sz w:val="20"/>
                <w:szCs w:val="20"/>
              </w:rPr>
              <w:noBreakHyphen/>
              <w:t>245fa, HFC</w:t>
            </w:r>
            <w:r>
              <w:rPr>
                <w:sz w:val="20"/>
                <w:szCs w:val="20"/>
              </w:rPr>
              <w:noBreakHyphen/>
              <w:t>365mfc, HFC</w:t>
            </w:r>
            <w:r>
              <w:rPr>
                <w:sz w:val="20"/>
                <w:szCs w:val="20"/>
              </w:rPr>
              <w:noBreakHyphen/>
              <w:t>227ea), and four blends (R-410A, R</w:t>
            </w:r>
            <w:r>
              <w:rPr>
                <w:sz w:val="20"/>
                <w:szCs w:val="20"/>
              </w:rPr>
              <w:noBreakHyphen/>
              <w:t>407C, R</w:t>
            </w:r>
            <w:r>
              <w:rPr>
                <w:sz w:val="20"/>
                <w:szCs w:val="20"/>
              </w:rPr>
              <w:noBreakHyphen/>
              <w:t>404A, R-507A), containing two or more of HFC</w:t>
            </w:r>
            <w:r>
              <w:rPr>
                <w:sz w:val="20"/>
                <w:szCs w:val="20"/>
              </w:rPr>
              <w:noBreakHyphen/>
              <w:t>32, HFC-125, HFC-134a, HFC</w:t>
            </w:r>
            <w:r>
              <w:rPr>
                <w:sz w:val="20"/>
                <w:szCs w:val="20"/>
              </w:rPr>
              <w:noBreakHyphen/>
              <w:t>143a</w:t>
            </w:r>
          </w:p>
        </w:tc>
      </w:tr>
      <w:tr w:rsidR="009F59B0" w:rsidTr="003161AE">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3161AE">
            <w:pPr>
              <w:rPr>
                <w:sz w:val="20"/>
                <w:szCs w:val="20"/>
              </w:rPr>
            </w:pPr>
            <w:r>
              <w:rPr>
                <w:sz w:val="20"/>
                <w:szCs w:val="20"/>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3161AE">
            <w:pPr>
              <w:jc w:val="left"/>
              <w:rPr>
                <w:sz w:val="20"/>
                <w:szCs w:val="20"/>
              </w:rPr>
            </w:pPr>
            <w:r>
              <w:rPr>
                <w:sz w:val="20"/>
                <w:szCs w:val="20"/>
              </w:rPr>
              <w:t>Reduction steps:</w:t>
            </w:r>
          </w:p>
          <w:p w:rsidR="009F59B0" w:rsidRDefault="009F59B0" w:rsidP="009F59B0">
            <w:pPr>
              <w:pStyle w:val="ListParagraph"/>
              <w:numPr>
                <w:ilvl w:val="0"/>
                <w:numId w:val="28"/>
              </w:numPr>
              <w:ind w:left="144" w:hanging="144"/>
              <w:jc w:val="left"/>
              <w:rPr>
                <w:sz w:val="20"/>
                <w:szCs w:val="20"/>
                <w:lang w:val="en-CA"/>
              </w:rPr>
            </w:pPr>
            <w:r>
              <w:rPr>
                <w:sz w:val="20"/>
                <w:szCs w:val="20"/>
                <w:lang w:val="en-CA"/>
              </w:rPr>
              <w:t>2013–2014: 0 per cent of the baseline</w:t>
            </w:r>
          </w:p>
          <w:p w:rsidR="009F59B0" w:rsidRDefault="009F59B0" w:rsidP="009F59B0">
            <w:pPr>
              <w:pStyle w:val="ListParagraph"/>
              <w:numPr>
                <w:ilvl w:val="0"/>
                <w:numId w:val="28"/>
              </w:numPr>
              <w:ind w:left="144" w:hanging="144"/>
              <w:jc w:val="left"/>
              <w:rPr>
                <w:sz w:val="20"/>
                <w:szCs w:val="20"/>
                <w:lang w:val="en-CA"/>
              </w:rPr>
            </w:pPr>
            <w:r>
              <w:rPr>
                <w:sz w:val="20"/>
                <w:szCs w:val="20"/>
                <w:lang w:val="en-CA"/>
              </w:rPr>
              <w:t>2015–2019: 10 per cent of the baseline</w:t>
            </w:r>
          </w:p>
          <w:p w:rsidR="009F59B0" w:rsidRDefault="009F59B0" w:rsidP="009F59B0">
            <w:pPr>
              <w:pStyle w:val="ListParagraph"/>
              <w:numPr>
                <w:ilvl w:val="0"/>
                <w:numId w:val="28"/>
              </w:numPr>
              <w:ind w:left="144" w:hanging="144"/>
              <w:jc w:val="left"/>
              <w:rPr>
                <w:sz w:val="20"/>
                <w:szCs w:val="20"/>
                <w:lang w:val="en-CA"/>
              </w:rPr>
            </w:pPr>
            <w:r>
              <w:rPr>
                <w:sz w:val="20"/>
                <w:szCs w:val="20"/>
                <w:lang w:val="en-CA"/>
              </w:rPr>
              <w:t>2020–2024: 35 per cent of the baseline</w:t>
            </w:r>
          </w:p>
          <w:p w:rsidR="009F59B0" w:rsidRDefault="009F59B0" w:rsidP="009F59B0">
            <w:pPr>
              <w:pStyle w:val="ListParagraph"/>
              <w:numPr>
                <w:ilvl w:val="0"/>
                <w:numId w:val="28"/>
              </w:numPr>
              <w:ind w:left="144" w:hanging="144"/>
              <w:jc w:val="left"/>
              <w:rPr>
                <w:sz w:val="20"/>
                <w:szCs w:val="20"/>
                <w:lang w:val="en-CA"/>
              </w:rPr>
            </w:pPr>
            <w:r>
              <w:rPr>
                <w:sz w:val="20"/>
                <w:szCs w:val="20"/>
                <w:lang w:val="en-CA"/>
              </w:rPr>
              <w:t>2025–2029: 67.5 per cent of the baseline</w:t>
            </w:r>
          </w:p>
          <w:p w:rsidR="009F59B0" w:rsidRDefault="009F59B0" w:rsidP="009F59B0">
            <w:pPr>
              <w:pStyle w:val="ListParagraph"/>
              <w:numPr>
                <w:ilvl w:val="0"/>
                <w:numId w:val="28"/>
              </w:numPr>
              <w:ind w:left="123" w:hanging="123"/>
              <w:jc w:val="left"/>
              <w:rPr>
                <w:sz w:val="20"/>
                <w:szCs w:val="20"/>
                <w:lang w:val="en-CA"/>
              </w:rPr>
            </w:pPr>
            <w:r>
              <w:rPr>
                <w:sz w:val="20"/>
                <w:szCs w:val="20"/>
                <w:lang w:val="en-CA"/>
              </w:rPr>
              <w:t xml:space="preserve">2030, thereafter: 100 per cent reduction for the baseline***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9F59B0" w:rsidRDefault="009F59B0" w:rsidP="003161AE">
            <w:pPr>
              <w:jc w:val="left"/>
              <w:rPr>
                <w:sz w:val="19"/>
                <w:szCs w:val="19"/>
              </w:rPr>
            </w:pPr>
            <w:r>
              <w:rPr>
                <w:sz w:val="19"/>
                <w:szCs w:val="19"/>
              </w:rPr>
              <w:t xml:space="preserve">Group 1: </w:t>
            </w:r>
          </w:p>
          <w:p w:rsidR="009F59B0" w:rsidRDefault="009F59B0" w:rsidP="009F59B0">
            <w:pPr>
              <w:pStyle w:val="ListParagraph"/>
              <w:numPr>
                <w:ilvl w:val="0"/>
                <w:numId w:val="30"/>
              </w:numPr>
              <w:ind w:left="138" w:hanging="138"/>
              <w:jc w:val="left"/>
              <w:rPr>
                <w:sz w:val="19"/>
                <w:szCs w:val="19"/>
                <w:lang w:val="en-CA"/>
              </w:rPr>
            </w:pPr>
            <w:r>
              <w:rPr>
                <w:sz w:val="19"/>
                <w:szCs w:val="19"/>
                <w:lang w:val="en-CA"/>
              </w:rPr>
              <w:t xml:space="preserve">2024–2028: 100 per cent of baseline </w:t>
            </w:r>
          </w:p>
          <w:p w:rsidR="009F59B0" w:rsidRDefault="009F59B0" w:rsidP="009F59B0">
            <w:pPr>
              <w:pStyle w:val="ListParagraph"/>
              <w:numPr>
                <w:ilvl w:val="0"/>
                <w:numId w:val="30"/>
              </w:numPr>
              <w:ind w:left="138" w:hanging="138"/>
              <w:jc w:val="left"/>
              <w:rPr>
                <w:sz w:val="19"/>
                <w:szCs w:val="19"/>
                <w:lang w:val="en-CA"/>
              </w:rPr>
            </w:pPr>
            <w:r>
              <w:rPr>
                <w:sz w:val="19"/>
                <w:szCs w:val="19"/>
                <w:lang w:val="en-CA"/>
              </w:rPr>
              <w:t xml:space="preserve">2029–2034: 90 per cent of baseline </w:t>
            </w:r>
          </w:p>
          <w:p w:rsidR="009F59B0" w:rsidRDefault="009F59B0" w:rsidP="009F59B0">
            <w:pPr>
              <w:pStyle w:val="ListParagraph"/>
              <w:numPr>
                <w:ilvl w:val="0"/>
                <w:numId w:val="30"/>
              </w:numPr>
              <w:ind w:left="138" w:hanging="138"/>
              <w:jc w:val="left"/>
              <w:rPr>
                <w:sz w:val="19"/>
                <w:szCs w:val="19"/>
                <w:lang w:val="en-CA"/>
              </w:rPr>
            </w:pPr>
            <w:r>
              <w:rPr>
                <w:sz w:val="19"/>
                <w:szCs w:val="19"/>
                <w:lang w:val="en-CA"/>
              </w:rPr>
              <w:t xml:space="preserve">2035–2039: 70 per cent of baseline </w:t>
            </w:r>
          </w:p>
          <w:p w:rsidR="009F59B0" w:rsidRDefault="009F59B0" w:rsidP="009F59B0">
            <w:pPr>
              <w:pStyle w:val="ListParagraph"/>
              <w:numPr>
                <w:ilvl w:val="0"/>
                <w:numId w:val="30"/>
              </w:numPr>
              <w:ind w:left="138" w:hanging="138"/>
              <w:jc w:val="left"/>
              <w:rPr>
                <w:sz w:val="19"/>
                <w:szCs w:val="19"/>
                <w:lang w:val="en-CA"/>
              </w:rPr>
            </w:pPr>
            <w:r>
              <w:rPr>
                <w:sz w:val="19"/>
                <w:szCs w:val="19"/>
                <w:lang w:val="en-CA"/>
              </w:rPr>
              <w:t xml:space="preserve">2040–2044: 50 per cent of baseline </w:t>
            </w:r>
          </w:p>
          <w:p w:rsidR="009F59B0" w:rsidRDefault="009F59B0" w:rsidP="009F59B0">
            <w:pPr>
              <w:pStyle w:val="ListParagraph"/>
              <w:numPr>
                <w:ilvl w:val="0"/>
                <w:numId w:val="30"/>
              </w:numPr>
              <w:ind w:left="138" w:hanging="138"/>
              <w:jc w:val="left"/>
              <w:rPr>
                <w:sz w:val="19"/>
                <w:szCs w:val="19"/>
                <w:lang w:val="en-CA"/>
              </w:rPr>
            </w:pPr>
            <w:r>
              <w:rPr>
                <w:sz w:val="19"/>
                <w:szCs w:val="19"/>
                <w:lang w:val="en-CA"/>
              </w:rPr>
              <w:t xml:space="preserve">2045 and thereafter: 20 per cent of baseline. </w:t>
            </w:r>
          </w:p>
          <w:p w:rsidR="009F59B0" w:rsidRDefault="009F59B0" w:rsidP="003161AE">
            <w:pPr>
              <w:jc w:val="left"/>
              <w:rPr>
                <w:sz w:val="19"/>
                <w:szCs w:val="19"/>
              </w:rPr>
            </w:pPr>
            <w:r>
              <w:rPr>
                <w:sz w:val="19"/>
                <w:szCs w:val="19"/>
              </w:rPr>
              <w:t>Group 2:</w:t>
            </w:r>
          </w:p>
          <w:p w:rsidR="009F59B0" w:rsidRDefault="009F59B0" w:rsidP="009F59B0">
            <w:pPr>
              <w:pStyle w:val="ListParagraph"/>
              <w:numPr>
                <w:ilvl w:val="0"/>
                <w:numId w:val="32"/>
              </w:numPr>
              <w:ind w:left="138" w:hanging="138"/>
              <w:jc w:val="left"/>
              <w:rPr>
                <w:sz w:val="19"/>
                <w:szCs w:val="19"/>
                <w:lang w:val="en-CA"/>
              </w:rPr>
            </w:pPr>
            <w:r>
              <w:rPr>
                <w:sz w:val="19"/>
                <w:szCs w:val="19"/>
                <w:lang w:val="en-CA"/>
              </w:rPr>
              <w:t>2028–2031: 100 per cent of baseline</w:t>
            </w:r>
          </w:p>
          <w:p w:rsidR="009F59B0" w:rsidRDefault="009F59B0" w:rsidP="009F59B0">
            <w:pPr>
              <w:pStyle w:val="ListParagraph"/>
              <w:numPr>
                <w:ilvl w:val="0"/>
                <w:numId w:val="32"/>
              </w:numPr>
              <w:ind w:left="138" w:hanging="138"/>
              <w:jc w:val="left"/>
              <w:rPr>
                <w:sz w:val="19"/>
                <w:szCs w:val="19"/>
                <w:lang w:val="en-CA"/>
              </w:rPr>
            </w:pPr>
            <w:r>
              <w:rPr>
                <w:sz w:val="19"/>
                <w:szCs w:val="19"/>
                <w:lang w:val="en-CA"/>
              </w:rPr>
              <w:t>2032–2036: 90 per cent of baseline</w:t>
            </w:r>
          </w:p>
          <w:p w:rsidR="009F59B0" w:rsidRDefault="009F59B0" w:rsidP="009F59B0">
            <w:pPr>
              <w:pStyle w:val="ListParagraph"/>
              <w:numPr>
                <w:ilvl w:val="0"/>
                <w:numId w:val="32"/>
              </w:numPr>
              <w:ind w:left="138" w:hanging="138"/>
              <w:jc w:val="left"/>
              <w:rPr>
                <w:sz w:val="19"/>
                <w:szCs w:val="19"/>
                <w:lang w:val="en-CA"/>
              </w:rPr>
            </w:pPr>
            <w:r>
              <w:rPr>
                <w:sz w:val="19"/>
                <w:szCs w:val="19"/>
                <w:lang w:val="en-CA"/>
              </w:rPr>
              <w:t>2037–2041: 80 per cent of baseline</w:t>
            </w:r>
          </w:p>
          <w:p w:rsidR="009F59B0" w:rsidRDefault="009F59B0" w:rsidP="009F59B0">
            <w:pPr>
              <w:pStyle w:val="ListParagraph"/>
              <w:numPr>
                <w:ilvl w:val="0"/>
                <w:numId w:val="32"/>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9F59B0" w:rsidRDefault="009F59B0" w:rsidP="009F59B0">
            <w:pPr>
              <w:pStyle w:val="ListParagraph"/>
              <w:numPr>
                <w:ilvl w:val="0"/>
                <w:numId w:val="32"/>
              </w:numPr>
              <w:ind w:left="138" w:hanging="138"/>
              <w:jc w:val="left"/>
              <w:rPr>
                <w:sz w:val="20"/>
                <w:szCs w:val="20"/>
                <w:lang w:val="en-CA"/>
              </w:rPr>
            </w:pPr>
            <w:r>
              <w:rPr>
                <w:sz w:val="19"/>
                <w:szCs w:val="19"/>
                <w:lang w:val="en-CA"/>
              </w:rPr>
              <w:t>2047 and thereafter: 15 per cent of baseline</w:t>
            </w:r>
          </w:p>
        </w:tc>
      </w:tr>
    </w:tbl>
    <w:p w:rsidR="009F59B0" w:rsidRDefault="009F59B0" w:rsidP="003161AE">
      <w:r>
        <w:rPr>
          <w:sz w:val="18"/>
          <w:szCs w:val="18"/>
        </w:rPr>
        <w:t>* Group 1 countries: all Article 5 countries except for the 10 countries in group 2. Group 2 countries: Bahrain, India, Islamic Republic of Iran, Iraq, Kuwait, Oman, Pakistan, Qatar, Saudi Arabia, and the United Arab Emirates.</w:t>
      </w:r>
    </w:p>
    <w:p w:rsidR="009F59B0" w:rsidRDefault="009F59B0" w:rsidP="003161AE">
      <w:pPr>
        <w:rPr>
          <w:sz w:val="18"/>
          <w:szCs w:val="18"/>
        </w:rPr>
      </w:pPr>
      <w:r>
        <w:rPr>
          <w:sz w:val="18"/>
          <w:szCs w:val="18"/>
        </w:rPr>
        <w:t>** HFC-23, with a GWP of 14,800, is mainly a by-product of the production of HCFC-22.</w:t>
      </w:r>
    </w:p>
    <w:p w:rsidR="009F59B0" w:rsidRDefault="009F59B0" w:rsidP="003161AE">
      <w:pPr>
        <w:rPr>
          <w:sz w:val="18"/>
          <w:szCs w:val="18"/>
        </w:rPr>
      </w:pPr>
      <w:r>
        <w:rPr>
          <w:sz w:val="18"/>
          <w:szCs w:val="18"/>
        </w:rPr>
        <w:t>***Countries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rPr>
        <w:t>ter</w:t>
      </w:r>
      <w:proofErr w:type="spellEnd"/>
      <w:r>
        <w:rPr>
          <w:sz w:val="18"/>
          <w:szCs w:val="18"/>
        </w:rPr>
        <w:t>)(e) of Article 5 of the Montreal Protocol.</w:t>
      </w:r>
    </w:p>
    <w:p w:rsidR="009F59B0" w:rsidRDefault="009F59B0" w:rsidP="003161AE">
      <w:pPr>
        <w:rPr>
          <w:szCs w:val="18"/>
        </w:rPr>
      </w:pPr>
    </w:p>
    <w:p w:rsidR="007B3391" w:rsidRDefault="009F59B0" w:rsidP="007B3391">
      <w:pPr>
        <w:pStyle w:val="Heading1"/>
      </w:pPr>
      <w:r>
        <w:t>The overlapping schedules of HCFC phase-out and HFC phase-down presents an opportunity to develop an integrated cost-effective strategy that addresses the reduction of both groups of substances, using the existing infrastructure supported under the Multilateral Fund, and a</w:t>
      </w:r>
      <w:r w:rsidR="007B3391">
        <w:t>voiding duplication of efforts.</w:t>
      </w:r>
    </w:p>
    <w:p w:rsidR="009F59B0" w:rsidRPr="0007517B" w:rsidRDefault="009F59B0" w:rsidP="00CD030F">
      <w:pPr>
        <w:pStyle w:val="Heading1"/>
      </w:pPr>
      <w:r>
        <w:t>Particularly for the refrigeration servicing sector, the majority of the activities already being implemented and planned for the phase-out of HCFCs</w:t>
      </w:r>
      <w:r>
        <w:rPr>
          <w:rStyle w:val="FootnoteReference"/>
        </w:rPr>
        <w:footnoteReference w:id="19"/>
      </w:r>
      <w:r>
        <w:t xml:space="preserve"> will have an impact on the reduction of </w:t>
      </w:r>
      <w:r>
        <w:lastRenderedPageBreak/>
        <w:t xml:space="preserve">consumption of HFCs. Additional efforts </w:t>
      </w:r>
      <w:r w:rsidRPr="0007517B">
        <w:t>might be needed in the sector during the first years of the HFC phase</w:t>
      </w:r>
      <w:r>
        <w:noBreakHyphen/>
      </w:r>
      <w:r w:rsidRPr="0007517B">
        <w:t xml:space="preserve">down for, </w:t>
      </w:r>
      <w:r w:rsidRPr="007B3391">
        <w:rPr>
          <w:i/>
        </w:rPr>
        <w:t>inter alia</w:t>
      </w:r>
      <w:r w:rsidRPr="0007517B">
        <w:t>:</w:t>
      </w:r>
    </w:p>
    <w:p w:rsidR="009F59B0" w:rsidRDefault="009F59B0" w:rsidP="00CD030F">
      <w:pPr>
        <w:pStyle w:val="Heading2"/>
      </w:pPr>
      <w:r>
        <w:t xml:space="preserve">Strengthening regulatory frameworks for refrigerant management through </w:t>
      </w:r>
      <w:r>
        <w:rPr>
          <w:i/>
        </w:rPr>
        <w:t xml:space="preserve">inter alia </w:t>
      </w:r>
      <w: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9F59B0" w:rsidRDefault="009F59B0" w:rsidP="003161AE">
      <w:pPr>
        <w:pStyle w:val="Heading2"/>
        <w:numPr>
          <w:ilvl w:val="1"/>
          <w:numId w:val="22"/>
        </w:numPr>
      </w:pPr>
      <w:r>
        <w:t>Developing, revising or adopting standards, codes and norms that could facilitate the adoption, operation, management and servicing of refrigeration technologies based on low</w:t>
      </w:r>
      <w:r>
        <w:noBreakHyphen/>
        <w:t>GWP refrigerants, noting that a large number of these refrigerants are flammable and/or toxic;</w:t>
      </w:r>
    </w:p>
    <w:p w:rsidR="009F59B0" w:rsidRDefault="009F59B0" w:rsidP="003161AE">
      <w:pPr>
        <w:pStyle w:val="Heading2"/>
        <w:numPr>
          <w:ilvl w:val="1"/>
          <w:numId w:val="22"/>
        </w:numPr>
      </w:pPr>
      <w:r>
        <w:t xml:space="preserve">Strengthening and updating the mechanisms in place to report consumption and production (where applicable) of controlled </w:t>
      </w:r>
      <w:r w:rsidRPr="0007517B">
        <w:t>substances, noting the increased amount and variety of controlled substances, which include a large portion of HFC-based blends, a wider set of applications where these substances are used (e.g., domestic refrigeration, mobile air</w:t>
      </w:r>
      <w:r w:rsidRPr="0007517B">
        <w:noBreakHyphen/>
        <w:t>conditioning and a larger set of commercial refrigeration systems), as well as the measurement of compliance of HFC production and consumption</w:t>
      </w:r>
      <w:r>
        <w:t xml:space="preserve"> in CO</w:t>
      </w:r>
      <w:r>
        <w:rPr>
          <w:vertAlign w:val="subscript"/>
        </w:rPr>
        <w:t>2-</w:t>
      </w:r>
      <w:r>
        <w:t xml:space="preserve">equivalent tonnes; </w:t>
      </w:r>
    </w:p>
    <w:p w:rsidR="009F59B0" w:rsidRDefault="009F59B0" w:rsidP="003161AE">
      <w:pPr>
        <w:pStyle w:val="Heading2"/>
        <w:numPr>
          <w:ilvl w:val="1"/>
          <w:numId w:val="22"/>
        </w:numPr>
      </w:pPr>
      <w:r>
        <w:t xml:space="preserve">Reviewing and periodically updating the curricula of the training programmes for customs and enforcement officers, addressing the obligations under the Montreal Protocol including its Kigali Amendment; </w:t>
      </w:r>
    </w:p>
    <w:p w:rsidR="009F59B0" w:rsidRPr="0007517B" w:rsidRDefault="009F59B0" w:rsidP="003161AE">
      <w:pPr>
        <w:pStyle w:val="Heading2"/>
        <w:numPr>
          <w:ilvl w:val="1"/>
          <w:numId w:val="22"/>
        </w:numPr>
      </w:pPr>
      <w: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equipment based on a variety of refrigerants with different operating characteristics related to pressure, flammability and toxicity; and strengthening RAC associations, ensuring their engagement in the </w:t>
      </w:r>
      <w:r w:rsidRPr="0007517B">
        <w:t xml:space="preserve">implementation of activities related to the servicing sector; </w:t>
      </w:r>
    </w:p>
    <w:p w:rsidR="009F59B0" w:rsidRPr="0007517B" w:rsidRDefault="009F59B0" w:rsidP="003161AE">
      <w:pPr>
        <w:pStyle w:val="Heading2"/>
        <w:widowControl/>
        <w:numPr>
          <w:ilvl w:val="1"/>
          <w:numId w:val="22"/>
        </w:numPr>
      </w:pPr>
      <w:r w:rsidRPr="0007517B">
        <w:t xml:space="preserve">Developing or strengthening self-sustained refrigerant containment strategies to ensure that installed refrigeration equipment can continue operating until end-of-life; assessing and start adapting the existing infrastructure for recovering, recycling and reclaiming refrigerants to operate with a wider set of RAC systems, refrigerants and blends; </w:t>
      </w:r>
    </w:p>
    <w:p w:rsidR="009F59B0" w:rsidRPr="0007517B" w:rsidRDefault="009F59B0" w:rsidP="003161AE">
      <w:pPr>
        <w:pStyle w:val="Heading2"/>
        <w:numPr>
          <w:ilvl w:val="1"/>
          <w:numId w:val="22"/>
        </w:numPr>
      </w:pPr>
      <w:r w:rsidRPr="0007517B">
        <w:t>Strengthening technical support for the assembly, installation and initial</w:t>
      </w:r>
      <w:r w:rsidRPr="0007517B">
        <w:noBreakHyphen/>
        <w:t>refrigerant</w:t>
      </w:r>
      <w:r w:rsidRPr="0007517B">
        <w:noBreakHyphen/>
        <w:t>charge sub</w:t>
      </w:r>
      <w:r w:rsidRPr="0007517B">
        <w:noBreakHyphen/>
        <w:t>sector as it could influence the introduction of technologies in local markets; and</w:t>
      </w:r>
    </w:p>
    <w:p w:rsidR="009F59B0" w:rsidRPr="0007517B" w:rsidRDefault="009F59B0" w:rsidP="003161AE">
      <w:pPr>
        <w:pStyle w:val="Heading2"/>
        <w:numPr>
          <w:ilvl w:val="1"/>
          <w:numId w:val="22"/>
        </w:numPr>
      </w:pPr>
      <w:r w:rsidRPr="0007517B">
        <w:t>Combining the funding from HCFC phase-out and HFC phase-down to implement more comprehensive, longer-term activities that will have a broader impact; reducing the number of funding tranches being concurrently implemented, with lower transaction costs for reporting and verifications.</w:t>
      </w:r>
    </w:p>
    <w:p w:rsidR="009F59B0" w:rsidRPr="0007517B" w:rsidRDefault="009F59B0" w:rsidP="003161AE">
      <w:pPr>
        <w:pStyle w:val="Heading1"/>
        <w:numPr>
          <w:ilvl w:val="0"/>
          <w:numId w:val="22"/>
        </w:numPr>
      </w:pPr>
      <w:r w:rsidRPr="0007517B">
        <w:t>Additional activities in the refrigeration servicing sector will be dependent on the priorities established by each Article 5 country. Annex I presents an overview of potential modalities for integrating HCFC phase-out and HFC phase-down activities in the sector.</w:t>
      </w:r>
    </w:p>
    <w:p w:rsidR="009F59B0" w:rsidRPr="004A10C2" w:rsidRDefault="009F59B0" w:rsidP="003161AE">
      <w:pPr>
        <w:rPr>
          <w:u w:val="single"/>
        </w:rPr>
      </w:pPr>
      <w:r w:rsidRPr="004A10C2">
        <w:rPr>
          <w:u w:val="single"/>
        </w:rPr>
        <w:lastRenderedPageBreak/>
        <w:t xml:space="preserve">Additional </w:t>
      </w:r>
      <w:r>
        <w:rPr>
          <w:u w:val="single"/>
        </w:rPr>
        <w:t>ongoing discussions related to</w:t>
      </w:r>
      <w:r w:rsidRPr="004A10C2">
        <w:rPr>
          <w:u w:val="single"/>
        </w:rPr>
        <w:t xml:space="preserve"> the refrigeration servicing sector</w:t>
      </w:r>
    </w:p>
    <w:p w:rsidR="009F59B0" w:rsidRPr="004A10C2" w:rsidRDefault="009F59B0" w:rsidP="003161AE"/>
    <w:p w:rsidR="009F59B0" w:rsidRPr="0007517B" w:rsidRDefault="009F59B0" w:rsidP="003161AE">
      <w:pPr>
        <w:pStyle w:val="Heading1"/>
      </w:pPr>
      <w:r w:rsidRPr="00231605">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noBreakHyphen/>
        <w:t>GWP refrigerants and maintaining energy efficiency in the servicing/end-user sector (paragraph 16 of decision XXVIII/2). From the 82</w:t>
      </w:r>
      <w:r w:rsidRPr="00231605">
        <w:rPr>
          <w:vertAlign w:val="superscript"/>
        </w:rPr>
        <w:t>nd</w:t>
      </w:r>
      <w:r w:rsidRPr="00231605">
        <w:t xml:space="preserve"> to the 84</w:t>
      </w:r>
      <w:r w:rsidRPr="00231605">
        <w:rPr>
          <w:vertAlign w:val="superscript"/>
        </w:rPr>
        <w:t>th</w:t>
      </w:r>
      <w:r>
        <w:t xml:space="preserve"> </w:t>
      </w:r>
      <w:r w:rsidRPr="00231605">
        <w:t>meetings, the Executive Committee held discussions on this matter, as summarized in document</w:t>
      </w:r>
      <w:r>
        <w:t> </w:t>
      </w:r>
      <w:r w:rsidRPr="00231605">
        <w:t>UNEP/</w:t>
      </w:r>
      <w:proofErr w:type="spellStart"/>
      <w:r w:rsidRPr="00231605">
        <w:t>OzL.Pro</w:t>
      </w:r>
      <w:proofErr w:type="spellEnd"/>
      <w:r w:rsidRPr="00231605">
        <w:t>/</w:t>
      </w:r>
      <w:proofErr w:type="spellStart"/>
      <w:r w:rsidRPr="00231605">
        <w:t>ExCom</w:t>
      </w:r>
      <w:proofErr w:type="spellEnd"/>
      <w:r w:rsidRPr="00231605">
        <w:t>/86/92</w:t>
      </w:r>
      <w:r>
        <w:rPr>
          <w:rStyle w:val="FootnoteReference"/>
        </w:rPr>
        <w:footnoteReference w:id="20"/>
      </w:r>
      <w:r w:rsidRPr="00231605">
        <w:t xml:space="preserve"> submitted to the 86</w:t>
      </w:r>
      <w:r w:rsidRPr="00231605">
        <w:rPr>
          <w:vertAlign w:val="superscript"/>
        </w:rPr>
        <w:t>th</w:t>
      </w:r>
      <w:r w:rsidRPr="00231605">
        <w:t xml:space="preserve"> meeting. In that document, the Secretariat had invited the Executive Committee </w:t>
      </w:r>
      <w:r w:rsidRPr="00AD4127">
        <w:t>if it wishes</w:t>
      </w:r>
      <w:r w:rsidRPr="00231605">
        <w:t xml:space="preserve"> to consider the information and analysis contained in the present document, while finalising its discussions on the ways to operationalize paragraph 16 of decision</w:t>
      </w:r>
      <w:r>
        <w:t> </w:t>
      </w:r>
      <w:r w:rsidRPr="00231605">
        <w:t xml:space="preserve">XXVIII/2, and paragraph 2 of decision XXX/5, given the close relationship between the two </w:t>
      </w:r>
      <w:r w:rsidRPr="0007517B">
        <w:t xml:space="preserve">documents. </w:t>
      </w:r>
    </w:p>
    <w:p w:rsidR="009F59B0" w:rsidRPr="00636AA8" w:rsidRDefault="009F59B0" w:rsidP="003161AE">
      <w:pPr>
        <w:pStyle w:val="Heading1"/>
      </w:pPr>
      <w:r w:rsidRPr="0007517B">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t>equipment in operation (i.e., HCFC- and HFC-based refrigerants).</w:t>
      </w:r>
    </w:p>
    <w:p w:rsidR="009F59B0" w:rsidRPr="00636AA8" w:rsidRDefault="009F59B0" w:rsidP="003161AE">
      <w:pPr>
        <w:pStyle w:val="Heading1"/>
      </w:pPr>
      <w:r w:rsidRPr="00636AA8">
        <w:t>Also, in adopting the Kigali Amendment, the Parties asked the Executive Committee to consider funding the cost-effective management of stockpiles of used or unwanted controlled substances, including destruction (paragraph 24 of decision XXVIII/2).</w:t>
      </w:r>
      <w:r w:rsidRPr="00636AA8">
        <w:rPr>
          <w:rStyle w:val="FootnoteReference"/>
        </w:rPr>
        <w:footnoteReference w:id="21"/>
      </w:r>
      <w:r w:rsidRPr="00636AA8">
        <w:t xml:space="preserve"> At its 84</w:t>
      </w:r>
      <w:r w:rsidRPr="00636AA8">
        <w:rPr>
          <w:vertAlign w:val="superscript"/>
        </w:rPr>
        <w:t>th</w:t>
      </w:r>
      <w:r w:rsidRPr="00636AA8">
        <w:t xml:space="preserve"> meeting, the Committee </w:t>
      </w:r>
      <w:r w:rsidRPr="00636AA8">
        <w:rPr>
          <w:i/>
        </w:rPr>
        <w:t>inter alia</w:t>
      </w:r>
      <w:r w:rsidRPr="00636AA8">
        <w:t xml:space="preserve"> requested the Secretariat to prepare for the 85</w:t>
      </w:r>
      <w:r w:rsidRPr="00636AA8">
        <w:rPr>
          <w:vertAlign w:val="superscript"/>
        </w:rPr>
        <w:t>th</w:t>
      </w:r>
      <w:r w:rsidRPr="00636AA8">
        <w:t xml:space="preserve">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636AA8">
        <w:rPr>
          <w:rStyle w:val="FootnoteReference"/>
        </w:rPr>
        <w:footnoteReference w:id="22"/>
      </w:r>
      <w:r w:rsidRPr="00636AA8">
        <w:t xml:space="preserve"> and the synthesis report on pilot ODS disposal projects;</w:t>
      </w:r>
      <w:r w:rsidRPr="00636AA8">
        <w:rPr>
          <w:rStyle w:val="FootnoteReference"/>
        </w:rPr>
        <w:footnoteReference w:id="23"/>
      </w:r>
      <w:r w:rsidRPr="00636AA8">
        <w:t xml:space="preserve"> other relevant projects implemented in HPMPs; lessons learned from existing infrastructure and policies that could be used to establish the cost</w:t>
      </w:r>
      <w:r>
        <w:noBreakHyphen/>
      </w:r>
      <w:r w:rsidRPr="00636AA8">
        <w:t>effective management of stockpiles of used or unwanted controlled substances; and external funding opportunities and existing disposal programmes and partnerships (decision 84/87(b)).</w:t>
      </w:r>
    </w:p>
    <w:p w:rsidR="009F59B0" w:rsidRPr="00636AA8" w:rsidRDefault="009F59B0" w:rsidP="003161AE">
      <w:pPr>
        <w:pStyle w:val="Heading1"/>
      </w:pPr>
      <w:r w:rsidRPr="00636AA8">
        <w:t>In response to decision 84/87(b), document UNEP/</w:t>
      </w:r>
      <w:proofErr w:type="spellStart"/>
      <w:r w:rsidRPr="00636AA8">
        <w:t>OzL.Pro</w:t>
      </w:r>
      <w:proofErr w:type="spellEnd"/>
      <w:r w:rsidRPr="00636AA8">
        <w:t>/</w:t>
      </w:r>
      <w:proofErr w:type="spellStart"/>
      <w:r w:rsidRPr="00750116">
        <w:t>ExCom</w:t>
      </w:r>
      <w:proofErr w:type="spellEnd"/>
      <w:r w:rsidRPr="00750116">
        <w:t>/86/90</w:t>
      </w:r>
      <w:r w:rsidRPr="00750116">
        <w:rPr>
          <w:rStyle w:val="FootnoteReference"/>
        </w:rPr>
        <w:footnoteReference w:id="24"/>
      </w:r>
      <w:r w:rsidRPr="00750116">
        <w:t xml:space="preserve"> was submitted to the 86</w:t>
      </w:r>
      <w:r w:rsidRPr="00750116">
        <w:rPr>
          <w:vertAlign w:val="superscript"/>
        </w:rPr>
        <w:t>th</w:t>
      </w:r>
      <w:r w:rsidRPr="00750116">
        <w:t> meeting. The document notes that the majority of activities already being implemented in the refrigeration servicing sector under ongoing HPMPs and future HFC phase-down plans</w:t>
      </w:r>
      <w:r w:rsidRPr="00636AA8">
        <w:t xml:space="preserve"> provide opportunities for considering the development of an integrated approach for the sustainable and cost</w:t>
      </w:r>
      <w:r w:rsidRPr="00636AA8">
        <w:noBreakHyphen/>
        <w:t xml:space="preserve">effective management of unwanted controlled substances to prevent harmful emissions to the environment. Including a strategy for the environmentally sound management of waste ODS and other controlled substances when economically feasible will ensure that all aspects of management of the refrigerant until its disposal are fully considered. </w:t>
      </w:r>
    </w:p>
    <w:p w:rsidR="009F59B0" w:rsidRPr="00295A4D" w:rsidRDefault="009F59B0" w:rsidP="003161AE">
      <w:pPr>
        <w:keepNext/>
        <w:rPr>
          <w:b/>
        </w:rPr>
      </w:pPr>
      <w:r w:rsidRPr="00295A4D">
        <w:rPr>
          <w:b/>
        </w:rPr>
        <w:t>Modalit</w:t>
      </w:r>
      <w:r>
        <w:rPr>
          <w:b/>
        </w:rPr>
        <w:t>ies</w:t>
      </w:r>
      <w:r w:rsidRPr="00295A4D">
        <w:rPr>
          <w:b/>
        </w:rPr>
        <w:t xml:space="preserve"> and </w:t>
      </w:r>
      <w:r>
        <w:rPr>
          <w:b/>
        </w:rPr>
        <w:t xml:space="preserve">levels of </w:t>
      </w:r>
      <w:r w:rsidRPr="00295A4D">
        <w:rPr>
          <w:b/>
        </w:rPr>
        <w:t>funding for HFC phase-down in the refrigeration servicing sector</w:t>
      </w:r>
      <w:r>
        <w:rPr>
          <w:b/>
        </w:rPr>
        <w:t xml:space="preserve"> (stage I)</w:t>
      </w:r>
    </w:p>
    <w:p w:rsidR="009F59B0" w:rsidRPr="00295A4D" w:rsidRDefault="009F59B0" w:rsidP="003161AE">
      <w:pPr>
        <w:keepNext/>
      </w:pPr>
    </w:p>
    <w:p w:rsidR="009F59B0" w:rsidRPr="003859BE" w:rsidRDefault="009F59B0" w:rsidP="003161AE">
      <w:pPr>
        <w:pStyle w:val="Heading1"/>
      </w:pPr>
      <w:r w:rsidRPr="003859BE">
        <w:t xml:space="preserve">The modality and levels of funding proposed for the phase-down of HFCs in the refrigeration servicing sector, are based on the extensive analysis and information contained in the various documents that have been considered by the Executive Committee (listed under the Background section of the present </w:t>
      </w:r>
      <w:r w:rsidRPr="003859BE">
        <w:lastRenderedPageBreak/>
        <w:t>document), and the review of all the projects related to the servicing sector that have been approved, in particular under the HPMPs. Specifically, the following facts were considered:</w:t>
      </w:r>
    </w:p>
    <w:p w:rsidR="009F59B0" w:rsidRPr="007F7E26" w:rsidRDefault="009F59B0" w:rsidP="00CD030F">
      <w:pPr>
        <w:pStyle w:val="Heading2"/>
      </w:pPr>
      <w:r w:rsidRPr="003859BE">
        <w:t xml:space="preserve">The need to meet the freeze (all Article 5 countries) and the 10 per cent reduction (all Article 5 group 1 countries) on HFC consumption where the actual levels of HFCs consumption, type of HFCs (pure or contained in blends) being consumed and </w:t>
      </w:r>
      <w:r w:rsidRPr="007F7E26">
        <w:t>their sectoral distribution, are unknown, and the HFC baselines for compliance cannot be reliably forecast;</w:t>
      </w:r>
    </w:p>
    <w:p w:rsidR="009F59B0" w:rsidRPr="00295A4D" w:rsidRDefault="009F59B0" w:rsidP="009F59B0">
      <w:pPr>
        <w:pStyle w:val="Heading2"/>
        <w:numPr>
          <w:ilvl w:val="1"/>
          <w:numId w:val="1"/>
        </w:numPr>
      </w:pPr>
      <w:r w:rsidRPr="00295A4D">
        <w:t xml:space="preserve">The relevance of the servicing sector during the 2020-2030 period, noting that for the majority of Article 5 countries the remaining HCFC consumption is solely or mainly used for servicing RAC equipment. Furthermore, </w:t>
      </w:r>
      <w:r>
        <w:t xml:space="preserve">HFC </w:t>
      </w:r>
      <w:r w:rsidRPr="00295A4D">
        <w:t>phase-</w:t>
      </w:r>
      <w:r>
        <w:t>down</w:t>
      </w:r>
      <w:r w:rsidRPr="00295A4D">
        <w:t xml:space="preserve"> activities in this sector</w:t>
      </w:r>
      <w:r>
        <w:t xml:space="preserve"> are expected to</w:t>
      </w:r>
      <w:r w:rsidRPr="00295A4D">
        <w:t xml:space="preserve"> be necessary for the majority of LVC countries and several non-LVC countries to meet their compliance obligations, as HFCs are solely used for servicing RAC equipment;</w:t>
      </w:r>
    </w:p>
    <w:p w:rsidR="009F59B0" w:rsidRPr="00295A4D" w:rsidRDefault="009F59B0" w:rsidP="009F59B0">
      <w:pPr>
        <w:pStyle w:val="Heading2"/>
        <w:numPr>
          <w:ilvl w:val="1"/>
          <w:numId w:val="1"/>
        </w:numPr>
      </w:pPr>
      <w:r w:rsidRPr="00295A4D">
        <w:t xml:space="preserve">The full utilization of the regulatory framework and the </w:t>
      </w:r>
      <w:r>
        <w:t xml:space="preserve">training </w:t>
      </w:r>
      <w:r w:rsidRPr="00295A4D">
        <w:t xml:space="preserve">infrastructure that has been established since the inception of the Multilateral Fund and strengthened and expanded during the phase-out of HCFCs. This include </w:t>
      </w:r>
      <w:r w:rsidRPr="00295A4D">
        <w:rPr>
          <w:i/>
        </w:rPr>
        <w:t>inter alia</w:t>
      </w:r>
      <w:r w:rsidRPr="00295A4D">
        <w:t xml:space="preserve"> the training/vocational institutions for customs officer</w:t>
      </w:r>
      <w:r>
        <w:t>s</w:t>
      </w:r>
      <w:r w:rsidRPr="00295A4D">
        <w:t xml:space="preserve"> and </w:t>
      </w:r>
      <w:r w:rsidRPr="007F7E26">
        <w:t>refrigeration technicians that have been supported with equipment, tools and refrigerant identifiers</w:t>
      </w:r>
      <w:r>
        <w:t>,</w:t>
      </w:r>
      <w:r w:rsidRPr="007F7E26">
        <w:t xml:space="preserve"> and strengthened with updated curricula including good servicing practices and</w:t>
      </w:r>
      <w:r>
        <w:t>,</w:t>
      </w:r>
      <w:r w:rsidRPr="007F7E26">
        <w:t xml:space="preserve"> in many cases</w:t>
      </w:r>
      <w:r>
        <w:t>,</w:t>
      </w:r>
      <w:r w:rsidRPr="007F7E26">
        <w:t xml:space="preserve"> proper handling of flammable and toxic refrigerants; the customs and enforcement officers that have been trained; and the service technicians that have been trained in good service practices and the proper</w:t>
      </w:r>
      <w:r w:rsidRPr="00295A4D">
        <w:t xml:space="preserve"> handling of flammable and toxic refrigerants, and equipped with basic service tools; </w:t>
      </w:r>
    </w:p>
    <w:p w:rsidR="009F59B0" w:rsidRPr="00295A4D" w:rsidRDefault="009F59B0" w:rsidP="009F59B0">
      <w:pPr>
        <w:pStyle w:val="Heading2"/>
        <w:numPr>
          <w:ilvl w:val="1"/>
          <w:numId w:val="1"/>
        </w:numPr>
      </w:pPr>
      <w:r w:rsidRPr="00295A4D">
        <w:t>The demonstrated benefits for Article 5 countries of implementing an integrated strategy in the refrigeration servicing sector that addresses the reduction of HCFCs and HFCs, through a comprehensive plan that combines ozone and climate benefits and the funding from HCFC phase-out and HFC phase down, following a performance-based multi</w:t>
      </w:r>
      <w:r>
        <w:noBreakHyphen/>
      </w:r>
      <w:r w:rsidRPr="00295A4D">
        <w:t xml:space="preserve">staged approach, </w:t>
      </w:r>
      <w:r w:rsidRPr="00F963D2">
        <w:t>rather than a set of stand-alone activities in the absence of a holistic approach for the refrigeration servicing sector</w:t>
      </w:r>
      <w:r>
        <w:t>;</w:t>
      </w:r>
      <w:r>
        <w:rPr>
          <w:rStyle w:val="FootnoteReference"/>
        </w:rPr>
        <w:footnoteReference w:id="25"/>
      </w:r>
      <w:r w:rsidRPr="00295A4D">
        <w:t xml:space="preserve"> and</w:t>
      </w:r>
    </w:p>
    <w:p w:rsidR="009F59B0" w:rsidRPr="00DB72FA" w:rsidRDefault="009F59B0" w:rsidP="009F59B0">
      <w:pPr>
        <w:pStyle w:val="Heading2"/>
        <w:numPr>
          <w:ilvl w:val="1"/>
          <w:numId w:val="1"/>
        </w:numPr>
      </w:pPr>
      <w:r w:rsidRPr="00295A4D">
        <w:t xml:space="preserve">The level of funding available during </w:t>
      </w:r>
      <w:r w:rsidRPr="007F7E26">
        <w:t>the 202</w:t>
      </w:r>
      <w:r>
        <w:t>1</w:t>
      </w:r>
      <w:r w:rsidRPr="007F7E26">
        <w:t xml:space="preserve">-2030 period for phasing out HCFCs in the refrigeration servicing </w:t>
      </w:r>
      <w:r w:rsidRPr="00EF1860">
        <w:t>sector in all Article 5 countries. As previously explained and shown in Table 3, US $</w:t>
      </w:r>
      <w:r w:rsidR="00DB72FA" w:rsidRPr="00EF1860">
        <w:t>56.5</w:t>
      </w:r>
      <w:r w:rsidRPr="00EF1860">
        <w:t xml:space="preserve"> million has been approved in principle to LVC countries (with a large portion already disbursed) and US $</w:t>
      </w:r>
      <w:r w:rsidR="00DB72FA" w:rsidRPr="00EF1860">
        <w:t>21.3</w:t>
      </w:r>
      <w:r w:rsidRPr="00EF1860">
        <w:t xml:space="preserve"> million is yet to be approved. For non</w:t>
      </w:r>
      <w:r w:rsidRPr="00EF1860">
        <w:noBreakHyphen/>
        <w:t>LVC countries, US $</w:t>
      </w:r>
      <w:r w:rsidR="00DB72FA" w:rsidRPr="00EF1860">
        <w:t>145.7</w:t>
      </w:r>
      <w:r w:rsidRPr="00EF1860">
        <w:t xml:space="preserve"> million has been approved in principle (and only part of it already disbursed), and up to US $</w:t>
      </w:r>
      <w:r w:rsidR="004A5437" w:rsidRPr="00EF1860">
        <w:t>551.4</w:t>
      </w:r>
      <w:r w:rsidRPr="00EF1860">
        <w:t xml:space="preserve"> million</w:t>
      </w:r>
      <w:r w:rsidRPr="00EF1860">
        <w:rPr>
          <w:rStyle w:val="FootnoteReference"/>
        </w:rPr>
        <w:footnoteReference w:id="26"/>
      </w:r>
      <w:r w:rsidRPr="00EF1860">
        <w:t xml:space="preserve"> is yet to be</w:t>
      </w:r>
      <w:r w:rsidRPr="00DB72FA">
        <w:t xml:space="preserve"> approved.</w:t>
      </w:r>
    </w:p>
    <w:p w:rsidR="009F59B0" w:rsidRPr="001F25D9" w:rsidRDefault="009F59B0" w:rsidP="003161AE">
      <w:pPr>
        <w:pStyle w:val="Heading1"/>
      </w:pPr>
      <w:r w:rsidRPr="007F7E26">
        <w:t>Taking into consideration the above facts, the Secretariat assessed several modalities and levels of funding for HFC phase-down in the refrigeration servicing sector, as describ</w:t>
      </w:r>
      <w:r>
        <w:t>ed below</w:t>
      </w:r>
      <w:r w:rsidRPr="00295A4D">
        <w:t xml:space="preserve">. </w:t>
      </w:r>
    </w:p>
    <w:p w:rsidR="009F59B0" w:rsidRPr="0065707F" w:rsidRDefault="009F59B0" w:rsidP="003161AE">
      <w:pPr>
        <w:rPr>
          <w:u w:val="single"/>
        </w:rPr>
      </w:pPr>
      <w:r w:rsidRPr="0065707F">
        <w:rPr>
          <w:u w:val="single"/>
        </w:rPr>
        <w:t>Modality 1</w:t>
      </w:r>
    </w:p>
    <w:p w:rsidR="009F59B0" w:rsidRPr="0065707F" w:rsidRDefault="009F59B0" w:rsidP="003161AE"/>
    <w:p w:rsidR="009F59B0" w:rsidRDefault="009F59B0" w:rsidP="003161AE">
      <w:pPr>
        <w:pStyle w:val="Heading1"/>
      </w:pPr>
      <w:r>
        <w:t>Given the uncertainties related to the cost of additional efforts to be undertaken to reduce HFC consumption to achieve the 10 per cent reduction target while completing the phase-out of HCFCs, o</w:t>
      </w:r>
      <w:r w:rsidRPr="00295A4D">
        <w:t xml:space="preserve">ne </w:t>
      </w:r>
      <w:r>
        <w:t>modality considered</w:t>
      </w:r>
      <w:r w:rsidRPr="00295A4D">
        <w:t xml:space="preserve">, similar to </w:t>
      </w:r>
      <w:r>
        <w:t xml:space="preserve">that </w:t>
      </w:r>
      <w:r w:rsidRPr="00295A4D">
        <w:t xml:space="preserve">followed prior to the approval of the first RMPs, </w:t>
      </w:r>
      <w:r>
        <w:t xml:space="preserve">was to </w:t>
      </w:r>
      <w:r w:rsidRPr="00295A4D">
        <w:t>approv</w:t>
      </w:r>
      <w:r>
        <w:t>e</w:t>
      </w:r>
      <w:r w:rsidRPr="00295A4D">
        <w:t xml:space="preserve"> </w:t>
      </w:r>
      <w:r w:rsidRPr="00295A4D">
        <w:lastRenderedPageBreak/>
        <w:t>stand</w:t>
      </w:r>
      <w:r>
        <w:noBreakHyphen/>
      </w:r>
      <w:r w:rsidRPr="00295A4D">
        <w:t xml:space="preserve">alone activities that would be required to phase-down the consumption of HFCs, at a funding level </w:t>
      </w:r>
      <w:r>
        <w:t>commensurate</w:t>
      </w:r>
      <w:r w:rsidRPr="00295A4D">
        <w:t xml:space="preserve"> to the activity being submitted. </w:t>
      </w:r>
    </w:p>
    <w:p w:rsidR="009F59B0" w:rsidRPr="002F78B4" w:rsidRDefault="009F59B0" w:rsidP="003161AE">
      <w:pPr>
        <w:pStyle w:val="Heading1"/>
      </w:pPr>
      <w:r w:rsidRPr="00295A4D">
        <w:t xml:space="preserve">This </w:t>
      </w:r>
      <w:r>
        <w:t>modality c</w:t>
      </w:r>
      <w:r w:rsidRPr="00295A4D">
        <w:t>ould</w:t>
      </w:r>
      <w:r>
        <w:t xml:space="preserve"> help ensure that Article 5 countries present in a sound manner </w:t>
      </w:r>
      <w:r w:rsidRPr="00295A4D">
        <w:t>the additional effort required for HFC phase-down</w:t>
      </w:r>
      <w:r>
        <w:t xml:space="preserve"> and its associated cost. However, it would limit following a holistic strategy where similar activities to </w:t>
      </w:r>
      <w:r w:rsidRPr="00295A4D">
        <w:t>phase</w:t>
      </w:r>
      <w:r>
        <w:t xml:space="preserve"> out</w:t>
      </w:r>
      <w:r w:rsidRPr="00295A4D">
        <w:t xml:space="preserve"> </w:t>
      </w:r>
      <w:r>
        <w:t>HCFCs and phase down HFCs could be integrated and implemented (e.g., integrating HFC considerations in ongoing training programmes for phasing down HCFCs would be more cost-effective than implementing a new separate training programme only for HFCs)</w:t>
      </w:r>
      <w:r w:rsidRPr="00055F3F">
        <w:t xml:space="preserve">. </w:t>
      </w:r>
      <w:r w:rsidRPr="002F78B4">
        <w:t xml:space="preserve">Furthermore, a stand-alone approach in the current context would generate difficulties in assessing the impact of different project components, and </w:t>
      </w:r>
      <w:r>
        <w:t xml:space="preserve">would </w:t>
      </w:r>
      <w:r w:rsidRPr="002F78B4">
        <w:t>substantially increase the administrative workload of the Multilateral Fund institutions on individual review, approval and monitoring of separate activities</w:t>
      </w:r>
      <w:r>
        <w:t>.</w:t>
      </w:r>
    </w:p>
    <w:p w:rsidR="009F59B0" w:rsidRPr="006F660F" w:rsidRDefault="009F59B0" w:rsidP="00F2394E">
      <w:pPr>
        <w:keepNext/>
        <w:rPr>
          <w:u w:val="single"/>
        </w:rPr>
      </w:pPr>
      <w:r w:rsidRPr="006F660F">
        <w:rPr>
          <w:u w:val="single"/>
        </w:rPr>
        <w:t>Modality 2</w:t>
      </w:r>
    </w:p>
    <w:p w:rsidR="009F59B0" w:rsidRPr="006F660F" w:rsidRDefault="009F59B0" w:rsidP="00F2394E">
      <w:pPr>
        <w:keepNext/>
      </w:pPr>
    </w:p>
    <w:p w:rsidR="009F59B0" w:rsidRDefault="009F59B0" w:rsidP="003161AE">
      <w:pPr>
        <w:pStyle w:val="Heading1"/>
      </w:pPr>
      <w:r w:rsidRPr="006F660F">
        <w:t xml:space="preserve">Another </w:t>
      </w:r>
      <w:r>
        <w:t xml:space="preserve">modality considered </w:t>
      </w:r>
      <w:r w:rsidRPr="006F660F">
        <w:t xml:space="preserve">was grouping Article 5 countries according to their HCFC baselines for compliance (used as a proxy in the absence of estimated/calculated HFC baselines), without differentiating LVC countries from non-LVC countries, with increasing funding levels </w:t>
      </w:r>
      <w:r>
        <w:t xml:space="preserve">proportional to increases in their </w:t>
      </w:r>
      <w:r w:rsidRPr="006F660F">
        <w:t>HCFC baselines</w:t>
      </w:r>
      <w:r>
        <w:t>. T</w:t>
      </w:r>
      <w:r w:rsidRPr="006F660F">
        <w:t xml:space="preserve">his </w:t>
      </w:r>
      <w:r>
        <w:t xml:space="preserve">modality </w:t>
      </w:r>
      <w:r w:rsidRPr="006F660F">
        <w:t>is similar to the approach used for the phase-out of HCFCs for LVC countries in decision 60/44 (</w:t>
      </w:r>
      <w:r>
        <w:t xml:space="preserve">for </w:t>
      </w:r>
      <w:r w:rsidRPr="006F660F">
        <w:t>stage I of the HPMPs) and decision 74/50 (</w:t>
      </w:r>
      <w:r>
        <w:t xml:space="preserve">for </w:t>
      </w:r>
      <w:r w:rsidRPr="006F660F">
        <w:t>subsequent stages)</w:t>
      </w:r>
      <w:r>
        <w:t>,</w:t>
      </w:r>
      <w:r w:rsidRPr="006F660F">
        <w:t xml:space="preserve"> and extended to non-LVC countries instead of using a unique cost-effectiveness threshold (e.g., </w:t>
      </w:r>
      <w:r>
        <w:t>US $</w:t>
      </w:r>
      <w:r w:rsidRPr="006F660F">
        <w:t xml:space="preserve">4.80/kg) applicable to the HCFC consumption in the refrigeration servicing sector eligible for funding. </w:t>
      </w:r>
    </w:p>
    <w:p w:rsidR="009F59B0" w:rsidRDefault="009F59B0" w:rsidP="003161AE">
      <w:pPr>
        <w:pStyle w:val="Heading1"/>
      </w:pPr>
      <w:r w:rsidRPr="006F660F">
        <w:t xml:space="preserve">This </w:t>
      </w:r>
      <w:r>
        <w:t xml:space="preserve">modality would </w:t>
      </w:r>
      <w:r w:rsidRPr="006F660F">
        <w:t xml:space="preserve">allow for the development of a holistic strategy for addressing the phase-out of HCFCs and the phase-down of HFCs, for implementing a number of </w:t>
      </w:r>
      <w:r>
        <w:t>common</w:t>
      </w:r>
      <w:r w:rsidRPr="006F660F">
        <w:t xml:space="preserve"> activities addressing the two groups of controlled substances, avoiding duplication of </w:t>
      </w:r>
      <w:r>
        <w:t>efforts</w:t>
      </w:r>
      <w:r w:rsidRPr="006F660F">
        <w:t xml:space="preserve"> (and thus costs), and </w:t>
      </w:r>
      <w:r>
        <w:t>streamlining the</w:t>
      </w:r>
      <w:r w:rsidRPr="006F660F">
        <w:t xml:space="preserve"> administrative workload of the Multilateral Fund institutions.</w:t>
      </w:r>
    </w:p>
    <w:p w:rsidR="009F59B0" w:rsidRDefault="009F59B0" w:rsidP="003161AE">
      <w:pPr>
        <w:pStyle w:val="Heading1"/>
      </w:pPr>
      <w:r w:rsidRPr="006F660F">
        <w:t>Although this would be the preferred modality for funding,</w:t>
      </w:r>
      <w:r>
        <w:t xml:space="preserve"> at present,</w:t>
      </w:r>
      <w:r w:rsidRPr="006F660F">
        <w:t xml:space="preserve"> in the absence of the estimated/established HFC baselines for compliance and the sectoral distribution of HFCs in the various applications, it is not possible to have a meaningful grouping of Article 5 countries </w:t>
      </w:r>
      <w:r>
        <w:t xml:space="preserve">(especially in the case of non-LVC countries) </w:t>
      </w:r>
      <w:r w:rsidRPr="006F660F">
        <w:t xml:space="preserve">and establish the associated funding levels to achieve compliance with the control obligations set under the Kigali Amendment. </w:t>
      </w:r>
    </w:p>
    <w:p w:rsidR="009F59B0" w:rsidRDefault="009F59B0" w:rsidP="003161AE">
      <w:pPr>
        <w:pStyle w:val="Heading1"/>
        <w:widowControl w:val="0"/>
      </w:pPr>
      <w:r w:rsidRPr="006F660F">
        <w:t>Furthermore,</w:t>
      </w:r>
      <w:r>
        <w:t xml:space="preserve"> </w:t>
      </w:r>
      <w:r w:rsidRPr="006F660F">
        <w:t xml:space="preserve">after 2030 Article 5 countries </w:t>
      </w:r>
      <w:r>
        <w:t>would have phased-out HCFCs</w:t>
      </w:r>
      <w:r>
        <w:rPr>
          <w:rStyle w:val="FootnoteReference"/>
        </w:rPr>
        <w:footnoteReference w:id="27"/>
      </w:r>
      <w:r>
        <w:t xml:space="preserve"> and activities in the refrigeration servicing sector would only be associated to the phase-down of HFCs</w:t>
      </w:r>
      <w:r w:rsidRPr="006F660F">
        <w:t xml:space="preserve">; at that time, a thorough assessment of the modalities and levels of funds for phasing down HFC consumption in the servicing sector in future stages </w:t>
      </w:r>
      <w:r>
        <w:t>sh</w:t>
      </w:r>
      <w:r w:rsidRPr="006F660F">
        <w:t>ould be undertaken</w:t>
      </w:r>
      <w:r>
        <w:t xml:space="preserve"> based on the remaining HFC phase-down needed and the scenario of HFC uses and alternatives available in the market</w:t>
      </w:r>
      <w:r w:rsidRPr="006F660F">
        <w:t>.</w:t>
      </w:r>
    </w:p>
    <w:p w:rsidR="009F59B0" w:rsidRPr="006F660F" w:rsidRDefault="009F59B0" w:rsidP="003161AE">
      <w:pPr>
        <w:rPr>
          <w:u w:val="single"/>
        </w:rPr>
      </w:pPr>
      <w:r w:rsidRPr="006F660F">
        <w:rPr>
          <w:u w:val="single"/>
        </w:rPr>
        <w:t>Modality 3</w:t>
      </w:r>
    </w:p>
    <w:p w:rsidR="009F59B0" w:rsidRPr="006F660F" w:rsidRDefault="009F59B0" w:rsidP="003161AE"/>
    <w:p w:rsidR="009F59B0" w:rsidRDefault="009F59B0" w:rsidP="003161AE">
      <w:pPr>
        <w:pStyle w:val="Heading1"/>
        <w:widowControl w:val="0"/>
      </w:pPr>
      <w:r>
        <w:t xml:space="preserve">This modality considered </w:t>
      </w:r>
      <w:r w:rsidRPr="00295A4D">
        <w:t>extending the modalit</w:t>
      </w:r>
      <w:r>
        <w:t>y of funding</w:t>
      </w:r>
      <w:r w:rsidRPr="00295A4D">
        <w:t xml:space="preserve"> agreed under decision 74/50</w:t>
      </w:r>
      <w:r>
        <w:t xml:space="preserve"> for the first stage of HFC phase-down plans when HCFC phase-out and HFC phase-down overlap.</w:t>
      </w:r>
      <w:r>
        <w:rPr>
          <w:rStyle w:val="FootnoteReference"/>
        </w:rPr>
        <w:footnoteReference w:id="28"/>
      </w:r>
      <w:r w:rsidRPr="00295A4D">
        <w:t xml:space="preserve"> In the absence </w:t>
      </w:r>
      <w:r w:rsidRPr="007B739B">
        <w:t>of estimated/established HFC baselines, LVC countries were grouped according to their HCFC baselines (eight groups) with associated funding levels; and non-LVC countries with their HCFC baselines below 25,000 </w:t>
      </w:r>
      <w:proofErr w:type="spellStart"/>
      <w:r w:rsidRPr="007B739B">
        <w:t>mt</w:t>
      </w:r>
      <w:proofErr w:type="spellEnd"/>
      <w:r w:rsidRPr="007B739B">
        <w:t xml:space="preserve"> were all considered in one group, irrespective of their HCFC baselines, with funding for phase</w:t>
      </w:r>
      <w:r w:rsidRPr="007B739B">
        <w:noBreakHyphen/>
        <w:t>out activities provided at a fixed cost effectiveness. Funding for Article 5 countries with HCFC baseline above 25,000 </w:t>
      </w:r>
      <w:proofErr w:type="spellStart"/>
      <w:r w:rsidRPr="007B739B">
        <w:t>mt</w:t>
      </w:r>
      <w:proofErr w:type="spellEnd"/>
      <w:r w:rsidRPr="007B739B">
        <w:t xml:space="preserve"> would be</w:t>
      </w:r>
      <w:r>
        <w:t xml:space="preserve"> considered on a case-by-case basis. Similar to the previous modality, </w:t>
      </w:r>
      <w:r>
        <w:lastRenderedPageBreak/>
        <w:t xml:space="preserve">this modality </w:t>
      </w:r>
      <w:r w:rsidRPr="00295A4D">
        <w:t xml:space="preserve">would allow for the development of a holistic </w:t>
      </w:r>
      <w:r>
        <w:t xml:space="preserve">HCFC phase-out/HFC phase-down </w:t>
      </w:r>
      <w:r w:rsidRPr="00295A4D">
        <w:t xml:space="preserve">strategy, </w:t>
      </w:r>
      <w:r>
        <w:t xml:space="preserve">for </w:t>
      </w:r>
      <w:r w:rsidRPr="00295A4D">
        <w:t xml:space="preserve">implementing </w:t>
      </w:r>
      <w:r>
        <w:t xml:space="preserve">several </w:t>
      </w:r>
      <w:r w:rsidRPr="00295A4D">
        <w:t xml:space="preserve">activities addressing the two groups of controlled substances, avoiding duplication of </w:t>
      </w:r>
      <w:r>
        <w:t>efforts</w:t>
      </w:r>
      <w:r w:rsidRPr="00295A4D">
        <w:t xml:space="preserve">, and </w:t>
      </w:r>
      <w:r>
        <w:t>streamlining</w:t>
      </w:r>
      <w:r w:rsidRPr="00295A4D">
        <w:t xml:space="preserve"> the administrative workload of the Fund institutions</w:t>
      </w:r>
      <w:r>
        <w:t xml:space="preserve">. </w:t>
      </w:r>
    </w:p>
    <w:p w:rsidR="009F59B0" w:rsidRDefault="009F59B0" w:rsidP="003161AE">
      <w:pPr>
        <w:pStyle w:val="Heading1"/>
      </w:pPr>
      <w:r>
        <w:t xml:space="preserve">In the absence of </w:t>
      </w:r>
      <w:r w:rsidRPr="007278CD">
        <w:t>the estimated/established</w:t>
      </w:r>
      <w:r>
        <w:t xml:space="preserve"> HFC baselines and the sectoral distribution of HFCs, this is the preferred modality to meet the freeze and the 10 per cent reduction of the HFC baselines, as the grouping of countries and associated funding levels of the ongoing HPMPs will remain, facilitating the integration of the phase-down/phase-out activities in the servicing sector.</w:t>
      </w:r>
    </w:p>
    <w:p w:rsidR="009F59B0" w:rsidRPr="007B739B" w:rsidRDefault="009F59B0" w:rsidP="003161AE">
      <w:pPr>
        <w:pStyle w:val="Heading1"/>
      </w:pPr>
      <w:r w:rsidRPr="00F12103">
        <w:t xml:space="preserve">For LVC countries, the Secretariat considered that additional funding could be up to </w:t>
      </w:r>
      <w:r>
        <w:t>15</w:t>
      </w:r>
      <w:r w:rsidRPr="00F12103">
        <w:t xml:space="preserve"> p</w:t>
      </w:r>
      <w:r w:rsidRPr="00B71D56">
        <w:t xml:space="preserve">er cent of the overall funding agreed under decision 74/50, on the understanding that the LVC countries commit to meet the freeze and the 10 per cent reduction of their HFC baselines. </w:t>
      </w:r>
      <w:r>
        <w:t xml:space="preserve">This </w:t>
      </w:r>
      <w:r w:rsidRPr="00B71D56">
        <w:t>funding</w:t>
      </w:r>
      <w:r>
        <w:t xml:space="preserve">, which is around one and a half times </w:t>
      </w:r>
      <w:r w:rsidRPr="00B71D56">
        <w:t>the funding approved to meet the 10 per cent reduction on HCFC consumption</w:t>
      </w:r>
      <w:r>
        <w:t xml:space="preserve"> under decision </w:t>
      </w:r>
      <w:r w:rsidRPr="007643F3">
        <w:t>60/44</w:t>
      </w:r>
      <w:r w:rsidRPr="00B71D56">
        <w:t xml:space="preserve">, will allow LVC countries </w:t>
      </w:r>
      <w:r>
        <w:t xml:space="preserve">to </w:t>
      </w:r>
      <w:r w:rsidRPr="00B71D56">
        <w:t xml:space="preserve">address the challenges described in </w:t>
      </w:r>
      <w:r>
        <w:t>the documents related to the refrigeration servicing sector and the integrated/parallel implementation of the HCFC phase</w:t>
      </w:r>
      <w:r>
        <w:noBreakHyphen/>
        <w:t>out/HFC phase</w:t>
      </w:r>
      <w:r>
        <w:noBreakHyphen/>
        <w:t xml:space="preserve">down </w:t>
      </w:r>
      <w:r w:rsidRPr="00F12103">
        <w:t xml:space="preserve">referred </w:t>
      </w:r>
      <w:r w:rsidRPr="007B739B">
        <w:t xml:space="preserve">to under section Background above, and summarized in the present document. </w:t>
      </w:r>
    </w:p>
    <w:p w:rsidR="009F59B0" w:rsidRPr="007B739B" w:rsidRDefault="009F59B0" w:rsidP="003161AE">
      <w:pPr>
        <w:pStyle w:val="Heading1"/>
      </w:pPr>
      <w:r w:rsidRPr="007B739B">
        <w:t>In addition, within these funding levels, the request by the Parties under paragraph 16 of decision XXVIII/2 (i.e., introduction of alternatives to HCFCs with low- and/or zero-GWP refrigerants and maintaining energy efficiency in the servicing/end-user sector)</w:t>
      </w:r>
      <w:r>
        <w:t xml:space="preserve"> </w:t>
      </w:r>
      <w:r w:rsidRPr="007B739B">
        <w:t>could be addressed.</w:t>
      </w:r>
    </w:p>
    <w:p w:rsidR="009F59B0" w:rsidRPr="007B739B" w:rsidRDefault="009F59B0" w:rsidP="003161AE">
      <w:pPr>
        <w:pStyle w:val="Heading1"/>
      </w:pPr>
      <w:r w:rsidRPr="007B739B">
        <w:t>Table 5 shows the level of funding proposed for stage I of the HFC phase-down plans for LVC countries.</w:t>
      </w:r>
    </w:p>
    <w:p w:rsidR="009F59B0" w:rsidRPr="00C576DF" w:rsidRDefault="009F59B0" w:rsidP="003161AE">
      <w:pPr>
        <w:pStyle w:val="Heading1"/>
        <w:numPr>
          <w:ilvl w:val="0"/>
          <w:numId w:val="0"/>
        </w:numPr>
        <w:spacing w:after="0"/>
        <w:rPr>
          <w:b/>
        </w:rPr>
      </w:pPr>
      <w:r w:rsidRPr="00C576DF">
        <w:rPr>
          <w:b/>
        </w:rPr>
        <w:t>Table 5. Funding levels proposed for stage I of the HFC phase-down plans in LVC countries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630"/>
        <w:gridCol w:w="1633"/>
        <w:gridCol w:w="1842"/>
        <w:gridCol w:w="1560"/>
        <w:gridCol w:w="1558"/>
      </w:tblGrid>
      <w:tr w:rsidR="009F59B0" w:rsidRPr="00295A4D" w:rsidTr="00CD030F">
        <w:trPr>
          <w:tblHeader/>
        </w:trPr>
        <w:tc>
          <w:tcPr>
            <w:tcW w:w="603" w:type="pct"/>
            <w:vMerge w:val="restart"/>
            <w:shd w:val="clear" w:color="auto" w:fill="auto"/>
            <w:noWrap/>
            <w:vAlign w:val="center"/>
          </w:tcPr>
          <w:p w:rsidR="009F59B0" w:rsidRPr="00CD030F" w:rsidRDefault="009F59B0" w:rsidP="00CD030F">
            <w:pPr>
              <w:jc w:val="center"/>
              <w:rPr>
                <w:b/>
                <w:bCs/>
                <w:color w:val="000000"/>
                <w:sz w:val="20"/>
                <w:szCs w:val="20"/>
                <w:lang w:eastAsia="es-419"/>
              </w:rPr>
            </w:pPr>
            <w:r w:rsidRPr="00CD030F">
              <w:rPr>
                <w:b/>
                <w:bCs/>
                <w:color w:val="000000"/>
                <w:sz w:val="20"/>
                <w:szCs w:val="20"/>
                <w:lang w:eastAsia="es-419"/>
              </w:rPr>
              <w:t>Baseline (</w:t>
            </w:r>
            <w:proofErr w:type="spellStart"/>
            <w:r w:rsidRPr="00CD030F">
              <w:rPr>
                <w:b/>
                <w:bCs/>
                <w:color w:val="000000"/>
                <w:sz w:val="20"/>
                <w:szCs w:val="20"/>
                <w:lang w:eastAsia="es-419"/>
              </w:rPr>
              <w:t>mt</w:t>
            </w:r>
            <w:proofErr w:type="spellEnd"/>
            <w:r w:rsidRPr="00CD030F">
              <w:rPr>
                <w:b/>
                <w:bCs/>
                <w:color w:val="000000"/>
                <w:sz w:val="20"/>
                <w:szCs w:val="20"/>
                <w:lang w:eastAsia="es-419"/>
              </w:rPr>
              <w:t>)</w:t>
            </w:r>
          </w:p>
        </w:tc>
        <w:tc>
          <w:tcPr>
            <w:tcW w:w="1745" w:type="pct"/>
            <w:gridSpan w:val="2"/>
            <w:shd w:val="clear" w:color="auto" w:fill="auto"/>
            <w:noWrap/>
            <w:tcMar>
              <w:left w:w="0" w:type="dxa"/>
              <w:right w:w="0" w:type="dxa"/>
            </w:tcMar>
            <w:vAlign w:val="center"/>
          </w:tcPr>
          <w:p w:rsidR="009F59B0" w:rsidRPr="00CD030F" w:rsidRDefault="009F59B0" w:rsidP="00CD030F">
            <w:pPr>
              <w:jc w:val="center"/>
              <w:rPr>
                <w:b/>
                <w:bCs/>
                <w:color w:val="000000"/>
                <w:sz w:val="20"/>
                <w:szCs w:val="20"/>
                <w:lang w:eastAsia="es-419"/>
              </w:rPr>
            </w:pPr>
            <w:r w:rsidRPr="00CD030F">
              <w:rPr>
                <w:b/>
                <w:bCs/>
                <w:color w:val="000000"/>
                <w:sz w:val="20"/>
                <w:szCs w:val="20"/>
                <w:lang w:eastAsia="es-419"/>
              </w:rPr>
              <w:t>HCFC phase-out funding</w:t>
            </w:r>
          </w:p>
        </w:tc>
        <w:tc>
          <w:tcPr>
            <w:tcW w:w="985" w:type="pct"/>
            <w:vMerge w:val="restart"/>
            <w:shd w:val="clear" w:color="auto" w:fill="auto"/>
            <w:noWrap/>
            <w:tcMar>
              <w:left w:w="0" w:type="dxa"/>
              <w:right w:w="0" w:type="dxa"/>
            </w:tcMar>
            <w:vAlign w:val="center"/>
          </w:tcPr>
          <w:p w:rsidR="009F59B0" w:rsidRPr="00CD030F" w:rsidRDefault="009F59B0" w:rsidP="0037672A">
            <w:pPr>
              <w:jc w:val="center"/>
              <w:rPr>
                <w:b/>
                <w:bCs/>
                <w:color w:val="000000"/>
                <w:sz w:val="20"/>
                <w:szCs w:val="20"/>
                <w:lang w:eastAsia="es-419"/>
              </w:rPr>
            </w:pPr>
            <w:r w:rsidRPr="00CD030F">
              <w:rPr>
                <w:b/>
                <w:bCs/>
                <w:color w:val="000000"/>
                <w:sz w:val="20"/>
                <w:szCs w:val="20"/>
                <w:lang w:eastAsia="es-419"/>
              </w:rPr>
              <w:t>Maximum HFC phase-down funding</w:t>
            </w:r>
            <w:r w:rsidR="0037672A">
              <w:rPr>
                <w:b/>
                <w:bCs/>
                <w:color w:val="000000"/>
                <w:sz w:val="20"/>
                <w:szCs w:val="20"/>
                <w:lang w:eastAsia="es-419"/>
              </w:rPr>
              <w:t xml:space="preserve"> </w:t>
            </w:r>
            <w:r w:rsidRPr="00CD030F">
              <w:rPr>
                <w:b/>
                <w:bCs/>
                <w:color w:val="000000"/>
                <w:sz w:val="20"/>
                <w:szCs w:val="20"/>
                <w:lang w:eastAsia="es-419"/>
              </w:rPr>
              <w:t>Stage I: 10%</w:t>
            </w:r>
          </w:p>
        </w:tc>
        <w:tc>
          <w:tcPr>
            <w:tcW w:w="834" w:type="pct"/>
            <w:vMerge w:val="restart"/>
            <w:shd w:val="clear" w:color="auto" w:fill="auto"/>
            <w:noWrap/>
            <w:tcMar>
              <w:left w:w="0" w:type="dxa"/>
              <w:right w:w="0" w:type="dxa"/>
            </w:tcMar>
            <w:vAlign w:val="center"/>
          </w:tcPr>
          <w:p w:rsidR="009F59B0" w:rsidRPr="00CD030F" w:rsidRDefault="009F59B0" w:rsidP="00CD030F">
            <w:pPr>
              <w:jc w:val="center"/>
              <w:rPr>
                <w:b/>
                <w:bCs/>
                <w:color w:val="000000"/>
                <w:sz w:val="20"/>
                <w:szCs w:val="20"/>
                <w:lang w:eastAsia="es-419"/>
              </w:rPr>
            </w:pPr>
            <w:r w:rsidRPr="00CD030F">
              <w:rPr>
                <w:b/>
                <w:bCs/>
                <w:color w:val="000000"/>
                <w:sz w:val="20"/>
                <w:szCs w:val="20"/>
                <w:lang w:eastAsia="es-419"/>
              </w:rPr>
              <w:t>Number of countries*</w:t>
            </w:r>
          </w:p>
        </w:tc>
        <w:tc>
          <w:tcPr>
            <w:tcW w:w="833" w:type="pct"/>
            <w:vMerge w:val="restart"/>
            <w:shd w:val="clear" w:color="auto" w:fill="auto"/>
            <w:noWrap/>
            <w:tcMar>
              <w:left w:w="0" w:type="dxa"/>
              <w:right w:w="0" w:type="dxa"/>
            </w:tcMar>
            <w:vAlign w:val="center"/>
          </w:tcPr>
          <w:p w:rsidR="009F59B0" w:rsidRPr="00CD030F" w:rsidRDefault="009F59B0" w:rsidP="0037672A">
            <w:pPr>
              <w:jc w:val="center"/>
              <w:rPr>
                <w:b/>
                <w:bCs/>
                <w:color w:val="000000"/>
                <w:sz w:val="20"/>
                <w:szCs w:val="20"/>
                <w:lang w:eastAsia="es-419"/>
              </w:rPr>
            </w:pPr>
            <w:r w:rsidRPr="00CD030F">
              <w:rPr>
                <w:b/>
                <w:bCs/>
                <w:color w:val="000000"/>
                <w:sz w:val="20"/>
                <w:szCs w:val="20"/>
                <w:lang w:eastAsia="es-419"/>
              </w:rPr>
              <w:t>Total</w:t>
            </w:r>
            <w:r w:rsidR="0037672A" w:rsidRPr="00CD030F">
              <w:rPr>
                <w:b/>
                <w:bCs/>
                <w:color w:val="000000"/>
                <w:sz w:val="20"/>
                <w:szCs w:val="20"/>
                <w:lang w:eastAsia="es-419"/>
              </w:rPr>
              <w:t xml:space="preserve"> stage I</w:t>
            </w:r>
            <w:r w:rsidR="0037672A" w:rsidRPr="00CD030F">
              <w:rPr>
                <w:b/>
                <w:bCs/>
                <w:color w:val="000000"/>
                <w:sz w:val="20"/>
                <w:szCs w:val="20"/>
                <w:lang w:eastAsia="es-419"/>
              </w:rPr>
              <w:t xml:space="preserve"> </w:t>
            </w:r>
            <w:r w:rsidR="0037672A">
              <w:rPr>
                <w:b/>
                <w:bCs/>
                <w:color w:val="000000"/>
                <w:sz w:val="20"/>
                <w:szCs w:val="20"/>
                <w:lang w:eastAsia="es-419"/>
              </w:rPr>
              <w:t xml:space="preserve"> </w:t>
            </w:r>
            <w:r w:rsidR="0037672A" w:rsidRPr="00CD030F">
              <w:rPr>
                <w:b/>
                <w:bCs/>
                <w:color w:val="000000"/>
                <w:sz w:val="20"/>
                <w:szCs w:val="20"/>
                <w:lang w:eastAsia="es-419"/>
              </w:rPr>
              <w:t>HFC phase</w:t>
            </w:r>
            <w:r w:rsidR="0037672A">
              <w:rPr>
                <w:b/>
                <w:bCs/>
                <w:color w:val="000000"/>
                <w:sz w:val="20"/>
                <w:szCs w:val="20"/>
                <w:lang w:eastAsia="es-419"/>
              </w:rPr>
              <w:noBreakHyphen/>
            </w:r>
            <w:r w:rsidR="0037672A" w:rsidRPr="00CD030F">
              <w:rPr>
                <w:b/>
                <w:bCs/>
                <w:color w:val="000000"/>
                <w:sz w:val="20"/>
                <w:szCs w:val="20"/>
                <w:lang w:eastAsia="es-419"/>
              </w:rPr>
              <w:t>down</w:t>
            </w:r>
            <w:r w:rsidR="0037672A" w:rsidRPr="00CD030F">
              <w:rPr>
                <w:b/>
                <w:bCs/>
                <w:color w:val="000000"/>
                <w:sz w:val="20"/>
                <w:szCs w:val="20"/>
                <w:lang w:eastAsia="es-419"/>
              </w:rPr>
              <w:t xml:space="preserve"> </w:t>
            </w:r>
            <w:r w:rsidRPr="00CD030F">
              <w:rPr>
                <w:b/>
                <w:bCs/>
                <w:color w:val="000000"/>
                <w:sz w:val="20"/>
                <w:szCs w:val="20"/>
                <w:lang w:eastAsia="es-419"/>
              </w:rPr>
              <w:t>funding</w:t>
            </w:r>
            <w:r w:rsidR="0037672A" w:rsidRPr="00CD030F">
              <w:rPr>
                <w:b/>
                <w:bCs/>
                <w:color w:val="000000"/>
                <w:sz w:val="20"/>
                <w:szCs w:val="20"/>
                <w:lang w:eastAsia="es-419"/>
              </w:rPr>
              <w:t xml:space="preserve"> </w:t>
            </w:r>
          </w:p>
        </w:tc>
      </w:tr>
      <w:tr w:rsidR="009F59B0" w:rsidRPr="00295A4D" w:rsidTr="00CD030F">
        <w:trPr>
          <w:tblHeader/>
        </w:trPr>
        <w:tc>
          <w:tcPr>
            <w:tcW w:w="603" w:type="pct"/>
            <w:vMerge/>
            <w:shd w:val="clear" w:color="auto" w:fill="auto"/>
            <w:noWrap/>
            <w:hideMark/>
          </w:tcPr>
          <w:p w:rsidR="009F59B0" w:rsidRPr="00CD030F" w:rsidRDefault="009F59B0" w:rsidP="003161AE">
            <w:pPr>
              <w:jc w:val="center"/>
              <w:rPr>
                <w:b/>
                <w:bCs/>
                <w:color w:val="000000"/>
                <w:sz w:val="20"/>
                <w:szCs w:val="20"/>
                <w:lang w:eastAsia="es-419"/>
              </w:rPr>
            </w:pPr>
          </w:p>
        </w:tc>
        <w:tc>
          <w:tcPr>
            <w:tcW w:w="872" w:type="pct"/>
            <w:shd w:val="clear" w:color="auto" w:fill="auto"/>
            <w:noWrap/>
            <w:tcMar>
              <w:left w:w="0" w:type="dxa"/>
              <w:right w:w="0" w:type="dxa"/>
            </w:tcMar>
            <w:hideMark/>
          </w:tcPr>
          <w:p w:rsidR="009F59B0" w:rsidRPr="00CD030F" w:rsidRDefault="009F59B0" w:rsidP="003161AE">
            <w:pPr>
              <w:jc w:val="center"/>
              <w:rPr>
                <w:b/>
                <w:bCs/>
                <w:color w:val="000000"/>
                <w:sz w:val="20"/>
                <w:szCs w:val="20"/>
                <w:lang w:eastAsia="es-419"/>
              </w:rPr>
            </w:pPr>
            <w:r w:rsidRPr="00CD030F">
              <w:rPr>
                <w:b/>
                <w:bCs/>
                <w:color w:val="000000"/>
                <w:sz w:val="20"/>
                <w:szCs w:val="20"/>
                <w:lang w:eastAsia="es-419"/>
              </w:rPr>
              <w:t xml:space="preserve">Total </w:t>
            </w:r>
          </w:p>
          <w:p w:rsidR="009F59B0" w:rsidRPr="00CD030F" w:rsidRDefault="009F59B0" w:rsidP="003161AE">
            <w:pPr>
              <w:jc w:val="center"/>
              <w:rPr>
                <w:b/>
                <w:bCs/>
                <w:color w:val="000000"/>
                <w:sz w:val="20"/>
                <w:szCs w:val="20"/>
                <w:lang w:eastAsia="es-419"/>
              </w:rPr>
            </w:pPr>
            <w:r w:rsidRPr="00CD030F">
              <w:rPr>
                <w:b/>
                <w:bCs/>
                <w:color w:val="000000"/>
                <w:sz w:val="20"/>
                <w:szCs w:val="20"/>
                <w:lang w:eastAsia="es-419"/>
              </w:rPr>
              <w:t>(decision 74/50)</w:t>
            </w:r>
          </w:p>
        </w:tc>
        <w:tc>
          <w:tcPr>
            <w:tcW w:w="873" w:type="pct"/>
            <w:tcMar>
              <w:left w:w="0" w:type="dxa"/>
              <w:right w:w="0" w:type="dxa"/>
            </w:tcMar>
          </w:tcPr>
          <w:p w:rsidR="009F59B0" w:rsidRPr="00CD030F" w:rsidRDefault="009F59B0" w:rsidP="003161AE">
            <w:pPr>
              <w:jc w:val="center"/>
              <w:rPr>
                <w:b/>
                <w:bCs/>
                <w:color w:val="000000"/>
                <w:sz w:val="20"/>
                <w:szCs w:val="20"/>
                <w:lang w:eastAsia="es-419"/>
              </w:rPr>
            </w:pPr>
            <w:r w:rsidRPr="00CD030F">
              <w:rPr>
                <w:b/>
                <w:bCs/>
                <w:color w:val="000000"/>
                <w:sz w:val="20"/>
                <w:szCs w:val="20"/>
                <w:lang w:eastAsia="es-419"/>
              </w:rPr>
              <w:t>Stage I: 10% (decision 60/44)</w:t>
            </w:r>
          </w:p>
        </w:tc>
        <w:tc>
          <w:tcPr>
            <w:tcW w:w="985" w:type="pct"/>
            <w:vMerge/>
            <w:shd w:val="clear" w:color="auto" w:fill="auto"/>
            <w:noWrap/>
            <w:tcMar>
              <w:left w:w="0" w:type="dxa"/>
              <w:right w:w="0" w:type="dxa"/>
            </w:tcMar>
            <w:hideMark/>
          </w:tcPr>
          <w:p w:rsidR="009F59B0" w:rsidRPr="00CD030F" w:rsidRDefault="009F59B0" w:rsidP="003161AE">
            <w:pPr>
              <w:jc w:val="center"/>
              <w:rPr>
                <w:b/>
                <w:bCs/>
                <w:color w:val="000000"/>
                <w:sz w:val="20"/>
                <w:szCs w:val="20"/>
                <w:lang w:eastAsia="es-419"/>
              </w:rPr>
            </w:pPr>
          </w:p>
        </w:tc>
        <w:tc>
          <w:tcPr>
            <w:tcW w:w="834" w:type="pct"/>
            <w:vMerge/>
            <w:shd w:val="clear" w:color="auto" w:fill="auto"/>
            <w:noWrap/>
            <w:tcMar>
              <w:left w:w="0" w:type="dxa"/>
              <w:right w:w="0" w:type="dxa"/>
            </w:tcMar>
            <w:hideMark/>
          </w:tcPr>
          <w:p w:rsidR="009F59B0" w:rsidRPr="00CD030F" w:rsidRDefault="009F59B0" w:rsidP="003161AE">
            <w:pPr>
              <w:jc w:val="center"/>
              <w:rPr>
                <w:b/>
                <w:bCs/>
                <w:color w:val="000000"/>
                <w:sz w:val="20"/>
                <w:szCs w:val="20"/>
                <w:lang w:eastAsia="es-419"/>
              </w:rPr>
            </w:pPr>
          </w:p>
        </w:tc>
        <w:tc>
          <w:tcPr>
            <w:tcW w:w="833" w:type="pct"/>
            <w:vMerge/>
            <w:shd w:val="clear" w:color="auto" w:fill="auto"/>
            <w:noWrap/>
            <w:tcMar>
              <w:left w:w="0" w:type="dxa"/>
              <w:right w:w="0" w:type="dxa"/>
            </w:tcMar>
            <w:hideMark/>
          </w:tcPr>
          <w:p w:rsidR="009F59B0" w:rsidRPr="00CD030F" w:rsidRDefault="009F59B0" w:rsidP="003161AE">
            <w:pPr>
              <w:jc w:val="center"/>
              <w:rPr>
                <w:b/>
                <w:bCs/>
                <w:color w:val="000000"/>
                <w:sz w:val="20"/>
                <w:szCs w:val="20"/>
                <w:lang w:eastAsia="es-419"/>
              </w:rPr>
            </w:pP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&gt;0 &lt;15</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587,500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51,700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88,125</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21</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1,850,625</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15 &lt;40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750,000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66,000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112,500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17</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1,912,000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40 &lt;80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800,000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88,000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120,000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13</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1,560,000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80 &lt;120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900,000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99,000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135,000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10</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1,350,000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120 &lt;160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950,000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104,500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142,500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9</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1,282,500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160 &lt;200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1,000,000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110,000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150,000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3</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450,000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200 &lt;320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1,600,000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176,000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240,000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12</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2,880,000</w:t>
            </w:r>
          </w:p>
        </w:tc>
      </w:tr>
      <w:tr w:rsidR="00CD030F" w:rsidRPr="00295A4D" w:rsidTr="00CD030F">
        <w:tc>
          <w:tcPr>
            <w:tcW w:w="603" w:type="pct"/>
            <w:shd w:val="clear" w:color="auto" w:fill="auto"/>
            <w:noWrap/>
            <w:hideMark/>
          </w:tcPr>
          <w:p w:rsidR="009F59B0" w:rsidRPr="00CD030F" w:rsidRDefault="009F59B0" w:rsidP="003161AE">
            <w:pPr>
              <w:jc w:val="left"/>
              <w:rPr>
                <w:color w:val="000000"/>
                <w:sz w:val="20"/>
                <w:szCs w:val="20"/>
                <w:lang w:eastAsia="es-419"/>
              </w:rPr>
            </w:pPr>
            <w:r w:rsidRPr="00CD030F">
              <w:rPr>
                <w:color w:val="000000"/>
                <w:sz w:val="20"/>
                <w:szCs w:val="20"/>
                <w:lang w:eastAsia="es-419"/>
              </w:rPr>
              <w:t>320 &lt;360</w:t>
            </w:r>
          </w:p>
        </w:tc>
        <w:tc>
          <w:tcPr>
            <w:tcW w:w="872"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1,800,000</w:t>
            </w:r>
          </w:p>
        </w:tc>
        <w:tc>
          <w:tcPr>
            <w:tcW w:w="873" w:type="pct"/>
            <w:shd w:val="clear" w:color="auto" w:fill="auto"/>
            <w:tcMar>
              <w:right w:w="202" w:type="dxa"/>
            </w:tcMar>
            <w:vAlign w:val="center"/>
          </w:tcPr>
          <w:p w:rsidR="009F59B0" w:rsidRPr="00CD030F" w:rsidRDefault="009F59B0" w:rsidP="003161AE">
            <w:pPr>
              <w:jc w:val="right"/>
              <w:rPr>
                <w:color w:val="000000"/>
                <w:sz w:val="20"/>
                <w:szCs w:val="20"/>
                <w:lang w:eastAsia="es-419"/>
              </w:rPr>
            </w:pPr>
            <w:r w:rsidRPr="00CD030F">
              <w:rPr>
                <w:color w:val="000000"/>
                <w:sz w:val="20"/>
                <w:szCs w:val="20"/>
                <w:lang w:eastAsia="es-419"/>
              </w:rPr>
              <w:t>198,000</w:t>
            </w:r>
          </w:p>
        </w:tc>
        <w:tc>
          <w:tcPr>
            <w:tcW w:w="985"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270,000</w:t>
            </w:r>
          </w:p>
        </w:tc>
        <w:tc>
          <w:tcPr>
            <w:tcW w:w="834" w:type="pct"/>
            <w:shd w:val="clear" w:color="auto" w:fill="auto"/>
            <w:noWrap/>
            <w:tcMar>
              <w:right w:w="202" w:type="dxa"/>
            </w:tcMar>
            <w:vAlign w:val="center"/>
            <w:hideMark/>
          </w:tcPr>
          <w:p w:rsidR="009F59B0" w:rsidRPr="00CD030F" w:rsidRDefault="009F59B0" w:rsidP="0037672A">
            <w:pPr>
              <w:jc w:val="center"/>
              <w:rPr>
                <w:color w:val="000000"/>
                <w:sz w:val="20"/>
                <w:szCs w:val="20"/>
                <w:lang w:eastAsia="es-419"/>
              </w:rPr>
            </w:pPr>
            <w:r w:rsidRPr="00CD030F">
              <w:rPr>
                <w:color w:val="000000"/>
                <w:sz w:val="20"/>
                <w:szCs w:val="20"/>
                <w:lang w:eastAsia="es-419"/>
              </w:rPr>
              <w:t>2</w:t>
            </w:r>
          </w:p>
        </w:tc>
        <w:tc>
          <w:tcPr>
            <w:tcW w:w="833" w:type="pct"/>
            <w:shd w:val="clear" w:color="auto" w:fill="auto"/>
            <w:noWrap/>
            <w:tcMar>
              <w:right w:w="202" w:type="dxa"/>
            </w:tcMar>
            <w:vAlign w:val="center"/>
            <w:hideMark/>
          </w:tcPr>
          <w:p w:rsidR="009F59B0" w:rsidRPr="00CD030F" w:rsidRDefault="009F59B0" w:rsidP="003161AE">
            <w:pPr>
              <w:jc w:val="right"/>
              <w:rPr>
                <w:color w:val="000000"/>
                <w:sz w:val="20"/>
                <w:szCs w:val="20"/>
                <w:lang w:eastAsia="es-419"/>
              </w:rPr>
            </w:pPr>
            <w:r w:rsidRPr="00CD030F">
              <w:rPr>
                <w:color w:val="000000"/>
                <w:sz w:val="20"/>
                <w:szCs w:val="20"/>
                <w:lang w:eastAsia="es-419"/>
              </w:rPr>
              <w:t>540,000</w:t>
            </w:r>
          </w:p>
        </w:tc>
      </w:tr>
    </w:tbl>
    <w:p w:rsidR="009F59B0" w:rsidRPr="00C576DF" w:rsidRDefault="009F59B0" w:rsidP="003161AE">
      <w:pPr>
        <w:pStyle w:val="Heading1"/>
        <w:numPr>
          <w:ilvl w:val="0"/>
          <w:numId w:val="0"/>
        </w:numPr>
        <w:rPr>
          <w:sz w:val="19"/>
          <w:szCs w:val="19"/>
        </w:rPr>
      </w:pPr>
      <w:r w:rsidRPr="00C576DF">
        <w:rPr>
          <w:sz w:val="19"/>
          <w:szCs w:val="19"/>
        </w:rPr>
        <w:t>*</w:t>
      </w:r>
      <w:r w:rsidR="0037672A">
        <w:rPr>
          <w:sz w:val="19"/>
          <w:szCs w:val="19"/>
        </w:rPr>
        <w:t> </w:t>
      </w:r>
      <w:r w:rsidRPr="00C576DF">
        <w:rPr>
          <w:sz w:val="19"/>
          <w:szCs w:val="19"/>
        </w:rPr>
        <w:t>Seven non-LVC countries (Benin, Burkina Faso, Democratic Republic of the Congo, Ecuador, Gabon, Madagascar and Togo) requested funding similar to countries with an HCFC baseline between 320 and 360 </w:t>
      </w:r>
      <w:proofErr w:type="spellStart"/>
      <w:r w:rsidRPr="00C576DF">
        <w:rPr>
          <w:sz w:val="19"/>
          <w:szCs w:val="19"/>
        </w:rPr>
        <w:t>mt.</w:t>
      </w:r>
      <w:proofErr w:type="spellEnd"/>
    </w:p>
    <w:p w:rsidR="009F59B0" w:rsidRPr="0087079F" w:rsidRDefault="009F59B0" w:rsidP="003161AE">
      <w:pPr>
        <w:pStyle w:val="Heading1"/>
      </w:pPr>
      <w:r w:rsidRPr="0087079F">
        <w:t>For many non-LVC countries, it could be expected that compliance with the freeze and the 10 per cent reduction of the HFC baseline could be met solely or mostly through the conversion of manufacturing enterprises</w:t>
      </w:r>
      <w:r w:rsidRPr="00E57EF4">
        <w:t xml:space="preserve">. Given that non-LVC countries will be extensively implementing activities in the refrigeration servicing sector to meet their last HCFC </w:t>
      </w:r>
      <w:r w:rsidRPr="00036124">
        <w:t>compliance targets, and notwithstanding the funding still not being disbursed or yet to be approved under future stages of their HPMPs (estimated at US $</w:t>
      </w:r>
      <w:r w:rsidR="004A5437" w:rsidRPr="00036124">
        <w:t>551.5</w:t>
      </w:r>
      <w:r w:rsidRPr="00036124">
        <w:t> million</w:t>
      </w:r>
      <w:r w:rsidRPr="00036124">
        <w:rPr>
          <w:rStyle w:val="FootnoteReference"/>
        </w:rPr>
        <w:footnoteReference w:id="29"/>
      </w:r>
      <w:r w:rsidRPr="00036124">
        <w:t>), it would be relevant to approve additional funding for addressing the phase-down of HFCs in the servicing sector as the impact of integrating both groups of substances into</w:t>
      </w:r>
      <w:r w:rsidRPr="0087079F">
        <w:t xml:space="preserve"> a holistic strategy would have a substantive impact on the activities being implemented</w:t>
      </w:r>
      <w:r>
        <w:t>,</w:t>
      </w:r>
      <w:r w:rsidRPr="0087079F">
        <w:t xml:space="preserve"> and will favour the adoption of low</w:t>
      </w:r>
      <w:r>
        <w:noBreakHyphen/>
      </w:r>
      <w:r w:rsidRPr="0087079F">
        <w:t xml:space="preserve">GWP alternatives during the overlapping period, resulting in lower consumption of HFCs that would have been needed for servicing HFC-based RAC equipment. </w:t>
      </w:r>
      <w:r w:rsidRPr="00E57EF4">
        <w:t xml:space="preserve">In addition, the funding would help </w:t>
      </w:r>
      <w:r>
        <w:t>non</w:t>
      </w:r>
      <w:r>
        <w:noBreakHyphen/>
        <w:t xml:space="preserve">LVC countries start </w:t>
      </w:r>
      <w:r w:rsidRPr="00E57EF4">
        <w:t>address</w:t>
      </w:r>
      <w:r>
        <w:t>ing,</w:t>
      </w:r>
      <w:r w:rsidRPr="0087079F">
        <w:t xml:space="preserve"> whe</w:t>
      </w:r>
      <w:r>
        <w:t>re needed,</w:t>
      </w:r>
      <w:r w:rsidRPr="0087079F">
        <w:t xml:space="preserve"> those applications not addressed during HCFC phase-out and where growth of HFC consumption needs to be curtailed</w:t>
      </w:r>
      <w:r>
        <w:t>.</w:t>
      </w:r>
    </w:p>
    <w:p w:rsidR="009F59B0" w:rsidRPr="007B739B" w:rsidRDefault="009F59B0" w:rsidP="00572448">
      <w:pPr>
        <w:pStyle w:val="Heading1"/>
        <w:widowControl w:val="0"/>
      </w:pPr>
      <w:r w:rsidRPr="007B739B">
        <w:lastRenderedPageBreak/>
        <w:t>Accordingly, taking into consideration the robust set of ongoing activities in the refrigeration servicing sector and the level of funds already approved and available to be approved under the last stages of the HPMPs to non-LVC countries, the Secretariat proposes additional funding of up to US $</w:t>
      </w:r>
      <w:r>
        <w:t>3.20</w:t>
      </w:r>
      <w:r w:rsidRPr="007B739B">
        <w:t>/metric kg</w:t>
      </w:r>
      <w:r>
        <w:rPr>
          <w:rStyle w:val="FootnoteReference"/>
        </w:rPr>
        <w:footnoteReference w:id="30"/>
      </w:r>
      <w:r w:rsidRPr="007B739B">
        <w:t xml:space="preserve"> for phasing down HFCs used in the refrigeration servicing sector by non</w:t>
      </w:r>
      <w:r>
        <w:noBreakHyphen/>
      </w:r>
      <w:r w:rsidRPr="007B739B">
        <w:t>LVC countries for stage I of the HFC phase-down plans (i.e., the overlapping period between HCFC phase-out and HFC phase-down), on the understanding that the tonnage associated with the funding approved will be deducted from the starting point for aggregate consumption of HFCs, that this amount would be applicable only during the overlapping period and will be reviewed for future stages upon an assessment of needs for the refrigeration servicing sector to be undertaken in 2028 when HFC baselines will be already established, the sectoral distribution of HFCs will be already known and the scenario of alternatives to HFCs will have evolved.</w:t>
      </w:r>
    </w:p>
    <w:p w:rsidR="009F59B0" w:rsidRPr="00CD05D2" w:rsidRDefault="009F59B0" w:rsidP="003161AE">
      <w:pPr>
        <w:pStyle w:val="Heading1"/>
      </w:pPr>
      <w:r w:rsidRPr="00CD05D2">
        <w:t>During the HCFC phase-out, seven non-LVC countries, where the majority of the HCFC consumption was related to the refrigeration servicing sector, decided to request funding based on the funding levels for LVC countries with HCFC baseline between 320 and 360 </w:t>
      </w:r>
      <w:proofErr w:type="spellStart"/>
      <w:r w:rsidRPr="00CD05D2">
        <w:t>mt</w:t>
      </w:r>
      <w:proofErr w:type="spellEnd"/>
      <w:r w:rsidRPr="00CD05D2">
        <w:t>, agreed under decision 74/50. At present, it is not known whether the HFCs consumption in those seven countries (or possibly in other non-LVC countries) would be related only to the refrigeration servicing sector or if a significant HFC consumption would be related to the manufacturing sector. For all these non-LVC countries which will achieve the 10 per cent reduction in HFC consumption only through activities in the refrigeration servicing sector, the Secretariat suggests funding for stage I of the HFC phase-down up to US $270,000, i.e., the funding level for LVC countries with HCFC baseline between 320 and 360 </w:t>
      </w:r>
      <w:proofErr w:type="spellStart"/>
      <w:r w:rsidRPr="00CD05D2">
        <w:t>mt.</w:t>
      </w:r>
      <w:proofErr w:type="spellEnd"/>
      <w:r w:rsidRPr="00CD05D2">
        <w:t xml:space="preserve"> </w:t>
      </w:r>
    </w:p>
    <w:p w:rsidR="009F59B0" w:rsidRPr="00CD6F31" w:rsidRDefault="009F59B0" w:rsidP="003161AE">
      <w:pPr>
        <w:keepNext/>
        <w:keepLines/>
        <w:rPr>
          <w:u w:val="single"/>
        </w:rPr>
      </w:pPr>
      <w:r w:rsidRPr="00CD6F31">
        <w:rPr>
          <w:u w:val="single"/>
        </w:rPr>
        <w:t>Revision of the modalities and levels of funding</w:t>
      </w:r>
    </w:p>
    <w:p w:rsidR="009F59B0" w:rsidRPr="00F12103" w:rsidRDefault="009F59B0" w:rsidP="003161AE">
      <w:pPr>
        <w:keepNext/>
        <w:keepLines/>
      </w:pPr>
    </w:p>
    <w:p w:rsidR="009F59B0" w:rsidRDefault="009F59B0" w:rsidP="003161AE">
      <w:pPr>
        <w:pStyle w:val="Heading1"/>
        <w:keepNext/>
        <w:keepLines/>
      </w:pPr>
      <w:r>
        <w:t xml:space="preserve">The modalities and levels of funding being proposed in the present document are only related to the </w:t>
      </w:r>
      <w:r w:rsidRPr="00295A4D">
        <w:t>period of 2021-2030</w:t>
      </w:r>
      <w:r>
        <w:t>,</w:t>
      </w:r>
      <w:r w:rsidRPr="00295A4D">
        <w:t xml:space="preserve"> </w:t>
      </w:r>
      <w:r>
        <w:t xml:space="preserve">where </w:t>
      </w:r>
      <w:r w:rsidRPr="00295A4D">
        <w:t>Article 5 countries will be phasing out HCFCs</w:t>
      </w:r>
      <w:r>
        <w:t xml:space="preserve"> and phasing down HFCs</w:t>
      </w:r>
      <w:r w:rsidRPr="00295A4D">
        <w:t xml:space="preserve">, </w:t>
      </w:r>
      <w:r>
        <w:t xml:space="preserve">simultaneously. </w:t>
      </w:r>
      <w:r w:rsidRPr="00295A4D">
        <w:t>The</w:t>
      </w:r>
      <w:r>
        <w:t>se</w:t>
      </w:r>
      <w:r w:rsidRPr="00295A4D">
        <w:t xml:space="preserve"> funding levels would not set a precedent for the total funding that would be required</w:t>
      </w:r>
      <w:r>
        <w:t xml:space="preserve"> in the refrigeration servicing sector post 2030</w:t>
      </w:r>
      <w:r w:rsidRPr="00295A4D">
        <w:t>.</w:t>
      </w:r>
      <w:r>
        <w:t xml:space="preserve"> </w:t>
      </w:r>
      <w:r w:rsidRPr="00295A4D">
        <w:t>After 2030</w:t>
      </w:r>
      <w:r>
        <w:t xml:space="preserve">, when countries </w:t>
      </w:r>
      <w:r w:rsidRPr="00295A4D">
        <w:t xml:space="preserve">will be phasing down </w:t>
      </w:r>
      <w:r>
        <w:t xml:space="preserve">only </w:t>
      </w:r>
      <w:r w:rsidRPr="00295A4D">
        <w:t xml:space="preserve">HFCs, the modalities and </w:t>
      </w:r>
      <w:r>
        <w:t xml:space="preserve">funding levels for activities in the refrigeration servicing sector would need to be thoroughly assessed, noting that </w:t>
      </w:r>
      <w:r w:rsidRPr="00295A4D">
        <w:t xml:space="preserve">HFC baselines </w:t>
      </w:r>
      <w:r>
        <w:t xml:space="preserve">will be already </w:t>
      </w:r>
      <w:r w:rsidRPr="00295A4D">
        <w:t>established</w:t>
      </w:r>
      <w:r>
        <w:t>,</w:t>
      </w:r>
      <w:r w:rsidRPr="00295A4D">
        <w:t xml:space="preserve"> the sectoral distribution of HFCs </w:t>
      </w:r>
      <w:r>
        <w:t xml:space="preserve">will be already </w:t>
      </w:r>
      <w:r w:rsidRPr="00295A4D">
        <w:t>known</w:t>
      </w:r>
      <w:r>
        <w:t xml:space="preserve"> and the scenario of alternatives to HFCs will have evolved. The funding levels approved for the period 2021 to 2030 will be included in the overall funding level for the entire refrigeration </w:t>
      </w:r>
      <w:r w:rsidRPr="00295A4D">
        <w:t>servicing sector</w:t>
      </w:r>
      <w:r>
        <w:t>. The Executive Committee may wish to consider requesting the Secretariat to prepare this analysis at the last meeting of 2028</w:t>
      </w:r>
      <w:r w:rsidRPr="00295A4D">
        <w:t xml:space="preserve">. </w:t>
      </w:r>
    </w:p>
    <w:p w:rsidR="009F59B0" w:rsidRPr="00295A4D" w:rsidRDefault="009F59B0" w:rsidP="003161AE">
      <w:r w:rsidRPr="00295A4D">
        <w:rPr>
          <w:b/>
        </w:rPr>
        <w:t xml:space="preserve">RECOMMENDATION </w:t>
      </w:r>
    </w:p>
    <w:p w:rsidR="009F59B0" w:rsidRPr="00295A4D" w:rsidRDefault="009F59B0" w:rsidP="003161AE"/>
    <w:p w:rsidR="009F59B0" w:rsidRPr="00295A4D" w:rsidRDefault="009F59B0" w:rsidP="003161AE">
      <w:pPr>
        <w:pStyle w:val="Heading1"/>
      </w:pPr>
      <w:r w:rsidRPr="00295A4D">
        <w:t>The Executive Committee may wish to consider:</w:t>
      </w:r>
    </w:p>
    <w:p w:rsidR="009F59B0" w:rsidRPr="00750116" w:rsidRDefault="009F59B0" w:rsidP="009F59B0">
      <w:pPr>
        <w:pStyle w:val="Heading2"/>
        <w:numPr>
          <w:ilvl w:val="1"/>
          <w:numId w:val="1"/>
        </w:numPr>
      </w:pPr>
      <w:r w:rsidRPr="00295A4D">
        <w:t xml:space="preserve">Noting the analysis of the level and modalities of funding for HFC </w:t>
      </w:r>
      <w:r w:rsidRPr="00750116">
        <w:t>phase-down in the refrigeration servicing sector, contained in document UNEP/</w:t>
      </w:r>
      <w:proofErr w:type="spellStart"/>
      <w:r w:rsidRPr="00750116">
        <w:t>OzL.Pro</w:t>
      </w:r>
      <w:proofErr w:type="spellEnd"/>
      <w:r w:rsidRPr="00750116">
        <w:t>/</w:t>
      </w:r>
      <w:proofErr w:type="spellStart"/>
      <w:r w:rsidRPr="00750116">
        <w:t>ExCom</w:t>
      </w:r>
      <w:proofErr w:type="spellEnd"/>
      <w:r w:rsidRPr="00750116">
        <w:t>/</w:t>
      </w:r>
      <w:r w:rsidR="00177389">
        <w:t>88/72</w:t>
      </w:r>
      <w:r w:rsidRPr="00750116">
        <w:t>;</w:t>
      </w:r>
    </w:p>
    <w:p w:rsidR="009F59B0" w:rsidRPr="007B739B" w:rsidRDefault="009F59B0" w:rsidP="009F59B0">
      <w:pPr>
        <w:pStyle w:val="Heading2"/>
        <w:numPr>
          <w:ilvl w:val="1"/>
          <w:numId w:val="1"/>
        </w:numPr>
      </w:pPr>
      <w:r w:rsidRPr="007B739B">
        <w:t>Applying the following principles with regard to the eligible incremental costs for stage I of the HFC phase-down in the refrigeration servicing sector for the period 2021-20</w:t>
      </w:r>
      <w:r>
        <w:t>29 for Article 5 group 1 countries, and 2021-2032 for Article 5 group 2 countries, all of which are non</w:t>
      </w:r>
      <w:r>
        <w:noBreakHyphen/>
        <w:t>low</w:t>
      </w:r>
      <w:r>
        <w:noBreakHyphen/>
        <w:t>volume</w:t>
      </w:r>
      <w:r>
        <w:noBreakHyphen/>
        <w:t>consuming (LVC) countries</w:t>
      </w:r>
      <w:r w:rsidRPr="007B739B">
        <w:t>, on the understanding that the funding levels specified b</w:t>
      </w:r>
      <w:bookmarkStart w:id="0" w:name="_GoBack"/>
      <w:bookmarkEnd w:id="0"/>
      <w:r w:rsidRPr="007B739B">
        <w:t>elow would be revised for activities submitted for future HFC phase</w:t>
      </w:r>
      <w:r>
        <w:noBreakHyphen/>
      </w:r>
      <w:r w:rsidRPr="007B739B">
        <w:t xml:space="preserve">down stages when activities under HCFC phase-out management plans </w:t>
      </w:r>
      <w:r>
        <w:t xml:space="preserve">(HPMPs) </w:t>
      </w:r>
      <w:r w:rsidRPr="007B739B">
        <w:t>were completed:</w:t>
      </w:r>
    </w:p>
    <w:p w:rsidR="009F59B0" w:rsidRPr="007B739B" w:rsidRDefault="009F59B0" w:rsidP="009F59B0">
      <w:pPr>
        <w:pStyle w:val="Heading3"/>
        <w:numPr>
          <w:ilvl w:val="2"/>
          <w:numId w:val="1"/>
        </w:numPr>
      </w:pPr>
      <w:r w:rsidRPr="007B739B">
        <w:lastRenderedPageBreak/>
        <w:t>Article 5 countries with total HCFC consumption baseline of up to 360</w:t>
      </w:r>
      <w:r>
        <w:t> </w:t>
      </w:r>
      <w:r w:rsidRPr="007B739B">
        <w:t>metric</w:t>
      </w:r>
      <w:r>
        <w:t> </w:t>
      </w:r>
      <w:r w:rsidRPr="007B739B">
        <w:t>tonnes (</w:t>
      </w:r>
      <w:proofErr w:type="spellStart"/>
      <w:r w:rsidRPr="007B739B">
        <w:t>mt</w:t>
      </w:r>
      <w:proofErr w:type="spellEnd"/>
      <w:r w:rsidRPr="007B739B">
        <w:t>) must include in their HFC phase-down plans, as a minimum:</w:t>
      </w:r>
    </w:p>
    <w:p w:rsidR="009F59B0" w:rsidRPr="002172EE" w:rsidRDefault="009F59B0" w:rsidP="003161AE">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 xml:space="preserve">A </w:t>
      </w:r>
      <w:r w:rsidRPr="002172EE">
        <w:rPr>
          <w:color w:val="000000" w:themeColor="text1"/>
        </w:rPr>
        <w:t>commitment to meeting, without further requests for funding at least the 10</w:t>
      </w:r>
      <w:r>
        <w:rPr>
          <w:color w:val="000000" w:themeColor="text1"/>
        </w:rPr>
        <w:t> </w:t>
      </w:r>
      <w:r w:rsidRPr="002172EE">
        <w:rPr>
          <w:color w:val="000000" w:themeColor="text1"/>
        </w:rPr>
        <w:t>per</w:t>
      </w:r>
      <w:r>
        <w:rPr>
          <w:color w:val="000000" w:themeColor="text1"/>
        </w:rPr>
        <w:t> </w:t>
      </w:r>
      <w:r w:rsidRPr="002172EE">
        <w:rPr>
          <w:color w:val="000000" w:themeColor="text1"/>
        </w:rPr>
        <w:t xml:space="preserve">cent reduction step in HFC consumption in line with the compliance schedule of the Montreal </w:t>
      </w:r>
      <w:r w:rsidRPr="00085E3F">
        <w:rPr>
          <w:color w:val="000000" w:themeColor="text1"/>
        </w:rPr>
        <w:t>Protocol, and restricting imports of HFC</w:t>
      </w:r>
      <w:r>
        <w:rPr>
          <w:color w:val="000000" w:themeColor="text1"/>
        </w:rPr>
        <w:noBreakHyphen/>
      </w:r>
      <w:r w:rsidRPr="00085E3F">
        <w:rPr>
          <w:color w:val="000000" w:themeColor="text1"/>
        </w:rPr>
        <w:t>based equipment if necessary to achieve the compliance schedule and to support relevant phase-out activities</w:t>
      </w:r>
      <w:r w:rsidRPr="002172EE">
        <w:rPr>
          <w:color w:val="000000" w:themeColor="text1"/>
        </w:rPr>
        <w:t>;</w:t>
      </w:r>
    </w:p>
    <w:p w:rsidR="009F59B0" w:rsidRPr="007B739B" w:rsidRDefault="009F59B0" w:rsidP="003161AE">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HFC phase</w:t>
      </w:r>
      <w:r w:rsidRPr="007B739B">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 and</w:t>
      </w:r>
    </w:p>
    <w:p w:rsidR="009F59B0" w:rsidRPr="007B739B" w:rsidRDefault="009F59B0" w:rsidP="003161AE">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9F59B0" w:rsidRPr="00295A4D" w:rsidRDefault="009F59B0" w:rsidP="009F59B0">
      <w:pPr>
        <w:pStyle w:val="Heading3"/>
        <w:numPr>
          <w:ilvl w:val="2"/>
          <w:numId w:val="1"/>
        </w:numPr>
      </w:pPr>
      <w:r w:rsidRPr="00295A4D">
        <w:t>Article 5 countries that have a tota</w:t>
      </w:r>
      <w:r>
        <w:t xml:space="preserve">l </w:t>
      </w:r>
      <w:r w:rsidRPr="003516CB">
        <w:t>HCFC consumption as specified in sub</w:t>
      </w:r>
      <w:r>
        <w:noBreakHyphen/>
      </w:r>
      <w:r w:rsidRPr="003516CB">
        <w:t>paragraph (b)(</w:t>
      </w:r>
      <w:proofErr w:type="spellStart"/>
      <w:r w:rsidRPr="003516CB">
        <w:t>i</w:t>
      </w:r>
      <w:proofErr w:type="spellEnd"/>
      <w:r w:rsidRPr="003516CB">
        <w:t>) above will be provided</w:t>
      </w:r>
      <w:r w:rsidRPr="00295A4D">
        <w:t xml:space="preserve"> funding consistent with the level of consumption in the refrigeration servicing sector, as shown in the table below, on the understanding that project proposals will still need to demonstrate that the funding level is necessary to </w:t>
      </w:r>
      <w:r w:rsidRPr="003516CB">
        <w:t>achieve at least the HFC 10 per cent</w:t>
      </w:r>
      <w:r w:rsidRPr="00295A4D">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9F59B0" w:rsidRPr="00295A4D" w:rsidTr="003161AE">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rsidR="009F59B0" w:rsidRPr="0037672A" w:rsidRDefault="009F59B0" w:rsidP="003161AE">
            <w:pPr>
              <w:jc w:val="center"/>
              <w:rPr>
                <w:b/>
                <w:bCs/>
                <w:color w:val="000000"/>
                <w:sz w:val="20"/>
                <w:szCs w:val="20"/>
                <w:lang w:eastAsia="es-419"/>
              </w:rPr>
            </w:pPr>
            <w:r w:rsidRPr="0037672A">
              <w:rPr>
                <w:b/>
                <w:bCs/>
                <w:color w:val="000000"/>
                <w:sz w:val="20"/>
                <w:szCs w:val="20"/>
                <w:lang w:eastAsia="es-419"/>
              </w:rPr>
              <w:t>Baseline (</w:t>
            </w:r>
            <w:proofErr w:type="spellStart"/>
            <w:r w:rsidRPr="0037672A">
              <w:rPr>
                <w:b/>
                <w:bCs/>
                <w:color w:val="000000"/>
                <w:sz w:val="20"/>
                <w:szCs w:val="20"/>
                <w:lang w:eastAsia="es-419"/>
              </w:rPr>
              <w:t>mt</w:t>
            </w:r>
            <w:proofErr w:type="spellEnd"/>
            <w:r w:rsidRPr="0037672A">
              <w:rPr>
                <w:b/>
                <w:bCs/>
                <w:color w:val="000000"/>
                <w:sz w:val="20"/>
                <w:szCs w:val="20"/>
                <w:lang w:eastAsia="es-419"/>
              </w:rPr>
              <w:t>)</w:t>
            </w:r>
          </w:p>
        </w:tc>
        <w:tc>
          <w:tcPr>
            <w:tcW w:w="2500" w:type="pct"/>
            <w:tcBorders>
              <w:top w:val="single" w:sz="4" w:space="0" w:color="auto"/>
              <w:left w:val="nil"/>
              <w:bottom w:val="single" w:sz="4" w:space="0" w:color="auto"/>
              <w:right w:val="single" w:sz="4" w:space="0" w:color="auto"/>
            </w:tcBorders>
            <w:shd w:val="clear" w:color="auto" w:fill="auto"/>
            <w:noWrap/>
            <w:hideMark/>
          </w:tcPr>
          <w:p w:rsidR="009F59B0" w:rsidRPr="0037672A" w:rsidRDefault="009F59B0" w:rsidP="003161AE">
            <w:pPr>
              <w:jc w:val="center"/>
              <w:rPr>
                <w:b/>
                <w:bCs/>
                <w:color w:val="000000"/>
                <w:sz w:val="20"/>
                <w:szCs w:val="20"/>
                <w:lang w:eastAsia="es-419"/>
              </w:rPr>
            </w:pPr>
            <w:r w:rsidRPr="0037672A">
              <w:rPr>
                <w:b/>
                <w:bCs/>
                <w:color w:val="000000"/>
                <w:sz w:val="20"/>
                <w:szCs w:val="20"/>
                <w:lang w:eastAsia="es-419"/>
              </w:rPr>
              <w:t>Funding (US $)</w:t>
            </w:r>
          </w:p>
        </w:tc>
      </w:tr>
      <w:tr w:rsidR="009F59B0" w:rsidRPr="00295A4D" w:rsidTr="003161AE">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&gt;0 &lt;15</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88,125</w:t>
            </w:r>
          </w:p>
        </w:tc>
      </w:tr>
      <w:tr w:rsidR="009F59B0" w:rsidRPr="00295A4D" w:rsidTr="003161A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15 &lt;40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112,500</w:t>
            </w:r>
          </w:p>
        </w:tc>
      </w:tr>
      <w:tr w:rsidR="009F59B0" w:rsidRPr="00295A4D" w:rsidTr="003161AE">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40 &lt;80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120,000</w:t>
            </w:r>
          </w:p>
        </w:tc>
      </w:tr>
      <w:tr w:rsidR="009F59B0" w:rsidRPr="00295A4D" w:rsidTr="003161A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80 &lt;120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135,000</w:t>
            </w:r>
          </w:p>
        </w:tc>
      </w:tr>
      <w:tr w:rsidR="009F59B0" w:rsidRPr="00295A4D" w:rsidTr="003161A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120 &lt;160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142,500</w:t>
            </w:r>
          </w:p>
        </w:tc>
      </w:tr>
      <w:tr w:rsidR="009F59B0" w:rsidRPr="00295A4D" w:rsidTr="003161AE">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160 &lt;200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150,000</w:t>
            </w:r>
          </w:p>
        </w:tc>
      </w:tr>
      <w:tr w:rsidR="009F59B0" w:rsidRPr="00295A4D" w:rsidTr="003161AE">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200 &lt;320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240,000</w:t>
            </w:r>
          </w:p>
        </w:tc>
      </w:tr>
      <w:tr w:rsidR="009F59B0" w:rsidRPr="00295A4D" w:rsidTr="003161AE">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9F59B0" w:rsidRPr="0037672A" w:rsidRDefault="009F59B0" w:rsidP="003161AE">
            <w:pPr>
              <w:ind w:left="1402"/>
              <w:jc w:val="left"/>
              <w:rPr>
                <w:color w:val="000000"/>
                <w:sz w:val="20"/>
                <w:szCs w:val="20"/>
                <w:lang w:eastAsia="es-419"/>
              </w:rPr>
            </w:pPr>
            <w:r w:rsidRPr="0037672A">
              <w:rPr>
                <w:color w:val="000000"/>
                <w:sz w:val="20"/>
                <w:szCs w:val="20"/>
                <w:lang w:eastAsia="es-419"/>
              </w:rPr>
              <w:t>320 &lt;360</w:t>
            </w:r>
          </w:p>
        </w:tc>
        <w:tc>
          <w:tcPr>
            <w:tcW w:w="2500" w:type="pct"/>
            <w:tcBorders>
              <w:top w:val="nil"/>
              <w:left w:val="nil"/>
              <w:bottom w:val="single" w:sz="4" w:space="0" w:color="auto"/>
              <w:right w:val="single" w:sz="4" w:space="0" w:color="auto"/>
            </w:tcBorders>
            <w:shd w:val="clear" w:color="auto" w:fill="auto"/>
            <w:noWrap/>
          </w:tcPr>
          <w:p w:rsidR="009F59B0" w:rsidRPr="0037672A" w:rsidRDefault="009F59B0" w:rsidP="003161AE">
            <w:pPr>
              <w:ind w:right="1290"/>
              <w:jc w:val="right"/>
              <w:rPr>
                <w:color w:val="000000"/>
                <w:sz w:val="20"/>
                <w:szCs w:val="20"/>
                <w:lang w:eastAsia="es-419"/>
              </w:rPr>
            </w:pPr>
            <w:r w:rsidRPr="0037672A">
              <w:rPr>
                <w:color w:val="000000"/>
                <w:sz w:val="20"/>
                <w:szCs w:val="20"/>
                <w:lang w:eastAsia="es-419"/>
              </w:rPr>
              <w:t>270,000</w:t>
            </w:r>
          </w:p>
        </w:tc>
      </w:tr>
    </w:tbl>
    <w:p w:rsidR="009F59B0" w:rsidRPr="00295A4D" w:rsidRDefault="009F59B0" w:rsidP="003161AE"/>
    <w:p w:rsidR="009F59B0" w:rsidRPr="00FA2168" w:rsidRDefault="009F59B0" w:rsidP="009F59B0">
      <w:pPr>
        <w:pStyle w:val="Heading3"/>
        <w:numPr>
          <w:ilvl w:val="2"/>
          <w:numId w:val="1"/>
        </w:numPr>
      </w:pPr>
      <w:r w:rsidRPr="00FA2168">
        <w:t>Article 5 countries that have total HCFC consumption above 360 </w:t>
      </w:r>
      <w:proofErr w:type="spellStart"/>
      <w:r w:rsidRPr="00FA2168">
        <w:t>mt</w:t>
      </w:r>
      <w:proofErr w:type="spellEnd"/>
      <w:r w:rsidRPr="00FA2168">
        <w:t xml:space="preserve"> and below 25,000 </w:t>
      </w:r>
      <w:proofErr w:type="spellStart"/>
      <w:r w:rsidRPr="00FA2168">
        <w:t>mt</w:t>
      </w:r>
      <w:proofErr w:type="spellEnd"/>
      <w:r w:rsidRPr="00FA2168">
        <w:t xml:space="preserve"> that clearly demonstrate that they require assistance in the refrigeration servicing </w:t>
      </w:r>
      <w:r w:rsidRPr="00B11A54">
        <w:t xml:space="preserve">sector to comply </w:t>
      </w:r>
      <w:r w:rsidRPr="002172EE">
        <w:t>at least with the 10 per cent reduction step in HFC consumption in line with the compliance schedule of the Montreal Protocol, will</w:t>
      </w:r>
      <w:r w:rsidRPr="00FA2168">
        <w:t xml:space="preserve"> be provided funding at a level up to US $</w:t>
      </w:r>
      <w:r>
        <w:t>3.20</w:t>
      </w:r>
      <w:r w:rsidRPr="00FA2168">
        <w:t xml:space="preserve">/metric kg, which will be deducted from their starting point for aggregate reductions in HFC consumption; </w:t>
      </w:r>
    </w:p>
    <w:p w:rsidR="009F59B0" w:rsidRPr="002172EE" w:rsidRDefault="009F59B0" w:rsidP="009F59B0">
      <w:pPr>
        <w:pStyle w:val="Heading3"/>
        <w:numPr>
          <w:ilvl w:val="2"/>
          <w:numId w:val="1"/>
        </w:numPr>
      </w:pPr>
      <w:r w:rsidRPr="002172EE">
        <w:t>Article 5 countries referred to in paragraph (b)(iii) above that could achieve the 10</w:t>
      </w:r>
      <w:r>
        <w:t> </w:t>
      </w:r>
      <w:r w:rsidRPr="002172EE">
        <w:t>per</w:t>
      </w:r>
      <w:r>
        <w:t> </w:t>
      </w:r>
      <w:r w:rsidRPr="002172EE">
        <w:t>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rsidRPr="002172EE">
        <w:t>mt</w:t>
      </w:r>
      <w:proofErr w:type="spellEnd"/>
      <w:r w:rsidRPr="002172EE">
        <w:t xml:space="preserve"> as specified in sub</w:t>
      </w:r>
      <w:r>
        <w:noBreakHyphen/>
      </w:r>
      <w:r w:rsidRPr="002172EE">
        <w:t>paragraph (b)(ii) above, on the understanding that they must include in their HFC phase-down plans, as a minimum the requirements described in sub</w:t>
      </w:r>
      <w:r>
        <w:noBreakHyphen/>
      </w:r>
      <w:r w:rsidRPr="002172EE">
        <w:t>paragraph (b)(</w:t>
      </w:r>
      <w:proofErr w:type="spellStart"/>
      <w:r w:rsidRPr="002172EE">
        <w:t>i</w:t>
      </w:r>
      <w:proofErr w:type="spellEnd"/>
      <w:r w:rsidRPr="002172EE">
        <w:t xml:space="preserve">) above; </w:t>
      </w:r>
    </w:p>
    <w:p w:rsidR="009F59B0" w:rsidRPr="00487195" w:rsidRDefault="009F59B0" w:rsidP="009F59B0">
      <w:pPr>
        <w:pStyle w:val="Heading3"/>
        <w:numPr>
          <w:ilvl w:val="2"/>
          <w:numId w:val="1"/>
        </w:numPr>
      </w:pPr>
      <w:r w:rsidRPr="00487195">
        <w:lastRenderedPageBreak/>
        <w:t>Funding for Article 5 countries that have a total HCFC consumption baseline above 25,000 </w:t>
      </w:r>
      <w:proofErr w:type="spellStart"/>
      <w:r w:rsidRPr="00487195">
        <w:t>mt</w:t>
      </w:r>
      <w:proofErr w:type="spellEnd"/>
      <w:r w:rsidRPr="00487195">
        <w:t xml:space="preserve"> will be considered on a case-by-case basis; </w:t>
      </w:r>
    </w:p>
    <w:p w:rsidR="009F59B0" w:rsidRPr="00487195" w:rsidRDefault="009F59B0" w:rsidP="009F59B0">
      <w:pPr>
        <w:pStyle w:val="Heading2"/>
        <w:numPr>
          <w:ilvl w:val="1"/>
          <w:numId w:val="1"/>
        </w:numPr>
      </w:pPr>
      <w:r w:rsidRPr="00487195">
        <w:t>Including the principles referred to in sub-paragraph (b) in the draft cost guidelines for the phase</w:t>
      </w:r>
      <w:r w:rsidRPr="00487195">
        <w:noBreakHyphen/>
        <w:t>down of HFCs and revising these principles in 2028 for the funding of future stages of HFC phase-down plans; and</w:t>
      </w:r>
    </w:p>
    <w:p w:rsidR="009F59B0" w:rsidRPr="00FA2168" w:rsidRDefault="009F59B0" w:rsidP="009F59B0">
      <w:pPr>
        <w:pStyle w:val="Heading2"/>
        <w:numPr>
          <w:ilvl w:val="1"/>
          <w:numId w:val="1"/>
        </w:numPr>
      </w:pPr>
      <w:r w:rsidRPr="00487195">
        <w:t>Whether to add the increase of funds agreed in the discussion of document UNEP/</w:t>
      </w:r>
      <w:proofErr w:type="spellStart"/>
      <w:r w:rsidRPr="00487195">
        <w:t>OzL.Pro</w:t>
      </w:r>
      <w:proofErr w:type="spellEnd"/>
      <w:r w:rsidRPr="00487195">
        <w:t>/</w:t>
      </w:r>
      <w:proofErr w:type="spellStart"/>
      <w:r w:rsidRPr="00487195">
        <w:t>ExCom</w:t>
      </w:r>
      <w:proofErr w:type="spellEnd"/>
      <w:r w:rsidRPr="00487195">
        <w:t>/</w:t>
      </w:r>
      <w:r w:rsidR="00177389" w:rsidRPr="00487195">
        <w:t>88/75</w:t>
      </w:r>
      <w:r w:rsidRPr="00487195">
        <w:t xml:space="preserve"> on ways to operationalize paragraph 16 of decision</w:t>
      </w:r>
      <w:r w:rsidRPr="00750116">
        <w:t> XXVIII/2, and paragraph 2 of decision XXX</w:t>
      </w:r>
      <w:r w:rsidRPr="00FA2168">
        <w:t>/5, to the approval of stage I of the HFC phase-down</w:t>
      </w:r>
      <w:r>
        <w:t xml:space="preserve"> instead of the HPMP</w:t>
      </w:r>
      <w:r w:rsidRPr="00FA2168">
        <w:t>, noting that the activities proposed for such increase of funds will benefit both HCFC phase-out and HFC phase-down through introduction of alternatives with low and zero GWP to HFC and maintain energy efficiency also in the servicing/end</w:t>
      </w:r>
      <w:r w:rsidRPr="00FA2168">
        <w:noBreakHyphen/>
        <w:t>user sector for LVC countries.</w:t>
      </w:r>
    </w:p>
    <w:p w:rsidR="009F59B0" w:rsidRPr="00295A4D" w:rsidRDefault="009F59B0" w:rsidP="003161AE"/>
    <w:p w:rsidR="009F59B0" w:rsidRPr="00295A4D" w:rsidRDefault="009F59B0" w:rsidP="003161AE">
      <w:pPr>
        <w:sectPr w:rsidR="009F59B0" w:rsidRPr="00295A4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9F59B0" w:rsidRPr="00295A4D" w:rsidRDefault="009F59B0" w:rsidP="003161AE">
      <w:pPr>
        <w:jc w:val="center"/>
        <w:rPr>
          <w:b/>
        </w:rPr>
      </w:pPr>
      <w:r w:rsidRPr="00295A4D">
        <w:rPr>
          <w:b/>
        </w:rPr>
        <w:lastRenderedPageBreak/>
        <w:t xml:space="preserve">Annex I </w:t>
      </w:r>
    </w:p>
    <w:p w:rsidR="009F59B0" w:rsidRPr="00295A4D" w:rsidRDefault="009F59B0" w:rsidP="003161AE">
      <w:pPr>
        <w:jc w:val="center"/>
        <w:rPr>
          <w:b/>
        </w:rPr>
      </w:pPr>
    </w:p>
    <w:p w:rsidR="009F59B0" w:rsidRDefault="009F59B0" w:rsidP="003161AE">
      <w:pPr>
        <w:jc w:val="center"/>
        <w:rPr>
          <w:b/>
        </w:rPr>
      </w:pPr>
      <w:r>
        <w:rPr>
          <w:b/>
        </w:rPr>
        <w:t xml:space="preserve">AN OVERVIEW OF POTENTIAL MODALITIES FOR INTEGRATING </w:t>
      </w:r>
    </w:p>
    <w:p w:rsidR="009F59B0" w:rsidRPr="00295A4D" w:rsidRDefault="009F59B0" w:rsidP="003161AE">
      <w:pPr>
        <w:jc w:val="center"/>
        <w:rPr>
          <w:b/>
        </w:rPr>
      </w:pPr>
      <w:r w:rsidRPr="00295A4D">
        <w:rPr>
          <w:b/>
        </w:rPr>
        <w:t xml:space="preserve">HCFC PHASE-OUT AND HFC PHASE-DOWN </w:t>
      </w:r>
      <w:r>
        <w:rPr>
          <w:b/>
        </w:rPr>
        <w:t xml:space="preserve">ACTIVITIES </w:t>
      </w:r>
      <w:r w:rsidRPr="00295A4D">
        <w:rPr>
          <w:b/>
        </w:rPr>
        <w:t>IN THE REFRIGERATION SERVICING SECTOR</w:t>
      </w:r>
    </w:p>
    <w:p w:rsidR="009F59B0" w:rsidRPr="00295A4D" w:rsidRDefault="009F59B0" w:rsidP="003161AE"/>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9F59B0" w:rsidRPr="006C774D" w:rsidTr="003161AE">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9F59B0" w:rsidRPr="006C774D" w:rsidRDefault="009F59B0" w:rsidP="003161AE">
            <w:pPr>
              <w:jc w:val="center"/>
              <w:rPr>
                <w:b/>
                <w:bCs/>
                <w:color w:val="000000"/>
                <w:sz w:val="18"/>
                <w:szCs w:val="18"/>
                <w:lang w:eastAsia="es-419"/>
              </w:rPr>
            </w:pPr>
            <w:r w:rsidRPr="006C774D">
              <w:rPr>
                <w:b/>
                <w:bCs/>
                <w:color w:val="000000"/>
                <w:sz w:val="18"/>
                <w:szCs w:val="18"/>
                <w:lang w:eastAsia="es-419"/>
              </w:rPr>
              <w:t>Categories*</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9F59B0" w:rsidRPr="006C774D" w:rsidRDefault="009F59B0" w:rsidP="003161AE">
            <w:pPr>
              <w:jc w:val="center"/>
              <w:rPr>
                <w:b/>
                <w:bCs/>
                <w:color w:val="000000"/>
                <w:sz w:val="18"/>
                <w:szCs w:val="18"/>
                <w:lang w:eastAsia="es-419"/>
              </w:rPr>
            </w:pPr>
            <w:r w:rsidRPr="006C774D">
              <w:rPr>
                <w:b/>
                <w:bCs/>
                <w:color w:val="000000"/>
                <w:sz w:val="18"/>
                <w:szCs w:val="18"/>
                <w:lang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9F59B0" w:rsidRPr="006C774D" w:rsidRDefault="009F59B0" w:rsidP="003161AE">
            <w:pPr>
              <w:jc w:val="center"/>
              <w:rPr>
                <w:b/>
                <w:bCs/>
                <w:color w:val="000000"/>
                <w:sz w:val="18"/>
                <w:szCs w:val="18"/>
                <w:lang w:eastAsia="es-419"/>
              </w:rPr>
            </w:pPr>
            <w:r w:rsidRPr="006C774D">
              <w:rPr>
                <w:b/>
                <w:bCs/>
                <w:color w:val="000000"/>
                <w:sz w:val="18"/>
                <w:szCs w:val="18"/>
                <w:lang w:eastAsia="es-419"/>
              </w:rPr>
              <w:t>Covered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9F59B0" w:rsidRPr="006C774D" w:rsidRDefault="009F59B0" w:rsidP="003161AE">
            <w:pPr>
              <w:jc w:val="center"/>
              <w:rPr>
                <w:b/>
                <w:bCs/>
                <w:color w:val="000000"/>
                <w:sz w:val="18"/>
                <w:szCs w:val="18"/>
                <w:lang w:eastAsia="es-419"/>
              </w:rPr>
            </w:pPr>
            <w:r w:rsidRPr="006C774D">
              <w:rPr>
                <w:b/>
                <w:bCs/>
                <w:color w:val="000000"/>
                <w:sz w:val="18"/>
                <w:szCs w:val="18"/>
                <w:lang w:eastAsia="es-419"/>
              </w:rPr>
              <w:t>Possibility of integration</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Operational HCFC import//export licensing and quota systems established. Additional regulatory measures in the refrigeration servicing sector 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Customs departments, customs officers, enforcement officers from other government departments,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The subject related to HFC phase-down needs to 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eastAsia="es-419"/>
              </w:rPr>
              <w:t>2</w:t>
            </w:r>
            <w:r w:rsidRPr="006C774D">
              <w:rPr>
                <w:color w:val="000000"/>
                <w:sz w:val="18"/>
                <w:szCs w:val="18"/>
                <w:lang w:eastAsia="es-419"/>
              </w:rPr>
              <w:t xml:space="preserve"> equivalent. Periodic training updates are also needed due to the high</w:t>
            </w:r>
            <w:r>
              <w:rPr>
                <w:color w:val="000000"/>
                <w:sz w:val="18"/>
                <w:szCs w:val="18"/>
                <w:lang w:eastAsia="es-419"/>
              </w:rPr>
              <w:noBreakHyphen/>
            </w:r>
            <w:r w:rsidRPr="006C774D">
              <w:rPr>
                <w:color w:val="000000"/>
                <w:sz w:val="18"/>
                <w:szCs w:val="18"/>
                <w:lang w:eastAsia="es-419"/>
              </w:rPr>
              <w:t>rotation nature of the customs departments’ personnel. This additional training can benefit from already established partnerships with relevant institutions, and Montreal Protocol knowledge and infrastructure already built during CFC and HCFC phase-out.</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eastAsia="es-419"/>
              </w:rPr>
              <w:noBreakHyphen/>
            </w:r>
            <w:r w:rsidRPr="006C774D">
              <w:rPr>
                <w:color w:val="000000"/>
                <w:sz w:val="18"/>
                <w:szCs w:val="18"/>
                <w:lang w:eastAsia="es-419"/>
              </w:rPr>
              <w:noBreakHyphen/>
              <w:t>global</w:t>
            </w:r>
            <w:r w:rsidRPr="006C774D">
              <w:rPr>
                <w:color w:val="000000"/>
                <w:sz w:val="18"/>
                <w:szCs w:val="18"/>
                <w:lang w:eastAsia="es-419"/>
              </w:rPr>
              <w:noBreakHyphen/>
              <w:t>warming</w:t>
            </w:r>
            <w:r w:rsidRPr="006C774D">
              <w:rPr>
                <w:color w:val="000000"/>
                <w:sz w:val="18"/>
                <w:szCs w:val="18"/>
                <w:lang w:eastAsia="es-419"/>
              </w:rPr>
              <w:noBreakHyphen/>
              <w:t>potential (GWP)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Pr="006C774D">
              <w:rPr>
                <w:color w:val="000000"/>
                <w:sz w:val="18"/>
                <w:szCs w:val="18"/>
                <w:lang w:eastAsia="es-419"/>
              </w:rPr>
              <w:noBreakHyphen/>
              <w:t xml:space="preserve">GWP refrigerants. In addition, training needs associated to </w:t>
            </w:r>
            <w:r>
              <w:rPr>
                <w:color w:val="000000"/>
                <w:sz w:val="18"/>
                <w:szCs w:val="18"/>
                <w:lang w:eastAsia="es-419"/>
              </w:rPr>
              <w:t>mobile air-</w:t>
            </w:r>
            <w:r w:rsidRPr="001B49D0">
              <w:rPr>
                <w:color w:val="000000"/>
                <w:sz w:val="18"/>
                <w:szCs w:val="18"/>
                <w:lang w:eastAsia="es-419"/>
              </w:rPr>
              <w:t xml:space="preserve">conditioning </w:t>
            </w:r>
            <w:r>
              <w:rPr>
                <w:color w:val="000000"/>
                <w:sz w:val="18"/>
                <w:szCs w:val="18"/>
                <w:lang w:eastAsia="es-419"/>
              </w:rPr>
              <w:t>(</w:t>
            </w:r>
            <w:r w:rsidRPr="006C774D">
              <w:rPr>
                <w:color w:val="000000"/>
                <w:sz w:val="18"/>
                <w:szCs w:val="18"/>
                <w:lang w:eastAsia="es-419"/>
              </w:rPr>
              <w:t>MAC</w:t>
            </w:r>
            <w:r>
              <w:rPr>
                <w:color w:val="000000"/>
                <w:sz w:val="18"/>
                <w:szCs w:val="18"/>
                <w:lang w:eastAsia="es-419"/>
              </w:rPr>
              <w:t>)</w:t>
            </w:r>
            <w:r w:rsidRPr="006C774D">
              <w:rPr>
                <w:color w:val="000000"/>
                <w:sz w:val="18"/>
                <w:szCs w:val="18"/>
                <w:lang w:eastAsia="es-419"/>
              </w:rPr>
              <w:t xml:space="preserve"> application may need to be assessed, if this application has not been already covered by general good refrigeration practices.</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widowControl w:val="0"/>
              <w:rPr>
                <w:color w:val="000000"/>
                <w:sz w:val="18"/>
                <w:szCs w:val="18"/>
                <w:lang w:eastAsia="es-419"/>
              </w:rPr>
            </w:pPr>
            <w:r w:rsidRPr="006C774D">
              <w:rPr>
                <w:color w:val="000000"/>
                <w:sz w:val="18"/>
                <w:szCs w:val="18"/>
                <w:lang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Most countries are developing certification schemes under the HPMP. Technicians certification so far focused on good practices, which cover HCFC and HFC based refrigerants. Additional specialized modules for handling low-GWP refrigerants or provide service to specific,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widowControl w:val="0"/>
              <w:jc w:val="left"/>
              <w:rPr>
                <w:color w:val="000000"/>
                <w:sz w:val="18"/>
                <w:szCs w:val="18"/>
                <w:lang w:eastAsia="es-419"/>
              </w:rPr>
            </w:pPr>
            <w:r w:rsidRPr="006C774D">
              <w:rPr>
                <w:color w:val="000000"/>
                <w:sz w:val="18"/>
                <w:szCs w:val="18"/>
                <w:lang w:eastAsia="es-419"/>
              </w:rPr>
              <w:t>Certification infrastructure already created or being created through the HPMPs. Certification of technicians so far focused on good servicing practices covering both HCFC and HFC. The HFC phase</w:t>
            </w:r>
            <w:r>
              <w:rPr>
                <w:color w:val="000000"/>
                <w:sz w:val="18"/>
                <w:szCs w:val="18"/>
                <w:lang w:eastAsia="es-419"/>
              </w:rPr>
              <w:noBreakHyphen/>
            </w:r>
            <w:r w:rsidRPr="006C774D">
              <w:rPr>
                <w:color w:val="000000"/>
                <w:sz w:val="18"/>
                <w:szCs w:val="18"/>
                <w:lang w:eastAsia="es-419"/>
              </w:rPr>
              <w:t>down will cause larger import and manufacturing of equipment using low</w:t>
            </w:r>
            <w:r w:rsidRPr="006C774D">
              <w:rPr>
                <w:color w:val="000000"/>
                <w:sz w:val="18"/>
                <w:szCs w:val="18"/>
                <w:lang w:eastAsia="es-419"/>
              </w:rPr>
              <w:noBreakHyphen/>
              <w:t xml:space="preserve">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 term to certify a large portion of </w:t>
            </w:r>
            <w:r w:rsidRPr="006C774D">
              <w:rPr>
                <w:color w:val="000000"/>
                <w:sz w:val="18"/>
                <w:szCs w:val="18"/>
                <w:lang w:eastAsia="es-419"/>
              </w:rPr>
              <w:lastRenderedPageBreak/>
              <w:t>technicians to handle low</w:t>
            </w:r>
            <w:r w:rsidRPr="006C774D">
              <w:rPr>
                <w:color w:val="000000"/>
                <w:sz w:val="18"/>
                <w:szCs w:val="18"/>
                <w:lang w:eastAsia="es-419"/>
              </w:rPr>
              <w:noBreakHyphen/>
              <w:t>GWP alternatives being introduced in the countries.</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lastRenderedPageBreak/>
              <w:t>Refrigerant testing equipment for the refrigeration and air</w:t>
            </w:r>
            <w:r w:rsidRPr="006C774D">
              <w:rPr>
                <w:color w:val="000000"/>
                <w:sz w:val="18"/>
                <w:szCs w:val="18"/>
                <w:lang w:eastAsia="es-419"/>
              </w:rPr>
              <w:noBreakHyphen/>
              <w:t>conditioning 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 xml:space="preserve">Training institutions strengthened with equipment during the HPMPs.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Refrigerant testing equipment under HPMPs is already for low</w:t>
            </w:r>
            <w:r w:rsidRPr="006C774D">
              <w:rPr>
                <w:color w:val="000000"/>
                <w:sz w:val="18"/>
                <w:szCs w:val="18"/>
                <w:lang w:eastAsia="es-419"/>
              </w:rPr>
              <w:noBreakHyphen/>
              <w:t xml:space="preserve">GWP refrigerants. Additional equipment may be needed in some countries to have a larger coverage of training institutes. </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Refrigeration 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Only a portion of technicians covered through the HPMPs. For the majority of countries,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E449ED">
            <w:pPr>
              <w:jc w:val="left"/>
              <w:rPr>
                <w:color w:val="000000"/>
                <w:sz w:val="18"/>
                <w:szCs w:val="18"/>
                <w:lang w:eastAsia="es-419"/>
              </w:rPr>
            </w:pPr>
            <w:r w:rsidRPr="006C774D">
              <w:rPr>
                <w:color w:val="000000"/>
                <w:sz w:val="18"/>
                <w:szCs w:val="18"/>
                <w:lang w:eastAsia="es-419"/>
              </w:rPr>
              <w:t>Servicing tools can continue being provided to cover a larger population of technicians. In some countries the servicing kits would need to add tools needed for servicing equipment with low</w:t>
            </w:r>
            <w:r w:rsidR="00E449ED">
              <w:rPr>
                <w:color w:val="000000"/>
                <w:sz w:val="18"/>
                <w:szCs w:val="18"/>
                <w:lang w:eastAsia="es-419"/>
              </w:rPr>
              <w:noBreakHyphen/>
            </w:r>
            <w:r w:rsidRPr="006C774D">
              <w:rPr>
                <w:color w:val="000000"/>
                <w:sz w:val="18"/>
                <w:szCs w:val="18"/>
                <w:lang w:eastAsia="es-419"/>
              </w:rPr>
              <w:t xml:space="preserve">GWP alternatives (flammability, high pressure); tool kits may also need to be provided to technicians from new sectors (e.g., MAC). </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Refrigeration 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Recovery and recycling programmes implemented in practically all Article 5 countries with different level of success. During the last HPMP stages countries are improving their networks by promulgating the required regulations to support recovery and recycling (and reclaiming where applicable), and establishing business models with operators to make the operation economically sustainable. In some countries the equipment provided can handle the most common HFCs. During the ongoing stages of HPMPs, Article 5 countries will focus on ensuring the maximum possible impact of recovery, recycling and reclaiming of HCFC</w:t>
            </w:r>
            <w:r w:rsidRPr="006C774D">
              <w:rPr>
                <w:color w:val="000000"/>
                <w:sz w:val="18"/>
                <w:szCs w:val="18"/>
                <w:lang w:eastAsia="es-419"/>
              </w:rPr>
              <w:noBreakHyphen/>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 xml:space="preserve">Opportunities to expand the refrigerant recovery, recycling and reclaiming programmes to HFCs given the additional uses of HFCs in RAC applications, including large commercial equipment and </w:t>
            </w:r>
            <w:r>
              <w:rPr>
                <w:color w:val="000000"/>
                <w:sz w:val="18"/>
                <w:szCs w:val="18"/>
                <w:lang w:eastAsia="es-419"/>
              </w:rPr>
              <w:t>MAC</w:t>
            </w:r>
            <w:r w:rsidRPr="006C774D">
              <w:rPr>
                <w:color w:val="000000"/>
                <w:sz w:val="18"/>
                <w:szCs w:val="18"/>
                <w:lang w:eastAsia="es-419"/>
              </w:rPr>
              <w:t>, and a wider variety of pure and blended refrigerants that will require additional equipment and logistical considerations, including potential larger amounts of unwanted refrigerant. All activities on MAC will be additional as there is no use of HCFCs in this sector. Use of HFCs in commercial refrigeration applications may also be larger than that of HCFC</w:t>
            </w:r>
            <w:r w:rsidRPr="006C774D">
              <w:rPr>
                <w:color w:val="000000"/>
                <w:sz w:val="18"/>
                <w:szCs w:val="18"/>
                <w:lang w:eastAsia="es-419"/>
              </w:rPr>
              <w:noBreakHyphen/>
              <w:t xml:space="preserve">22. </w:t>
            </w:r>
          </w:p>
        </w:tc>
      </w:tr>
      <w:tr w:rsidR="009F59B0" w:rsidRPr="006C774D" w:rsidTr="003161A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Refrigeration technicians, importers and distributors, end</w:t>
            </w:r>
            <w:r>
              <w:rPr>
                <w:color w:val="000000"/>
                <w:sz w:val="18"/>
                <w:szCs w:val="18"/>
                <w:lang w:eastAsia="es-419"/>
              </w:rPr>
              <w:noBreakHyphen/>
            </w:r>
            <w:r w:rsidRPr="006C774D">
              <w:rPr>
                <w:color w:val="000000"/>
                <w:sz w:val="18"/>
                <w:szCs w:val="18"/>
                <w:lang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 xml:space="preserve">Annual public and targeted awareness campaigns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Platforms used for public awareness related to HCFC are the same for HFCs. Additional efforts may be required to address applications where HCFC are not used, such as domestic refrigeration, MAC and a larger portion of commercial refrigeration applications.</w:t>
            </w:r>
          </w:p>
        </w:tc>
      </w:tr>
      <w:tr w:rsidR="009F59B0" w:rsidRPr="00295A4D" w:rsidTr="003161AE">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Technical assistance and capacity building to address safety issues associated with alternatives with low and zero GWP for all sectors (paragraph 23 of decision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Refrigeration technicians, end</w:t>
            </w:r>
            <w:r>
              <w:rPr>
                <w:color w:val="000000"/>
                <w:sz w:val="18"/>
                <w:szCs w:val="18"/>
                <w:lang w:eastAsia="es-419"/>
              </w:rPr>
              <w:noBreakHyphen/>
            </w:r>
            <w:r w:rsidRPr="006C774D">
              <w:rPr>
                <w:color w:val="000000"/>
                <w:sz w:val="18"/>
                <w:szCs w:val="18"/>
                <w:lang w:eastAsia="es-419"/>
              </w:rPr>
              <w:t>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6C774D" w:rsidRDefault="009F59B0" w:rsidP="003161AE">
            <w:pPr>
              <w:jc w:val="left"/>
              <w:rPr>
                <w:color w:val="000000"/>
                <w:sz w:val="18"/>
                <w:szCs w:val="18"/>
                <w:lang w:eastAsia="es-419"/>
              </w:rPr>
            </w:pPr>
            <w:r w:rsidRPr="006C774D">
              <w:rPr>
                <w:color w:val="000000"/>
                <w:sz w:val="18"/>
                <w:szCs w:val="18"/>
                <w:lang w:eastAsia="es-419"/>
              </w:rPr>
              <w:t xml:space="preserve">Codes of practice </w:t>
            </w:r>
            <w:r>
              <w:rPr>
                <w:color w:val="000000"/>
                <w:sz w:val="18"/>
                <w:szCs w:val="18"/>
                <w:lang w:eastAsia="es-419"/>
              </w:rPr>
              <w:t>being updated through HPMPs. National ozone unit</w:t>
            </w:r>
            <w:r w:rsidRPr="006C774D">
              <w:rPr>
                <w:color w:val="000000"/>
                <w:sz w:val="18"/>
                <w:szCs w:val="18"/>
                <w:lang w:eastAsia="es-419"/>
              </w:rPr>
              <w:t>s collaborating on the processes to adopt industry standards that would allow a larger use of equipment based on flammable low</w:t>
            </w:r>
            <w:r w:rsidRPr="006C774D">
              <w:rPr>
                <w:color w:val="000000"/>
                <w:sz w:val="18"/>
                <w:szCs w:val="18"/>
                <w:lang w:eastAsia="es-419"/>
              </w:rPr>
              <w:noBreakHyphen/>
              <w:t>GWP refrigerants. 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9F59B0" w:rsidRPr="00295A4D" w:rsidRDefault="009F59B0" w:rsidP="003161AE">
            <w:pPr>
              <w:jc w:val="left"/>
              <w:rPr>
                <w:color w:val="000000"/>
                <w:sz w:val="18"/>
                <w:szCs w:val="18"/>
                <w:lang w:eastAsia="es-419"/>
              </w:rPr>
            </w:pPr>
            <w:r w:rsidRPr="006C774D">
              <w:rPr>
                <w:color w:val="000000"/>
                <w:sz w:val="18"/>
                <w:szCs w:val="18"/>
                <w:lang w:eastAsia="es-419"/>
              </w:rPr>
              <w:t>The need for a larger influx of equipment based on low</w:t>
            </w:r>
            <w:r w:rsidRPr="006C774D">
              <w:rPr>
                <w:color w:val="000000"/>
                <w:sz w:val="18"/>
                <w:szCs w:val="18"/>
                <w:lang w:eastAsia="es-419"/>
              </w:rPr>
              <w:noBreakHyphen/>
              <w:t>GWP refrigerants, some of them flammable, would require a more systematic collaboration with national safety authorities. This will require additional efforts. Given the need to give priority to this activity in line with decision XXVIII/2, these efforts should start at the early stages of HFC phase-down to allow proper transition to low</w:t>
            </w:r>
            <w:r>
              <w:rPr>
                <w:color w:val="000000"/>
                <w:sz w:val="18"/>
                <w:szCs w:val="18"/>
                <w:lang w:eastAsia="es-419"/>
              </w:rPr>
              <w:noBreakHyphen/>
            </w:r>
            <w:r w:rsidRPr="006C774D">
              <w:rPr>
                <w:color w:val="000000"/>
                <w:sz w:val="18"/>
                <w:szCs w:val="18"/>
                <w:lang w:eastAsia="es-419"/>
              </w:rPr>
              <w:t>GWP alternatives.</w:t>
            </w:r>
          </w:p>
        </w:tc>
      </w:tr>
    </w:tbl>
    <w:p w:rsidR="009F59B0" w:rsidRDefault="009F59B0" w:rsidP="003161AE">
      <w:pPr>
        <w:rPr>
          <w:sz w:val="18"/>
          <w:szCs w:val="18"/>
        </w:rPr>
      </w:pPr>
      <w:r w:rsidRPr="005D3977">
        <w:rPr>
          <w:sz w:val="18"/>
          <w:szCs w:val="18"/>
        </w:rPr>
        <w:t>* As per paragraph 15(c) of decision XVIII/2 of the Parties.</w:t>
      </w:r>
    </w:p>
    <w:p w:rsidR="009F59B0" w:rsidRDefault="009F59B0" w:rsidP="003161AE">
      <w:pPr>
        <w:rPr>
          <w:sz w:val="18"/>
          <w:szCs w:val="18"/>
        </w:rPr>
      </w:pPr>
    </w:p>
    <w:p w:rsidR="009F59B0" w:rsidRDefault="009F59B0" w:rsidP="003161AE">
      <w:pPr>
        <w:rPr>
          <w:sz w:val="18"/>
          <w:szCs w:val="18"/>
        </w:rPr>
      </w:pPr>
    </w:p>
    <w:p w:rsidR="009F59B0" w:rsidRDefault="009F59B0" w:rsidP="003161AE">
      <w:pPr>
        <w:rPr>
          <w:sz w:val="18"/>
          <w:szCs w:val="18"/>
        </w:rPr>
      </w:pPr>
    </w:p>
    <w:p w:rsidR="009F59B0" w:rsidRDefault="009F59B0" w:rsidP="003161AE">
      <w:pPr>
        <w:rPr>
          <w:sz w:val="18"/>
          <w:szCs w:val="18"/>
        </w:rPr>
      </w:pPr>
    </w:p>
    <w:p w:rsidR="009F59B0" w:rsidRDefault="009F59B0" w:rsidP="003161AE">
      <w:pP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F59B0" w:rsidTr="003161AE">
        <w:tc>
          <w:tcPr>
            <w:tcW w:w="2849" w:type="dxa"/>
          </w:tcPr>
          <w:p w:rsidR="009F59B0" w:rsidRDefault="009F59B0" w:rsidP="003161AE">
            <w:pPr>
              <w:rPr>
                <w:sz w:val="18"/>
                <w:szCs w:val="18"/>
              </w:rPr>
            </w:pPr>
          </w:p>
        </w:tc>
        <w:tc>
          <w:tcPr>
            <w:tcW w:w="2849" w:type="dxa"/>
          </w:tcPr>
          <w:p w:rsidR="009F59B0" w:rsidRDefault="009F59B0" w:rsidP="003161AE">
            <w:pPr>
              <w:rPr>
                <w:sz w:val="18"/>
                <w:szCs w:val="18"/>
              </w:rPr>
            </w:pPr>
          </w:p>
        </w:tc>
        <w:tc>
          <w:tcPr>
            <w:tcW w:w="2849" w:type="dxa"/>
            <w:tcBorders>
              <w:bottom w:val="single" w:sz="4" w:space="0" w:color="auto"/>
            </w:tcBorders>
          </w:tcPr>
          <w:p w:rsidR="009F59B0" w:rsidRDefault="009F59B0" w:rsidP="003161AE">
            <w:pPr>
              <w:rPr>
                <w:sz w:val="18"/>
                <w:szCs w:val="18"/>
              </w:rPr>
            </w:pPr>
          </w:p>
        </w:tc>
        <w:tc>
          <w:tcPr>
            <w:tcW w:w="2849" w:type="dxa"/>
          </w:tcPr>
          <w:p w:rsidR="009F59B0" w:rsidRDefault="009F59B0" w:rsidP="003161AE">
            <w:pPr>
              <w:rPr>
                <w:sz w:val="18"/>
                <w:szCs w:val="18"/>
              </w:rPr>
            </w:pPr>
          </w:p>
        </w:tc>
        <w:tc>
          <w:tcPr>
            <w:tcW w:w="2850" w:type="dxa"/>
          </w:tcPr>
          <w:p w:rsidR="009F59B0" w:rsidRDefault="009F59B0" w:rsidP="003161AE">
            <w:pPr>
              <w:rPr>
                <w:sz w:val="18"/>
                <w:szCs w:val="18"/>
              </w:rPr>
            </w:pPr>
          </w:p>
        </w:tc>
      </w:tr>
    </w:tbl>
    <w:p w:rsidR="00C93ED0" w:rsidRDefault="00C93ED0" w:rsidP="004E7F9C">
      <w:pPr>
        <w:sectPr w:rsidR="00C93ED0" w:rsidSect="00E449ED">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docGrid w:linePitch="299"/>
        </w:sectPr>
      </w:pPr>
    </w:p>
    <w:p w:rsidR="00C93ED0" w:rsidRPr="00134E73" w:rsidRDefault="00C93ED0" w:rsidP="00C93ED0">
      <w:pPr>
        <w:jc w:val="center"/>
        <w:rPr>
          <w:b/>
        </w:rPr>
      </w:pPr>
      <w:r w:rsidRPr="00134E73">
        <w:rPr>
          <w:b/>
        </w:rPr>
        <w:lastRenderedPageBreak/>
        <w:t>Annex II</w:t>
      </w:r>
    </w:p>
    <w:p w:rsidR="007B3391" w:rsidRPr="00134E73" w:rsidRDefault="007B3391" w:rsidP="00C93ED0">
      <w:pPr>
        <w:jc w:val="center"/>
        <w:rPr>
          <w:b/>
        </w:rPr>
      </w:pPr>
    </w:p>
    <w:p w:rsidR="00C93ED0" w:rsidRPr="00134E73" w:rsidRDefault="00C93ED0" w:rsidP="00C93ED0">
      <w:pPr>
        <w:jc w:val="center"/>
        <w:rPr>
          <w:b/>
        </w:rPr>
      </w:pPr>
      <w:r w:rsidRPr="00134E73">
        <w:rPr>
          <w:b/>
        </w:rPr>
        <w:t xml:space="preserve">GUIDELINES FOR THE PREPARATION OF </w:t>
      </w:r>
      <w:r w:rsidR="00212C48">
        <w:rPr>
          <w:b/>
        </w:rPr>
        <w:t xml:space="preserve">THE </w:t>
      </w:r>
      <w:r w:rsidRPr="00134E73">
        <w:rPr>
          <w:b/>
        </w:rPr>
        <w:t>KIGALI HFC IMPLEMENTATION PLANS FOR ARTICLE 5 COUNTRIES</w:t>
      </w:r>
      <w:r w:rsidR="007B3391" w:rsidRPr="00134E73">
        <w:rPr>
          <w:b/>
        </w:rPr>
        <w:t xml:space="preserve"> (DECISION 87/50)</w:t>
      </w:r>
    </w:p>
    <w:p w:rsidR="00C93ED0" w:rsidRPr="00134E73" w:rsidRDefault="00C93ED0" w:rsidP="004E7F9C"/>
    <w:p w:rsidR="00C93ED0" w:rsidRPr="00134E73" w:rsidRDefault="00C93ED0" w:rsidP="007B3391">
      <w:pPr>
        <w:pStyle w:val="Heading1"/>
        <w:numPr>
          <w:ilvl w:val="0"/>
          <w:numId w:val="33"/>
        </w:numPr>
        <w:rPr>
          <w:b/>
          <w:u w:val="single"/>
          <w:lang w:val="en-GB"/>
        </w:rPr>
      </w:pPr>
      <w:r w:rsidRPr="00134E73">
        <w:rPr>
          <w:b/>
          <w:lang w:val="en-GB"/>
        </w:rPr>
        <w:t xml:space="preserve">The Executive Committee </w:t>
      </w:r>
      <w:r w:rsidRPr="00134E73">
        <w:rPr>
          <w:b/>
          <w:u w:val="single"/>
          <w:lang w:val="en-GB"/>
        </w:rPr>
        <w:t>decided</w:t>
      </w:r>
      <w:r w:rsidRPr="00134E73">
        <w:rPr>
          <w:b/>
          <w:lang w:val="en-GB"/>
        </w:rPr>
        <w:t>:</w:t>
      </w:r>
    </w:p>
    <w:p w:rsidR="00C93ED0" w:rsidRPr="0037672A" w:rsidRDefault="00C93ED0" w:rsidP="0037672A">
      <w:pPr>
        <w:pStyle w:val="Heading2"/>
        <w:rPr>
          <w:b/>
        </w:rPr>
      </w:pPr>
      <w:r w:rsidRPr="0037672A">
        <w:rPr>
          <w:b/>
          <w:lang w:val="en-GB"/>
        </w:rPr>
        <w:t>To note the draft guidelines for the preparation of HFC phase-down plans for Article 5 countries, contained in document UNEP/</w:t>
      </w:r>
      <w:proofErr w:type="spellStart"/>
      <w:r w:rsidRPr="0037672A">
        <w:rPr>
          <w:b/>
          <w:lang w:val="en-GB"/>
        </w:rPr>
        <w:t>OzL.Pro</w:t>
      </w:r>
      <w:proofErr w:type="spellEnd"/>
      <w:r w:rsidRPr="0037672A">
        <w:rPr>
          <w:b/>
          <w:lang w:val="en-GB"/>
        </w:rPr>
        <w:t>/</w:t>
      </w:r>
      <w:proofErr w:type="spellStart"/>
      <w:r w:rsidRPr="0037672A">
        <w:rPr>
          <w:b/>
          <w:lang w:val="en-GB"/>
        </w:rPr>
        <w:t>ExCom</w:t>
      </w:r>
      <w:proofErr w:type="spellEnd"/>
      <w:r w:rsidRPr="0037672A">
        <w:rPr>
          <w:b/>
          <w:lang w:val="en-GB"/>
        </w:rPr>
        <w:t>/87/46;</w:t>
      </w:r>
    </w:p>
    <w:p w:rsidR="00C93ED0" w:rsidRPr="00134E73" w:rsidRDefault="00C93ED0" w:rsidP="007B3391">
      <w:pPr>
        <w:pStyle w:val="Heading2"/>
        <w:rPr>
          <w:b/>
          <w:lang w:val="en-GB"/>
        </w:rPr>
      </w:pPr>
      <w:r w:rsidRPr="00134E73">
        <w:rPr>
          <w:b/>
          <w:lang w:val="en-GB"/>
        </w:rPr>
        <w:t>To include, in the funding for the preparation of an overarching strategy for stage I of the HFC phase-down plan, henceforth referred to as the</w:t>
      </w:r>
      <w:r w:rsidR="0037672A">
        <w:rPr>
          <w:b/>
          <w:lang w:val="en-GB"/>
        </w:rPr>
        <w:t xml:space="preserve"> Kigali HFC implementation plan </w:t>
      </w:r>
      <w:r w:rsidRPr="00134E73">
        <w:rPr>
          <w:b/>
          <w:lang w:val="en-GB"/>
        </w:rPr>
        <w:t>(KIP), assistance for:</w:t>
      </w:r>
    </w:p>
    <w:p w:rsidR="00C93ED0" w:rsidRPr="00134E73" w:rsidRDefault="00C93ED0" w:rsidP="00C93ED0">
      <w:pPr>
        <w:widowControl w:val="0"/>
        <w:numPr>
          <w:ilvl w:val="2"/>
          <w:numId w:val="1"/>
        </w:numPr>
        <w:spacing w:after="240"/>
        <w:outlineLvl w:val="2"/>
        <w:rPr>
          <w:b/>
          <w:lang w:val="en-GB"/>
        </w:rPr>
      </w:pPr>
      <w:r w:rsidRPr="00134E73">
        <w:rPr>
          <w:b/>
          <w:lang w:val="en-GB"/>
        </w:rPr>
        <w:t>Extending existing or developing new legislation, policies and regulations as required for the import/export licensing and quota systems for controlled substances under Annex F (HFCs) of the Montreal Protocol;</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The development of the overarching strategy for the phase-down of HFCs and a plan of action that would include the refrigeration servicing sector for stage</w:t>
      </w:r>
      <w:r w:rsidR="0037672A">
        <w:rPr>
          <w:b/>
          <w:lang w:val="en-GB"/>
        </w:rPr>
        <w:t> </w:t>
      </w:r>
      <w:r w:rsidRPr="00134E73">
        <w:rPr>
          <w:b/>
          <w:lang w:val="en-GB"/>
        </w:rPr>
        <w:t>I of the KIPs to address the freeze and 10 per cent reduction in HFC consumption;</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For those countries that wished to do so, consideration of integrating HFC phase</w:t>
      </w:r>
      <w:r w:rsidRPr="00134E73">
        <w:rPr>
          <w:b/>
          <w:lang w:val="en-GB"/>
        </w:rPr>
        <w:noBreakHyphen/>
        <w:t>down activities with HCFC phase-out management plan activities;</w:t>
      </w:r>
    </w:p>
    <w:p w:rsidR="00C93ED0" w:rsidRPr="00134E73" w:rsidRDefault="00C93ED0" w:rsidP="00C93ED0">
      <w:pPr>
        <w:numPr>
          <w:ilvl w:val="2"/>
          <w:numId w:val="1"/>
        </w:numPr>
        <w:spacing w:after="240"/>
        <w:outlineLvl w:val="2"/>
        <w:rPr>
          <w:b/>
          <w:lang w:val="en-GB"/>
        </w:rPr>
      </w:pPr>
      <w:r w:rsidRPr="00134E73">
        <w:rPr>
          <w:b/>
          <w:lang w:val="en-GB"/>
        </w:rPr>
        <w:t>For those countries that wished to do so, a description of relevant national initiatives, policies, regulations, and standards associated with maintaining and/or enhancing energy efficiency;</w:t>
      </w:r>
    </w:p>
    <w:p w:rsidR="00C93ED0" w:rsidRPr="00134E73" w:rsidRDefault="00C93ED0" w:rsidP="00C93ED0">
      <w:pPr>
        <w:keepNext/>
        <w:numPr>
          <w:ilvl w:val="1"/>
          <w:numId w:val="1"/>
        </w:numPr>
        <w:spacing w:after="240"/>
        <w:outlineLvl w:val="1"/>
        <w:rPr>
          <w:b/>
          <w:lang w:val="en-GB"/>
        </w:rPr>
      </w:pPr>
      <w:r w:rsidRPr="00134E73">
        <w:rPr>
          <w:b/>
          <w:lang w:val="en-GB"/>
        </w:rPr>
        <w:t>To provide funding for the elements described in sub-paragraphs (b)(</w:t>
      </w:r>
      <w:proofErr w:type="spellStart"/>
      <w:r w:rsidRPr="00134E73">
        <w:rPr>
          <w:b/>
          <w:lang w:val="en-GB"/>
        </w:rPr>
        <w:t>i</w:t>
      </w:r>
      <w:proofErr w:type="spellEnd"/>
      <w:r w:rsidRPr="00134E73">
        <w:rPr>
          <w:b/>
          <w:lang w:val="en-GB"/>
        </w:rPr>
        <w:t>)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C93ED0" w:rsidRPr="00134E73" w:rsidTr="00F2394E">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rsidR="00C93ED0" w:rsidRPr="00134E73" w:rsidRDefault="00C93ED0" w:rsidP="00F2394E">
            <w:pPr>
              <w:keepNext/>
              <w:jc w:val="center"/>
              <w:rPr>
                <w:b/>
                <w:bCs/>
                <w:color w:val="000000"/>
                <w:sz w:val="21"/>
                <w:szCs w:val="21"/>
                <w:lang w:val="en-US"/>
              </w:rPr>
            </w:pPr>
            <w:r w:rsidRPr="00134E73">
              <w:rPr>
                <w:b/>
                <w:bCs/>
                <w:color w:val="000000"/>
                <w:sz w:val="21"/>
                <w:szCs w:val="21"/>
                <w:lang w:val="en-US"/>
              </w:rPr>
              <w:t xml:space="preserve">HCFC baseline (ODP </w:t>
            </w:r>
            <w:proofErr w:type="spellStart"/>
            <w:r w:rsidRPr="00134E73">
              <w:rPr>
                <w:b/>
                <w:bCs/>
                <w:color w:val="000000"/>
                <w:sz w:val="21"/>
                <w:szCs w:val="21"/>
                <w:lang w:val="en-US"/>
              </w:rPr>
              <w:t>tonnes</w:t>
            </w:r>
            <w:proofErr w:type="spellEnd"/>
            <w:r w:rsidRPr="00134E73">
              <w:rPr>
                <w:b/>
                <w:bCs/>
                <w:color w:val="000000"/>
                <w:sz w:val="21"/>
                <w:szCs w:val="21"/>
                <w:lang w:val="en-U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rsidR="00C93ED0" w:rsidRPr="00134E73" w:rsidRDefault="00C93ED0" w:rsidP="00F2394E">
            <w:pPr>
              <w:widowControl w:val="0"/>
              <w:jc w:val="center"/>
              <w:rPr>
                <w:b/>
                <w:bCs/>
                <w:color w:val="000000"/>
                <w:sz w:val="21"/>
                <w:szCs w:val="21"/>
                <w:lang w:val="en-US"/>
              </w:rPr>
            </w:pPr>
            <w:r w:rsidRPr="00134E73">
              <w:rPr>
                <w:b/>
                <w:bCs/>
                <w:color w:val="000000"/>
                <w:sz w:val="21"/>
                <w:szCs w:val="21"/>
                <w:lang w:val="en-US"/>
              </w:rPr>
              <w:t>Funding for preparation of stage I of the KIPs (US $)</w:t>
            </w:r>
          </w:p>
        </w:tc>
      </w:tr>
      <w:tr w:rsidR="00C93ED0" w:rsidRPr="00134E73" w:rsidTr="00F2394E">
        <w:tc>
          <w:tcPr>
            <w:tcW w:w="3810"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keepNext/>
              <w:ind w:left="102"/>
              <w:rPr>
                <w:b/>
                <w:color w:val="000000"/>
                <w:sz w:val="21"/>
                <w:szCs w:val="21"/>
                <w:lang w:val="en-US"/>
              </w:rPr>
            </w:pPr>
            <w:r w:rsidRPr="00134E73">
              <w:rPr>
                <w:b/>
                <w:sz w:val="21"/>
                <w:szCs w:val="21"/>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100,000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keepNext/>
              <w:ind w:left="102"/>
              <w:rPr>
                <w:b/>
                <w:color w:val="000000"/>
                <w:sz w:val="21"/>
                <w:szCs w:val="21"/>
                <w:lang w:val="en-US"/>
              </w:rPr>
            </w:pPr>
            <w:r w:rsidRPr="00134E73">
              <w:rPr>
                <w:b/>
                <w:sz w:val="21"/>
                <w:szCs w:val="21"/>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130,000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widowControl w:val="0"/>
              <w:ind w:left="102"/>
              <w:rPr>
                <w:b/>
                <w:color w:val="000000"/>
                <w:sz w:val="21"/>
                <w:szCs w:val="21"/>
                <w:lang w:val="en-US"/>
              </w:rPr>
            </w:pPr>
            <w:r w:rsidRPr="00134E73">
              <w:rPr>
                <w:b/>
                <w:sz w:val="21"/>
                <w:szCs w:val="21"/>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170,000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widowControl w:val="0"/>
              <w:ind w:left="102"/>
              <w:rPr>
                <w:b/>
                <w:color w:val="000000"/>
                <w:sz w:val="21"/>
                <w:szCs w:val="21"/>
                <w:lang w:val="en-US"/>
              </w:rPr>
            </w:pPr>
            <w:r w:rsidRPr="00134E73">
              <w:rPr>
                <w:b/>
                <w:sz w:val="21"/>
                <w:szCs w:val="21"/>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190,000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widowControl w:val="0"/>
              <w:ind w:left="102"/>
              <w:rPr>
                <w:b/>
                <w:color w:val="000000"/>
                <w:sz w:val="21"/>
                <w:szCs w:val="21"/>
                <w:lang w:val="en-US"/>
              </w:rPr>
            </w:pPr>
            <w:r w:rsidRPr="00134E73">
              <w:rPr>
                <w:b/>
                <w:sz w:val="21"/>
                <w:szCs w:val="21"/>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220,000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widowControl w:val="0"/>
              <w:ind w:left="102"/>
              <w:rPr>
                <w:b/>
                <w:color w:val="000000"/>
                <w:sz w:val="21"/>
                <w:szCs w:val="21"/>
                <w:lang w:val="en-US"/>
              </w:rPr>
            </w:pPr>
            <w:r w:rsidRPr="00134E73">
              <w:rPr>
                <w:b/>
                <w:sz w:val="21"/>
                <w:szCs w:val="21"/>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C93ED0" w:rsidRPr="00134E73" w:rsidRDefault="00C93ED0" w:rsidP="00F2394E">
            <w:pPr>
              <w:widowControl w:val="0"/>
              <w:ind w:right="1242"/>
              <w:jc w:val="right"/>
              <w:rPr>
                <w:b/>
                <w:color w:val="000000"/>
                <w:sz w:val="21"/>
                <w:szCs w:val="21"/>
                <w:lang w:val="en-US"/>
              </w:rPr>
            </w:pPr>
            <w:r w:rsidRPr="00134E73">
              <w:rPr>
                <w:b/>
                <w:sz w:val="21"/>
                <w:szCs w:val="21"/>
                <w:lang w:val="en-GB"/>
              </w:rPr>
              <w:t>230,000</w:t>
            </w:r>
          </w:p>
        </w:tc>
      </w:tr>
      <w:tr w:rsidR="00C93ED0" w:rsidRPr="00134E73" w:rsidTr="00F2394E">
        <w:tc>
          <w:tcPr>
            <w:tcW w:w="3810" w:type="dxa"/>
            <w:tcBorders>
              <w:top w:val="nil"/>
              <w:left w:val="single" w:sz="4" w:space="0" w:color="auto"/>
              <w:bottom w:val="single" w:sz="4" w:space="0" w:color="auto"/>
              <w:right w:val="single" w:sz="4" w:space="0" w:color="auto"/>
            </w:tcBorders>
            <w:hideMark/>
          </w:tcPr>
          <w:p w:rsidR="00C93ED0" w:rsidRPr="00134E73" w:rsidRDefault="00C93ED0" w:rsidP="00F2394E">
            <w:pPr>
              <w:widowControl w:val="0"/>
              <w:ind w:left="102"/>
              <w:rPr>
                <w:b/>
                <w:color w:val="000000"/>
                <w:sz w:val="21"/>
                <w:szCs w:val="21"/>
                <w:lang w:val="en-US"/>
              </w:rPr>
            </w:pPr>
            <w:r w:rsidRPr="00134E73">
              <w:rPr>
                <w:b/>
                <w:sz w:val="21"/>
                <w:szCs w:val="21"/>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C93ED0" w:rsidRPr="00134E73" w:rsidRDefault="00C93ED0" w:rsidP="00F2394E">
            <w:pPr>
              <w:widowControl w:val="0"/>
              <w:ind w:right="1242"/>
              <w:jc w:val="right"/>
              <w:rPr>
                <w:b/>
                <w:color w:val="000000"/>
                <w:sz w:val="21"/>
                <w:szCs w:val="21"/>
                <w:lang w:val="en-US"/>
              </w:rPr>
            </w:pPr>
            <w:r w:rsidRPr="00134E73">
              <w:rPr>
                <w:b/>
                <w:color w:val="000000"/>
                <w:sz w:val="21"/>
                <w:szCs w:val="21"/>
                <w:lang w:val="en-US"/>
              </w:rPr>
              <w:t>case-by-case</w:t>
            </w:r>
          </w:p>
        </w:tc>
      </w:tr>
    </w:tbl>
    <w:p w:rsidR="00C93ED0" w:rsidRPr="00134E73" w:rsidRDefault="00C93ED0" w:rsidP="00C93ED0">
      <w:pPr>
        <w:rPr>
          <w:b/>
        </w:rPr>
      </w:pPr>
    </w:p>
    <w:p w:rsidR="00C93ED0" w:rsidRPr="00134E73" w:rsidRDefault="00C93ED0" w:rsidP="00C93ED0">
      <w:pPr>
        <w:widowControl w:val="0"/>
        <w:numPr>
          <w:ilvl w:val="1"/>
          <w:numId w:val="1"/>
        </w:numPr>
        <w:spacing w:after="240"/>
        <w:outlineLvl w:val="1"/>
        <w:rPr>
          <w:b/>
          <w:lang w:val="en-GB"/>
        </w:rPr>
      </w:pPr>
      <w:r w:rsidRPr="00134E73">
        <w:rPr>
          <w:b/>
          <w:lang w:val="en-GB"/>
        </w:rPr>
        <w:t>To determine and provide funding for, on a case-by-case basis, the preparation of stage I of any regional KIPs and those countries with an HCFC baseline consumption above 2,000 ODP tonnes;</w:t>
      </w:r>
    </w:p>
    <w:p w:rsidR="00C93ED0" w:rsidRPr="00134E73" w:rsidRDefault="00C93ED0" w:rsidP="00C93ED0">
      <w:pPr>
        <w:widowControl w:val="0"/>
        <w:numPr>
          <w:ilvl w:val="1"/>
          <w:numId w:val="1"/>
        </w:numPr>
        <w:spacing w:after="240"/>
        <w:outlineLvl w:val="1"/>
        <w:rPr>
          <w:b/>
          <w:lang w:val="en-GB"/>
        </w:rPr>
      </w:pPr>
      <w:r w:rsidRPr="00134E73">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rsidR="00C93ED0" w:rsidRPr="00134E73" w:rsidRDefault="00C93ED0" w:rsidP="00C93ED0">
      <w:pPr>
        <w:widowControl w:val="0"/>
        <w:numPr>
          <w:ilvl w:val="1"/>
          <w:numId w:val="1"/>
        </w:numPr>
        <w:spacing w:after="240"/>
        <w:outlineLvl w:val="1"/>
        <w:rPr>
          <w:b/>
          <w:lang w:val="en-GB"/>
        </w:rPr>
      </w:pPr>
      <w:r w:rsidRPr="00134E73">
        <w:rPr>
          <w:b/>
          <w:lang w:val="en-GB"/>
        </w:rPr>
        <w:t xml:space="preserve">To provide funding for any Article 5 country with a manufacturing sector using HFCs according to the number of manufacturing enterprises to be converted in line with decision 56/16(d) and (f), as follows: </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 xml:space="preserve">One enterprise to be converted in a manufacturing sector: US $30,000; </w:t>
      </w:r>
    </w:p>
    <w:p w:rsidR="00C93ED0" w:rsidRPr="00134E73" w:rsidRDefault="00C93ED0" w:rsidP="00C93ED0">
      <w:pPr>
        <w:widowControl w:val="0"/>
        <w:numPr>
          <w:ilvl w:val="2"/>
          <w:numId w:val="1"/>
        </w:numPr>
        <w:spacing w:after="240"/>
        <w:outlineLvl w:val="2"/>
        <w:rPr>
          <w:b/>
          <w:lang w:val="en-GB"/>
        </w:rPr>
      </w:pPr>
      <w:r w:rsidRPr="00134E73">
        <w:rPr>
          <w:b/>
          <w:lang w:val="en-GB"/>
        </w:rPr>
        <w:t xml:space="preserve">Two enterprises to be converted in a manufacturing sector: US $60,000; </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Three to 14 enterprises to be converted in a manufacturing sector: US $80,000;</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Fifteen or more enterprises to be converted in a manufacturing sector: US $150,000;</w:t>
      </w:r>
    </w:p>
    <w:p w:rsidR="00C93ED0" w:rsidRPr="00134E73" w:rsidRDefault="00C93ED0" w:rsidP="00C93ED0">
      <w:pPr>
        <w:widowControl w:val="0"/>
        <w:numPr>
          <w:ilvl w:val="2"/>
          <w:numId w:val="1"/>
        </w:numPr>
        <w:tabs>
          <w:tab w:val="clear" w:pos="0"/>
          <w:tab w:val="num" w:pos="-270"/>
        </w:tabs>
        <w:spacing w:after="240"/>
        <w:outlineLvl w:val="2"/>
        <w:rPr>
          <w:b/>
          <w:lang w:val="en-GB"/>
        </w:rPr>
      </w:pPr>
      <w:r w:rsidRPr="00134E73">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C93ED0" w:rsidRPr="00134E73" w:rsidTr="00F2394E">
        <w:tc>
          <w:tcPr>
            <w:tcW w:w="3983" w:type="dxa"/>
            <w:tcBorders>
              <w:top w:val="single" w:sz="4" w:space="0" w:color="auto"/>
              <w:left w:val="single" w:sz="4" w:space="0" w:color="auto"/>
              <w:bottom w:val="single" w:sz="4" w:space="0" w:color="auto"/>
              <w:right w:val="single" w:sz="4" w:space="0" w:color="auto"/>
            </w:tcBorders>
            <w:hideMark/>
          </w:tcPr>
          <w:p w:rsidR="00C93ED0" w:rsidRPr="00134E73" w:rsidRDefault="00C93ED0" w:rsidP="0037672A">
            <w:pPr>
              <w:keepNext/>
              <w:jc w:val="center"/>
              <w:rPr>
                <w:b/>
                <w:bCs/>
                <w:sz w:val="21"/>
                <w:szCs w:val="21"/>
                <w:lang w:val="en-GB"/>
              </w:rPr>
            </w:pPr>
            <w:r w:rsidRPr="00134E73">
              <w:rPr>
                <w:b/>
                <w:bCs/>
                <w:sz w:val="21"/>
                <w:szCs w:val="21"/>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keepNext/>
              <w:jc w:val="center"/>
              <w:rPr>
                <w:b/>
                <w:bCs/>
                <w:sz w:val="21"/>
                <w:szCs w:val="21"/>
                <w:lang w:val="en-GB"/>
              </w:rPr>
            </w:pPr>
            <w:r w:rsidRPr="00134E73">
              <w:rPr>
                <w:b/>
                <w:bCs/>
                <w:sz w:val="21"/>
                <w:szCs w:val="21"/>
                <w:lang w:val="en-GB"/>
              </w:rPr>
              <w:t>Funding limit (US $)</w:t>
            </w:r>
          </w:p>
        </w:tc>
      </w:tr>
      <w:tr w:rsidR="00C93ED0" w:rsidRPr="00134E73" w:rsidTr="00F2394E">
        <w:tc>
          <w:tcPr>
            <w:tcW w:w="3983"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rPr>
                <w:b/>
                <w:sz w:val="21"/>
                <w:szCs w:val="21"/>
                <w:lang w:val="en-GB"/>
              </w:rPr>
            </w:pPr>
            <w:r w:rsidRPr="00134E73">
              <w:rPr>
                <w:b/>
                <w:sz w:val="21"/>
                <w:szCs w:val="21"/>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ind w:right="976"/>
              <w:jc w:val="right"/>
              <w:rPr>
                <w:b/>
                <w:sz w:val="21"/>
                <w:szCs w:val="21"/>
                <w:lang w:val="en-GB"/>
              </w:rPr>
            </w:pPr>
            <w:r w:rsidRPr="00134E73">
              <w:rPr>
                <w:b/>
                <w:sz w:val="21"/>
                <w:szCs w:val="21"/>
                <w:lang w:val="en-GB"/>
              </w:rPr>
              <w:t>100,000</w:t>
            </w:r>
          </w:p>
        </w:tc>
      </w:tr>
      <w:tr w:rsidR="00C93ED0" w:rsidRPr="00134E73" w:rsidTr="00F2394E">
        <w:tc>
          <w:tcPr>
            <w:tcW w:w="3983"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rPr>
                <w:b/>
                <w:sz w:val="21"/>
                <w:szCs w:val="21"/>
                <w:lang w:val="en-GB"/>
              </w:rPr>
            </w:pPr>
            <w:r w:rsidRPr="00134E73">
              <w:rPr>
                <w:b/>
                <w:sz w:val="21"/>
                <w:szCs w:val="21"/>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ind w:right="976"/>
              <w:jc w:val="right"/>
              <w:rPr>
                <w:b/>
                <w:sz w:val="21"/>
                <w:szCs w:val="21"/>
                <w:lang w:val="en-GB"/>
              </w:rPr>
            </w:pPr>
            <w:r w:rsidRPr="00134E73">
              <w:rPr>
                <w:b/>
                <w:sz w:val="21"/>
                <w:szCs w:val="21"/>
                <w:lang w:val="en-GB"/>
              </w:rPr>
              <w:t>200,000</w:t>
            </w:r>
          </w:p>
        </w:tc>
      </w:tr>
      <w:tr w:rsidR="00C93ED0" w:rsidRPr="00134E73" w:rsidTr="00F2394E">
        <w:trPr>
          <w:trHeight w:val="179"/>
        </w:trPr>
        <w:tc>
          <w:tcPr>
            <w:tcW w:w="3983"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rPr>
                <w:b/>
                <w:sz w:val="21"/>
                <w:szCs w:val="21"/>
                <w:lang w:val="en-GB"/>
              </w:rPr>
            </w:pPr>
            <w:r w:rsidRPr="00134E73">
              <w:rPr>
                <w:b/>
                <w:sz w:val="21"/>
                <w:szCs w:val="21"/>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rsidR="00C93ED0" w:rsidRPr="00134E73" w:rsidRDefault="00C93ED0" w:rsidP="00F2394E">
            <w:pPr>
              <w:ind w:right="976"/>
              <w:jc w:val="right"/>
              <w:rPr>
                <w:b/>
                <w:sz w:val="21"/>
                <w:szCs w:val="21"/>
                <w:lang w:val="en-GB"/>
              </w:rPr>
            </w:pPr>
            <w:r w:rsidRPr="00134E73">
              <w:rPr>
                <w:b/>
                <w:sz w:val="21"/>
                <w:szCs w:val="21"/>
                <w:lang w:val="en-GB"/>
              </w:rPr>
              <w:t>250,000</w:t>
            </w:r>
          </w:p>
        </w:tc>
      </w:tr>
      <w:tr w:rsidR="00C93ED0" w:rsidRPr="00134E73" w:rsidTr="00F2394E">
        <w:tc>
          <w:tcPr>
            <w:tcW w:w="3983" w:type="dxa"/>
            <w:tcBorders>
              <w:top w:val="single" w:sz="4" w:space="0" w:color="auto"/>
              <w:left w:val="single" w:sz="4" w:space="0" w:color="auto"/>
              <w:bottom w:val="single" w:sz="2" w:space="0" w:color="auto"/>
              <w:right w:val="single" w:sz="4" w:space="0" w:color="auto"/>
            </w:tcBorders>
            <w:hideMark/>
          </w:tcPr>
          <w:p w:rsidR="00C93ED0" w:rsidRPr="00134E73" w:rsidRDefault="00C93ED0" w:rsidP="00F2394E">
            <w:pPr>
              <w:rPr>
                <w:b/>
                <w:sz w:val="21"/>
                <w:szCs w:val="21"/>
                <w:lang w:val="en-GB"/>
              </w:rPr>
            </w:pPr>
            <w:r w:rsidRPr="00134E73">
              <w:rPr>
                <w:b/>
                <w:sz w:val="21"/>
                <w:szCs w:val="21"/>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rsidR="00C93ED0" w:rsidRPr="00134E73" w:rsidRDefault="00C93ED0" w:rsidP="00F2394E">
            <w:pPr>
              <w:ind w:right="976"/>
              <w:jc w:val="right"/>
              <w:rPr>
                <w:b/>
                <w:sz w:val="21"/>
                <w:szCs w:val="21"/>
                <w:lang w:val="en-GB"/>
              </w:rPr>
            </w:pPr>
            <w:r w:rsidRPr="00134E73">
              <w:rPr>
                <w:b/>
                <w:sz w:val="21"/>
                <w:szCs w:val="21"/>
                <w:lang w:val="en-GB"/>
              </w:rPr>
              <w:t>300,000</w:t>
            </w:r>
          </w:p>
        </w:tc>
      </w:tr>
      <w:tr w:rsidR="00C93ED0" w:rsidRPr="00134E73" w:rsidTr="00F2394E">
        <w:tc>
          <w:tcPr>
            <w:tcW w:w="3983" w:type="dxa"/>
            <w:tcBorders>
              <w:top w:val="single" w:sz="2" w:space="0" w:color="auto"/>
              <w:left w:val="single" w:sz="2" w:space="0" w:color="auto"/>
              <w:bottom w:val="single" w:sz="2" w:space="0" w:color="auto"/>
              <w:right w:val="single" w:sz="2" w:space="0" w:color="auto"/>
            </w:tcBorders>
            <w:hideMark/>
          </w:tcPr>
          <w:p w:rsidR="00C93ED0" w:rsidRPr="00134E73" w:rsidRDefault="00C93ED0" w:rsidP="00F2394E">
            <w:pPr>
              <w:rPr>
                <w:b/>
                <w:sz w:val="21"/>
                <w:szCs w:val="21"/>
                <w:lang w:val="en-GB"/>
              </w:rPr>
            </w:pPr>
            <w:r w:rsidRPr="00134E73">
              <w:rPr>
                <w:b/>
                <w:sz w:val="21"/>
                <w:szCs w:val="21"/>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rsidR="00C93ED0" w:rsidRPr="00134E73" w:rsidRDefault="00C93ED0" w:rsidP="00F2394E">
            <w:pPr>
              <w:ind w:right="976"/>
              <w:jc w:val="right"/>
              <w:rPr>
                <w:b/>
                <w:sz w:val="21"/>
                <w:szCs w:val="21"/>
                <w:lang w:val="en-GB"/>
              </w:rPr>
            </w:pPr>
            <w:r w:rsidRPr="00134E73">
              <w:rPr>
                <w:b/>
                <w:sz w:val="21"/>
                <w:szCs w:val="21"/>
                <w:lang w:val="en-GB"/>
              </w:rPr>
              <w:t>400,000</w:t>
            </w:r>
          </w:p>
        </w:tc>
      </w:tr>
    </w:tbl>
    <w:p w:rsidR="00C93ED0" w:rsidRPr="00134E73" w:rsidRDefault="00C93ED0" w:rsidP="00C93ED0">
      <w:pPr>
        <w:ind w:left="1440"/>
        <w:outlineLvl w:val="1"/>
        <w:rPr>
          <w:b/>
          <w:lang w:val="en-US"/>
        </w:rPr>
      </w:pPr>
    </w:p>
    <w:p w:rsidR="00C93ED0" w:rsidRPr="00134E73" w:rsidRDefault="00C93ED0" w:rsidP="00C93ED0">
      <w:pPr>
        <w:numPr>
          <w:ilvl w:val="1"/>
          <w:numId w:val="1"/>
        </w:numPr>
        <w:spacing w:after="240"/>
        <w:outlineLvl w:val="1"/>
        <w:rPr>
          <w:b/>
          <w:lang w:val="en-US"/>
        </w:rPr>
      </w:pPr>
      <w:r w:rsidRPr="00134E73">
        <w:rPr>
          <w:b/>
          <w:lang w:val="en-US"/>
        </w:rPr>
        <w:t>To r</w:t>
      </w:r>
      <w:r w:rsidRPr="00134E73">
        <w:rPr>
          <w:b/>
          <w:lang w:val="en-GB"/>
        </w:rPr>
        <w:t>e</w:t>
      </w:r>
      <w:r w:rsidRPr="00134E73">
        <w:rPr>
          <w:b/>
          <w:lang w:val="en-US"/>
        </w:rPr>
        <w:t xml:space="preserve">quest bilateral and implementing agencies, when submitting </w:t>
      </w:r>
      <w:proofErr w:type="gramStart"/>
      <w:r w:rsidRPr="00134E73">
        <w:rPr>
          <w:b/>
          <w:lang w:val="en-US"/>
        </w:rPr>
        <w:t>stage</w:t>
      </w:r>
      <w:proofErr w:type="gramEnd"/>
      <w:r w:rsidRPr="00134E73">
        <w:rPr>
          <w:b/>
          <w:lang w:val="en-US"/>
        </w:rPr>
        <w:t xml:space="preserve"> I of the KIPs on behalf of Article 5 countries, to include:</w:t>
      </w:r>
    </w:p>
    <w:p w:rsidR="00C93ED0" w:rsidRPr="00134E73" w:rsidRDefault="00C93ED0" w:rsidP="00C93ED0">
      <w:pPr>
        <w:numPr>
          <w:ilvl w:val="2"/>
          <w:numId w:val="1"/>
        </w:numPr>
        <w:tabs>
          <w:tab w:val="clear" w:pos="0"/>
          <w:tab w:val="num" w:pos="-270"/>
        </w:tabs>
        <w:spacing w:after="240"/>
        <w:outlineLvl w:val="2"/>
        <w:rPr>
          <w:b/>
        </w:rPr>
      </w:pPr>
      <w:r w:rsidRPr="00134E73">
        <w:rPr>
          <w:b/>
          <w:lang w:val="en-GB"/>
        </w:rPr>
        <w:t xml:space="preserve">Confirmation that the country had an established and enforceable national system of licensing and quotas for monitoring HFC imports/exports in place, consistent with decision 63/17; </w:t>
      </w:r>
    </w:p>
    <w:p w:rsidR="00C93ED0" w:rsidRPr="00134E73" w:rsidRDefault="00C93ED0" w:rsidP="00C93ED0">
      <w:pPr>
        <w:numPr>
          <w:ilvl w:val="2"/>
          <w:numId w:val="1"/>
        </w:numPr>
        <w:tabs>
          <w:tab w:val="clear" w:pos="0"/>
          <w:tab w:val="num" w:pos="-270"/>
        </w:tabs>
        <w:spacing w:after="240"/>
        <w:outlineLvl w:val="2"/>
        <w:rPr>
          <w:b/>
          <w:lang w:val="en-GB"/>
        </w:rPr>
      </w:pPr>
      <w:r w:rsidRPr="00134E73">
        <w:rPr>
          <w:b/>
          <w:lang w:val="en-GB"/>
        </w:rPr>
        <w:t>The Government’s commitment and actions to ensure that funded HFC phase</w:t>
      </w:r>
      <w:r w:rsidRPr="00134E73">
        <w:rPr>
          <w:b/>
          <w:lang w:val="en-GB"/>
        </w:rPr>
        <w:noBreakHyphen/>
        <w:t>out would be sustained over time;</w:t>
      </w:r>
    </w:p>
    <w:p w:rsidR="00C93ED0" w:rsidRPr="00134E73" w:rsidRDefault="00C93ED0" w:rsidP="00C93ED0">
      <w:pPr>
        <w:widowControl w:val="0"/>
        <w:numPr>
          <w:ilvl w:val="2"/>
          <w:numId w:val="1"/>
        </w:numPr>
        <w:spacing w:after="240"/>
        <w:outlineLvl w:val="2"/>
        <w:rPr>
          <w:b/>
          <w:lang w:val="en-GB"/>
        </w:rPr>
      </w:pPr>
      <w:r w:rsidRPr="00134E73">
        <w:rPr>
          <w:b/>
          <w:lang w:val="en-GB"/>
        </w:rPr>
        <w:t>An overview of any early actions to control HFC consumption;</w:t>
      </w:r>
    </w:p>
    <w:p w:rsidR="00C93ED0" w:rsidRPr="00134E73" w:rsidRDefault="00C93ED0" w:rsidP="00C93ED0">
      <w:pPr>
        <w:widowControl w:val="0"/>
        <w:numPr>
          <w:ilvl w:val="1"/>
          <w:numId w:val="1"/>
        </w:numPr>
        <w:spacing w:after="240"/>
        <w:outlineLvl w:val="1"/>
        <w:rPr>
          <w:b/>
          <w:lang w:val="en-GB"/>
        </w:rPr>
      </w:pPr>
      <w:r w:rsidRPr="00134E73">
        <w:rPr>
          <w:b/>
          <w:lang w:val="en-GB"/>
        </w:rPr>
        <w:t>To agree that institutions and capacities in Article 5 countries developed through Multilateral Fund assistance for the phase-out of ODS should be used to the extent practicable for the phase</w:t>
      </w:r>
      <w:r w:rsidRPr="00134E73">
        <w:rPr>
          <w:b/>
          <w:lang w:val="en-GB"/>
        </w:rPr>
        <w:noBreakHyphen/>
        <w:t>down of HFCs, as appropriate; and</w:t>
      </w:r>
    </w:p>
    <w:p w:rsidR="00C93ED0" w:rsidRPr="00134E73" w:rsidRDefault="00C93ED0" w:rsidP="00C93ED0">
      <w:pPr>
        <w:widowControl w:val="0"/>
        <w:numPr>
          <w:ilvl w:val="1"/>
          <w:numId w:val="1"/>
        </w:numPr>
        <w:spacing w:after="240"/>
        <w:outlineLvl w:val="1"/>
        <w:rPr>
          <w:b/>
          <w:lang w:val="en-GB"/>
        </w:rPr>
      </w:pPr>
      <w:r w:rsidRPr="00134E73">
        <w:rPr>
          <w:b/>
          <w:lang w:val="en-US"/>
        </w:rPr>
        <w:t xml:space="preserve">To request the Secretariat to prepare, with the assistance of the bilateral and implementing agencies, a guide for </w:t>
      </w:r>
      <w:r w:rsidR="0037672A">
        <w:rPr>
          <w:b/>
          <w:lang w:val="en-US"/>
        </w:rPr>
        <w:t xml:space="preserve">the </w:t>
      </w:r>
      <w:r w:rsidRPr="00134E73">
        <w:rPr>
          <w:b/>
          <w:lang w:val="en-US"/>
        </w:rPr>
        <w:t>preparation of stage I of KIPs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1163E" w:rsidTr="002E7B29">
        <w:tc>
          <w:tcPr>
            <w:tcW w:w="1870" w:type="dxa"/>
          </w:tcPr>
          <w:p w:rsidR="0001163E" w:rsidRDefault="0001163E" w:rsidP="004E7F9C"/>
        </w:tc>
        <w:tc>
          <w:tcPr>
            <w:tcW w:w="1870" w:type="dxa"/>
          </w:tcPr>
          <w:p w:rsidR="0001163E" w:rsidRDefault="0001163E" w:rsidP="004E7F9C"/>
        </w:tc>
        <w:tc>
          <w:tcPr>
            <w:tcW w:w="1870" w:type="dxa"/>
            <w:tcBorders>
              <w:bottom w:val="single" w:sz="4" w:space="0" w:color="auto"/>
            </w:tcBorders>
          </w:tcPr>
          <w:p w:rsidR="0001163E" w:rsidRDefault="0001163E" w:rsidP="004E7F9C"/>
        </w:tc>
        <w:tc>
          <w:tcPr>
            <w:tcW w:w="1870" w:type="dxa"/>
          </w:tcPr>
          <w:p w:rsidR="0001163E" w:rsidRDefault="0001163E" w:rsidP="004E7F9C"/>
        </w:tc>
        <w:tc>
          <w:tcPr>
            <w:tcW w:w="1870" w:type="dxa"/>
          </w:tcPr>
          <w:p w:rsidR="0001163E" w:rsidRDefault="0001163E" w:rsidP="004E7F9C"/>
        </w:tc>
      </w:tr>
    </w:tbl>
    <w:p w:rsidR="00C93ED0" w:rsidRPr="009B0D30" w:rsidRDefault="00C93ED0" w:rsidP="004E7F9C"/>
    <w:sectPr w:rsidR="00C93ED0" w:rsidRPr="009B0D30" w:rsidSect="00C93ED0">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70E38E" w16cid:durableId="25269737"/>
  <w16cid:commentId w16cid:paraId="0AD68CF7" w16cid:durableId="25269738"/>
  <w16cid:commentId w16cid:paraId="63EA930E" w16cid:durableId="25269739"/>
  <w16cid:commentId w16cid:paraId="39186A2F" w16cid:durableId="2526973A"/>
  <w16cid:commentId w16cid:paraId="78AE6EB4" w16cid:durableId="2526973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CC1" w:rsidRDefault="003A1CC1" w:rsidP="004A504B">
      <w:r>
        <w:separator/>
      </w:r>
    </w:p>
  </w:endnote>
  <w:endnote w:type="continuationSeparator" w:id="0">
    <w:p w:rsidR="003A1CC1" w:rsidRDefault="003A1C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center"/>
    </w:pPr>
    <w:r>
      <w:fldChar w:fldCharType="begin"/>
    </w:r>
    <w:r>
      <w:instrText xml:space="preserve"> PAGE </w:instrText>
    </w:r>
    <w:r>
      <w:fldChar w:fldCharType="separate"/>
    </w:r>
    <w:r w:rsidR="00B72828">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center"/>
    </w:pPr>
    <w:r>
      <w:fldChar w:fldCharType="begin"/>
    </w:r>
    <w:r>
      <w:instrText xml:space="preserve"> PAGE </w:instrText>
    </w:r>
    <w:r>
      <w:fldChar w:fldCharType="separate"/>
    </w:r>
    <w:r w:rsidR="00B72828">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Default="003A1CC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A1CC1" w:rsidRDefault="003A1C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center"/>
    </w:pPr>
    <w:r>
      <w:fldChar w:fldCharType="begin"/>
    </w:r>
    <w:r>
      <w:instrText xml:space="preserve"> PAGE </w:instrText>
    </w:r>
    <w:r>
      <w:fldChar w:fldCharType="separate"/>
    </w:r>
    <w:r w:rsidR="00EE19A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center"/>
    </w:pPr>
    <w:r>
      <w:fldChar w:fldCharType="begin"/>
    </w:r>
    <w:r>
      <w:instrText xml:space="preserve"> PAGE  \* Arabic </w:instrText>
    </w:r>
    <w:r>
      <w:fldChar w:fldCharType="separate"/>
    </w:r>
    <w:r w:rsidR="00B72828">
      <w:rPr>
        <w:noProof/>
      </w:rPr>
      <w:t>1</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Default="003A1C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CC1" w:rsidRDefault="003A1CC1" w:rsidP="004A504B">
      <w:r>
        <w:separator/>
      </w:r>
    </w:p>
  </w:footnote>
  <w:footnote w:type="continuationSeparator" w:id="0">
    <w:p w:rsidR="003A1CC1" w:rsidRDefault="003A1CC1" w:rsidP="004A504B">
      <w:r>
        <w:continuationSeparator/>
      </w:r>
    </w:p>
  </w:footnote>
  <w:footnote w:id="1">
    <w:p w:rsidR="003A1CC1" w:rsidRPr="003161AE" w:rsidRDefault="003A1CC1">
      <w:pPr>
        <w:pStyle w:val="FootnoteText"/>
      </w:pPr>
      <w:r>
        <w:rPr>
          <w:rStyle w:val="FootnoteReference"/>
        </w:rPr>
        <w:footnoteRef/>
      </w:r>
      <w:r>
        <w:t xml:space="preserve"> </w:t>
      </w:r>
      <w:r w:rsidRPr="00587928">
        <w:t>Online meetings and an intersessional approval process will be held in November and December 2021 due to coronavirus disease (COVID-19).</w:t>
      </w:r>
    </w:p>
  </w:footnote>
  <w:footnote w:id="2">
    <w:p w:rsidR="003A1CC1" w:rsidRDefault="003A1CC1" w:rsidP="003161AE">
      <w:pPr>
        <w:pStyle w:val="FootnoteText"/>
        <w:rPr>
          <w:lang w:val="en-US"/>
        </w:rPr>
      </w:pPr>
      <w:r>
        <w:rPr>
          <w:rStyle w:val="FootnoteReference"/>
        </w:rPr>
        <w:footnoteRef/>
      </w:r>
      <w:r>
        <w:t xml:space="preserve"> Decision 80/76(a)(iv), made in line with the mandate given by paragraph 15(c) of decision XXVIII/2.</w:t>
      </w:r>
    </w:p>
  </w:footnote>
  <w:footnote w:id="3">
    <w:p w:rsidR="003A1CC1" w:rsidRDefault="003A1CC1" w:rsidP="003161AE">
      <w:pPr>
        <w:pStyle w:val="FootnoteText"/>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4">
    <w:p w:rsidR="003A1CC1" w:rsidRDefault="003A1CC1" w:rsidP="003161AE">
      <w:pPr>
        <w:pStyle w:val="FootnoteText"/>
      </w:pPr>
      <w:r>
        <w:rPr>
          <w:rStyle w:val="FootnoteReference"/>
        </w:rPr>
        <w:footnoteRef/>
      </w:r>
      <w:r>
        <w:t xml:space="preserve"> Montreal, 25 – 27 February 2020.</w:t>
      </w:r>
    </w:p>
  </w:footnote>
  <w:footnote w:id="5">
    <w:p w:rsidR="003A1CC1" w:rsidRPr="00C30398" w:rsidRDefault="003A1CC1" w:rsidP="003161AE">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w:t>
      </w:r>
      <w:r>
        <w:t>88</w:t>
      </w:r>
      <w:r w:rsidRPr="00C30398">
        <w:rPr>
          <w:vertAlign w:val="superscript"/>
        </w:rPr>
        <w:t>th</w:t>
      </w:r>
      <w:r w:rsidRPr="00C30398">
        <w:t xml:space="preserve"> meeting in accordance with the agreed procedures for conducting the 85</w:t>
      </w:r>
      <w:r w:rsidRPr="00C30398">
        <w:rPr>
          <w:vertAlign w:val="superscript"/>
        </w:rPr>
        <w:t>th</w:t>
      </w:r>
      <w:r>
        <w:t xml:space="preserve">, </w:t>
      </w:r>
      <w:r w:rsidRPr="00C30398">
        <w:t>86</w:t>
      </w:r>
      <w:r w:rsidRPr="00C30398">
        <w:rPr>
          <w:vertAlign w:val="superscript"/>
        </w:rPr>
        <w:t>th</w:t>
      </w:r>
      <w:r w:rsidRPr="00C30398">
        <w:t xml:space="preserve"> </w:t>
      </w:r>
      <w:r>
        <w:t>and 87</w:t>
      </w:r>
      <w:r w:rsidRPr="00587928">
        <w:rPr>
          <w:vertAlign w:val="superscript"/>
        </w:rPr>
        <w:t>th</w:t>
      </w:r>
      <w:r>
        <w:t xml:space="preserve"> </w:t>
      </w:r>
      <w:r w:rsidRPr="00C30398">
        <w:t>meetings</w:t>
      </w:r>
      <w:r>
        <w:t>,</w:t>
      </w:r>
      <w:r w:rsidRPr="00C30398">
        <w:t xml:space="preserve"> in light of the COVID-19 pandemic.</w:t>
      </w:r>
    </w:p>
  </w:footnote>
  <w:footnote w:id="6">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/82/66</w:t>
      </w:r>
    </w:p>
  </w:footnote>
  <w:footnote w:id="7">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/84/65</w:t>
      </w:r>
    </w:p>
  </w:footnote>
  <w:footnote w:id="8">
    <w:p w:rsidR="003A1CC1" w:rsidRDefault="003A1CC1" w:rsidP="003161AE">
      <w:pPr>
        <w:pStyle w:val="FootnoteText"/>
      </w:pPr>
      <w:r>
        <w:rPr>
          <w:rStyle w:val="FootnoteReference"/>
        </w:rPr>
        <w:footnoteRef/>
      </w:r>
      <w:r>
        <w:t xml:space="preserve"> During the discussion of document UNEP/</w:t>
      </w:r>
      <w:proofErr w:type="spellStart"/>
      <w:r>
        <w:t>OzL.Pro</w:t>
      </w:r>
      <w:proofErr w:type="spellEnd"/>
      <w:r>
        <w:t>/</w:t>
      </w:r>
      <w:proofErr w:type="spellStart"/>
      <w:r>
        <w:t>ExCom</w:t>
      </w:r>
      <w:proofErr w:type="spellEnd"/>
      <w:r>
        <w:t>/84/65, Committee members highlighted the potential for synergies in the HCFC phase-out and HFC phase-down in the refrigeration servicing sector, while noting opportunities in the foam, room air-conditioning, commercial refrigeration and chiller manufacturing sectors; and also expressed an interest in further discussion of ways to support a cost-effective approach to HCFC phase-out and HFC phase</w:t>
      </w:r>
      <w:r>
        <w:noBreakHyphen/>
        <w:t>down activities.</w:t>
      </w:r>
    </w:p>
  </w:footnote>
  <w:footnote w:id="9">
    <w:p w:rsidR="003A1CC1" w:rsidRPr="00750116"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/86/</w:t>
      </w:r>
      <w:r w:rsidRPr="00750116">
        <w:t>87.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/87/45</w:t>
      </w:r>
      <w:r>
        <w:t xml:space="preserve"> and subsequently to the 88</w:t>
      </w:r>
      <w:r w:rsidRPr="0086039B">
        <w:rPr>
          <w:vertAlign w:val="superscript"/>
        </w:rPr>
        <w:t>th</w:t>
      </w:r>
      <w:r>
        <w:t xml:space="preserve"> meeting as document UNEP/</w:t>
      </w:r>
      <w:proofErr w:type="spellStart"/>
      <w:r>
        <w:t>OzL.Pro</w:t>
      </w:r>
      <w:proofErr w:type="spellEnd"/>
      <w:r>
        <w:t>/</w:t>
      </w:r>
      <w:proofErr w:type="spellStart"/>
      <w:r>
        <w:t>ExCom</w:t>
      </w:r>
      <w:proofErr w:type="spellEnd"/>
      <w:r>
        <w:t>/88/71</w:t>
      </w:r>
    </w:p>
  </w:footnote>
  <w:footnote w:id="10">
    <w:p w:rsidR="003A1CC1" w:rsidRDefault="003A1CC1" w:rsidP="003161AE">
      <w:pPr>
        <w:pStyle w:val="FootnoteText"/>
      </w:pPr>
      <w:r w:rsidRPr="00750116">
        <w:rPr>
          <w:rStyle w:val="FootnoteReference"/>
        </w:rPr>
        <w:footnoteRef/>
      </w:r>
      <w:r w:rsidRPr="00750116">
        <w:t xml:space="preserve"> UNEP/</w:t>
      </w:r>
      <w:proofErr w:type="spellStart"/>
      <w:r w:rsidRPr="00750116">
        <w:t>OzL.Pro</w:t>
      </w:r>
      <w:proofErr w:type="spellEnd"/>
      <w:r w:rsidRPr="00750116">
        <w:t>/</w:t>
      </w:r>
      <w:proofErr w:type="spellStart"/>
      <w:r w:rsidRPr="00750116">
        <w:t>ExCom</w:t>
      </w:r>
      <w:proofErr w:type="spellEnd"/>
      <w:r w:rsidRPr="00750116">
        <w:t>/86/88</w:t>
      </w:r>
      <w:r>
        <w:t xml:space="preserve">, </w:t>
      </w:r>
      <w:r w:rsidRPr="00750116">
        <w:t>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w:t>
      </w:r>
      <w:r>
        <w:t>6</w:t>
      </w:r>
    </w:p>
  </w:footnote>
  <w:footnote w:id="11">
    <w:p w:rsidR="003A1CC1" w:rsidRPr="00C30398" w:rsidRDefault="003A1CC1" w:rsidP="003161AE">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134E73">
        <w:rPr>
          <w:b/>
        </w:rPr>
        <w:t>The draft guidelines document was submitted to the 87</w:t>
      </w:r>
      <w:r w:rsidRPr="00134E73">
        <w:rPr>
          <w:b/>
          <w:vertAlign w:val="superscript"/>
        </w:rPr>
        <w:t>th</w:t>
      </w:r>
      <w:r w:rsidRPr="00134E73">
        <w:rPr>
          <w:b/>
        </w:rPr>
        <w:t xml:space="preserve"> meeting (UNEP/</w:t>
      </w:r>
      <w:proofErr w:type="spellStart"/>
      <w:r w:rsidRPr="00134E73">
        <w:rPr>
          <w:b/>
        </w:rPr>
        <w:t>OzL.Pro</w:t>
      </w:r>
      <w:proofErr w:type="spellEnd"/>
      <w:r w:rsidRPr="00134E73">
        <w:rPr>
          <w:b/>
        </w:rPr>
        <w:t>/</w:t>
      </w:r>
      <w:proofErr w:type="spellStart"/>
      <w:r w:rsidRPr="00134E73">
        <w:rPr>
          <w:b/>
        </w:rPr>
        <w:t>ExCom</w:t>
      </w:r>
      <w:proofErr w:type="spellEnd"/>
      <w:r w:rsidRPr="00134E73">
        <w:rPr>
          <w:b/>
        </w:rPr>
        <w:t>/87/46) and discussed by the Executive Committee; further to a discussion the Committee adopted decision 87/50.</w:t>
      </w:r>
    </w:p>
  </w:footnote>
  <w:footnote w:id="12">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/87/50. The document has been submitted to the 88</w:t>
      </w:r>
      <w:r w:rsidRPr="009301F8">
        <w:rPr>
          <w:vertAlign w:val="superscript"/>
        </w:rPr>
        <w:t>th</w:t>
      </w:r>
      <w:r>
        <w:t xml:space="preserve"> meeting as document UNEP/</w:t>
      </w:r>
      <w:proofErr w:type="spellStart"/>
      <w:r>
        <w:t>OzL.Pro</w:t>
      </w:r>
      <w:proofErr w:type="spellEnd"/>
      <w:r>
        <w:t>/</w:t>
      </w:r>
      <w:proofErr w:type="spellStart"/>
      <w:r>
        <w:t>ExCom</w:t>
      </w:r>
      <w:proofErr w:type="spellEnd"/>
      <w:r>
        <w:t>/88/75</w:t>
      </w:r>
    </w:p>
  </w:footnote>
  <w:footnote w:id="13">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/87/48.</w:t>
      </w:r>
      <w:r w:rsidRPr="009301F8">
        <w:t xml:space="preserve"> The document </w:t>
      </w:r>
      <w:r>
        <w:t>has been submitted to the 88</w:t>
      </w:r>
      <w:r w:rsidRPr="009301F8">
        <w:rPr>
          <w:vertAlign w:val="superscript"/>
        </w:rPr>
        <w:t>th</w:t>
      </w:r>
      <w:r>
        <w:t xml:space="preserve"> meeting</w:t>
      </w:r>
      <w:r w:rsidRPr="009301F8">
        <w:t xml:space="preserve"> as document UNEP/</w:t>
      </w:r>
      <w:proofErr w:type="spellStart"/>
      <w:r w:rsidRPr="009301F8">
        <w:t>OzL.Pro</w:t>
      </w:r>
      <w:proofErr w:type="spellEnd"/>
      <w:r w:rsidRPr="009301F8">
        <w:t>/</w:t>
      </w:r>
      <w:proofErr w:type="spellStart"/>
      <w:r w:rsidRPr="009301F8">
        <w:t>ExCom</w:t>
      </w:r>
      <w:proofErr w:type="spellEnd"/>
      <w:r w:rsidRPr="009301F8">
        <w:t>/88/7</w:t>
      </w:r>
      <w:r>
        <w:t>3</w:t>
      </w:r>
    </w:p>
  </w:footnote>
  <w:footnote w:id="14">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/78/6</w:t>
      </w:r>
    </w:p>
  </w:footnote>
  <w:footnote w:id="15">
    <w:p w:rsidR="003A1CC1" w:rsidRDefault="003A1CC1">
      <w:pPr>
        <w:pStyle w:val="FootnoteText"/>
      </w:pPr>
      <w:r>
        <w:rPr>
          <w:rStyle w:val="FootnoteReference"/>
        </w:rPr>
        <w:footnoteRef/>
      </w:r>
      <w:r>
        <w:t xml:space="preserve"> </w:t>
      </w:r>
      <w:r w:rsidRPr="00134E73">
        <w:rPr>
          <w:b/>
        </w:rPr>
        <w:t xml:space="preserve">The recommendation in the present document </w:t>
      </w:r>
      <w:r>
        <w:rPr>
          <w:b/>
        </w:rPr>
        <w:t>i</w:t>
      </w:r>
      <w:r w:rsidRPr="00134E73">
        <w:rPr>
          <w:b/>
        </w:rPr>
        <w:t>s in line with the polici</w:t>
      </w:r>
      <w:r>
        <w:rPr>
          <w:b/>
        </w:rPr>
        <w:t>es for the preparation of HPMPs</w:t>
      </w:r>
      <w:r w:rsidRPr="00134E73">
        <w:rPr>
          <w:b/>
        </w:rPr>
        <w:t xml:space="preserve">, with a clear distinction between </w:t>
      </w:r>
      <w:r>
        <w:rPr>
          <w:b/>
        </w:rPr>
        <w:t>LVC</w:t>
      </w:r>
      <w:r w:rsidRPr="00134E73">
        <w:rPr>
          <w:b/>
        </w:rPr>
        <w:t xml:space="preserve"> and non-LVC countries </w:t>
      </w:r>
      <w:r>
        <w:rPr>
          <w:b/>
        </w:rPr>
        <w:t>with</w:t>
      </w:r>
      <w:r w:rsidR="00212C48">
        <w:rPr>
          <w:b/>
        </w:rPr>
        <w:t xml:space="preserve"> regard to</w:t>
      </w:r>
      <w:r w:rsidRPr="00134E73">
        <w:rPr>
          <w:b/>
        </w:rPr>
        <w:t xml:space="preserve"> activities in the refrigeration servicing sector.</w:t>
      </w:r>
    </w:p>
  </w:footnote>
  <w:footnote w:id="16">
    <w:p w:rsidR="003A1CC1" w:rsidRDefault="003A1CC1" w:rsidP="003161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/88/8</w:t>
      </w:r>
    </w:p>
  </w:footnote>
  <w:footnote w:id="17">
    <w:p w:rsidR="003A1CC1" w:rsidRDefault="003A1CC1" w:rsidP="003161AE">
      <w:pPr>
        <w:pStyle w:val="FootnoteText"/>
      </w:pPr>
      <w:r>
        <w:rPr>
          <w:rStyle w:val="FootnoteReference"/>
        </w:rPr>
        <w:footnoteRef/>
      </w:r>
      <w:r>
        <w:t xml:space="preserve"> Document UNEP/</w:t>
      </w:r>
      <w:proofErr w:type="spellStart"/>
      <w:r>
        <w:t>OzL.Pro</w:t>
      </w:r>
      <w:proofErr w:type="spellEnd"/>
      <w:r>
        <w:t>/</w:t>
      </w:r>
      <w:proofErr w:type="spellStart"/>
      <w:r>
        <w:t>ExCom</w:t>
      </w:r>
      <w:proofErr w:type="spellEnd"/>
      <w:r>
        <w:t>/82/64 provides a comprehensive summary of the activities being implemented under the refrigeration servicing sector.</w:t>
      </w:r>
    </w:p>
  </w:footnote>
  <w:footnote w:id="18">
    <w:p w:rsidR="003A1CC1" w:rsidRDefault="003A1CC1" w:rsidP="003161AE">
      <w:pPr>
        <w:pStyle w:val="FootnoteText"/>
      </w:pPr>
      <w:r>
        <w:rPr>
          <w:rStyle w:val="FootnoteReference"/>
        </w:rPr>
        <w:footnoteRef/>
      </w:r>
      <w:r>
        <w:t xml:space="preserve"> This section is extracted from document UNEP/</w:t>
      </w:r>
      <w:proofErr w:type="spellStart"/>
      <w:r>
        <w:t>OzL.Pro</w:t>
      </w:r>
      <w:proofErr w:type="spellEnd"/>
      <w:r>
        <w:t>/</w:t>
      </w:r>
      <w:proofErr w:type="spellStart"/>
      <w:r>
        <w:t>ExCom</w:t>
      </w:r>
      <w:proofErr w:type="spellEnd"/>
      <w:r>
        <w:t>/86/87</w:t>
      </w:r>
    </w:p>
  </w:footnote>
  <w:footnote w:id="19">
    <w:p w:rsidR="003A1CC1" w:rsidRDefault="003A1CC1" w:rsidP="003161AE">
      <w:pPr>
        <w:pStyle w:val="FootnoteText"/>
      </w:pPr>
      <w:r>
        <w:rPr>
          <w:rStyle w:val="FootnoteReference"/>
        </w:rPr>
        <w:footnoteRef/>
      </w:r>
      <w:r>
        <w:t xml:space="preserve"> These activities are thoroughly described in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 xml:space="preserve">/82/64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20">
    <w:p w:rsidR="003A1CC1" w:rsidRPr="00802EEF" w:rsidRDefault="003A1CC1">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lang w:val="en-US"/>
        </w:rPr>
        <w:t xml:space="preserve">, and subsequently to the </w:t>
      </w:r>
      <w:r w:rsidRPr="0092066E">
        <w:rPr>
          <w:lang w:val="en-US"/>
        </w:rPr>
        <w:t>88</w:t>
      </w:r>
      <w:r w:rsidRPr="0092066E">
        <w:rPr>
          <w:vertAlign w:val="superscript"/>
          <w:lang w:val="en-US"/>
        </w:rPr>
        <w:t>th</w:t>
      </w:r>
      <w:r>
        <w:rPr>
          <w:lang w:val="en-US"/>
        </w:rPr>
        <w:t xml:space="preserve"> </w:t>
      </w:r>
      <w:r w:rsidRPr="0092066E">
        <w:rPr>
          <w:lang w:val="en-US"/>
        </w:rPr>
        <w:t>meeting as document UNEP/</w:t>
      </w:r>
      <w:proofErr w:type="spellStart"/>
      <w:r w:rsidRPr="0092066E">
        <w:rPr>
          <w:lang w:val="en-US"/>
        </w:rPr>
        <w:t>OzL.Pro</w:t>
      </w:r>
      <w:proofErr w:type="spellEnd"/>
      <w:r w:rsidRPr="0092066E">
        <w:rPr>
          <w:lang w:val="en-US"/>
        </w:rPr>
        <w:t>/</w:t>
      </w:r>
      <w:proofErr w:type="spellStart"/>
      <w:r w:rsidRPr="0092066E">
        <w:rPr>
          <w:lang w:val="en-US"/>
        </w:rPr>
        <w:t>ExCom</w:t>
      </w:r>
      <w:proofErr w:type="spellEnd"/>
      <w:r w:rsidRPr="0092066E">
        <w:rPr>
          <w:lang w:val="en-US"/>
        </w:rPr>
        <w:t>/88/75</w:t>
      </w:r>
    </w:p>
  </w:footnote>
  <w:footnote w:id="21">
    <w:p w:rsidR="003A1CC1" w:rsidRPr="00CA0681" w:rsidRDefault="003A1CC1">
      <w:pPr>
        <w:pStyle w:val="FootnoteText"/>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t> </w:t>
      </w:r>
      <w:r w:rsidRPr="00CA0681">
        <w:t>meeting in the context of the development of the cost guidelines for the phase-down of HFCs.</w:t>
      </w:r>
    </w:p>
  </w:footnote>
  <w:footnote w:id="22">
    <w:p w:rsidR="003A1CC1" w:rsidRPr="007E43A9" w:rsidRDefault="003A1CC1">
      <w:pPr>
        <w:pStyle w:val="FootnoteText"/>
      </w:pPr>
      <w:r>
        <w:rPr>
          <w:rStyle w:val="FootnoteReference"/>
        </w:rPr>
        <w:footnoteRef/>
      </w:r>
      <w:r>
        <w:t xml:space="preserve"> </w:t>
      </w:r>
      <w:r w:rsidRPr="007E43A9">
        <w:t>UNEP/</w:t>
      </w:r>
      <w:proofErr w:type="spellStart"/>
      <w:r w:rsidRPr="007E43A9">
        <w:t>OzL.Pro</w:t>
      </w:r>
      <w:proofErr w:type="spellEnd"/>
      <w:r w:rsidRPr="007E43A9">
        <w:t>/</w:t>
      </w:r>
      <w:proofErr w:type="spellStart"/>
      <w:r w:rsidRPr="007E43A9">
        <w:t>ExCom</w:t>
      </w:r>
      <w:proofErr w:type="spellEnd"/>
      <w:r w:rsidRPr="007E43A9">
        <w:t>/84/11</w:t>
      </w:r>
    </w:p>
  </w:footnote>
  <w:footnote w:id="23">
    <w:p w:rsidR="003A1CC1" w:rsidRPr="00750116" w:rsidRDefault="003A1CC1">
      <w:pPr>
        <w:pStyle w:val="FootnoteText"/>
      </w:pPr>
      <w:r>
        <w:rPr>
          <w:rStyle w:val="FootnoteReference"/>
        </w:rPr>
        <w:footnoteRef/>
      </w:r>
      <w:r>
        <w:t xml:space="preserve"> </w:t>
      </w:r>
      <w:r w:rsidRPr="00750116">
        <w:t>UNEP/</w:t>
      </w:r>
      <w:proofErr w:type="spellStart"/>
      <w:r w:rsidRPr="00750116">
        <w:t>OzL.Pro</w:t>
      </w:r>
      <w:proofErr w:type="spellEnd"/>
      <w:r w:rsidRPr="00750116">
        <w:t>/</w:t>
      </w:r>
      <w:proofErr w:type="spellStart"/>
      <w:r w:rsidRPr="00750116">
        <w:t>ExCom</w:t>
      </w:r>
      <w:proofErr w:type="spellEnd"/>
      <w:r w:rsidRPr="00750116">
        <w:t>/82/21</w:t>
      </w:r>
    </w:p>
  </w:footnote>
  <w:footnote w:id="24">
    <w:p w:rsidR="003A1CC1" w:rsidRPr="00802EEF" w:rsidRDefault="003A1CC1">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t>OzL.Pro</w:t>
      </w:r>
      <w:proofErr w:type="spellEnd"/>
      <w:r w:rsidRPr="00750116">
        <w:t>/</w:t>
      </w:r>
      <w:proofErr w:type="spellStart"/>
      <w:r w:rsidRPr="00750116">
        <w:t>ExCom</w:t>
      </w:r>
      <w:proofErr w:type="spellEnd"/>
      <w:r w:rsidRPr="00750116">
        <w:t>/87/48</w:t>
      </w:r>
      <w:r>
        <w:t xml:space="preserve"> and subsequently to the 88</w:t>
      </w:r>
      <w:r w:rsidRPr="0092066E">
        <w:rPr>
          <w:vertAlign w:val="superscript"/>
        </w:rPr>
        <w:t>th</w:t>
      </w:r>
      <w:r>
        <w:t xml:space="preserve"> meeting as document UNEP/</w:t>
      </w:r>
      <w:proofErr w:type="spellStart"/>
      <w:r>
        <w:t>OzL.Pro</w:t>
      </w:r>
      <w:proofErr w:type="spellEnd"/>
      <w:r>
        <w:t>/</w:t>
      </w:r>
      <w:proofErr w:type="spellStart"/>
      <w:r>
        <w:t>ExCom</w:t>
      </w:r>
      <w:proofErr w:type="spellEnd"/>
      <w:r>
        <w:t>/88/73.</w:t>
      </w:r>
    </w:p>
  </w:footnote>
  <w:footnote w:id="25">
    <w:p w:rsidR="003A1CC1" w:rsidRPr="00874498" w:rsidRDefault="003A1CC1">
      <w:pPr>
        <w:pStyle w:val="FootnoteText"/>
        <w:rPr>
          <w:lang w:val="en-US"/>
        </w:rPr>
      </w:pPr>
      <w:r>
        <w:rPr>
          <w:rStyle w:val="FootnoteReference"/>
        </w:rPr>
        <w:footnoteRef/>
      </w:r>
      <w:r>
        <w:t xml:space="preserve"> </w:t>
      </w:r>
      <w:r w:rsidRPr="00F96CDA">
        <w:t xml:space="preserve">Paragraph </w:t>
      </w:r>
      <w:r>
        <w:rPr>
          <w:lang w:val="en-US"/>
        </w:rPr>
        <w:t>65 of document UNEP/</w:t>
      </w:r>
      <w:proofErr w:type="spellStart"/>
      <w:r>
        <w:rPr>
          <w:lang w:val="en-US"/>
        </w:rPr>
        <w:t>OzL.Pro</w:t>
      </w:r>
      <w:proofErr w:type="spellEnd"/>
      <w:r>
        <w:rPr>
          <w:lang w:val="en-US"/>
        </w:rPr>
        <w:t>/</w:t>
      </w:r>
      <w:proofErr w:type="spellStart"/>
      <w:r>
        <w:rPr>
          <w:lang w:val="en-US"/>
        </w:rPr>
        <w:t>ExCom</w:t>
      </w:r>
      <w:proofErr w:type="spellEnd"/>
      <w:r>
        <w:rPr>
          <w:lang w:val="en-US"/>
        </w:rPr>
        <w:t xml:space="preserve">/86/87 describes in detail the benefits associated with an integrated strategy in the refrigeration servicing sector. </w:t>
      </w:r>
    </w:p>
  </w:footnote>
  <w:footnote w:id="26">
    <w:p w:rsidR="003A1CC1" w:rsidRPr="007B739B" w:rsidRDefault="003A1CC1">
      <w:pPr>
        <w:pStyle w:val="FootnoteText"/>
        <w:rPr>
          <w:lang w:val="en-US"/>
        </w:rPr>
      </w:pPr>
      <w:r>
        <w:rPr>
          <w:rStyle w:val="FootnoteReference"/>
        </w:rPr>
        <w:footnoteRef/>
      </w:r>
      <w:r>
        <w:t xml:space="preserve"> </w:t>
      </w:r>
      <w:r w:rsidRPr="007B739B">
        <w:rPr>
          <w:lang w:val="en-US"/>
        </w:rPr>
        <w:t>Including up to US $155.7 million for one country.</w:t>
      </w:r>
    </w:p>
  </w:footnote>
  <w:footnote w:id="27">
    <w:p w:rsidR="003A1CC1" w:rsidRPr="00E15EE8" w:rsidRDefault="003A1CC1" w:rsidP="003161AE">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Pr>
          <w:sz w:val="20"/>
          <w:szCs w:val="20"/>
        </w:rPr>
        <w:t> </w:t>
      </w:r>
      <w:r w:rsidRPr="007B739B">
        <w:rPr>
          <w:sz w:val="20"/>
          <w:szCs w:val="20"/>
        </w:rPr>
        <w:t>8</w:t>
      </w:r>
      <w:r>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28">
    <w:p w:rsidR="003A1CC1" w:rsidRPr="000D61C3" w:rsidRDefault="003A1CC1">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29">
    <w:p w:rsidR="003A1CC1" w:rsidRPr="000A7B06" w:rsidRDefault="003A1CC1" w:rsidP="003161AE">
      <w:pPr>
        <w:pStyle w:val="FootnoteText"/>
        <w:rPr>
          <w:lang w:val="en-US"/>
        </w:rPr>
      </w:pPr>
      <w:r>
        <w:rPr>
          <w:rStyle w:val="FootnoteReference"/>
        </w:rPr>
        <w:footnoteRef/>
      </w:r>
      <w:r>
        <w:t xml:space="preserve"> </w:t>
      </w:r>
      <w:r>
        <w:rPr>
          <w:lang w:val="en-US"/>
        </w:rPr>
        <w:t>Including up to US $155.7 million for one country.</w:t>
      </w:r>
    </w:p>
  </w:footnote>
  <w:footnote w:id="30">
    <w:p w:rsidR="003A1CC1" w:rsidRPr="00934924" w:rsidRDefault="003A1CC1">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p w:rsidR="003A1CC1" w:rsidRPr="0033525D" w:rsidRDefault="003A1CC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rsidP="003161AE">
    <w:pPr>
      <w:jc w:val="right"/>
    </w:pPr>
  </w:p>
  <w:p w:rsidR="003A1CC1" w:rsidRPr="0033525D" w:rsidRDefault="003A1CC1" w:rsidP="003161AE">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r>
      <w:t>Annex I</w:t>
    </w:r>
  </w:p>
  <w:p w:rsidR="003A1CC1" w:rsidRPr="0033525D" w:rsidRDefault="003A1CC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rsidP="00E449ED">
    <w:pPr>
      <w:jc w:val="right"/>
    </w:pPr>
    <w:r>
      <w:t>Annex I</w:t>
    </w:r>
  </w:p>
  <w:p w:rsidR="003A1CC1" w:rsidRPr="0033525D" w:rsidRDefault="003A1CC1" w:rsidP="00E449E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Default="003A1CC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r>
      <w:t>Annex II</w:t>
    </w:r>
  </w:p>
  <w:p w:rsidR="003A1CC1" w:rsidRPr="0033525D" w:rsidRDefault="003A1CC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CC1" w:rsidRPr="0033525D" w:rsidRDefault="003A1C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rsidR="003A1CC1" w:rsidRPr="0033525D" w:rsidRDefault="003A1CC1" w:rsidP="00E449ED">
    <w:pPr>
      <w:jc w:val="right"/>
    </w:pPr>
    <w:r>
      <w:t>Annex II</w:t>
    </w:r>
  </w:p>
  <w:p w:rsidR="003A1CC1" w:rsidRPr="0033525D" w:rsidRDefault="003A1CC1" w:rsidP="00E449E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58641C"/>
    <w:lvl w:ilvl="0">
      <w:start w:val="1"/>
      <w:numFmt w:val="decimal"/>
      <w:pStyle w:val="Heading1"/>
      <w:lvlText w:val="%1."/>
      <w:lvlJc w:val="left"/>
      <w:pPr>
        <w:tabs>
          <w:tab w:val="num" w:pos="0"/>
        </w:tabs>
        <w:ind w:left="0" w:firstLine="0"/>
      </w:pPr>
      <w:rPr>
        <w:lang w:val="en-CA"/>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5"/>
  </w:num>
  <w:num w:numId="20">
    <w:abstractNumId w:val="16"/>
  </w:num>
  <w:num w:numId="21">
    <w:abstractNumId w:val="2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2"/>
  </w:num>
  <w:num w:numId="26">
    <w:abstractNumId w:val="12"/>
  </w:num>
  <w:num w:numId="27">
    <w:abstractNumId w:val="13"/>
  </w:num>
  <w:num w:numId="28">
    <w:abstractNumId w:val="14"/>
  </w:num>
  <w:num w:numId="29">
    <w:abstractNumId w:val="18"/>
  </w:num>
  <w:num w:numId="30">
    <w:abstractNumId w:val="24"/>
  </w:num>
  <w:num w:numId="31">
    <w:abstractNumId w:val="11"/>
  </w:num>
  <w:num w:numId="32">
    <w:abstractNumId w:val="17"/>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A3226"/>
    <w:rsid w:val="00000FED"/>
    <w:rsid w:val="0000434E"/>
    <w:rsid w:val="0001163E"/>
    <w:rsid w:val="00017D49"/>
    <w:rsid w:val="000211A9"/>
    <w:rsid w:val="00030C41"/>
    <w:rsid w:val="00031260"/>
    <w:rsid w:val="00036124"/>
    <w:rsid w:val="0003681A"/>
    <w:rsid w:val="000372B7"/>
    <w:rsid w:val="0004230A"/>
    <w:rsid w:val="00050F6E"/>
    <w:rsid w:val="00061EC2"/>
    <w:rsid w:val="00066CE8"/>
    <w:rsid w:val="00070F6C"/>
    <w:rsid w:val="00080ED0"/>
    <w:rsid w:val="000844C0"/>
    <w:rsid w:val="00085B8F"/>
    <w:rsid w:val="00090481"/>
    <w:rsid w:val="000A3826"/>
    <w:rsid w:val="000A6C26"/>
    <w:rsid w:val="000D52A4"/>
    <w:rsid w:val="000D726E"/>
    <w:rsid w:val="000E07BC"/>
    <w:rsid w:val="000E0E5C"/>
    <w:rsid w:val="000F1CD4"/>
    <w:rsid w:val="000F4103"/>
    <w:rsid w:val="000F6F66"/>
    <w:rsid w:val="000F70A7"/>
    <w:rsid w:val="00113CCA"/>
    <w:rsid w:val="00122F25"/>
    <w:rsid w:val="00134E73"/>
    <w:rsid w:val="00135980"/>
    <w:rsid w:val="00164719"/>
    <w:rsid w:val="00166FC4"/>
    <w:rsid w:val="001677AC"/>
    <w:rsid w:val="00177389"/>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2C48"/>
    <w:rsid w:val="00214863"/>
    <w:rsid w:val="002156B4"/>
    <w:rsid w:val="00222016"/>
    <w:rsid w:val="00224FCD"/>
    <w:rsid w:val="00253222"/>
    <w:rsid w:val="00262847"/>
    <w:rsid w:val="00281BB2"/>
    <w:rsid w:val="00287011"/>
    <w:rsid w:val="002A2754"/>
    <w:rsid w:val="002B254E"/>
    <w:rsid w:val="002B72E9"/>
    <w:rsid w:val="002C71DA"/>
    <w:rsid w:val="002C7998"/>
    <w:rsid w:val="002D7417"/>
    <w:rsid w:val="002E7B29"/>
    <w:rsid w:val="002F1E53"/>
    <w:rsid w:val="002F2CAA"/>
    <w:rsid w:val="0030052C"/>
    <w:rsid w:val="003161AE"/>
    <w:rsid w:val="003306E1"/>
    <w:rsid w:val="003320E4"/>
    <w:rsid w:val="0033525D"/>
    <w:rsid w:val="0034057B"/>
    <w:rsid w:val="003414F3"/>
    <w:rsid w:val="0035613E"/>
    <w:rsid w:val="00363EE9"/>
    <w:rsid w:val="00376128"/>
    <w:rsid w:val="0037672A"/>
    <w:rsid w:val="0037742E"/>
    <w:rsid w:val="00377D56"/>
    <w:rsid w:val="0038245A"/>
    <w:rsid w:val="003840E6"/>
    <w:rsid w:val="00385CFC"/>
    <w:rsid w:val="0039337A"/>
    <w:rsid w:val="003A1CC1"/>
    <w:rsid w:val="003A3189"/>
    <w:rsid w:val="003A3CA7"/>
    <w:rsid w:val="003B33BD"/>
    <w:rsid w:val="003B569D"/>
    <w:rsid w:val="003C3C0E"/>
    <w:rsid w:val="003D42A6"/>
    <w:rsid w:val="003D4F21"/>
    <w:rsid w:val="003D4FAC"/>
    <w:rsid w:val="003E7906"/>
    <w:rsid w:val="003F3C50"/>
    <w:rsid w:val="003F73E0"/>
    <w:rsid w:val="00403BCF"/>
    <w:rsid w:val="00406A6A"/>
    <w:rsid w:val="00406B22"/>
    <w:rsid w:val="00427339"/>
    <w:rsid w:val="004328A7"/>
    <w:rsid w:val="00434C74"/>
    <w:rsid w:val="00456EB4"/>
    <w:rsid w:val="0046053D"/>
    <w:rsid w:val="004718F3"/>
    <w:rsid w:val="00475040"/>
    <w:rsid w:val="00487195"/>
    <w:rsid w:val="00493D40"/>
    <w:rsid w:val="004967B6"/>
    <w:rsid w:val="004A504B"/>
    <w:rsid w:val="004A5437"/>
    <w:rsid w:val="004A6911"/>
    <w:rsid w:val="004B54E0"/>
    <w:rsid w:val="004B7384"/>
    <w:rsid w:val="004C4269"/>
    <w:rsid w:val="004D61AA"/>
    <w:rsid w:val="004D6236"/>
    <w:rsid w:val="004D7F90"/>
    <w:rsid w:val="004E4DBB"/>
    <w:rsid w:val="004E4E41"/>
    <w:rsid w:val="004E7F9C"/>
    <w:rsid w:val="004F3493"/>
    <w:rsid w:val="004F5143"/>
    <w:rsid w:val="00512B09"/>
    <w:rsid w:val="005220ED"/>
    <w:rsid w:val="00533796"/>
    <w:rsid w:val="00537343"/>
    <w:rsid w:val="00555D75"/>
    <w:rsid w:val="00556967"/>
    <w:rsid w:val="00560DF0"/>
    <w:rsid w:val="0056759C"/>
    <w:rsid w:val="00572448"/>
    <w:rsid w:val="00575024"/>
    <w:rsid w:val="00587928"/>
    <w:rsid w:val="00590384"/>
    <w:rsid w:val="0059513E"/>
    <w:rsid w:val="00597D8B"/>
    <w:rsid w:val="005A6AA4"/>
    <w:rsid w:val="005A6D9F"/>
    <w:rsid w:val="005B48FF"/>
    <w:rsid w:val="005D363F"/>
    <w:rsid w:val="00604C15"/>
    <w:rsid w:val="006158D5"/>
    <w:rsid w:val="00625D83"/>
    <w:rsid w:val="006356A9"/>
    <w:rsid w:val="006623E7"/>
    <w:rsid w:val="00662B80"/>
    <w:rsid w:val="00670F6C"/>
    <w:rsid w:val="006852C7"/>
    <w:rsid w:val="006852CE"/>
    <w:rsid w:val="00692D14"/>
    <w:rsid w:val="006950E9"/>
    <w:rsid w:val="006B65C7"/>
    <w:rsid w:val="006C1727"/>
    <w:rsid w:val="006C32FD"/>
    <w:rsid w:val="006C39CE"/>
    <w:rsid w:val="006D0FCC"/>
    <w:rsid w:val="006D21F5"/>
    <w:rsid w:val="006E126D"/>
    <w:rsid w:val="006E1FC3"/>
    <w:rsid w:val="006F4F38"/>
    <w:rsid w:val="00704CE9"/>
    <w:rsid w:val="0070616B"/>
    <w:rsid w:val="00706295"/>
    <w:rsid w:val="00706FDA"/>
    <w:rsid w:val="00711F9A"/>
    <w:rsid w:val="00713810"/>
    <w:rsid w:val="007303A5"/>
    <w:rsid w:val="00730B3E"/>
    <w:rsid w:val="0073420B"/>
    <w:rsid w:val="00741536"/>
    <w:rsid w:val="0074760E"/>
    <w:rsid w:val="00753D06"/>
    <w:rsid w:val="00754ABA"/>
    <w:rsid w:val="00782B0D"/>
    <w:rsid w:val="007A1546"/>
    <w:rsid w:val="007A228C"/>
    <w:rsid w:val="007A368E"/>
    <w:rsid w:val="007A5868"/>
    <w:rsid w:val="007B04CE"/>
    <w:rsid w:val="007B3391"/>
    <w:rsid w:val="007B6871"/>
    <w:rsid w:val="007B7A2F"/>
    <w:rsid w:val="007C02B2"/>
    <w:rsid w:val="007C3D33"/>
    <w:rsid w:val="007D294A"/>
    <w:rsid w:val="007D47D2"/>
    <w:rsid w:val="007D6EC0"/>
    <w:rsid w:val="007D7E1D"/>
    <w:rsid w:val="007E0AD4"/>
    <w:rsid w:val="008049E1"/>
    <w:rsid w:val="00831979"/>
    <w:rsid w:val="00842D67"/>
    <w:rsid w:val="00851352"/>
    <w:rsid w:val="0085498E"/>
    <w:rsid w:val="00857077"/>
    <w:rsid w:val="0086039B"/>
    <w:rsid w:val="00863230"/>
    <w:rsid w:val="00865BD0"/>
    <w:rsid w:val="008717D8"/>
    <w:rsid w:val="0087215C"/>
    <w:rsid w:val="00875D25"/>
    <w:rsid w:val="00880E35"/>
    <w:rsid w:val="008875FE"/>
    <w:rsid w:val="00887F8E"/>
    <w:rsid w:val="00892D29"/>
    <w:rsid w:val="00896234"/>
    <w:rsid w:val="00897E43"/>
    <w:rsid w:val="008A2347"/>
    <w:rsid w:val="008C4AB7"/>
    <w:rsid w:val="008C56E2"/>
    <w:rsid w:val="008C5738"/>
    <w:rsid w:val="008C7EAD"/>
    <w:rsid w:val="008D0CFE"/>
    <w:rsid w:val="008D6152"/>
    <w:rsid w:val="008E7BA9"/>
    <w:rsid w:val="008F0F81"/>
    <w:rsid w:val="008F27BF"/>
    <w:rsid w:val="009142EC"/>
    <w:rsid w:val="009154C3"/>
    <w:rsid w:val="0092066E"/>
    <w:rsid w:val="00923540"/>
    <w:rsid w:val="00926767"/>
    <w:rsid w:val="009301F8"/>
    <w:rsid w:val="0093491B"/>
    <w:rsid w:val="009361D5"/>
    <w:rsid w:val="009428A4"/>
    <w:rsid w:val="009659F4"/>
    <w:rsid w:val="00970D60"/>
    <w:rsid w:val="0099390E"/>
    <w:rsid w:val="009960E5"/>
    <w:rsid w:val="009A7ADC"/>
    <w:rsid w:val="009B0D30"/>
    <w:rsid w:val="009B6164"/>
    <w:rsid w:val="009C19B7"/>
    <w:rsid w:val="009C5ABB"/>
    <w:rsid w:val="009D7C51"/>
    <w:rsid w:val="009E196C"/>
    <w:rsid w:val="009F36BF"/>
    <w:rsid w:val="009F59B0"/>
    <w:rsid w:val="00A111B6"/>
    <w:rsid w:val="00A12D35"/>
    <w:rsid w:val="00A26D27"/>
    <w:rsid w:val="00A376EE"/>
    <w:rsid w:val="00A42A99"/>
    <w:rsid w:val="00A46996"/>
    <w:rsid w:val="00A5151A"/>
    <w:rsid w:val="00A53A82"/>
    <w:rsid w:val="00A57E0A"/>
    <w:rsid w:val="00A823F6"/>
    <w:rsid w:val="00A8719E"/>
    <w:rsid w:val="00A91579"/>
    <w:rsid w:val="00AA0A89"/>
    <w:rsid w:val="00AA6429"/>
    <w:rsid w:val="00AC01AA"/>
    <w:rsid w:val="00AC4F72"/>
    <w:rsid w:val="00AD08D8"/>
    <w:rsid w:val="00AF741A"/>
    <w:rsid w:val="00B01ADB"/>
    <w:rsid w:val="00B02E06"/>
    <w:rsid w:val="00B04161"/>
    <w:rsid w:val="00B056F9"/>
    <w:rsid w:val="00B11E3D"/>
    <w:rsid w:val="00B17E82"/>
    <w:rsid w:val="00B21BCA"/>
    <w:rsid w:val="00B44E27"/>
    <w:rsid w:val="00B4575A"/>
    <w:rsid w:val="00B575BA"/>
    <w:rsid w:val="00B71608"/>
    <w:rsid w:val="00B72828"/>
    <w:rsid w:val="00B73C26"/>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17DAA"/>
    <w:rsid w:val="00C2296D"/>
    <w:rsid w:val="00C23155"/>
    <w:rsid w:val="00C307F7"/>
    <w:rsid w:val="00C40C41"/>
    <w:rsid w:val="00C45885"/>
    <w:rsid w:val="00C50F22"/>
    <w:rsid w:val="00C576DF"/>
    <w:rsid w:val="00C57971"/>
    <w:rsid w:val="00C65BD7"/>
    <w:rsid w:val="00C76BA4"/>
    <w:rsid w:val="00C83A48"/>
    <w:rsid w:val="00C85865"/>
    <w:rsid w:val="00C85E85"/>
    <w:rsid w:val="00C93ED0"/>
    <w:rsid w:val="00CA2EAE"/>
    <w:rsid w:val="00CA4AC1"/>
    <w:rsid w:val="00CB0316"/>
    <w:rsid w:val="00CB0B11"/>
    <w:rsid w:val="00CB426A"/>
    <w:rsid w:val="00CB5354"/>
    <w:rsid w:val="00CC3C9E"/>
    <w:rsid w:val="00CC6A14"/>
    <w:rsid w:val="00CC70A3"/>
    <w:rsid w:val="00CD030F"/>
    <w:rsid w:val="00CD4442"/>
    <w:rsid w:val="00CD53C3"/>
    <w:rsid w:val="00CD574E"/>
    <w:rsid w:val="00CE1DC3"/>
    <w:rsid w:val="00CE4C22"/>
    <w:rsid w:val="00CE76E5"/>
    <w:rsid w:val="00CF41EC"/>
    <w:rsid w:val="00CF5D04"/>
    <w:rsid w:val="00D04DE4"/>
    <w:rsid w:val="00D063F1"/>
    <w:rsid w:val="00D14F22"/>
    <w:rsid w:val="00D4741C"/>
    <w:rsid w:val="00D57918"/>
    <w:rsid w:val="00D6505F"/>
    <w:rsid w:val="00D73DC6"/>
    <w:rsid w:val="00D74C1A"/>
    <w:rsid w:val="00D754C1"/>
    <w:rsid w:val="00D77393"/>
    <w:rsid w:val="00D77A35"/>
    <w:rsid w:val="00D81B3E"/>
    <w:rsid w:val="00D90C70"/>
    <w:rsid w:val="00D90E49"/>
    <w:rsid w:val="00D96ADE"/>
    <w:rsid w:val="00DA0CE2"/>
    <w:rsid w:val="00DB72FA"/>
    <w:rsid w:val="00DC6A10"/>
    <w:rsid w:val="00DD7156"/>
    <w:rsid w:val="00DE657E"/>
    <w:rsid w:val="00DF4704"/>
    <w:rsid w:val="00E024AA"/>
    <w:rsid w:val="00E15C77"/>
    <w:rsid w:val="00E250F1"/>
    <w:rsid w:val="00E3550D"/>
    <w:rsid w:val="00E4464F"/>
    <w:rsid w:val="00E449ED"/>
    <w:rsid w:val="00E52838"/>
    <w:rsid w:val="00E53C31"/>
    <w:rsid w:val="00E614E0"/>
    <w:rsid w:val="00E6474B"/>
    <w:rsid w:val="00E67247"/>
    <w:rsid w:val="00E73F7F"/>
    <w:rsid w:val="00E85409"/>
    <w:rsid w:val="00EA3226"/>
    <w:rsid w:val="00EA429F"/>
    <w:rsid w:val="00EA4F9E"/>
    <w:rsid w:val="00EA63CA"/>
    <w:rsid w:val="00EA6D3B"/>
    <w:rsid w:val="00EB003C"/>
    <w:rsid w:val="00EB00AD"/>
    <w:rsid w:val="00EB136C"/>
    <w:rsid w:val="00EB480E"/>
    <w:rsid w:val="00EB5EC6"/>
    <w:rsid w:val="00EB7FC9"/>
    <w:rsid w:val="00ED27E8"/>
    <w:rsid w:val="00ED3F59"/>
    <w:rsid w:val="00ED7137"/>
    <w:rsid w:val="00EE19AB"/>
    <w:rsid w:val="00EF06EA"/>
    <w:rsid w:val="00EF1860"/>
    <w:rsid w:val="00F14E4F"/>
    <w:rsid w:val="00F21088"/>
    <w:rsid w:val="00F2394E"/>
    <w:rsid w:val="00F327E7"/>
    <w:rsid w:val="00F35746"/>
    <w:rsid w:val="00F447C7"/>
    <w:rsid w:val="00F459B4"/>
    <w:rsid w:val="00F5211B"/>
    <w:rsid w:val="00F554A9"/>
    <w:rsid w:val="00F716FD"/>
    <w:rsid w:val="00F80355"/>
    <w:rsid w:val="00F87C43"/>
    <w:rsid w:val="00FA5722"/>
    <w:rsid w:val="00FB0C81"/>
    <w:rsid w:val="00FC2200"/>
    <w:rsid w:val="00FC2540"/>
    <w:rsid w:val="00FE77F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0D5D"/>
  <w15:docId w15:val="{C135326C-BBA1-4576-8411-DAE11DD7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F59B0"/>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F59B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F59B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30"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UNEP/OzL.Pro/ExCom/88/72</Document_x0020_Number>
    <DocumentType xmlns="64e33b30-101d-41de-b951-961aab25ea29">Pre-session</DocumentType>
  </documentManagement>
</p:properties>
</file>

<file path=customXml/itemProps1.xml><?xml version="1.0" encoding="utf-8"?>
<ds:datastoreItem xmlns:ds="http://schemas.openxmlformats.org/officeDocument/2006/customXml" ds:itemID="{2C295E14-6B29-4EDC-9780-465FFD079F48}"/>
</file>

<file path=customXml/itemProps2.xml><?xml version="1.0" encoding="utf-8"?>
<ds:datastoreItem xmlns:ds="http://schemas.openxmlformats.org/officeDocument/2006/customXml" ds:itemID="{609F0B41-7808-418C-B6D7-14BA6F2417A5}"/>
</file>

<file path=customXml/itemProps3.xml><?xml version="1.0" encoding="utf-8"?>
<ds:datastoreItem xmlns:ds="http://schemas.openxmlformats.org/officeDocument/2006/customXml" ds:itemID="{17DC02F2-5BFF-47B7-AEF8-7D886A8D4AF9}"/>
</file>

<file path=customXml/itemProps4.xml><?xml version="1.0" encoding="utf-8"?>
<ds:datastoreItem xmlns:ds="http://schemas.openxmlformats.org/officeDocument/2006/customXml" ds:itemID="{025CA0A0-0174-4AF1-BB75-B0C6E4E47D6A}"/>
</file>

<file path=docProps/app.xml><?xml version="1.0" encoding="utf-8"?>
<Properties xmlns="http://schemas.openxmlformats.org/officeDocument/2006/extended-properties" xmlns:vt="http://schemas.openxmlformats.org/officeDocument/2006/docPropsVTypes">
  <Template>Eec88G</Template>
  <TotalTime>3</TotalTime>
  <Pages>22</Pages>
  <Words>9453</Words>
  <Characters>54266</Characters>
  <Application>Microsoft Office Word</Application>
  <DocSecurity>0</DocSecurity>
  <Lines>1233</Lines>
  <Paragraphs>563</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(decisions 83/65(b) and 84/86(b)(ii))</vt:lpstr>
    </vt:vector>
  </TitlesOfParts>
  <Company>UNMFS</Company>
  <LinksUpToDate>false</LinksUpToDate>
  <CharactersWithSpaces>63156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(decisions 83/65(b) and 84/86(b)(ii))</dc:title>
  <dc:creator>Dominika Anna Suwik</dc:creator>
  <cp:keywords>88th ExCom</cp:keywords>
  <cp:lastModifiedBy>Dominika Anna Suwik</cp:lastModifiedBy>
  <cp:revision>3</cp:revision>
  <cp:lastPrinted>2001-05-26T16:40:00Z</cp:lastPrinted>
  <dcterms:created xsi:type="dcterms:W3CDTF">2021-10-30T00:17:00Z</dcterms:created>
  <dcterms:modified xsi:type="dcterms:W3CDTF">2021-10-30T00:27:00Z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UNEP/OzL.Pro/ExCom/88/72</vt:lpwstr>
  </property>
  <property fmtid="{D5CDD505-2E9C-101B-9397-08002B2CF9AE}" pid="3" name="Revision date">
    <vt:lpwstr>10/29/2021</vt:lpwstr>
  </property>
  <property fmtid="{D5CDD505-2E9C-101B-9397-08002B2CF9AE}" pid="4" name="ContentTypeId">
    <vt:lpwstr>0x010100BE9B89F773C4B04FA1A88A390C771F1B</vt:lpwstr>
  </property>
</Properties>
</file>