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2503539E" w14:textId="77777777" w:rsidTr="00BC46BB">
        <w:trPr>
          <w:trHeight w:val="720"/>
        </w:trPr>
        <w:tc>
          <w:tcPr>
            <w:tcW w:w="5490" w:type="dxa"/>
            <w:gridSpan w:val="2"/>
            <w:tcBorders>
              <w:bottom w:val="single" w:sz="18" w:space="0" w:color="auto"/>
            </w:tcBorders>
          </w:tcPr>
          <w:p w14:paraId="6D208805" w14:textId="77777777" w:rsidR="00C15867" w:rsidRPr="0000434E"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40F2B78" w14:textId="77777777" w:rsidR="00C15867" w:rsidRPr="00493D40" w:rsidRDefault="00C15867" w:rsidP="00BC46BB">
            <w:pPr>
              <w:jc w:val="right"/>
              <w:rPr>
                <w:sz w:val="52"/>
                <w:szCs w:val="52"/>
              </w:rPr>
            </w:pPr>
            <w:r>
              <w:rPr>
                <w:rFonts w:ascii="Univers Bold" w:hAnsi="Univers Bold"/>
                <w:b/>
                <w:sz w:val="72"/>
              </w:rPr>
              <w:t>EP</w:t>
            </w:r>
          </w:p>
        </w:tc>
      </w:tr>
      <w:tr w:rsidR="00C15867" w14:paraId="587D0970" w14:textId="77777777" w:rsidTr="00BC46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AB90A5" w14:textId="77777777" w:rsidR="00C15867" w:rsidRDefault="00DA0CE2" w:rsidP="00BC46BB">
            <w:pPr>
              <w:spacing w:before="120"/>
            </w:pPr>
            <w:r w:rsidRPr="00DA0CE2">
              <w:rPr>
                <w:noProof/>
                <w:lang w:val="en-CA" w:eastAsia="en-CA"/>
              </w:rPr>
              <w:drawing>
                <wp:anchor distT="0" distB="0" distL="114300" distR="114300" simplePos="0" relativeHeight="251654144" behindDoc="0" locked="0" layoutInCell="1" allowOverlap="1" wp14:anchorId="5CE5F5DD" wp14:editId="7D15F41A">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55168" behindDoc="1" locked="0" layoutInCell="0" allowOverlap="1" wp14:anchorId="4E427AF6" wp14:editId="6774106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FD8BEEA"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2100F5"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22E8AB4"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E8BCABF" w14:textId="77777777" w:rsidR="00C15867" w:rsidRDefault="00C15867" w:rsidP="00BC46BB">
            <w:pPr>
              <w:spacing w:before="720"/>
              <w:ind w:left="158"/>
            </w:pPr>
          </w:p>
        </w:tc>
        <w:tc>
          <w:tcPr>
            <w:tcW w:w="4590" w:type="dxa"/>
            <w:tcBorders>
              <w:top w:val="nil"/>
              <w:left w:val="nil"/>
              <w:bottom w:val="single" w:sz="36" w:space="0" w:color="auto"/>
              <w:right w:val="nil"/>
            </w:tcBorders>
          </w:tcPr>
          <w:p w14:paraId="73EDD36E" w14:textId="77777777" w:rsidR="00C15867" w:rsidRPr="0033525D" w:rsidRDefault="00C15867" w:rsidP="00BC46BB">
            <w:r w:rsidRPr="0033525D">
              <w:t>Distr.</w:t>
            </w:r>
          </w:p>
          <w:p w14:paraId="05D51F32" w14:textId="77777777" w:rsidR="00923540" w:rsidRPr="0033525D" w:rsidRDefault="00923540" w:rsidP="00923540">
            <w:r w:rsidRPr="0033525D">
              <w:t>GENERAL</w:t>
            </w:r>
          </w:p>
          <w:p w14:paraId="5C1A7AEF" w14:textId="77777777" w:rsidR="00C15867" w:rsidRPr="0033525D" w:rsidRDefault="00C15867" w:rsidP="00BC46BB"/>
          <w:p w14:paraId="7EEAFE62" w14:textId="77777777" w:rsidR="00C15867" w:rsidRPr="003F73BA" w:rsidRDefault="00C15867" w:rsidP="00BC46BB"/>
          <w:p w14:paraId="182DF475" w14:textId="718D6DC8" w:rsidR="00C15867" w:rsidRPr="003F73BA" w:rsidRDefault="00BB3A47" w:rsidP="00BC46BB">
            <w:fldSimple w:instr=" DOCPROPERTY &quot;Document number&quot;  \* MERGEFORMAT ">
              <w:r>
                <w:t>UNEP/OzL.Pro/ExCom/82/64</w:t>
              </w:r>
            </w:fldSimple>
          </w:p>
          <w:p w14:paraId="3607F3E9" w14:textId="4DBEA1F3" w:rsidR="00C15867" w:rsidRPr="003F73BA" w:rsidRDefault="00BC2495" w:rsidP="00BC46BB">
            <w:r w:rsidRPr="005D6894">
              <w:fldChar w:fldCharType="begin"/>
            </w:r>
            <w:r w:rsidR="00851352" w:rsidRPr="005D6894">
              <w:instrText xml:space="preserve"> DOCPROPERTY "Revision date" \@ "d MMMM YYYY"  \* MERGEFORMAT </w:instrText>
            </w:r>
            <w:r w:rsidRPr="005D6894">
              <w:fldChar w:fldCharType="separate"/>
            </w:r>
            <w:r w:rsidR="00BB3A47">
              <w:t>2 November 2018</w:t>
            </w:r>
            <w:r w:rsidRPr="005D6894">
              <w:fldChar w:fldCharType="end"/>
            </w:r>
          </w:p>
          <w:p w14:paraId="6A250F74" w14:textId="77777777" w:rsidR="00C15867" w:rsidRPr="00000FED" w:rsidRDefault="00C15867" w:rsidP="00BC46BB">
            <w:pPr>
              <w:rPr>
                <w:caps/>
              </w:rPr>
            </w:pPr>
          </w:p>
          <w:p w14:paraId="2ACEBEDE" w14:textId="77777777" w:rsidR="00C15867" w:rsidRDefault="00C15867" w:rsidP="00BC46BB">
            <w:r w:rsidRPr="0033525D">
              <w:t>ORIGINAL: ENGLISH</w:t>
            </w:r>
          </w:p>
        </w:tc>
      </w:tr>
    </w:tbl>
    <w:p w14:paraId="4FDFEFC5" w14:textId="77777777" w:rsidR="009E196C" w:rsidRPr="00612F2F" w:rsidRDefault="00C15867" w:rsidP="009E196C">
      <w:pPr>
        <w:jc w:val="left"/>
      </w:pPr>
      <w:r w:rsidRPr="0033525D">
        <w:t>EXECUTIVE COMMITTEE OF</w:t>
      </w:r>
      <w:r w:rsidRPr="0033525D">
        <w:br/>
      </w:r>
      <w:r w:rsidR="005B64DC">
        <w:t xml:space="preserve"> </w:t>
      </w:r>
      <w:r w:rsidRPr="0033525D">
        <w:t>THE MULTILATERAL FUND FOR THE</w:t>
      </w:r>
      <w:r w:rsidRPr="0033525D">
        <w:br/>
      </w:r>
      <w:r w:rsidR="005B64DC">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CFE297D"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1D8A80D8" w14:textId="77777777" w:rsidR="00C15867" w:rsidRPr="00765DE4" w:rsidRDefault="00C15867" w:rsidP="009960E5">
      <w:pPr>
        <w:jc w:val="left"/>
        <w:rPr>
          <w:lang w:val="en-US"/>
        </w:rPr>
      </w:pPr>
    </w:p>
    <w:p w14:paraId="657DAF8A" w14:textId="77777777" w:rsidR="004E7F9C" w:rsidRPr="00B53E75" w:rsidRDefault="004E7F9C" w:rsidP="004E7F9C">
      <w:pPr>
        <w:pStyle w:val="Title1"/>
        <w:rPr>
          <w:b w:val="0"/>
        </w:rPr>
      </w:pPr>
    </w:p>
    <w:p w14:paraId="21C42F81" w14:textId="77777777" w:rsidR="004E7F9C" w:rsidRPr="00B53E75" w:rsidRDefault="004E7F9C" w:rsidP="004E7F9C">
      <w:pPr>
        <w:pStyle w:val="Title1"/>
        <w:rPr>
          <w:b w:val="0"/>
        </w:rPr>
      </w:pPr>
    </w:p>
    <w:p w14:paraId="7E5F30B1" w14:textId="77777777" w:rsidR="005B64DC" w:rsidRDefault="005B64DC" w:rsidP="005B64DC">
      <w:pPr>
        <w:pStyle w:val="Heading1"/>
        <w:numPr>
          <w:ilvl w:val="0"/>
          <w:numId w:val="0"/>
        </w:numPr>
        <w:spacing w:after="0"/>
        <w:jc w:val="center"/>
        <w:rPr>
          <w:b/>
        </w:rPr>
      </w:pPr>
      <w:r>
        <w:rPr>
          <w:b/>
        </w:rPr>
        <w:t xml:space="preserve">PRELIMINARY DOCUMENT ON ALL ASPECTS RELATED TO THE </w:t>
      </w:r>
      <w:r w:rsidRPr="00A3797C">
        <w:rPr>
          <w:b/>
        </w:rPr>
        <w:t>REFRIGERATION SERVICING SECTOR</w:t>
      </w:r>
      <w:r>
        <w:rPr>
          <w:b/>
        </w:rPr>
        <w:t xml:space="preserve"> THAT SUPPORT THE HFC PHASE-DOWN (DECISION 80/76(c))</w:t>
      </w:r>
    </w:p>
    <w:p w14:paraId="24DBE56C" w14:textId="77777777" w:rsidR="005B64DC" w:rsidRPr="005B64DC" w:rsidRDefault="005B64DC" w:rsidP="005B64DC"/>
    <w:p w14:paraId="22FD2219" w14:textId="77777777" w:rsidR="005B64DC" w:rsidRDefault="004D4302" w:rsidP="005B64DC">
      <w:pPr>
        <w:rPr>
          <w:b/>
        </w:rPr>
      </w:pPr>
      <w:r>
        <w:rPr>
          <w:b/>
        </w:rPr>
        <w:t>INTRODUCTION</w:t>
      </w:r>
    </w:p>
    <w:p w14:paraId="6411E5F5" w14:textId="77777777" w:rsidR="005B64DC" w:rsidRDefault="005B64DC" w:rsidP="005B64DC">
      <w:pPr>
        <w:rPr>
          <w:b/>
        </w:rPr>
      </w:pPr>
    </w:p>
    <w:p w14:paraId="1DAFCFC8" w14:textId="77777777" w:rsidR="00933143" w:rsidRPr="00933143" w:rsidRDefault="00A372C4" w:rsidP="00AC4B25">
      <w:pPr>
        <w:pStyle w:val="Heading1"/>
        <w:rPr>
          <w:lang w:val="en-CA"/>
        </w:rPr>
      </w:pPr>
      <w:r>
        <w:rPr>
          <w:lang w:val="en-CA"/>
        </w:rPr>
        <w:t>T</w:t>
      </w:r>
      <w:r w:rsidR="00B53E75" w:rsidRPr="00933143">
        <w:rPr>
          <w:lang w:val="en-CA"/>
        </w:rPr>
        <w:t xml:space="preserve">he Twenty-Eighth Meeting of the Parties </w:t>
      </w:r>
      <w:r>
        <w:rPr>
          <w:lang w:val="en-CA"/>
        </w:rPr>
        <w:t>(October 2016)</w:t>
      </w:r>
      <w:r w:rsidR="00B53E75" w:rsidRPr="00933143">
        <w:rPr>
          <w:lang w:val="en-CA"/>
        </w:rPr>
        <w:t xml:space="preserve"> agreed to amend the </w:t>
      </w:r>
      <w:r>
        <w:rPr>
          <w:lang w:val="en-CA"/>
        </w:rPr>
        <w:t xml:space="preserve">Montreal </w:t>
      </w:r>
      <w:r w:rsidR="00B53E75" w:rsidRPr="00933143">
        <w:rPr>
          <w:lang w:val="en-CA"/>
        </w:rPr>
        <w:t>Protocol and</w:t>
      </w:r>
      <w:r w:rsidR="00B53E75" w:rsidRPr="00C57749">
        <w:t xml:space="preserve"> adopted decision XXVIII/2</w:t>
      </w:r>
      <w:r w:rsidR="00B53E75">
        <w:t>.</w:t>
      </w:r>
      <w:r w:rsidR="009D0F2A">
        <w:rPr>
          <w:rStyle w:val="FootnoteReference"/>
        </w:rPr>
        <w:footnoteReference w:id="1"/>
      </w:r>
      <w:r w:rsidR="00B53E75">
        <w:t xml:space="preserve"> </w:t>
      </w:r>
      <w:r w:rsidR="00933143">
        <w:t xml:space="preserve">The Executive Committee was requested, </w:t>
      </w:r>
      <w:r w:rsidR="00933143">
        <w:rPr>
          <w:i/>
        </w:rPr>
        <w:t>inter alia:</w:t>
      </w:r>
    </w:p>
    <w:p w14:paraId="7CC2F515" w14:textId="1B12BF77" w:rsidR="00933143" w:rsidRDefault="00933143" w:rsidP="00BC46BB">
      <w:pPr>
        <w:pStyle w:val="Heading2"/>
        <w:rPr>
          <w:lang w:val="en-CA"/>
        </w:rPr>
      </w:pPr>
      <w:r w:rsidRPr="00933143">
        <w:rPr>
          <w:lang w:val="en-CA"/>
        </w:rPr>
        <w:t xml:space="preserve">In developing new guidelines on methodologies and cost calculations for the servicing sector, to make the following categories of costs eligible and to include them in the cost calculation: public-awareness activities; policy development and implementation; certification programmes and training of technicians on safe handling, good practice and safety in respect of alternatives, including training equipment; training of customs officers; prevention of illegal trade of HFCs; servicing tools; refrigerant testing equipment for the refrigeration and air-conditioning sector; and </w:t>
      </w:r>
      <w:r>
        <w:rPr>
          <w:lang w:val="en-CA"/>
        </w:rPr>
        <w:t>r</w:t>
      </w:r>
      <w:r w:rsidRPr="00933143">
        <w:rPr>
          <w:lang w:val="en-CA"/>
        </w:rPr>
        <w:t>ecycling and recovery of HFCs</w:t>
      </w:r>
      <w:r>
        <w:rPr>
          <w:lang w:val="en-CA"/>
        </w:rPr>
        <w:t xml:space="preserve"> (paragraph</w:t>
      </w:r>
      <w:r w:rsidR="00B44FB0">
        <w:rPr>
          <w:lang w:val="en-CA"/>
        </w:rPr>
        <w:t> </w:t>
      </w:r>
      <w:r>
        <w:rPr>
          <w:lang w:val="en-CA"/>
        </w:rPr>
        <w:t>15(c)</w:t>
      </w:r>
      <w:r w:rsidR="00D818B6">
        <w:rPr>
          <w:lang w:val="en-CA"/>
        </w:rPr>
        <w:t>)</w:t>
      </w:r>
      <w:r>
        <w:rPr>
          <w:lang w:val="en-CA"/>
        </w:rPr>
        <w:t>;</w:t>
      </w:r>
    </w:p>
    <w:p w14:paraId="5E412721" w14:textId="7568233F" w:rsidR="00933143" w:rsidRDefault="00933143" w:rsidP="00933143">
      <w:pPr>
        <w:pStyle w:val="Heading2"/>
        <w:rPr>
          <w:lang w:val="en-CA"/>
        </w:rPr>
      </w:pPr>
      <w:r>
        <w:rPr>
          <w:lang w:val="en-CA"/>
        </w:rPr>
        <w:t>T</w:t>
      </w:r>
      <w:r w:rsidRPr="00933143">
        <w:rPr>
          <w:lang w:val="en-CA"/>
        </w:rPr>
        <w:t>o increase in relation to the servicing sector the funding available under decision</w:t>
      </w:r>
      <w:r w:rsidR="00B44FB0">
        <w:rPr>
          <w:lang w:val="en-CA"/>
        </w:rPr>
        <w:t> </w:t>
      </w:r>
      <w:r w:rsidRPr="00933143">
        <w:rPr>
          <w:lang w:val="en-CA"/>
        </w:rPr>
        <w:t xml:space="preserve">74/50 above the amounts listed in that decision for Parties with total HCFC baseline consumption </w:t>
      </w:r>
      <w:r w:rsidR="00534029">
        <w:rPr>
          <w:lang w:val="en-CA"/>
        </w:rPr>
        <w:t xml:space="preserve">of </w:t>
      </w:r>
      <w:r w:rsidRPr="00933143">
        <w:rPr>
          <w:lang w:val="en-CA"/>
        </w:rPr>
        <w:t xml:space="preserve">up to 360 metric tonnes </w:t>
      </w:r>
      <w:r>
        <w:rPr>
          <w:lang w:val="en-CA"/>
        </w:rPr>
        <w:t xml:space="preserve">(mt) </w:t>
      </w:r>
      <w:r w:rsidRPr="00933143">
        <w:rPr>
          <w:lang w:val="en-CA"/>
        </w:rPr>
        <w:t>when needed for the introduction of alternatives to HCFCs with low-</w:t>
      </w:r>
      <w:r>
        <w:rPr>
          <w:lang w:val="en-CA"/>
        </w:rPr>
        <w:t>global warming potential (</w:t>
      </w:r>
      <w:r w:rsidRPr="00933143">
        <w:rPr>
          <w:lang w:val="en-CA"/>
        </w:rPr>
        <w:t>GWP</w:t>
      </w:r>
      <w:r>
        <w:rPr>
          <w:lang w:val="en-CA"/>
        </w:rPr>
        <w:t>)</w:t>
      </w:r>
      <w:r w:rsidRPr="00933143">
        <w:rPr>
          <w:lang w:val="en-CA"/>
        </w:rPr>
        <w:t xml:space="preserve"> and zero-GWP alternatives to HFCs and maintaining energy efficiency also in the servicing/end-user sector </w:t>
      </w:r>
      <w:r>
        <w:rPr>
          <w:lang w:val="en-CA"/>
        </w:rPr>
        <w:t>(p</w:t>
      </w:r>
      <w:r w:rsidRPr="00933143">
        <w:rPr>
          <w:lang w:val="en-CA"/>
        </w:rPr>
        <w:t>aragraph 16</w:t>
      </w:r>
      <w:r>
        <w:rPr>
          <w:lang w:val="en-CA"/>
        </w:rPr>
        <w:t xml:space="preserve">); and </w:t>
      </w:r>
    </w:p>
    <w:p w14:paraId="04870A9D" w14:textId="77777777" w:rsidR="00933143" w:rsidRDefault="00933143" w:rsidP="00933143">
      <w:pPr>
        <w:pStyle w:val="Heading2"/>
      </w:pPr>
      <w:r>
        <w:t>T</w:t>
      </w:r>
      <w:r w:rsidRPr="00933143">
        <w:t>o prioritize technical assistance and capacity building to address safety issues associated with low-GWP or zero-GWP alternatives</w:t>
      </w:r>
      <w:r>
        <w:t xml:space="preserve"> (p</w:t>
      </w:r>
      <w:r w:rsidRPr="00933143">
        <w:t>aragraph 23</w:t>
      </w:r>
      <w:r>
        <w:t>).</w:t>
      </w:r>
    </w:p>
    <w:p w14:paraId="4BAED28C" w14:textId="77777777" w:rsidR="005B64DC" w:rsidRPr="002206A0" w:rsidRDefault="005B64DC" w:rsidP="00B20264">
      <w:pPr>
        <w:pStyle w:val="Heading1"/>
      </w:pPr>
      <w:r w:rsidRPr="00EB0DA1">
        <w:t xml:space="preserve">At </w:t>
      </w:r>
      <w:r w:rsidR="00FB325A">
        <w:t>its 8</w:t>
      </w:r>
      <w:r w:rsidRPr="00EB0DA1">
        <w:t>0</w:t>
      </w:r>
      <w:r w:rsidRPr="00EB0DA1">
        <w:rPr>
          <w:vertAlign w:val="superscript"/>
        </w:rPr>
        <w:t>th</w:t>
      </w:r>
      <w:r w:rsidRPr="00EB0DA1">
        <w:t xml:space="preserve"> meeting</w:t>
      </w:r>
      <w:r w:rsidR="002206A0">
        <w:t xml:space="preserve"> (November 2017)</w:t>
      </w:r>
      <w:r w:rsidRPr="00EB0DA1">
        <w:t xml:space="preserve">, in the context of the </w:t>
      </w:r>
      <w:r w:rsidR="00A372C4">
        <w:t xml:space="preserve">discussion on the development of the </w:t>
      </w:r>
      <w:r w:rsidRPr="00EB0DA1">
        <w:t>cost guidelines for HFC phase-down</w:t>
      </w:r>
      <w:r w:rsidR="00A372C4">
        <w:t xml:space="preserve"> under agenda item 10(c)</w:t>
      </w:r>
      <w:r w:rsidRPr="00EB0DA1">
        <w:t xml:space="preserve">, the Executive Committee </w:t>
      </w:r>
      <w:r w:rsidR="002206A0">
        <w:rPr>
          <w:i/>
        </w:rPr>
        <w:t xml:space="preserve">inter alia </w:t>
      </w:r>
      <w:r w:rsidR="002206A0">
        <w:t xml:space="preserve">decided to </w:t>
      </w:r>
      <w:r w:rsidR="00B20264">
        <w:t>includ</w:t>
      </w:r>
      <w:r w:rsidR="002206A0">
        <w:t>e</w:t>
      </w:r>
      <w:r w:rsidR="00B20264">
        <w:t xml:space="preserve"> the categories of costs for the servicing sector </w:t>
      </w:r>
      <w:r w:rsidR="00B20264" w:rsidRPr="00641F47">
        <w:t>in the draft template of the cost guidelines for the phase-down of HFCs</w:t>
      </w:r>
      <w:r w:rsidR="002206A0">
        <w:t xml:space="preserve"> (decision 80/76(a)(iv))</w:t>
      </w:r>
      <w:r w:rsidR="00B20264">
        <w:t xml:space="preserve">; and </w:t>
      </w:r>
      <w:r w:rsidR="00B20264" w:rsidRPr="00EB0DA1">
        <w:t xml:space="preserve">requested the Secretariat </w:t>
      </w:r>
      <w:r w:rsidRPr="00EB0DA1">
        <w:t xml:space="preserve">to prepare a preliminary </w:t>
      </w:r>
      <w:r w:rsidRPr="00EB0DA1">
        <w:lastRenderedPageBreak/>
        <w:t>document for the 82</w:t>
      </w:r>
      <w:r w:rsidRPr="00EB0DA1">
        <w:rPr>
          <w:vertAlign w:val="superscript"/>
        </w:rPr>
        <w:t>nd</w:t>
      </w:r>
      <w:r w:rsidRPr="00EB0DA1">
        <w:t xml:space="preserve"> meeting, in cooperation with bilateral and implementing agencies, on all aspects related to the refrigeration servicing sector that support the HFC phase-down, </w:t>
      </w:r>
      <w:r w:rsidRPr="002206A0">
        <w:t>taking into account</w:t>
      </w:r>
      <w:r w:rsidR="002206A0" w:rsidRPr="002206A0">
        <w:t>:</w:t>
      </w:r>
      <w:r w:rsidR="00972DA9" w:rsidRPr="002206A0">
        <w:t xml:space="preserve"> </w:t>
      </w:r>
    </w:p>
    <w:p w14:paraId="0CD01077" w14:textId="77777777" w:rsidR="005B64DC" w:rsidRPr="002206A0" w:rsidRDefault="005B64DC" w:rsidP="005B64DC">
      <w:pPr>
        <w:widowControl w:val="0"/>
        <w:numPr>
          <w:ilvl w:val="1"/>
          <w:numId w:val="1"/>
        </w:numPr>
        <w:spacing w:after="240"/>
        <w:outlineLvl w:val="1"/>
      </w:pPr>
      <w:r w:rsidRPr="002206A0">
        <w:t xml:space="preserve">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w:t>
      </w:r>
      <w:r w:rsidR="00A372C4">
        <w:t xml:space="preserve">(CAP) </w:t>
      </w:r>
      <w:r w:rsidRPr="002206A0">
        <w:t>had established with world</w:t>
      </w:r>
      <w:r w:rsidRPr="002206A0">
        <w:noBreakHyphen/>
        <w:t>recognized training and certification institutes;</w:t>
      </w:r>
    </w:p>
    <w:p w14:paraId="25146346" w14:textId="1159C294" w:rsidR="005B64DC" w:rsidRPr="002206A0" w:rsidRDefault="005B64DC" w:rsidP="005B64DC">
      <w:pPr>
        <w:widowControl w:val="0"/>
        <w:numPr>
          <w:ilvl w:val="1"/>
          <w:numId w:val="1"/>
        </w:numPr>
        <w:spacing w:after="240"/>
        <w:outlineLvl w:val="1"/>
      </w:pPr>
      <w:r w:rsidRPr="002206A0">
        <w:t>Analysis of the existing capacities in Article 5 countries with the funding approved thus far for the refrigeration servicing sector and how those could be utilized for HFC phase</w:t>
      </w:r>
      <w:r w:rsidR="005034FF">
        <w:noBreakHyphen/>
      </w:r>
      <w:r w:rsidRPr="002206A0">
        <w:t xml:space="preserve">down, in relation to: </w:t>
      </w:r>
    </w:p>
    <w:p w14:paraId="1A313732" w14:textId="77777777" w:rsidR="005B64DC" w:rsidRPr="002206A0" w:rsidRDefault="005B64DC" w:rsidP="005B64DC">
      <w:pPr>
        <w:widowControl w:val="0"/>
        <w:numPr>
          <w:ilvl w:val="2"/>
          <w:numId w:val="1"/>
        </w:numPr>
        <w:spacing w:after="240"/>
        <w:outlineLvl w:val="2"/>
      </w:pPr>
      <w:r w:rsidRPr="002206A0">
        <w:t xml:space="preserve">The results of funded recovery, recycling and reclamation (RRR) activities and the provision of servicing tools, and their potential to reduce refrigerant emissions; </w:t>
      </w:r>
    </w:p>
    <w:p w14:paraId="6D1F2691" w14:textId="77777777" w:rsidR="005B64DC" w:rsidRPr="002206A0" w:rsidRDefault="005B64DC" w:rsidP="005B64DC">
      <w:pPr>
        <w:widowControl w:val="0"/>
        <w:numPr>
          <w:ilvl w:val="2"/>
          <w:numId w:val="1"/>
        </w:numPr>
        <w:spacing w:after="240"/>
        <w:outlineLvl w:val="2"/>
      </w:pPr>
      <w:bookmarkStart w:id="0" w:name="_Hlk528844627"/>
      <w:r w:rsidRPr="002206A0">
        <w:t>The extent of the involvement of the private and/or public sector (e.g.</w:t>
      </w:r>
      <w:r w:rsidR="00C62C6C">
        <w:t>,</w:t>
      </w:r>
      <w:r w:rsidRPr="002206A0">
        <w:t xml:space="preserve"> equipment, components and refrigerant suppliers) in introducing and adopting alternatives in the servicing sector; </w:t>
      </w:r>
    </w:p>
    <w:bookmarkEnd w:id="0"/>
    <w:p w14:paraId="5F178BB9" w14:textId="77777777" w:rsidR="005B64DC" w:rsidRPr="002206A0" w:rsidRDefault="005B64DC" w:rsidP="0029767D">
      <w:pPr>
        <w:widowControl w:val="0"/>
        <w:numPr>
          <w:ilvl w:val="2"/>
          <w:numId w:val="1"/>
        </w:numPr>
        <w:spacing w:after="240"/>
        <w:outlineLvl w:val="2"/>
      </w:pPr>
      <w:r w:rsidRPr="002206A0">
        <w:t xml:space="preserve">Health and safety standards, protocols and equipment (including protective equipment) available for alternatives; </w:t>
      </w:r>
    </w:p>
    <w:p w14:paraId="25582C93" w14:textId="77777777" w:rsidR="005B64DC" w:rsidRPr="002206A0" w:rsidRDefault="005B64DC" w:rsidP="005B64DC">
      <w:pPr>
        <w:widowControl w:val="0"/>
        <w:numPr>
          <w:ilvl w:val="2"/>
          <w:numId w:val="1"/>
        </w:numPr>
        <w:spacing w:after="240"/>
        <w:outlineLvl w:val="2"/>
      </w:pPr>
      <w:r w:rsidRPr="002206A0">
        <w:t>Training and certification programmes;</w:t>
      </w:r>
    </w:p>
    <w:p w14:paraId="42B2BA40" w14:textId="77777777" w:rsidR="005B64DC" w:rsidRPr="002206A0" w:rsidRDefault="005B64DC" w:rsidP="0029767D">
      <w:pPr>
        <w:widowControl w:val="0"/>
        <w:numPr>
          <w:ilvl w:val="2"/>
          <w:numId w:val="1"/>
        </w:numPr>
        <w:spacing w:after="240"/>
        <w:outlineLvl w:val="2"/>
      </w:pPr>
      <w:r w:rsidRPr="002206A0">
        <w:t>If and how energy efficiency was addressed in the servicing/end-user sector; and</w:t>
      </w:r>
    </w:p>
    <w:p w14:paraId="5DA00197" w14:textId="77777777" w:rsidR="005B64DC" w:rsidRPr="002206A0" w:rsidRDefault="005B64DC" w:rsidP="0029767D">
      <w:pPr>
        <w:widowControl w:val="0"/>
        <w:numPr>
          <w:ilvl w:val="1"/>
          <w:numId w:val="1"/>
        </w:numPr>
        <w:spacing w:after="240"/>
        <w:outlineLvl w:val="1"/>
      </w:pPr>
      <w:r w:rsidRPr="002206A0">
        <w:t>The minimum information needed for the development of training and competency-based certification programmes and modules for service technicians and customs officers for the transition to alternatives</w:t>
      </w:r>
      <w:r w:rsidR="002206A0" w:rsidRPr="002206A0">
        <w:t xml:space="preserve"> (decision 80/76(c)).</w:t>
      </w:r>
    </w:p>
    <w:p w14:paraId="5E69DD9D" w14:textId="7C1086E2" w:rsidR="00FB325A" w:rsidRDefault="00FB325A" w:rsidP="0029767D">
      <w:pPr>
        <w:pStyle w:val="Heading1"/>
      </w:pPr>
      <w:r w:rsidRPr="00FB325A">
        <w:t xml:space="preserve">At </w:t>
      </w:r>
      <w:r>
        <w:t>its 81</w:t>
      </w:r>
      <w:r w:rsidRPr="00FB325A">
        <w:rPr>
          <w:vertAlign w:val="superscript"/>
        </w:rPr>
        <w:t>st</w:t>
      </w:r>
      <w:r>
        <w:t xml:space="preserve"> </w:t>
      </w:r>
      <w:r w:rsidRPr="00FB325A">
        <w:t xml:space="preserve">meeting, in the context of the </w:t>
      </w:r>
      <w:r w:rsidR="00A372C4">
        <w:t xml:space="preserve">discussion on the development of the </w:t>
      </w:r>
      <w:r w:rsidRPr="00FB325A">
        <w:t>cost guidelines for HFC phase-down</w:t>
      </w:r>
      <w:r w:rsidR="00A372C4">
        <w:t xml:space="preserve"> under agenda item 10(a)</w:t>
      </w:r>
      <w:r w:rsidRPr="00FB325A">
        <w:t xml:space="preserve">, the Executive Committee </w:t>
      </w:r>
      <w:r>
        <w:t>decided t</w:t>
      </w:r>
      <w:r w:rsidRPr="00FB325A">
        <w:t>o consider at the 82</w:t>
      </w:r>
      <w:r w:rsidRPr="00FB325A">
        <w:rPr>
          <w:vertAlign w:val="superscript"/>
        </w:rPr>
        <w:t>nd</w:t>
      </w:r>
      <w:r w:rsidR="00A372C4">
        <w:t> </w:t>
      </w:r>
      <w:r w:rsidRPr="00FB325A">
        <w:t xml:space="preserve">meeting the matter of </w:t>
      </w:r>
      <w:r w:rsidR="007A521B">
        <w:t>prioritizing</w:t>
      </w:r>
      <w:r w:rsidRPr="00FB325A">
        <w:t xml:space="preserve"> technical assistance and capacity building to address safety issues associated with alternatives with low and zero</w:t>
      </w:r>
      <w:r w:rsidR="005034FF">
        <w:t>-</w:t>
      </w:r>
      <w:r w:rsidRPr="00FB325A">
        <w:t xml:space="preserve">GWP for all sectors, in light of the paper being prepared by the Secretariat in response to decision 80/76 regarding aspects </w:t>
      </w:r>
      <w:r w:rsidR="00046D1A">
        <w:t xml:space="preserve">related to the </w:t>
      </w:r>
      <w:r w:rsidRPr="00FB325A">
        <w:t>refrigeration servicing secto</w:t>
      </w:r>
      <w:r>
        <w:t>r that supported HFC phase-down</w:t>
      </w:r>
      <w:r w:rsidR="004D4302">
        <w:t xml:space="preserve"> (</w:t>
      </w:r>
      <w:r w:rsidR="004D4302" w:rsidRPr="00FB325A">
        <w:t xml:space="preserve">decision </w:t>
      </w:r>
      <w:r w:rsidR="004D4302">
        <w:t>81/67(c))</w:t>
      </w:r>
      <w:r>
        <w:t>.</w:t>
      </w:r>
    </w:p>
    <w:p w14:paraId="1E67AF1F" w14:textId="77777777" w:rsidR="004D4302" w:rsidRDefault="004D4302" w:rsidP="0029767D">
      <w:pPr>
        <w:pStyle w:val="Heading1"/>
      </w:pPr>
      <w:r w:rsidRPr="005472DC">
        <w:t xml:space="preserve">The Secretariat has prepared this </w:t>
      </w:r>
      <w:r>
        <w:t>preliminary document</w:t>
      </w:r>
      <w:r w:rsidRPr="005472DC">
        <w:t xml:space="preserve"> in response to decision</w:t>
      </w:r>
      <w:r w:rsidR="001E3C3C">
        <w:t>s</w:t>
      </w:r>
      <w:r w:rsidRPr="005472DC">
        <w:t xml:space="preserve"> </w:t>
      </w:r>
      <w:r>
        <w:t>80/76(c)</w:t>
      </w:r>
      <w:r w:rsidR="001E3C3C">
        <w:t xml:space="preserve"> and 81/67(c)</w:t>
      </w:r>
      <w:r w:rsidRPr="005472DC">
        <w:t xml:space="preserve">. </w:t>
      </w:r>
    </w:p>
    <w:p w14:paraId="0AB5FEFF" w14:textId="77777777" w:rsidR="005B64DC" w:rsidRPr="004D4302" w:rsidRDefault="004D4302" w:rsidP="005B64DC">
      <w:pPr>
        <w:pStyle w:val="Heading1"/>
        <w:numPr>
          <w:ilvl w:val="0"/>
          <w:numId w:val="0"/>
        </w:numPr>
        <w:rPr>
          <w:b/>
        </w:rPr>
      </w:pPr>
      <w:r>
        <w:rPr>
          <w:b/>
        </w:rPr>
        <w:t>Sources of information used</w:t>
      </w:r>
    </w:p>
    <w:p w14:paraId="03044219" w14:textId="77777777" w:rsidR="004D4302" w:rsidRDefault="005B64DC" w:rsidP="0029767D">
      <w:pPr>
        <w:pStyle w:val="Heading1"/>
      </w:pPr>
      <w:r w:rsidRPr="005472DC">
        <w:t xml:space="preserve">In preparing this document, the Secretariat took into consideration </w:t>
      </w:r>
      <w:r w:rsidR="00A372C4">
        <w:t xml:space="preserve">all the </w:t>
      </w:r>
      <w:r w:rsidRPr="005472DC">
        <w:t xml:space="preserve">decisions of the Executive Committee </w:t>
      </w:r>
      <w:r w:rsidR="00D80604">
        <w:t xml:space="preserve">and the Parties to the Montreal Protocol </w:t>
      </w:r>
      <w:r w:rsidRPr="005472DC">
        <w:t>related to the refrigeration servicing sector, the experience gained in the Multilateral Fund from the review of stand-alone activities</w:t>
      </w:r>
      <w:r w:rsidRPr="005472DC">
        <w:rPr>
          <w:rStyle w:val="FootnoteReference"/>
        </w:rPr>
        <w:footnoteReference w:id="2"/>
      </w:r>
      <w:r w:rsidRPr="005472DC">
        <w:t xml:space="preserve"> and phase-out plans</w:t>
      </w:r>
      <w:r w:rsidRPr="005472DC">
        <w:rPr>
          <w:rStyle w:val="FootnoteReference"/>
        </w:rPr>
        <w:footnoteReference w:id="3"/>
      </w:r>
      <w:r w:rsidRPr="005472DC">
        <w:t xml:space="preserve"> addressing the servicing sector; case studies and evaluations completed by the Senior Monitoring and Evaluation Officer; and project completion reports (PCRs). </w:t>
      </w:r>
    </w:p>
    <w:p w14:paraId="55687B2B" w14:textId="77777777" w:rsidR="005B64DC" w:rsidRDefault="005B64DC" w:rsidP="0029767D">
      <w:pPr>
        <w:pStyle w:val="Heading1"/>
      </w:pPr>
      <w:r w:rsidRPr="005472DC">
        <w:t xml:space="preserve">The Secretariat also </w:t>
      </w:r>
      <w:r w:rsidR="006D7E6B">
        <w:t>considered</w:t>
      </w:r>
      <w:r>
        <w:t>:</w:t>
      </w:r>
    </w:p>
    <w:p w14:paraId="244A0268" w14:textId="24E95CD5" w:rsidR="005B64DC" w:rsidRPr="004C0689" w:rsidRDefault="005B64DC" w:rsidP="0029767D">
      <w:pPr>
        <w:pStyle w:val="Heading2"/>
      </w:pPr>
      <w:r w:rsidRPr="004C0689">
        <w:t>Discussions with refrigeration</w:t>
      </w:r>
      <w:r w:rsidR="005034FF">
        <w:t xml:space="preserve"> </w:t>
      </w:r>
      <w:r w:rsidRPr="004C0689">
        <w:t>servicing</w:t>
      </w:r>
      <w:r w:rsidR="005034FF">
        <w:t xml:space="preserve"> </w:t>
      </w:r>
      <w:r w:rsidRPr="004C0689">
        <w:t xml:space="preserve">sector </w:t>
      </w:r>
      <w:r w:rsidR="00B000DF" w:rsidRPr="004C0689">
        <w:t xml:space="preserve">stakeholders </w:t>
      </w:r>
      <w:r w:rsidRPr="004C0689">
        <w:t>in Article 5 countries and non</w:t>
      </w:r>
      <w:r w:rsidR="00B44FB0">
        <w:noBreakHyphen/>
      </w:r>
      <w:r w:rsidRPr="004C0689">
        <w:t>Article 5 countries</w:t>
      </w:r>
      <w:r w:rsidR="00B000DF" w:rsidRPr="004C0689">
        <w:t>, held during</w:t>
      </w:r>
      <w:r w:rsidRPr="004C0689">
        <w:t xml:space="preserve"> missions to several countries and meetings at the Secretariat between February and April 2018;</w:t>
      </w:r>
    </w:p>
    <w:p w14:paraId="464B1BD5" w14:textId="77777777" w:rsidR="005B64DC" w:rsidRPr="004C0689" w:rsidRDefault="006D7E6B" w:rsidP="0029767D">
      <w:pPr>
        <w:pStyle w:val="Heading2"/>
      </w:pPr>
      <w:r w:rsidRPr="004C0689">
        <w:t>D</w:t>
      </w:r>
      <w:r w:rsidR="005B64DC" w:rsidRPr="004C0689">
        <w:t>iscussion</w:t>
      </w:r>
      <w:r w:rsidR="00B000DF" w:rsidRPr="004C0689">
        <w:t>s</w:t>
      </w:r>
      <w:r w:rsidR="005B64DC" w:rsidRPr="004C0689">
        <w:t xml:space="preserve"> with experts from bilateral and implementing agencies on all aspects of the refrigeration servicing sector, </w:t>
      </w:r>
      <w:r w:rsidR="00A372C4" w:rsidRPr="004C0689">
        <w:t>during the two Inter-agency coordination meetings (IACM) in 2018</w:t>
      </w:r>
      <w:r w:rsidR="00A372C4" w:rsidRPr="004C0689">
        <w:rPr>
          <w:rStyle w:val="FootnoteReference"/>
        </w:rPr>
        <w:footnoteReference w:id="4"/>
      </w:r>
      <w:r w:rsidR="00A372C4" w:rsidRPr="004C0689">
        <w:t xml:space="preserve"> and during a two-day meeting focusing only on the refrigeration servicing sector </w:t>
      </w:r>
      <w:r w:rsidR="005B64DC" w:rsidRPr="004C0689">
        <w:t xml:space="preserve">held </w:t>
      </w:r>
      <w:r w:rsidR="007A521B">
        <w:t>i</w:t>
      </w:r>
      <w:r w:rsidR="007A521B" w:rsidRPr="004C0689">
        <w:t xml:space="preserve">n </w:t>
      </w:r>
      <w:r w:rsidR="00A372C4" w:rsidRPr="004C0689">
        <w:t xml:space="preserve">Montreal on </w:t>
      </w:r>
      <w:r w:rsidR="005B64DC" w:rsidRPr="004C0689">
        <w:t xml:space="preserve">29-30 May 2018; </w:t>
      </w:r>
    </w:p>
    <w:p w14:paraId="4A77A23B" w14:textId="23C522E9" w:rsidR="005B64DC" w:rsidRPr="004C0689" w:rsidRDefault="006D7E6B" w:rsidP="0029767D">
      <w:pPr>
        <w:pStyle w:val="Heading2"/>
      </w:pPr>
      <w:r w:rsidRPr="004C0689">
        <w:t xml:space="preserve">Presentations made </w:t>
      </w:r>
      <w:r w:rsidR="00294ACF" w:rsidRPr="004C0689">
        <w:t xml:space="preserve">and discussions held at the </w:t>
      </w:r>
      <w:r w:rsidR="005B64DC" w:rsidRPr="004C0689">
        <w:t>OzonAction International Stakeholders Workshop</w:t>
      </w:r>
      <w:r w:rsidR="00294ACF" w:rsidRPr="004C0689">
        <w:t>,</w:t>
      </w:r>
      <w:r w:rsidR="005B64DC" w:rsidRPr="004C0689">
        <w:t xml:space="preserve"> Streamlining Support and Services to </w:t>
      </w:r>
      <w:r w:rsidR="00972DA9" w:rsidRPr="004C0689">
        <w:t xml:space="preserve">the </w:t>
      </w:r>
      <w:r w:rsidR="005B64DC" w:rsidRPr="004C0689">
        <w:t xml:space="preserve">Refrigeration Servicing Sector, held </w:t>
      </w:r>
      <w:r w:rsidR="006C7B71">
        <w:t xml:space="preserve">in Paris </w:t>
      </w:r>
      <w:r w:rsidR="005B64DC" w:rsidRPr="004C0689">
        <w:t>on 16-17 July 2018;</w:t>
      </w:r>
      <w:r w:rsidR="006C7B71">
        <w:rPr>
          <w:rStyle w:val="FootnoteReference"/>
        </w:rPr>
        <w:footnoteReference w:id="5"/>
      </w:r>
      <w:r w:rsidR="005B64DC" w:rsidRPr="004C0689">
        <w:t xml:space="preserve"> and</w:t>
      </w:r>
    </w:p>
    <w:p w14:paraId="6A9781D4" w14:textId="77777777" w:rsidR="005B64DC" w:rsidRPr="004C0689" w:rsidRDefault="00294ACF" w:rsidP="0029767D">
      <w:pPr>
        <w:pStyle w:val="Heading2"/>
      </w:pPr>
      <w:r w:rsidRPr="004C0689">
        <w:t>R</w:t>
      </w:r>
      <w:r w:rsidR="005B64DC" w:rsidRPr="004C0689">
        <w:t>elevant publications issued by UNEP</w:t>
      </w:r>
      <w:r w:rsidR="00A372C4" w:rsidRPr="004C0689">
        <w:t xml:space="preserve"> </w:t>
      </w:r>
      <w:r w:rsidR="005B64DC" w:rsidRPr="004C0689">
        <w:t>CAP</w:t>
      </w:r>
      <w:r w:rsidRPr="004C0689">
        <w:t>,</w:t>
      </w:r>
      <w:r w:rsidR="005B64DC" w:rsidRPr="004C0689">
        <w:t xml:space="preserve"> the Technology and Economic Assessment Panel (TEAP) and other international </w:t>
      </w:r>
      <w:r w:rsidRPr="004C0689">
        <w:t>organizations.</w:t>
      </w:r>
      <w:r w:rsidR="005B64DC" w:rsidRPr="004C0689">
        <w:rPr>
          <w:rStyle w:val="FootnoteReference"/>
        </w:rPr>
        <w:footnoteReference w:id="6"/>
      </w:r>
      <w:r w:rsidR="005B64DC" w:rsidRPr="004C0689">
        <w:t xml:space="preserve"> </w:t>
      </w:r>
    </w:p>
    <w:p w14:paraId="515C9E65" w14:textId="77777777" w:rsidR="000F255C" w:rsidRPr="006F3665" w:rsidRDefault="000F255C" w:rsidP="0029767D">
      <w:pPr>
        <w:pStyle w:val="Heading1"/>
        <w:numPr>
          <w:ilvl w:val="0"/>
          <w:numId w:val="23"/>
        </w:numPr>
      </w:pPr>
      <w:r w:rsidRPr="006F3665">
        <w:t>Prior to finalizing the present document, the Secretariat sent it to bilateral and implementing agencies for their comments. The Secretariat also sent the report to an independent expert for comments on the technical issues contained in the document. The Secretariat reviewed the inputs rece</w:t>
      </w:r>
      <w:r w:rsidR="004C0689" w:rsidRPr="006F3665">
        <w:t xml:space="preserve">ived and introduced </w:t>
      </w:r>
      <w:r w:rsidRPr="006F3665">
        <w:t>modifications as required.</w:t>
      </w:r>
    </w:p>
    <w:p w14:paraId="6935769C" w14:textId="77777777" w:rsidR="005B64DC" w:rsidRPr="00432A75" w:rsidRDefault="005B64DC" w:rsidP="0029767D">
      <w:pPr>
        <w:pStyle w:val="Heading1"/>
        <w:numPr>
          <w:ilvl w:val="0"/>
          <w:numId w:val="23"/>
        </w:numPr>
      </w:pPr>
      <w:r w:rsidRPr="00432A75">
        <w:t>The Secretariat highly appreciates the insights</w:t>
      </w:r>
      <w:r w:rsidR="000F255C">
        <w:t>,</w:t>
      </w:r>
      <w:r w:rsidRPr="00432A75">
        <w:t xml:space="preserve"> information </w:t>
      </w:r>
      <w:r w:rsidR="000F255C">
        <w:t xml:space="preserve">and comments </w:t>
      </w:r>
      <w:r w:rsidR="007A521B" w:rsidRPr="00432A75">
        <w:t xml:space="preserve">provided </w:t>
      </w:r>
      <w:r w:rsidRPr="00432A75">
        <w:t>by the bilateral and implementing agencies.</w:t>
      </w:r>
    </w:p>
    <w:p w14:paraId="43142A6B" w14:textId="77777777" w:rsidR="005B64DC" w:rsidRPr="0011001E" w:rsidRDefault="005B64DC" w:rsidP="005B64DC">
      <w:pPr>
        <w:pStyle w:val="StyleHeader4Para4Left0Firstline0"/>
        <w:numPr>
          <w:ilvl w:val="0"/>
          <w:numId w:val="0"/>
        </w:numPr>
        <w:rPr>
          <w:b/>
          <w:sz w:val="22"/>
        </w:rPr>
      </w:pPr>
      <w:r>
        <w:rPr>
          <w:b/>
          <w:sz w:val="22"/>
        </w:rPr>
        <w:t>Structure of the document</w:t>
      </w:r>
    </w:p>
    <w:p w14:paraId="77AC2C5A" w14:textId="2573D34D" w:rsidR="00996D06" w:rsidRPr="002742AD" w:rsidRDefault="007E7210" w:rsidP="0029767D">
      <w:pPr>
        <w:pStyle w:val="Heading1"/>
        <w:numPr>
          <w:ilvl w:val="0"/>
          <w:numId w:val="23"/>
        </w:numPr>
      </w:pPr>
      <w:r w:rsidRPr="002742AD">
        <w:t xml:space="preserve">Given the substantial amount of information on the refrigeration servicing sector that was reviewed, in light of the guidance provided in decision 80/76(c), and to facilitate the review of the document by Executive Committee members, the document has been structured in five sections including a recommendation. </w:t>
      </w:r>
      <w:r w:rsidR="00996D06" w:rsidRPr="002742AD">
        <w:t>To assist the Executive Committee in its deliberations, e</w:t>
      </w:r>
      <w:r w:rsidRPr="002742AD">
        <w:t xml:space="preserve">ach section contains relevant information focussing more on the policy aspects of the subjects </w:t>
      </w:r>
      <w:r w:rsidR="00996D06" w:rsidRPr="002742AD">
        <w:t xml:space="preserve">rather than on the more technical aspects. However, detailed technical information is available and could be </w:t>
      </w:r>
      <w:r w:rsidR="005034FF">
        <w:t>made</w:t>
      </w:r>
      <w:r w:rsidR="005034FF" w:rsidRPr="002742AD">
        <w:t xml:space="preserve"> </w:t>
      </w:r>
      <w:r w:rsidR="00996D06" w:rsidRPr="002742AD">
        <w:t>available upon request. A brief description of the five sections of the document is presented below.</w:t>
      </w:r>
    </w:p>
    <w:p w14:paraId="232E5E9A" w14:textId="77777777" w:rsidR="00996D06" w:rsidRPr="002742AD" w:rsidRDefault="005B64DC" w:rsidP="00EF720B">
      <w:pPr>
        <w:pStyle w:val="Heading1"/>
        <w:numPr>
          <w:ilvl w:val="0"/>
          <w:numId w:val="12"/>
        </w:numPr>
        <w:spacing w:after="0"/>
      </w:pPr>
      <w:r w:rsidRPr="002742AD">
        <w:rPr>
          <w:u w:val="single"/>
        </w:rPr>
        <w:t>An overview of the refrigeration servicing sector</w:t>
      </w:r>
      <w:r w:rsidR="00D818B6" w:rsidRPr="002742AD">
        <w:t>:</w:t>
      </w:r>
    </w:p>
    <w:p w14:paraId="44EFEE9F" w14:textId="77777777" w:rsidR="005B64DC" w:rsidRDefault="00D818B6" w:rsidP="00996D06">
      <w:pPr>
        <w:pStyle w:val="Heading1"/>
        <w:numPr>
          <w:ilvl w:val="0"/>
          <w:numId w:val="0"/>
        </w:numPr>
        <w:spacing w:after="0"/>
        <w:ind w:left="1440"/>
      </w:pPr>
      <w:r w:rsidRPr="002742AD">
        <w:t xml:space="preserve">Describes the evolution of </w:t>
      </w:r>
      <w:r w:rsidR="00996D06" w:rsidRPr="002742AD">
        <w:t xml:space="preserve">technical and financial </w:t>
      </w:r>
      <w:r w:rsidRPr="002742AD">
        <w:t xml:space="preserve">assistance </w:t>
      </w:r>
      <w:r w:rsidR="00996D06" w:rsidRPr="002742AD">
        <w:t xml:space="preserve">that has been </w:t>
      </w:r>
      <w:r w:rsidRPr="002742AD">
        <w:t>prov</w:t>
      </w:r>
      <w:r w:rsidR="007935C9" w:rsidRPr="002742AD">
        <w:t>i</w:t>
      </w:r>
      <w:r w:rsidRPr="002742AD">
        <w:t xml:space="preserve">ded </w:t>
      </w:r>
      <w:r w:rsidR="00996D06" w:rsidRPr="002742AD">
        <w:t xml:space="preserve">to </w:t>
      </w:r>
      <w:r w:rsidRPr="002742AD">
        <w:t xml:space="preserve">the </w:t>
      </w:r>
      <w:r w:rsidR="00996D06" w:rsidRPr="002742AD">
        <w:t xml:space="preserve">refrigeration servicing sector since the inception of </w:t>
      </w:r>
      <w:r w:rsidRPr="002742AD">
        <w:t>the Multilateral Fund</w:t>
      </w:r>
      <w:r w:rsidR="008D1B34" w:rsidRPr="002742AD">
        <w:t xml:space="preserve">; presents </w:t>
      </w:r>
      <w:r w:rsidRPr="002742AD">
        <w:t>an analysis of the current characteristics of the refrigeration and air-conditioning sectors</w:t>
      </w:r>
      <w:r w:rsidR="008D1B34" w:rsidRPr="002742AD">
        <w:t>;</w:t>
      </w:r>
      <w:r w:rsidRPr="002742AD">
        <w:t xml:space="preserve"> and </w:t>
      </w:r>
      <w:r w:rsidR="008D1B34" w:rsidRPr="002742AD">
        <w:t xml:space="preserve">identifies </w:t>
      </w:r>
      <w:r w:rsidRPr="002742AD">
        <w:t xml:space="preserve">potential challenges </w:t>
      </w:r>
      <w:r w:rsidR="008D1B34" w:rsidRPr="002742AD">
        <w:t xml:space="preserve">for the </w:t>
      </w:r>
      <w:r w:rsidRPr="002742AD">
        <w:t>phase-down</w:t>
      </w:r>
      <w:r w:rsidR="000E025D" w:rsidRPr="002742AD">
        <w:t xml:space="preserve"> </w:t>
      </w:r>
      <w:r w:rsidR="008D1B34" w:rsidRPr="002742AD">
        <w:t xml:space="preserve">of HFCs </w:t>
      </w:r>
      <w:r w:rsidR="000E025D" w:rsidRPr="002742AD">
        <w:t>in the sector</w:t>
      </w:r>
    </w:p>
    <w:p w14:paraId="43A217D6" w14:textId="77777777" w:rsidR="005B64DC" w:rsidRPr="005B64DC" w:rsidRDefault="005B64DC" w:rsidP="005B64DC"/>
    <w:p w14:paraId="3C7950EC" w14:textId="77777777" w:rsidR="008D1B34" w:rsidRPr="003B5C17" w:rsidRDefault="005B64DC" w:rsidP="00047489">
      <w:pPr>
        <w:pStyle w:val="Heading1"/>
        <w:keepNext/>
        <w:numPr>
          <w:ilvl w:val="0"/>
          <w:numId w:val="12"/>
        </w:numPr>
        <w:spacing w:after="0"/>
      </w:pPr>
      <w:r w:rsidRPr="008D1B34">
        <w:rPr>
          <w:u w:val="single"/>
        </w:rPr>
        <w:t xml:space="preserve">Analysis of existing </w:t>
      </w:r>
      <w:r w:rsidR="008F3D9A" w:rsidRPr="008D1B34">
        <w:rPr>
          <w:u w:val="single"/>
        </w:rPr>
        <w:t xml:space="preserve">capacity </w:t>
      </w:r>
      <w:r w:rsidR="005C427D" w:rsidRPr="008D1B34">
        <w:rPr>
          <w:u w:val="single"/>
        </w:rPr>
        <w:t xml:space="preserve">created </w:t>
      </w:r>
      <w:r w:rsidRPr="008D1B34">
        <w:rPr>
          <w:u w:val="single"/>
        </w:rPr>
        <w:t xml:space="preserve">with the funding approved for the refrigeration </w:t>
      </w:r>
      <w:r w:rsidRPr="003B5C17">
        <w:rPr>
          <w:u w:val="single"/>
        </w:rPr>
        <w:t>servicing sector</w:t>
      </w:r>
      <w:r w:rsidR="00D818B6" w:rsidRPr="003B5C17">
        <w:t>:</w:t>
      </w:r>
    </w:p>
    <w:p w14:paraId="152241F5" w14:textId="45CEFF8B" w:rsidR="005B64DC" w:rsidRDefault="00D818B6" w:rsidP="00047489">
      <w:pPr>
        <w:pStyle w:val="Heading1"/>
        <w:keepNext/>
        <w:numPr>
          <w:ilvl w:val="0"/>
          <w:numId w:val="0"/>
        </w:numPr>
        <w:spacing w:after="0"/>
        <w:ind w:left="1440"/>
      </w:pPr>
      <w:r w:rsidRPr="003B5C17">
        <w:t xml:space="preserve">Describes the capacity </w:t>
      </w:r>
      <w:r w:rsidR="008D1B34" w:rsidRPr="003B5C17">
        <w:t xml:space="preserve">that </w:t>
      </w:r>
      <w:r w:rsidR="007A521B" w:rsidRPr="003B5C17">
        <w:t>ha</w:t>
      </w:r>
      <w:r w:rsidR="007A521B">
        <w:t>s</w:t>
      </w:r>
      <w:r w:rsidR="007A521B" w:rsidRPr="003B5C17">
        <w:t xml:space="preserve"> </w:t>
      </w:r>
      <w:r w:rsidR="008D1B34" w:rsidRPr="003B5C17">
        <w:t xml:space="preserve">been established and strengthened </w:t>
      </w:r>
      <w:r w:rsidR="000E025D" w:rsidRPr="003B5C17">
        <w:t>in Article 5 countries</w:t>
      </w:r>
      <w:r w:rsidRPr="003B5C17">
        <w:t xml:space="preserve"> in relation to</w:t>
      </w:r>
      <w:r w:rsidR="007A521B">
        <w:t>:</w:t>
      </w:r>
      <w:r w:rsidRPr="003B5C17">
        <w:t xml:space="preserve"> policy and regulatory frameworks including standards</w:t>
      </w:r>
      <w:r w:rsidR="008D1B34" w:rsidRPr="003B5C17">
        <w:t>;</w:t>
      </w:r>
      <w:r w:rsidRPr="003B5C17">
        <w:t xml:space="preserve"> training and certification of </w:t>
      </w:r>
      <w:r w:rsidR="008D1B34" w:rsidRPr="003B5C17">
        <w:t xml:space="preserve">refrigeration </w:t>
      </w:r>
      <w:r w:rsidRPr="003B5C17">
        <w:t>technicians</w:t>
      </w:r>
      <w:r w:rsidR="008D1B34" w:rsidRPr="003B5C17">
        <w:t>;</w:t>
      </w:r>
      <w:r w:rsidRPr="003B5C17">
        <w:t xml:space="preserve"> </w:t>
      </w:r>
      <w:r w:rsidR="008D1B34" w:rsidRPr="003B5C17">
        <w:t xml:space="preserve">and </w:t>
      </w:r>
      <w:r w:rsidRPr="003B5C17">
        <w:t xml:space="preserve">technical assistance including </w:t>
      </w:r>
      <w:r w:rsidR="007A521B">
        <w:t xml:space="preserve">the </w:t>
      </w:r>
      <w:r w:rsidR="008D1B34" w:rsidRPr="003B5C17">
        <w:t xml:space="preserve">provision of </w:t>
      </w:r>
      <w:r w:rsidRPr="003B5C17">
        <w:t>servicing tools</w:t>
      </w:r>
      <w:r w:rsidR="008D1B34" w:rsidRPr="003B5C17">
        <w:t xml:space="preserve"> for technicians</w:t>
      </w:r>
      <w:r w:rsidRPr="003B5C17">
        <w:t xml:space="preserve">, </w:t>
      </w:r>
      <w:r w:rsidR="007A521B">
        <w:t xml:space="preserve">the </w:t>
      </w:r>
      <w:r w:rsidR="008D1B34" w:rsidRPr="003B5C17">
        <w:t xml:space="preserve">establishment of </w:t>
      </w:r>
      <w:r w:rsidR="002F7B75">
        <w:t>RRR</w:t>
      </w:r>
      <w:r w:rsidRPr="003B5C17">
        <w:t xml:space="preserve"> </w:t>
      </w:r>
      <w:r w:rsidR="008D1B34" w:rsidRPr="003B5C17">
        <w:t>schemes</w:t>
      </w:r>
      <w:r w:rsidR="007A521B">
        <w:t>, the</w:t>
      </w:r>
      <w:r w:rsidRPr="003B5C17">
        <w:t xml:space="preserve"> retrofit</w:t>
      </w:r>
      <w:r w:rsidR="007A521B">
        <w:t>ting</w:t>
      </w:r>
      <w:r w:rsidRPr="003B5C17">
        <w:t xml:space="preserve"> </w:t>
      </w:r>
      <w:r w:rsidR="008D1B34" w:rsidRPr="003B5C17">
        <w:t>of refrigeration systems</w:t>
      </w:r>
      <w:r w:rsidRPr="003B5C17">
        <w:t xml:space="preserve">, and </w:t>
      </w:r>
      <w:r w:rsidR="007A521B">
        <w:t xml:space="preserve">the </w:t>
      </w:r>
      <w:r w:rsidR="008D1B34" w:rsidRPr="003B5C17">
        <w:t xml:space="preserve">maintaining </w:t>
      </w:r>
      <w:r w:rsidR="007A521B">
        <w:t xml:space="preserve">of </w:t>
      </w:r>
      <w:r w:rsidRPr="003B5C17">
        <w:t xml:space="preserve">energy efficiency. </w:t>
      </w:r>
      <w:r w:rsidR="00515EB2">
        <w:t xml:space="preserve"> The analysis of each of these areas include the </w:t>
      </w:r>
      <w:r w:rsidR="0070490C" w:rsidRPr="0070490C">
        <w:t>involvement of the private and public sector</w:t>
      </w:r>
      <w:r w:rsidR="00515EB2">
        <w:t xml:space="preserve">s and </w:t>
      </w:r>
      <w:r w:rsidR="007A521B">
        <w:t>how</w:t>
      </w:r>
      <w:r w:rsidRPr="003B5C17">
        <w:t xml:space="preserve"> th</w:t>
      </w:r>
      <w:r w:rsidR="00515EB2">
        <w:t>e</w:t>
      </w:r>
      <w:r w:rsidR="00246DEE" w:rsidRPr="003B5C17">
        <w:t xml:space="preserve"> capacity </w:t>
      </w:r>
      <w:r w:rsidR="00515EB2">
        <w:t xml:space="preserve">created </w:t>
      </w:r>
      <w:r w:rsidR="007A521B">
        <w:t xml:space="preserve">can be used </w:t>
      </w:r>
      <w:r w:rsidR="00246DEE" w:rsidRPr="003B5C17">
        <w:t>for HFC phase-down</w:t>
      </w:r>
    </w:p>
    <w:p w14:paraId="5E490DC6" w14:textId="77777777" w:rsidR="005B64DC" w:rsidRDefault="005B64DC" w:rsidP="005B64DC">
      <w:pPr>
        <w:ind w:left="1440" w:hanging="720"/>
      </w:pPr>
    </w:p>
    <w:p w14:paraId="33A2407E" w14:textId="77777777" w:rsidR="008D1B34" w:rsidRPr="003B5C17" w:rsidRDefault="005B64DC" w:rsidP="008D1B34">
      <w:pPr>
        <w:pStyle w:val="ListParagraph"/>
        <w:numPr>
          <w:ilvl w:val="0"/>
          <w:numId w:val="12"/>
        </w:numPr>
      </w:pPr>
      <w:r w:rsidRPr="003B5C17">
        <w:rPr>
          <w:u w:val="single"/>
        </w:rPr>
        <w:t>Analysis of the minimum information needed for the development of training and competency-based certification programmes and modules for service technicians and customs officers for the transition to alternatives</w:t>
      </w:r>
      <w:r w:rsidR="00D818B6" w:rsidRPr="003B5C17">
        <w:t xml:space="preserve">: </w:t>
      </w:r>
    </w:p>
    <w:p w14:paraId="7290FA43" w14:textId="77777777" w:rsidR="005B64DC" w:rsidRDefault="008D1B34" w:rsidP="008D1B34">
      <w:pPr>
        <w:pStyle w:val="ListParagraph"/>
        <w:ind w:left="1440"/>
      </w:pPr>
      <w:r w:rsidRPr="003B5C17">
        <w:t>D</w:t>
      </w:r>
      <w:r w:rsidR="00246DEE" w:rsidRPr="003B5C17">
        <w:t>iscuss</w:t>
      </w:r>
      <w:r w:rsidRPr="003B5C17">
        <w:t>es</w:t>
      </w:r>
      <w:r w:rsidR="00246DEE" w:rsidRPr="003B5C17">
        <w:t xml:space="preserve"> </w:t>
      </w:r>
      <w:r w:rsidRPr="003B5C17">
        <w:t xml:space="preserve">how </w:t>
      </w:r>
      <w:r w:rsidR="00246DEE" w:rsidRPr="003B5C17">
        <w:t xml:space="preserve">common training modules could be applied </w:t>
      </w:r>
      <w:r w:rsidRPr="003B5C17">
        <w:t xml:space="preserve">to the circumstances prevailing </w:t>
      </w:r>
      <w:r w:rsidR="00246DEE" w:rsidRPr="003B5C17">
        <w:t>in Article 5 countries</w:t>
      </w:r>
      <w:r w:rsidRPr="003B5C17">
        <w:t>,</w:t>
      </w:r>
      <w:r w:rsidR="00246DEE" w:rsidRPr="003B5C17">
        <w:t xml:space="preserve"> and </w:t>
      </w:r>
      <w:r w:rsidR="00D818B6" w:rsidRPr="003B5C17">
        <w:t>analys</w:t>
      </w:r>
      <w:r w:rsidRPr="003B5C17">
        <w:t xml:space="preserve">es how </w:t>
      </w:r>
      <w:r w:rsidR="00D818B6" w:rsidRPr="003B5C17">
        <w:t xml:space="preserve">the global products </w:t>
      </w:r>
      <w:r w:rsidRPr="003B5C17">
        <w:t xml:space="preserve">that </w:t>
      </w:r>
      <w:r w:rsidR="007A521B" w:rsidRPr="003B5C17">
        <w:t>ha</w:t>
      </w:r>
      <w:r w:rsidR="007A521B">
        <w:t xml:space="preserve">ve </w:t>
      </w:r>
      <w:r w:rsidRPr="003B5C17">
        <w:t xml:space="preserve">been </w:t>
      </w:r>
      <w:r w:rsidR="00D818B6" w:rsidRPr="003B5C17">
        <w:t xml:space="preserve">developed </w:t>
      </w:r>
      <w:r w:rsidR="000E025D" w:rsidRPr="003B5C17">
        <w:t xml:space="preserve">by UNEP in partnership with other international organizations </w:t>
      </w:r>
      <w:r w:rsidRPr="003B5C17">
        <w:t xml:space="preserve">could support the activities in the </w:t>
      </w:r>
      <w:r w:rsidR="00D818B6" w:rsidRPr="003B5C17">
        <w:t xml:space="preserve">refrigeration servicing sector </w:t>
      </w:r>
      <w:r w:rsidRPr="003B5C17">
        <w:t xml:space="preserve">funded </w:t>
      </w:r>
      <w:r w:rsidR="007A521B">
        <w:t>by</w:t>
      </w:r>
      <w:r w:rsidR="007A521B" w:rsidRPr="003B5C17">
        <w:t xml:space="preserve"> </w:t>
      </w:r>
      <w:r w:rsidRPr="003B5C17">
        <w:t>the Multilateral Fund</w:t>
      </w:r>
    </w:p>
    <w:p w14:paraId="3EDDCA09" w14:textId="77777777" w:rsidR="005B64DC" w:rsidRDefault="005B64DC" w:rsidP="005B64DC">
      <w:pPr>
        <w:ind w:firstLine="720"/>
      </w:pPr>
    </w:p>
    <w:p w14:paraId="5D9C921C" w14:textId="77777777" w:rsidR="008D1B34" w:rsidRPr="003B5C17" w:rsidRDefault="005B64DC" w:rsidP="008D1B34">
      <w:pPr>
        <w:pStyle w:val="ListParagraph"/>
        <w:numPr>
          <w:ilvl w:val="0"/>
          <w:numId w:val="12"/>
        </w:numPr>
      </w:pPr>
      <w:r w:rsidRPr="003B5C17">
        <w:rPr>
          <w:u w:val="single"/>
        </w:rPr>
        <w:t>Considerations for funding HFC phase-down</w:t>
      </w:r>
      <w:r w:rsidR="008D1B34" w:rsidRPr="003B5C17">
        <w:rPr>
          <w:u w:val="single"/>
        </w:rPr>
        <w:t xml:space="preserve"> in the refrigeration servicing sector</w:t>
      </w:r>
      <w:r w:rsidR="008D1B34" w:rsidRPr="003B5C17">
        <w:t>:</w:t>
      </w:r>
    </w:p>
    <w:p w14:paraId="5A9E2A04" w14:textId="3426075E" w:rsidR="004D4302" w:rsidRDefault="00AE3FEC" w:rsidP="008D1B34">
      <w:pPr>
        <w:pStyle w:val="ListParagraph"/>
        <w:ind w:left="1440"/>
      </w:pPr>
      <w:r w:rsidRPr="003B5C17">
        <w:t xml:space="preserve">Discusses </w:t>
      </w:r>
      <w:r w:rsidR="00246DEE" w:rsidRPr="003B5C17">
        <w:t xml:space="preserve">the joint implementation of decisions XIX/6 and XXVIII/2 </w:t>
      </w:r>
      <w:r w:rsidR="00B44FB0">
        <w:t>with</w:t>
      </w:r>
      <w:r w:rsidR="00246DEE" w:rsidRPr="003B5C17">
        <w:t xml:space="preserve"> regard to the refrigeration servicing sector</w:t>
      </w:r>
      <w:r w:rsidR="00577CC3">
        <w:t>,</w:t>
      </w:r>
      <w:r w:rsidRPr="003B5C17">
        <w:t xml:space="preserve"> taking into consideration </w:t>
      </w:r>
      <w:r w:rsidR="00246DEE" w:rsidRPr="003B5C17">
        <w:t>the overlapping schedule of HCFC phase</w:t>
      </w:r>
      <w:r w:rsidR="000E025D" w:rsidRPr="003B5C17">
        <w:t>-out and HFC phase-</w:t>
      </w:r>
      <w:r w:rsidR="00246DEE" w:rsidRPr="003B5C17">
        <w:t>down</w:t>
      </w:r>
      <w:r w:rsidRPr="003B5C17">
        <w:t>;</w:t>
      </w:r>
      <w:r w:rsidR="00246DEE" w:rsidRPr="003B5C17">
        <w:t xml:space="preserve"> </w:t>
      </w:r>
      <w:r w:rsidRPr="003B5C17">
        <w:t xml:space="preserve">summarizes </w:t>
      </w:r>
      <w:r w:rsidR="00246DEE" w:rsidRPr="003B5C17">
        <w:t>how the refrigeration servicing sector has been funded</w:t>
      </w:r>
      <w:r w:rsidRPr="003B5C17">
        <w:t>;</w:t>
      </w:r>
      <w:r w:rsidR="00246DEE" w:rsidRPr="003B5C17">
        <w:t xml:space="preserve"> and </w:t>
      </w:r>
      <w:r w:rsidRPr="003B5C17">
        <w:t xml:space="preserve">presents potential </w:t>
      </w:r>
      <w:r w:rsidR="00246DEE" w:rsidRPr="003B5C17">
        <w:t>considerations to determine assistance for HFC phase</w:t>
      </w:r>
      <w:r w:rsidR="00A470DE">
        <w:noBreakHyphen/>
      </w:r>
      <w:r w:rsidR="00246DEE" w:rsidRPr="003B5C17">
        <w:t>down</w:t>
      </w:r>
      <w:r w:rsidR="00246DEE">
        <w:t xml:space="preserve"> </w:t>
      </w:r>
    </w:p>
    <w:p w14:paraId="00BEC03C" w14:textId="77777777" w:rsidR="004D4302" w:rsidRDefault="004D4302" w:rsidP="005B64DC">
      <w:pPr>
        <w:ind w:firstLine="720"/>
      </w:pPr>
    </w:p>
    <w:p w14:paraId="30E17D0A" w14:textId="77777777" w:rsidR="005B64DC" w:rsidRDefault="004D4302" w:rsidP="005B64DC">
      <w:pPr>
        <w:ind w:firstLine="720"/>
      </w:pPr>
      <w:r>
        <w:t>V.</w:t>
      </w:r>
      <w:r>
        <w:tab/>
      </w:r>
      <w:r w:rsidRPr="00AE3FEC">
        <w:rPr>
          <w:u w:val="single"/>
        </w:rPr>
        <w:t>R</w:t>
      </w:r>
      <w:r w:rsidR="005B64DC" w:rsidRPr="00AE3FEC">
        <w:rPr>
          <w:u w:val="single"/>
        </w:rPr>
        <w:t>ecommendation</w:t>
      </w:r>
    </w:p>
    <w:p w14:paraId="5586A7CC" w14:textId="77777777" w:rsidR="005B64DC" w:rsidRDefault="005B64DC" w:rsidP="005B64DC"/>
    <w:p w14:paraId="29E0272C" w14:textId="77777777" w:rsidR="005B64DC" w:rsidRDefault="005B64DC" w:rsidP="0029767D">
      <w:pPr>
        <w:pStyle w:val="Heading1"/>
        <w:numPr>
          <w:ilvl w:val="0"/>
          <w:numId w:val="23"/>
        </w:numPr>
      </w:pPr>
      <w:r>
        <w:t>The document contains the following annexes:</w:t>
      </w:r>
    </w:p>
    <w:p w14:paraId="174B8DEA" w14:textId="77777777" w:rsidR="009842AA" w:rsidRDefault="005B64DC" w:rsidP="009842AA">
      <w:pPr>
        <w:ind w:left="1440" w:hanging="720"/>
      </w:pPr>
      <w:r>
        <w:t xml:space="preserve">I: </w:t>
      </w:r>
      <w:r>
        <w:tab/>
      </w:r>
      <w:r w:rsidR="009842AA">
        <w:t>Relevant decisions related to the refrigeration servicing sector adopted by the Executive Committee and the Parties to the Montreal Protocol</w:t>
      </w:r>
    </w:p>
    <w:p w14:paraId="4890160F" w14:textId="77777777" w:rsidR="009842AA" w:rsidRDefault="009842AA" w:rsidP="009842AA">
      <w:pPr>
        <w:ind w:left="1440" w:hanging="720"/>
      </w:pPr>
    </w:p>
    <w:p w14:paraId="5AAB254C" w14:textId="77777777" w:rsidR="009842AA" w:rsidRDefault="005B64DC" w:rsidP="00AE3FEC">
      <w:pPr>
        <w:ind w:left="1440" w:hanging="720"/>
      </w:pPr>
      <w:r>
        <w:t xml:space="preserve">II: </w:t>
      </w:r>
      <w:r>
        <w:tab/>
      </w:r>
      <w:r w:rsidR="009842AA">
        <w:t xml:space="preserve">List of </w:t>
      </w:r>
      <w:r w:rsidR="00AE3FEC">
        <w:t xml:space="preserve">the </w:t>
      </w:r>
      <w:r w:rsidR="009842AA">
        <w:t>evaluations related to the refrigeration servicing sector undertaken by the Multilateral Fund</w:t>
      </w:r>
    </w:p>
    <w:p w14:paraId="72C2CB5E" w14:textId="77777777" w:rsidR="00D762D0" w:rsidRDefault="00D762D0" w:rsidP="00AE3FEC"/>
    <w:p w14:paraId="3600D188" w14:textId="77777777" w:rsidR="00D762D0" w:rsidRDefault="0077604E" w:rsidP="00E4214D">
      <w:pPr>
        <w:pStyle w:val="Heading1"/>
        <w:numPr>
          <w:ilvl w:val="0"/>
          <w:numId w:val="0"/>
        </w:numPr>
        <w:spacing w:after="0"/>
        <w:ind w:left="1440" w:hanging="720"/>
      </w:pPr>
      <w:r>
        <w:t>III</w:t>
      </w:r>
      <w:r w:rsidR="00E4214D">
        <w:t>:</w:t>
      </w:r>
      <w:r w:rsidR="00E4214D">
        <w:tab/>
      </w:r>
      <w:r w:rsidR="00D762D0">
        <w:t>Global products developed by UNEP and other international organizations to assist the refrigeration servicing sector in Article 5 countries</w:t>
      </w:r>
    </w:p>
    <w:p w14:paraId="587315F6" w14:textId="77777777" w:rsidR="00D762D0" w:rsidRPr="00D762D0" w:rsidRDefault="00D762D0" w:rsidP="00D762D0"/>
    <w:p w14:paraId="521E6A1D" w14:textId="77777777" w:rsidR="005B64DC" w:rsidRPr="008C5387" w:rsidRDefault="00EF720B" w:rsidP="00AE3FEC">
      <w:pPr>
        <w:pStyle w:val="Heading1"/>
        <w:numPr>
          <w:ilvl w:val="0"/>
          <w:numId w:val="0"/>
        </w:numPr>
        <w:rPr>
          <w:b/>
        </w:rPr>
      </w:pPr>
      <w:r>
        <w:rPr>
          <w:b/>
        </w:rPr>
        <w:t>I</w:t>
      </w:r>
      <w:r w:rsidR="002257EC">
        <w:rPr>
          <w:b/>
        </w:rPr>
        <w:t>.</w:t>
      </w:r>
      <w:r>
        <w:rPr>
          <w:b/>
        </w:rPr>
        <w:tab/>
      </w:r>
      <w:r w:rsidRPr="008C5387">
        <w:rPr>
          <w:b/>
        </w:rPr>
        <w:t>AN OVERVIEW OF THE REFRIGERATION SERVICING SECTOR</w:t>
      </w:r>
    </w:p>
    <w:p w14:paraId="73D9BC04" w14:textId="6BAB2F93" w:rsidR="00702341" w:rsidRPr="006171C7" w:rsidRDefault="005B64DC" w:rsidP="0029767D">
      <w:pPr>
        <w:pStyle w:val="Heading1"/>
        <w:numPr>
          <w:ilvl w:val="0"/>
          <w:numId w:val="23"/>
        </w:numPr>
      </w:pPr>
      <w:r>
        <w:t>S</w:t>
      </w:r>
      <w:r w:rsidRPr="00726670">
        <w:t>ince the inception of the Multilateral Fund</w:t>
      </w:r>
      <w:r>
        <w:t>, th</w:t>
      </w:r>
      <w:r w:rsidRPr="00726670">
        <w:t xml:space="preserve">e Executive Committee has considered </w:t>
      </w:r>
      <w:r>
        <w:t xml:space="preserve">the </w:t>
      </w:r>
      <w:r w:rsidRPr="00726670">
        <w:t>phas</w:t>
      </w:r>
      <w:r>
        <w:t>e</w:t>
      </w:r>
      <w:r w:rsidR="00A470DE">
        <w:noBreakHyphen/>
      </w:r>
      <w:r w:rsidRPr="00726670">
        <w:t xml:space="preserve">out </w:t>
      </w:r>
      <w:r w:rsidR="00D8052F">
        <w:t>of controlled substances</w:t>
      </w:r>
      <w:r w:rsidR="00882244">
        <w:rPr>
          <w:rStyle w:val="FootnoteReference"/>
        </w:rPr>
        <w:footnoteReference w:id="7"/>
      </w:r>
      <w:r w:rsidR="00D80604" w:rsidRPr="00726670">
        <w:t xml:space="preserve"> </w:t>
      </w:r>
      <w:r w:rsidR="00D8052F">
        <w:t xml:space="preserve">that are used </w:t>
      </w:r>
      <w:r w:rsidRPr="00726670">
        <w:t>in the refrigeration servicing sector</w:t>
      </w:r>
      <w:r w:rsidR="00176235">
        <w:rPr>
          <w:rStyle w:val="FootnoteReference"/>
        </w:rPr>
        <w:footnoteReference w:id="8"/>
      </w:r>
      <w:r w:rsidR="00B000DF" w:rsidRPr="00B000DF">
        <w:t xml:space="preserve"> </w:t>
      </w:r>
      <w:r w:rsidR="00B000DF">
        <w:t>to be</w:t>
      </w:r>
      <w:r w:rsidR="00B000DF" w:rsidRPr="00726670">
        <w:t xml:space="preserve"> one of</w:t>
      </w:r>
      <w:r w:rsidR="00B000DF">
        <w:t xml:space="preserve"> it</w:t>
      </w:r>
      <w:r w:rsidR="00B000DF" w:rsidRPr="00726670">
        <w:t>s priorities</w:t>
      </w:r>
      <w:r w:rsidRPr="00726670">
        <w:t xml:space="preserve">. </w:t>
      </w:r>
      <w:r w:rsidR="00B000DF">
        <w:t xml:space="preserve">The Multilateral Fund began funding activities to address the consumption of </w:t>
      </w:r>
      <w:r w:rsidR="00B000DF" w:rsidRPr="006171C7">
        <w:t xml:space="preserve">controlled substances in the refrigeration servicing sector as </w:t>
      </w:r>
      <w:r w:rsidR="0059409A" w:rsidRPr="006171C7">
        <w:t xml:space="preserve">early </w:t>
      </w:r>
      <w:r w:rsidR="001D51C0" w:rsidRPr="006171C7">
        <w:t>a</w:t>
      </w:r>
      <w:r w:rsidR="001D51C0">
        <w:t>s</w:t>
      </w:r>
      <w:r w:rsidR="001D51C0" w:rsidRPr="006171C7">
        <w:t xml:space="preserve"> </w:t>
      </w:r>
      <w:r w:rsidR="0059409A" w:rsidRPr="006171C7">
        <w:t>its 4</w:t>
      </w:r>
      <w:r w:rsidR="0059409A" w:rsidRPr="006171C7">
        <w:rPr>
          <w:vertAlign w:val="superscript"/>
        </w:rPr>
        <w:t>th</w:t>
      </w:r>
      <w:r w:rsidR="0059409A" w:rsidRPr="006171C7">
        <w:t xml:space="preserve"> meeting (June 1991)</w:t>
      </w:r>
      <w:r w:rsidR="00B000DF" w:rsidRPr="006171C7">
        <w:t>.</w:t>
      </w:r>
      <w:r w:rsidR="006171C7" w:rsidRPr="006171C7">
        <w:t xml:space="preserve"> Given the constant emission of refrigerants into the atmosphere, the refrigeration servicing sector will become increasingly relevant in all Article 5 countries until the phase-down compliance targets under the Kigali Amendment are achieved.</w:t>
      </w:r>
    </w:p>
    <w:p w14:paraId="030ECB5C" w14:textId="77777777" w:rsidR="009323FC" w:rsidRPr="009323FC" w:rsidRDefault="009323FC" w:rsidP="00047489">
      <w:pPr>
        <w:keepNext/>
        <w:rPr>
          <w:b/>
        </w:rPr>
      </w:pPr>
      <w:r w:rsidRPr="009323FC">
        <w:rPr>
          <w:b/>
        </w:rPr>
        <w:t>Evolution of the activities related to the refrigeration servicing sector</w:t>
      </w:r>
    </w:p>
    <w:p w14:paraId="699C3D18" w14:textId="77777777" w:rsidR="009323FC" w:rsidRPr="009323FC" w:rsidRDefault="009323FC" w:rsidP="00047489">
      <w:pPr>
        <w:keepNext/>
      </w:pPr>
    </w:p>
    <w:p w14:paraId="2A04172C" w14:textId="77777777" w:rsidR="00E0552A" w:rsidRDefault="003F0173" w:rsidP="0029767D">
      <w:pPr>
        <w:pStyle w:val="Heading1"/>
        <w:keepNext/>
        <w:numPr>
          <w:ilvl w:val="0"/>
          <w:numId w:val="23"/>
        </w:numPr>
      </w:pPr>
      <w:r w:rsidRPr="00726670">
        <w:t xml:space="preserve">Initial activities </w:t>
      </w:r>
      <w:r>
        <w:t xml:space="preserve">in the </w:t>
      </w:r>
      <w:r w:rsidRPr="00726670">
        <w:t>refrigeration servicing sector focused on phasing out CFC-12</w:t>
      </w:r>
      <w:r>
        <w:t xml:space="preserve"> used for servicing domestic</w:t>
      </w:r>
      <w:r w:rsidR="00882244">
        <w:t xml:space="preserve"> refrigerators,</w:t>
      </w:r>
      <w:r>
        <w:t xml:space="preserve"> stand-alone commercial refrigeration equipment and mobile air</w:t>
      </w:r>
      <w:r w:rsidR="00A470DE">
        <w:noBreakHyphen/>
      </w:r>
      <w:r>
        <w:t xml:space="preserve">conditioning (MAC) units and, to a lesser extent, </w:t>
      </w:r>
      <w:r w:rsidR="00B000DF">
        <w:t xml:space="preserve">phasing out </w:t>
      </w:r>
      <w:r>
        <w:t xml:space="preserve">CFC-11 and CFC-115 used in chillers and other applications. </w:t>
      </w:r>
      <w:bookmarkStart w:id="1" w:name="_Hlk528868125"/>
    </w:p>
    <w:p w14:paraId="53CF92A2" w14:textId="48D18C67" w:rsidR="00B606BC" w:rsidRPr="00E0552A" w:rsidRDefault="00B606BC" w:rsidP="00BB17E4">
      <w:pPr>
        <w:pStyle w:val="Heading1"/>
        <w:keepNext/>
        <w:numPr>
          <w:ilvl w:val="0"/>
          <w:numId w:val="0"/>
        </w:numPr>
      </w:pPr>
      <w:r w:rsidRPr="00E0552A">
        <w:rPr>
          <w:u w:val="single"/>
        </w:rPr>
        <w:t>Stand-alone activities</w:t>
      </w:r>
    </w:p>
    <w:bookmarkEnd w:id="1"/>
    <w:p w14:paraId="5D3931CF" w14:textId="1B73A277" w:rsidR="003F0173" w:rsidRDefault="001D51C0" w:rsidP="0029767D">
      <w:pPr>
        <w:pStyle w:val="Heading1"/>
        <w:keepNext/>
        <w:numPr>
          <w:ilvl w:val="0"/>
          <w:numId w:val="23"/>
        </w:numPr>
      </w:pPr>
      <w:r>
        <w:t>I</w:t>
      </w:r>
      <w:r w:rsidR="00A71422">
        <w:t xml:space="preserve">nitial </w:t>
      </w:r>
      <w:r w:rsidR="003F0173" w:rsidRPr="00726670">
        <w:t xml:space="preserve">activities </w:t>
      </w:r>
      <w:r>
        <w:t xml:space="preserve">in the refrigeration servicing sector </w:t>
      </w:r>
      <w:r w:rsidR="003F0173" w:rsidRPr="00726670">
        <w:t xml:space="preserve">were </w:t>
      </w:r>
      <w:r w:rsidR="00A71422">
        <w:t>first</w:t>
      </w:r>
      <w:r w:rsidR="00A71422" w:rsidRPr="00726670">
        <w:t xml:space="preserve"> </w:t>
      </w:r>
      <w:r w:rsidR="003F0173" w:rsidRPr="00726670">
        <w:t>implemented as stand-alone projects</w:t>
      </w:r>
      <w:r w:rsidR="003F0173">
        <w:t xml:space="preserve">, consisting of </w:t>
      </w:r>
      <w:r w:rsidR="003F0173" w:rsidRPr="00726670">
        <w:t xml:space="preserve">training </w:t>
      </w:r>
      <w:r w:rsidR="003F0173">
        <w:t xml:space="preserve">refrigeration technicians </w:t>
      </w:r>
      <w:r w:rsidR="003F0173" w:rsidRPr="00726670">
        <w:t xml:space="preserve">in good </w:t>
      </w:r>
      <w:r w:rsidR="00A71422">
        <w:t xml:space="preserve">servicing </w:t>
      </w:r>
      <w:r w:rsidR="003F0173" w:rsidRPr="00726670">
        <w:t>practices</w:t>
      </w:r>
      <w:r w:rsidR="003F0173">
        <w:t>, provi</w:t>
      </w:r>
      <w:r w:rsidR="000268D1">
        <w:t xml:space="preserve">ding </w:t>
      </w:r>
      <w:r w:rsidR="003F0173">
        <w:t xml:space="preserve">basic tools and equipment for technicians, and </w:t>
      </w:r>
      <w:r w:rsidR="000268D1">
        <w:t>establishing</w:t>
      </w:r>
      <w:r w:rsidR="003F0173">
        <w:t xml:space="preserve"> refrigerant recovery and recycling schemes. </w:t>
      </w:r>
      <w:r w:rsidR="003F0173" w:rsidRPr="002026A7">
        <w:t xml:space="preserve">Frequently, assistance </w:t>
      </w:r>
      <w:r w:rsidR="003F0173">
        <w:t xml:space="preserve">was provided </w:t>
      </w:r>
      <w:r w:rsidR="000268D1">
        <w:t xml:space="preserve">to </w:t>
      </w:r>
      <w:r w:rsidR="003F0173" w:rsidRPr="002026A7">
        <w:t xml:space="preserve">strengthen the import/export licensing systems </w:t>
      </w:r>
      <w:r w:rsidR="00A71422">
        <w:t xml:space="preserve">for </w:t>
      </w:r>
      <w:r w:rsidR="003F0173">
        <w:t xml:space="preserve">controlled substances </w:t>
      </w:r>
      <w:r w:rsidR="003F0173" w:rsidRPr="00FF3767">
        <w:t>under Article 4B of the Montreal Protocol</w:t>
      </w:r>
      <w:r w:rsidR="003F0173">
        <w:t>;</w:t>
      </w:r>
      <w:r w:rsidR="003F0173">
        <w:rPr>
          <w:rStyle w:val="FootnoteReference"/>
        </w:rPr>
        <w:footnoteReference w:id="9"/>
      </w:r>
      <w:r w:rsidR="003F0173" w:rsidRPr="00FF3767">
        <w:t xml:space="preserve"> </w:t>
      </w:r>
      <w:r w:rsidR="00A71422">
        <w:t xml:space="preserve">to </w:t>
      </w:r>
      <w:r w:rsidR="003F0173" w:rsidRPr="002026A7">
        <w:t>develop specific regulations in support of the phase</w:t>
      </w:r>
      <w:r w:rsidR="00047489">
        <w:noBreakHyphen/>
      </w:r>
      <w:r w:rsidR="003F0173" w:rsidRPr="002026A7">
        <w:t>out programme</w:t>
      </w:r>
      <w:r w:rsidR="003F0173">
        <w:t xml:space="preserve">; and </w:t>
      </w:r>
      <w:r w:rsidR="00A71422">
        <w:t xml:space="preserve">to </w:t>
      </w:r>
      <w:r w:rsidR="003F0173">
        <w:t xml:space="preserve">train customs </w:t>
      </w:r>
      <w:r w:rsidR="00A71422">
        <w:t xml:space="preserve">officers </w:t>
      </w:r>
      <w:r w:rsidR="003F0173">
        <w:t xml:space="preserve">and law enforcement officers on the legislation and regulations </w:t>
      </w:r>
      <w:r w:rsidR="00A71422">
        <w:t xml:space="preserve">aimed at </w:t>
      </w:r>
      <w:r w:rsidR="003F0173">
        <w:t>phas</w:t>
      </w:r>
      <w:r w:rsidR="00A71422">
        <w:t>ing</w:t>
      </w:r>
      <w:r w:rsidR="003F0173">
        <w:t xml:space="preserve"> out controlled substances</w:t>
      </w:r>
      <w:r w:rsidR="00E0215B">
        <w:t>, including equipment for refrigerant identification</w:t>
      </w:r>
      <w:r w:rsidR="003F0173">
        <w:t>.</w:t>
      </w:r>
    </w:p>
    <w:p w14:paraId="7638ADAF" w14:textId="77777777" w:rsidR="00B606BC" w:rsidRPr="00B606BC" w:rsidRDefault="00B606BC" w:rsidP="00B606BC">
      <w:pPr>
        <w:rPr>
          <w:u w:val="single"/>
        </w:rPr>
      </w:pPr>
      <w:r w:rsidRPr="00B606BC">
        <w:rPr>
          <w:u w:val="single"/>
        </w:rPr>
        <w:t>Phase-out plans for CFCs</w:t>
      </w:r>
    </w:p>
    <w:p w14:paraId="776C0A75" w14:textId="77777777" w:rsidR="00B606BC" w:rsidRPr="00B606BC" w:rsidRDefault="00B606BC" w:rsidP="00B606BC"/>
    <w:p w14:paraId="06DA1C53" w14:textId="1C92155F" w:rsidR="009F6C6B" w:rsidRPr="00CD1F0A" w:rsidRDefault="003F0173" w:rsidP="0029767D">
      <w:pPr>
        <w:pStyle w:val="Heading1"/>
        <w:numPr>
          <w:ilvl w:val="0"/>
          <w:numId w:val="23"/>
        </w:numPr>
        <w:rPr>
          <w:lang w:val="en-US"/>
        </w:rPr>
      </w:pPr>
      <w:r w:rsidRPr="005472DC">
        <w:t xml:space="preserve">As the phase-out programme progressed, </w:t>
      </w:r>
      <w:r>
        <w:t>the stand-alone activities related to regulatory framework</w:t>
      </w:r>
      <w:r w:rsidR="008C366D">
        <w:t>s</w:t>
      </w:r>
      <w:r>
        <w:t xml:space="preserve">, </w:t>
      </w:r>
      <w:r w:rsidRPr="005472DC">
        <w:t>training</w:t>
      </w:r>
      <w:r>
        <w:t>, and</w:t>
      </w:r>
      <w:r w:rsidRPr="00FF3767">
        <w:t xml:space="preserve"> </w:t>
      </w:r>
      <w:r>
        <w:t xml:space="preserve">technical assistance </w:t>
      </w:r>
      <w:r w:rsidRPr="005472DC">
        <w:t>were subsumed in</w:t>
      </w:r>
      <w:r>
        <w:t xml:space="preserve">to a holistic </w:t>
      </w:r>
      <w:r w:rsidR="00FF0DF1">
        <w:t xml:space="preserve">funding </w:t>
      </w:r>
      <w:r w:rsidR="00EE50AA">
        <w:t>plan</w:t>
      </w:r>
      <w:r w:rsidR="00882244">
        <w:t xml:space="preserve"> applicable to low</w:t>
      </w:r>
      <w:r w:rsidR="00882244" w:rsidRPr="00CD1F0A">
        <w:rPr>
          <w:lang w:val="en-US"/>
        </w:rPr>
        <w:t>-volume consuming (LVC) countries</w:t>
      </w:r>
      <w:r w:rsidR="00EE50AA">
        <w:t xml:space="preserve">: </w:t>
      </w:r>
      <w:r>
        <w:t xml:space="preserve">a </w:t>
      </w:r>
      <w:r w:rsidRPr="005472DC">
        <w:t>refrigerant management plan (RMP)</w:t>
      </w:r>
      <w:r>
        <w:t xml:space="preserve">. </w:t>
      </w:r>
      <w:r w:rsidR="005B0C0B">
        <w:t xml:space="preserve">The overall objective of </w:t>
      </w:r>
      <w:r w:rsidR="00EE50AA">
        <w:t>the</w:t>
      </w:r>
      <w:r w:rsidR="005B0C0B">
        <w:t xml:space="preserve"> </w:t>
      </w:r>
      <w:r w:rsidR="00FF0DF1">
        <w:t>RMP was</w:t>
      </w:r>
      <w:r w:rsidR="005B0C0B">
        <w:t xml:space="preserve"> to develop and plan a strategy that </w:t>
      </w:r>
      <w:r w:rsidR="008C366D">
        <w:t xml:space="preserve">would </w:t>
      </w:r>
      <w:r w:rsidR="005B0C0B">
        <w:t xml:space="preserve">manage the use and phase-out </w:t>
      </w:r>
      <w:r w:rsidR="00882244">
        <w:t xml:space="preserve">of virgin </w:t>
      </w:r>
      <w:r w:rsidR="005B0C0B">
        <w:t>CFC</w:t>
      </w:r>
      <w:r w:rsidR="00882244">
        <w:t>s used</w:t>
      </w:r>
      <w:r w:rsidR="005B0C0B">
        <w:t xml:space="preserve"> for servicing refrigeration and air-conditioning equipment</w:t>
      </w:r>
      <w:r w:rsidR="00EE50AA">
        <w:t>,</w:t>
      </w:r>
      <w:r w:rsidR="00871330">
        <w:rPr>
          <w:rStyle w:val="FootnoteReference"/>
        </w:rPr>
        <w:footnoteReference w:id="10"/>
      </w:r>
      <w:r w:rsidR="00EE50AA">
        <w:t xml:space="preserve"> taking into consideration the circumstances prevailing </w:t>
      </w:r>
      <w:r w:rsidR="008C366D">
        <w:t xml:space="preserve">in </w:t>
      </w:r>
      <w:r w:rsidR="00EE50AA">
        <w:t>the countr</w:t>
      </w:r>
      <w:r w:rsidR="00882244">
        <w:t>ies</w:t>
      </w:r>
      <w:r w:rsidR="00EE50AA">
        <w:t xml:space="preserve"> concerned. The first set of </w:t>
      </w:r>
      <w:r w:rsidR="00882244">
        <w:t xml:space="preserve">five </w:t>
      </w:r>
      <w:r w:rsidR="00EE50AA">
        <w:t xml:space="preserve">RMPs </w:t>
      </w:r>
      <w:r w:rsidR="00882244">
        <w:t>was</w:t>
      </w:r>
      <w:r w:rsidR="00EE50AA">
        <w:t xml:space="preserve"> approved </w:t>
      </w:r>
      <w:r w:rsidR="00EE50AA" w:rsidRPr="00CD1F0A">
        <w:rPr>
          <w:lang w:val="en-US"/>
        </w:rPr>
        <w:t>at the 23</w:t>
      </w:r>
      <w:r w:rsidR="00EE50AA" w:rsidRPr="00CD1F0A">
        <w:rPr>
          <w:vertAlign w:val="superscript"/>
          <w:lang w:val="en-US"/>
        </w:rPr>
        <w:t>rd</w:t>
      </w:r>
      <w:r w:rsidR="00B44FB0">
        <w:rPr>
          <w:lang w:val="en-US"/>
        </w:rPr>
        <w:t> </w:t>
      </w:r>
      <w:r w:rsidR="00EE50AA" w:rsidRPr="00CD1F0A">
        <w:rPr>
          <w:lang w:val="en-US"/>
        </w:rPr>
        <w:t>meeting (November 1997).</w:t>
      </w:r>
      <w:r w:rsidR="00EE50AA">
        <w:rPr>
          <w:rStyle w:val="FootnoteReference"/>
          <w:lang w:val="en-US"/>
        </w:rPr>
        <w:footnoteReference w:id="11"/>
      </w:r>
      <w:r w:rsidR="00EE50AA" w:rsidRPr="00CD1F0A">
        <w:rPr>
          <w:lang w:val="en-US"/>
        </w:rPr>
        <w:t xml:space="preserve"> </w:t>
      </w:r>
    </w:p>
    <w:p w14:paraId="24B29927" w14:textId="199CA9B0" w:rsidR="00045E26" w:rsidRDefault="0024162B" w:rsidP="0029767D">
      <w:pPr>
        <w:pStyle w:val="Heading1"/>
        <w:numPr>
          <w:ilvl w:val="0"/>
          <w:numId w:val="23"/>
        </w:numPr>
      </w:pPr>
      <w:r>
        <w:t>At its 33</w:t>
      </w:r>
      <w:r w:rsidRPr="00F00B57">
        <w:rPr>
          <w:vertAlign w:val="superscript"/>
        </w:rPr>
        <w:t>rd</w:t>
      </w:r>
      <w:r>
        <w:t xml:space="preserve"> meeting (March 2001), the Executive Committee recognized the need for a country</w:t>
      </w:r>
      <w:r w:rsidR="00B44FB0">
        <w:noBreakHyphen/>
      </w:r>
      <w:r>
        <w:t xml:space="preserve">driven approach, allowing flexibility to determine the approach that would enable a country to meet its obligations under the compliance period of the Montreal Protocol, and adopted the framework on the objectives, priorities, problems and modalities for strategic planning of the Fund in the compliance period. During this period, an Article 5 </w:t>
      </w:r>
      <w:r w:rsidRPr="00F00B57">
        <w:t xml:space="preserve">country must </w:t>
      </w:r>
      <w:r>
        <w:t xml:space="preserve">develop and </w:t>
      </w:r>
      <w:r w:rsidRPr="00F00B57">
        <w:t>establish national goals, policies and actions to achieve its compliance strategic plan</w:t>
      </w:r>
      <w:r>
        <w:t xml:space="preserve">, which </w:t>
      </w:r>
      <w:r w:rsidRPr="00F00B57">
        <w:t xml:space="preserve">may incorporate individual projects, sectoral plans or both. </w:t>
      </w:r>
      <w:r>
        <w:t>F</w:t>
      </w:r>
      <w:r w:rsidRPr="00F00B57">
        <w:t>unding must be predicated on a commitment to achieve permanent aggregate reductions in consumption and production, as relevant.</w:t>
      </w:r>
      <w:r>
        <w:t xml:space="preserve"> In adopting this framework, the Committee noted that updates to RMPs</w:t>
      </w:r>
      <w:r>
        <w:rPr>
          <w:rStyle w:val="FootnoteReference"/>
        </w:rPr>
        <w:footnoteReference w:id="12"/>
      </w:r>
      <w:r>
        <w:t xml:space="preserve"> would provide Article 5 countries with a mechanism for national phase-out strategies and </w:t>
      </w:r>
      <w:r w:rsidR="00637667">
        <w:t xml:space="preserve">decided to </w:t>
      </w:r>
      <w:r>
        <w:t>encourage</w:t>
      </w:r>
      <w:r w:rsidR="00637667">
        <w:t xml:space="preserve"> </w:t>
      </w:r>
      <w:r>
        <w:t>Article 5 countries to take advantage of that opportunity (</w:t>
      </w:r>
      <w:r w:rsidRPr="00E81E25">
        <w:rPr>
          <w:lang w:val="en-CA"/>
        </w:rPr>
        <w:t>decision 33/54)</w:t>
      </w:r>
      <w:r>
        <w:t xml:space="preserve">. </w:t>
      </w:r>
      <w:r w:rsidRPr="00E81E25">
        <w:rPr>
          <w:lang w:val="en-US"/>
        </w:rPr>
        <w:t xml:space="preserve">By 2007, when countries had to comply with the 85 per cent reduction in consumption of CFCs, </w:t>
      </w:r>
      <w:r>
        <w:t>104 Article 5 countries had an approved RMP and/or RMP update, which were prepared following the country-driven approach adopted at the 33</w:t>
      </w:r>
      <w:r w:rsidRPr="00B56A4A">
        <w:rPr>
          <w:vertAlign w:val="superscript"/>
        </w:rPr>
        <w:t>rd</w:t>
      </w:r>
      <w:r w:rsidR="00B44FB0">
        <w:t> </w:t>
      </w:r>
      <w:r>
        <w:t xml:space="preserve">meeting. Similarly, to achieve the complete phase-out of CFCs, terminal phase-out management plans (TPMPs) for LVC countries, and </w:t>
      </w:r>
      <w:r w:rsidRPr="00E81E25">
        <w:rPr>
          <w:lang w:val="en-CA"/>
        </w:rPr>
        <w:t>performance-based national phase-out plans (NPPs) for non</w:t>
      </w:r>
      <w:r w:rsidRPr="00E81E25">
        <w:rPr>
          <w:lang w:val="en-CA"/>
        </w:rPr>
        <w:noBreakHyphen/>
        <w:t>LVC countries</w:t>
      </w:r>
      <w:r>
        <w:rPr>
          <w:lang w:val="en-CA"/>
        </w:rPr>
        <w:t xml:space="preserve">, were developed following the </w:t>
      </w:r>
      <w:r>
        <w:t>country-driven approach.</w:t>
      </w:r>
    </w:p>
    <w:p w14:paraId="4F4D6A47" w14:textId="2F241D34" w:rsidR="00045E26" w:rsidRDefault="00B606BC" w:rsidP="00213975">
      <w:pPr>
        <w:keepNext/>
        <w:keepLines/>
        <w:rPr>
          <w:u w:val="single"/>
        </w:rPr>
      </w:pPr>
      <w:r w:rsidRPr="00045E26">
        <w:rPr>
          <w:u w:val="single"/>
        </w:rPr>
        <w:t>Phase-out plans for H</w:t>
      </w:r>
      <w:r w:rsidR="00066C0A" w:rsidRPr="00045E26">
        <w:rPr>
          <w:u w:val="single"/>
        </w:rPr>
        <w:t>C</w:t>
      </w:r>
      <w:r w:rsidRPr="00045E26">
        <w:rPr>
          <w:u w:val="single"/>
        </w:rPr>
        <w:t>FCs</w:t>
      </w:r>
    </w:p>
    <w:p w14:paraId="1781257E" w14:textId="77777777" w:rsidR="00213975" w:rsidRDefault="00213975" w:rsidP="00213975">
      <w:pPr>
        <w:keepNext/>
        <w:keepLines/>
      </w:pPr>
    </w:p>
    <w:p w14:paraId="7D2050E2" w14:textId="77777777" w:rsidR="00045E26" w:rsidRDefault="00702341" w:rsidP="0029767D">
      <w:pPr>
        <w:pStyle w:val="Heading1"/>
        <w:numPr>
          <w:ilvl w:val="0"/>
          <w:numId w:val="23"/>
        </w:numPr>
        <w:tabs>
          <w:tab w:val="num" w:pos="720"/>
        </w:tabs>
      </w:pPr>
      <w:r>
        <w:t>As a result of accelerating the phase</w:t>
      </w:r>
      <w:r w:rsidR="00D75947">
        <w:t>-</w:t>
      </w:r>
      <w:r>
        <w:t xml:space="preserve">out of HCFCs </w:t>
      </w:r>
      <w:r w:rsidR="005C427D">
        <w:t xml:space="preserve">as </w:t>
      </w:r>
      <w:r>
        <w:t>agreed in decision XIX/6 of the Parties, at its 53</w:t>
      </w:r>
      <w:r w:rsidRPr="00045E26">
        <w:rPr>
          <w:vertAlign w:val="superscript"/>
        </w:rPr>
        <w:t>rd</w:t>
      </w:r>
      <w:r>
        <w:t xml:space="preserve"> meeting (November 2007)</w:t>
      </w:r>
      <w:r w:rsidR="00E476C3">
        <w:t>,</w:t>
      </w:r>
      <w:r>
        <w:t xml:space="preserve"> the Executive Committee considered a document </w:t>
      </w:r>
      <w:r w:rsidRPr="000F4F43">
        <w:t xml:space="preserve">on </w:t>
      </w:r>
      <w:r w:rsidR="00D75947">
        <w:t>o</w:t>
      </w:r>
      <w:r w:rsidR="00D75947" w:rsidRPr="000F4F43">
        <w:t xml:space="preserve">ptions </w:t>
      </w:r>
      <w:r w:rsidRPr="000F4F43">
        <w:t>for assessing and defining eligible incremental costs for HCFC consumption and production phase</w:t>
      </w:r>
      <w:r w:rsidRPr="000F4F43">
        <w:noBreakHyphen/>
        <w:t>out activities</w:t>
      </w:r>
      <w:r w:rsidR="005C427D">
        <w:t>.</w:t>
      </w:r>
      <w:r>
        <w:rPr>
          <w:rStyle w:val="FootnoteReference"/>
        </w:rPr>
        <w:footnoteReference w:id="13"/>
      </w:r>
      <w:r w:rsidRPr="000F4F43">
        <w:t xml:space="preserve"> </w:t>
      </w:r>
      <w:r w:rsidR="005C427D">
        <w:t>The document</w:t>
      </w:r>
      <w:r>
        <w:t xml:space="preserve"> formed the basis for the development of guidelines for the preparation of HCFC phase-out management plans (HPMPs). A</w:t>
      </w:r>
      <w:r w:rsidRPr="0059601B">
        <w:t xml:space="preserve"> staged approach </w:t>
      </w:r>
      <w:r>
        <w:t xml:space="preserve">was </w:t>
      </w:r>
      <w:r w:rsidRPr="0059601B">
        <w:t>proposed to allow countries to develop an overarching plan to achieve total phase</w:t>
      </w:r>
      <w:r>
        <w:noBreakHyphen/>
      </w:r>
      <w:r w:rsidRPr="0059601B">
        <w:t>out</w:t>
      </w:r>
      <w:r w:rsidR="005C427D">
        <w:t xml:space="preserve"> while</w:t>
      </w:r>
      <w:r w:rsidR="005C427D" w:rsidRPr="0059601B">
        <w:t xml:space="preserve"> </w:t>
      </w:r>
      <w:r w:rsidRPr="0059601B">
        <w:t xml:space="preserve">allowing for proposals to achieve the first two HCFC control measures in 2013 and 2015, </w:t>
      </w:r>
      <w:r w:rsidR="00734F46">
        <w:t xml:space="preserve">and </w:t>
      </w:r>
      <w:r w:rsidRPr="0059601B">
        <w:t>at the same time</w:t>
      </w:r>
      <w:r w:rsidR="00871330">
        <w:t>,</w:t>
      </w:r>
      <w:r w:rsidRPr="0059601B">
        <w:t xml:space="preserve"> allowing propos</w:t>
      </w:r>
      <w:r>
        <w:t xml:space="preserve">als for </w:t>
      </w:r>
      <w:r w:rsidRPr="0059601B">
        <w:t>a subsequent stage, or stages if needed, to manage their HCFC phase-out.</w:t>
      </w:r>
      <w:r>
        <w:t xml:space="preserve"> The Executive Committee acknowledged the importance of </w:t>
      </w:r>
      <w:r w:rsidRPr="0059601B">
        <w:t>performance-based funding</w:t>
      </w:r>
      <w:r w:rsidR="00734F46">
        <w:t>. This led to</w:t>
      </w:r>
      <w:r w:rsidR="004E0F23">
        <w:t xml:space="preserve"> matching </w:t>
      </w:r>
      <w:r w:rsidR="00D33CDA">
        <w:t xml:space="preserve">a </w:t>
      </w:r>
      <w:r w:rsidR="00D33CDA" w:rsidRPr="0059601B">
        <w:t>funding commitment agreed in principle</w:t>
      </w:r>
      <w:r w:rsidR="00D33CDA">
        <w:t xml:space="preserve"> for each country to</w:t>
      </w:r>
      <w:r w:rsidRPr="0059601B">
        <w:t xml:space="preserve"> a maximum fundable consumption </w:t>
      </w:r>
      <w:r w:rsidR="003049F8">
        <w:t>target</w:t>
      </w:r>
      <w:r w:rsidRPr="0059601B">
        <w:t xml:space="preserve"> for </w:t>
      </w:r>
      <w:r w:rsidR="00D33CDA">
        <w:t>that</w:t>
      </w:r>
      <w:r w:rsidRPr="0059601B">
        <w:t xml:space="preserve"> country, with </w:t>
      </w:r>
      <w:r w:rsidR="003049F8">
        <w:t xml:space="preserve">linear </w:t>
      </w:r>
      <w:r w:rsidRPr="0059601B">
        <w:t xml:space="preserve">reduction steps. </w:t>
      </w:r>
    </w:p>
    <w:p w14:paraId="1920B25C" w14:textId="77777777" w:rsidR="00045E26" w:rsidRDefault="00D762D0" w:rsidP="0029767D">
      <w:pPr>
        <w:pStyle w:val="Heading1"/>
        <w:numPr>
          <w:ilvl w:val="0"/>
          <w:numId w:val="23"/>
        </w:numPr>
        <w:tabs>
          <w:tab w:val="num" w:pos="720"/>
        </w:tabs>
      </w:pPr>
      <w:r>
        <w:t>Based on these guidelines, a</w:t>
      </w:r>
      <w:r w:rsidR="00426FCE">
        <w:t>t its 61</w:t>
      </w:r>
      <w:r w:rsidR="00426FCE" w:rsidRPr="00045E26">
        <w:rPr>
          <w:vertAlign w:val="superscript"/>
        </w:rPr>
        <w:t>st</w:t>
      </w:r>
      <w:r w:rsidR="00426FCE">
        <w:t xml:space="preserve"> meeting (April 2010)</w:t>
      </w:r>
      <w:r w:rsidR="00E476C3">
        <w:t>,</w:t>
      </w:r>
      <w:r w:rsidR="00426FCE">
        <w:t xml:space="preserve"> the Executive Committee approved the first two HPMPs for Article 5 countries</w:t>
      </w:r>
      <w:r w:rsidR="00E476C3">
        <w:t>.</w:t>
      </w:r>
      <w:r w:rsidR="00426FCE">
        <w:rPr>
          <w:rStyle w:val="FootnoteReference"/>
        </w:rPr>
        <w:footnoteReference w:id="14"/>
      </w:r>
      <w:r w:rsidR="00426FCE">
        <w:t xml:space="preserve"> Since then, </w:t>
      </w:r>
      <w:r w:rsidR="00D33CDA">
        <w:t xml:space="preserve">stage I (and in many cases stage II) of </w:t>
      </w:r>
      <w:r w:rsidR="00871330">
        <w:t>H</w:t>
      </w:r>
      <w:r w:rsidR="00D33CDA">
        <w:t>PMP</w:t>
      </w:r>
      <w:r w:rsidR="00871330">
        <w:t>s</w:t>
      </w:r>
      <w:r w:rsidR="00D33CDA">
        <w:t xml:space="preserve"> have been approved for </w:t>
      </w:r>
      <w:r w:rsidR="00426FCE">
        <w:t>all Article 5 countries</w:t>
      </w:r>
      <w:r w:rsidR="00E476C3">
        <w:t xml:space="preserve">, </w:t>
      </w:r>
      <w:r w:rsidR="00426FCE">
        <w:t xml:space="preserve">except for the Syrian Arab </w:t>
      </w:r>
      <w:r w:rsidR="00E476C3" w:rsidRPr="00045E26">
        <w:rPr>
          <w:lang w:val="en-CA"/>
        </w:rPr>
        <w:t>Republic.</w:t>
      </w:r>
      <w:r w:rsidR="00E476C3" w:rsidRPr="00AD032C">
        <w:rPr>
          <w:rStyle w:val="FootnoteReference"/>
          <w:szCs w:val="28"/>
          <w:lang w:val="en-CA"/>
        </w:rPr>
        <w:footnoteReference w:id="15"/>
      </w:r>
      <w:r w:rsidR="00871330">
        <w:t xml:space="preserve"> </w:t>
      </w:r>
    </w:p>
    <w:p w14:paraId="4004C688" w14:textId="192255FC" w:rsidR="00045E26" w:rsidRDefault="00412D4C" w:rsidP="0029767D">
      <w:pPr>
        <w:pStyle w:val="Heading1"/>
        <w:numPr>
          <w:ilvl w:val="0"/>
          <w:numId w:val="23"/>
        </w:numPr>
        <w:tabs>
          <w:tab w:val="num" w:pos="720"/>
        </w:tabs>
      </w:pPr>
      <w:r>
        <w:t>I</w:t>
      </w:r>
      <w:r w:rsidRPr="000E58C0">
        <w:t xml:space="preserve">nformation from approved HPMPs shows that </w:t>
      </w:r>
      <w:r>
        <w:t xml:space="preserve">the use of HCFCs </w:t>
      </w:r>
      <w:r w:rsidR="00D33CDA">
        <w:t>in</w:t>
      </w:r>
      <w:r>
        <w:t xml:space="preserve"> 95 </w:t>
      </w:r>
      <w:r w:rsidR="00D33CDA">
        <w:t xml:space="preserve">of the 145 </w:t>
      </w:r>
      <w:r w:rsidRPr="000E58C0">
        <w:t>Article</w:t>
      </w:r>
      <w:r w:rsidR="00B44FB0">
        <w:t> </w:t>
      </w:r>
      <w:r w:rsidRPr="000E58C0">
        <w:t>5 countries</w:t>
      </w:r>
      <w:r>
        <w:t xml:space="preserve"> is </w:t>
      </w:r>
      <w:r w:rsidRPr="000E58C0">
        <w:t>solely for servicing refrigeration and air-conditioning equipment</w:t>
      </w:r>
      <w:r>
        <w:t>. For the remaining 50</w:t>
      </w:r>
      <w:r w:rsidR="00BB3A47">
        <w:t> </w:t>
      </w:r>
      <w:r>
        <w:t>countries</w:t>
      </w:r>
      <w:r w:rsidRPr="000E58C0">
        <w:t xml:space="preserve">, </w:t>
      </w:r>
      <w:r>
        <w:t xml:space="preserve">where </w:t>
      </w:r>
      <w:r w:rsidRPr="000E58C0">
        <w:t xml:space="preserve">HCFCs </w:t>
      </w:r>
      <w:r>
        <w:t xml:space="preserve">are also used </w:t>
      </w:r>
      <w:r w:rsidRPr="000E58C0">
        <w:t xml:space="preserve">in </w:t>
      </w:r>
      <w:r>
        <w:t xml:space="preserve">the </w:t>
      </w:r>
      <w:r w:rsidRPr="000E58C0">
        <w:t>manufacturing</w:t>
      </w:r>
      <w:r>
        <w:t xml:space="preserve"> sector</w:t>
      </w:r>
      <w:r w:rsidRPr="000E58C0">
        <w:t xml:space="preserve">, the </w:t>
      </w:r>
      <w:r>
        <w:t xml:space="preserve">phase-out of HCFCs used in the </w:t>
      </w:r>
      <w:r w:rsidRPr="000E58C0">
        <w:t xml:space="preserve">refrigeration servicing sector </w:t>
      </w:r>
      <w:r>
        <w:t xml:space="preserve">becomes </w:t>
      </w:r>
      <w:r w:rsidRPr="000E58C0">
        <w:t xml:space="preserve">critical </w:t>
      </w:r>
      <w:r>
        <w:t xml:space="preserve">to meet their compliance obligations </w:t>
      </w:r>
      <w:r w:rsidRPr="000E58C0">
        <w:t xml:space="preserve">as HCFCs start to be phased out from manufacturing sectors. </w:t>
      </w:r>
    </w:p>
    <w:p w14:paraId="284EE138" w14:textId="53AA8F96" w:rsidR="00045E26" w:rsidRDefault="00D10EF9" w:rsidP="0029767D">
      <w:pPr>
        <w:pStyle w:val="Heading1"/>
        <w:widowControl w:val="0"/>
        <w:numPr>
          <w:ilvl w:val="0"/>
          <w:numId w:val="23"/>
        </w:numPr>
        <w:tabs>
          <w:tab w:val="num" w:pos="720"/>
        </w:tabs>
      </w:pPr>
      <w:r>
        <w:t xml:space="preserve">In </w:t>
      </w:r>
      <w:r w:rsidRPr="002479DC">
        <w:t>discussions on minimizing climate impact in phasing out HCFCs in the refrigeration servicing sector,</w:t>
      </w:r>
      <w:r w:rsidRPr="002479DC">
        <w:rPr>
          <w:rStyle w:val="FootnoteReference"/>
        </w:rPr>
        <w:footnoteReference w:id="16"/>
      </w:r>
      <w:r w:rsidRPr="002479DC">
        <w:t xml:space="preserve"> it was acknowledged that training provided </w:t>
      </w:r>
      <w:r w:rsidRPr="002B3377">
        <w:t>to technicians should expand beyond good refrigeration practices and focus</w:t>
      </w:r>
      <w:r w:rsidRPr="00FB1EB0">
        <w:t xml:space="preserve"> on proper containment of controlled substances through preventive maintenance, enhancing installation quality, and maintaining/i</w:t>
      </w:r>
      <w:r w:rsidRPr="001C4D93">
        <w:t xml:space="preserve">mproving the energy efficiency of equipment </w:t>
      </w:r>
      <w:r w:rsidRPr="001C2699">
        <w:t xml:space="preserve">through </w:t>
      </w:r>
      <w:r w:rsidRPr="006A78A4">
        <w:t xml:space="preserve">appropriate </w:t>
      </w:r>
      <w:r w:rsidRPr="00405A4A">
        <w:t xml:space="preserve">control </w:t>
      </w:r>
      <w:r w:rsidRPr="00944BCF">
        <w:t>settings</w:t>
      </w:r>
      <w:r w:rsidRPr="006333C8">
        <w:t>,</w:t>
      </w:r>
      <w:r w:rsidRPr="00C076F3">
        <w:t xml:space="preserve"> </w:t>
      </w:r>
      <w:r w:rsidRPr="00DD182F">
        <w:t>proper cleanliness of the heat exchangers</w:t>
      </w:r>
      <w:r w:rsidRPr="00193A50">
        <w:t>,</w:t>
      </w:r>
      <w:r w:rsidRPr="00DF0E62">
        <w:t xml:space="preserve"> and ease of related airflow. Given the flammability of several of the low-GWP refrigerants and the potential risk of accidents associated </w:t>
      </w:r>
      <w:r w:rsidRPr="0085650D">
        <w:t xml:space="preserve">with </w:t>
      </w:r>
      <w:r w:rsidRPr="0027538A">
        <w:t xml:space="preserve">their use, training programmes would need to integrate rigorous approaches </w:t>
      </w:r>
      <w:r w:rsidRPr="001376EF">
        <w:t xml:space="preserve">to the safe handling of flammable refrigerants and to the understanding of related regulations and standards. </w:t>
      </w:r>
      <w:r>
        <w:t xml:space="preserve">It was also suggested </w:t>
      </w:r>
      <w:r w:rsidR="00E06DB7">
        <w:t>that</w:t>
      </w:r>
      <w:r w:rsidR="00465A3E" w:rsidRPr="006F27F8">
        <w:t xml:space="preserve"> </w:t>
      </w:r>
      <w:r w:rsidRPr="006F27F8">
        <w:t xml:space="preserve">the capacity of the training institutes </w:t>
      </w:r>
      <w:r w:rsidR="00E06DB7">
        <w:t xml:space="preserve">should be enhanced </w:t>
      </w:r>
      <w:r w:rsidRPr="006F27F8">
        <w:t xml:space="preserve">so </w:t>
      </w:r>
      <w:r w:rsidR="00E06DB7">
        <w:t xml:space="preserve">that </w:t>
      </w:r>
      <w:r w:rsidRPr="006F27F8">
        <w:t xml:space="preserve">they </w:t>
      </w:r>
      <w:r w:rsidR="00E06DB7">
        <w:t>could</w:t>
      </w:r>
      <w:r w:rsidR="00E06DB7" w:rsidRPr="006F27F8">
        <w:t xml:space="preserve"> </w:t>
      </w:r>
      <w:r w:rsidRPr="006F27F8">
        <w:t xml:space="preserve">continue conducting the required training for compliance with the Montreal Protocol on a permanent basis, and </w:t>
      </w:r>
      <w:r w:rsidR="00E06DB7">
        <w:t>that</w:t>
      </w:r>
      <w:r w:rsidRPr="006F27F8">
        <w:t xml:space="preserve"> updated and </w:t>
      </w:r>
      <w:r w:rsidR="00261C15">
        <w:t xml:space="preserve">additional </w:t>
      </w:r>
      <w:r w:rsidRPr="006F27F8">
        <w:t xml:space="preserve">specialized training </w:t>
      </w:r>
      <w:r w:rsidR="00E06DB7">
        <w:t>should be provided to</w:t>
      </w:r>
      <w:r w:rsidR="00E06DB7" w:rsidRPr="006F27F8">
        <w:t xml:space="preserve"> </w:t>
      </w:r>
      <w:r w:rsidRPr="006F27F8">
        <w:t>trainers and targeted audiences (e.g.</w:t>
      </w:r>
      <w:r>
        <w:t>,</w:t>
      </w:r>
      <w:r w:rsidRPr="006F27F8">
        <w:t xml:space="preserve"> use of </w:t>
      </w:r>
      <w:r w:rsidRPr="00045E26">
        <w:rPr>
          <w:lang w:val="en-CA"/>
        </w:rPr>
        <w:t>CO</w:t>
      </w:r>
      <w:r w:rsidRPr="00045E26">
        <w:rPr>
          <w:vertAlign w:val="subscript"/>
          <w:lang w:val="en-CA"/>
        </w:rPr>
        <w:t>2</w:t>
      </w:r>
      <w:r>
        <w:t xml:space="preserve">-based equipment </w:t>
      </w:r>
      <w:r w:rsidRPr="006F27F8">
        <w:t>in supermarkets, energy efficiency gains in the replacement of chillers, or replacement of window and split units in buildings by central systems, energy</w:t>
      </w:r>
      <w:r w:rsidR="00E06DB7">
        <w:t>-</w:t>
      </w:r>
      <w:r w:rsidRPr="006F27F8">
        <w:t xml:space="preserve">efficient air-conditioning options and installation in new buildings, among others). </w:t>
      </w:r>
      <w:r>
        <w:t xml:space="preserve">Several of the HPMPs under implementation were adjusted based on these discussions and several of the </w:t>
      </w:r>
      <w:r w:rsidRPr="00990DEE">
        <w:t xml:space="preserve">suggestions presented were incorporated. </w:t>
      </w:r>
    </w:p>
    <w:p w14:paraId="2D730488" w14:textId="3130C3D9" w:rsidR="00045E26" w:rsidRPr="00045E26" w:rsidRDefault="00735EED" w:rsidP="00047489">
      <w:pPr>
        <w:pStyle w:val="Heading1"/>
        <w:widowControl w:val="0"/>
        <w:numPr>
          <w:ilvl w:val="0"/>
          <w:numId w:val="0"/>
        </w:numPr>
        <w:tabs>
          <w:tab w:val="num" w:pos="720"/>
        </w:tabs>
      </w:pPr>
      <w:r w:rsidRPr="00045E26">
        <w:rPr>
          <w:b/>
        </w:rPr>
        <w:t>The refrigeration servicing sector post the Kigali Amendment</w:t>
      </w:r>
    </w:p>
    <w:p w14:paraId="17E21696" w14:textId="175ACC52" w:rsidR="00045E26" w:rsidRDefault="00B606BC" w:rsidP="0029767D">
      <w:pPr>
        <w:pStyle w:val="Heading1"/>
        <w:widowControl w:val="0"/>
        <w:numPr>
          <w:ilvl w:val="0"/>
          <w:numId w:val="23"/>
        </w:numPr>
        <w:tabs>
          <w:tab w:val="num" w:pos="720"/>
        </w:tabs>
      </w:pPr>
      <w:r w:rsidRPr="00990DEE">
        <w:t xml:space="preserve">Globally, the refrigeration </w:t>
      </w:r>
      <w:r w:rsidR="002257EC" w:rsidRPr="00990DEE">
        <w:t xml:space="preserve">and air-conditioning </w:t>
      </w:r>
      <w:r w:rsidRPr="00990DEE">
        <w:t>sector</w:t>
      </w:r>
      <w:r w:rsidR="002257EC" w:rsidRPr="00990DEE">
        <w:t>s</w:t>
      </w:r>
      <w:r w:rsidRPr="00990DEE">
        <w:t xml:space="preserve"> ha</w:t>
      </w:r>
      <w:r w:rsidR="002257EC" w:rsidRPr="00990DEE">
        <w:t>ve</w:t>
      </w:r>
      <w:r w:rsidRPr="00990DEE">
        <w:t xml:space="preserve"> grown </w:t>
      </w:r>
      <w:r w:rsidR="0027568C" w:rsidRPr="00990DEE">
        <w:t xml:space="preserve">substantially </w:t>
      </w:r>
      <w:r w:rsidRPr="00990DEE">
        <w:t>since the inception of the Multilateral Fund.</w:t>
      </w:r>
      <w:r w:rsidRPr="00990DEE">
        <w:rPr>
          <w:rStyle w:val="FootnoteReference"/>
        </w:rPr>
        <w:footnoteReference w:id="17"/>
      </w:r>
      <w:r w:rsidRPr="00990DEE">
        <w:t xml:space="preserve"> The number of installed refrigeration and air-conditioning equipment</w:t>
      </w:r>
      <w:r w:rsidR="0027568C" w:rsidRPr="00990DEE">
        <w:t>,</w:t>
      </w:r>
      <w:r w:rsidR="00261C15" w:rsidRPr="00261C15">
        <w:rPr>
          <w:rStyle w:val="FootnoteReference"/>
        </w:rPr>
        <w:t xml:space="preserve"> </w:t>
      </w:r>
      <w:r w:rsidR="00261C15">
        <w:rPr>
          <w:rStyle w:val="FootnoteReference"/>
        </w:rPr>
        <w:footnoteReference w:id="18"/>
      </w:r>
      <w:r w:rsidR="00261C15" w:rsidRPr="00990DEE">
        <w:t xml:space="preserve"> </w:t>
      </w:r>
      <w:r w:rsidRPr="00990DEE">
        <w:t xml:space="preserve"> and </w:t>
      </w:r>
      <w:r w:rsidR="0027568C" w:rsidRPr="00990DEE">
        <w:t xml:space="preserve">the </w:t>
      </w:r>
      <w:r w:rsidRPr="00990DEE">
        <w:t>associated use of a wide range of refrigerants has significantly</w:t>
      </w:r>
      <w:r w:rsidR="0027568C" w:rsidRPr="00990DEE">
        <w:t xml:space="preserve"> increas</w:t>
      </w:r>
      <w:r w:rsidRPr="00990DEE">
        <w:t>ed in the last 20 years and will continue to grow as a result of</w:t>
      </w:r>
      <w:r w:rsidR="0027568C" w:rsidRPr="00990DEE">
        <w:t>,</w:t>
      </w:r>
      <w:r w:rsidR="0027568C" w:rsidRPr="00045E26">
        <w:rPr>
          <w:i/>
        </w:rPr>
        <w:t xml:space="preserve"> inter alia</w:t>
      </w:r>
      <w:r w:rsidR="0027568C" w:rsidRPr="00990DEE">
        <w:t>:</w:t>
      </w:r>
      <w:r w:rsidRPr="00990DEE">
        <w:t xml:space="preserve"> the </w:t>
      </w:r>
      <w:r w:rsidRPr="00045E26">
        <w:rPr>
          <w:rFonts w:eastAsia="MS PGothic"/>
          <w:lang w:val="en-CA"/>
        </w:rPr>
        <w:t>continuous rise in global population compounded with the global trend toward urbanization;</w:t>
      </w:r>
      <w:r w:rsidRPr="00990DEE">
        <w:rPr>
          <w:rFonts w:eastAsia="MS PGothic"/>
          <w:vertAlign w:val="superscript"/>
          <w:lang w:val="en-CA"/>
        </w:rPr>
        <w:footnoteReference w:id="19"/>
      </w:r>
      <w:r w:rsidRPr="00045E26">
        <w:rPr>
          <w:rFonts w:eastAsia="MS PGothic"/>
          <w:lang w:val="en-CA"/>
        </w:rPr>
        <w:t xml:space="preserve"> </w:t>
      </w:r>
      <w:r w:rsidRPr="00990DEE">
        <w:t xml:space="preserve">increases </w:t>
      </w:r>
      <w:r w:rsidR="0027568C" w:rsidRPr="00990DEE">
        <w:t>i</w:t>
      </w:r>
      <w:r w:rsidRPr="00990DEE">
        <w:t>n the purchasing power of the population;</w:t>
      </w:r>
      <w:r w:rsidRPr="00045E26">
        <w:rPr>
          <w:rFonts w:eastAsia="MS PGothic"/>
          <w:lang w:val="en-CA"/>
        </w:rPr>
        <w:t xml:space="preserve"> the growing </w:t>
      </w:r>
      <w:r w:rsidRPr="00990DEE">
        <w:t>availability of equipment at affordable price</w:t>
      </w:r>
      <w:r w:rsidR="0027568C" w:rsidRPr="00990DEE">
        <w:t>s</w:t>
      </w:r>
      <w:r w:rsidRPr="00990DEE">
        <w:t>; and the expansion of the food cold chain</w:t>
      </w:r>
      <w:r w:rsidR="004539DE" w:rsidRPr="00990DEE">
        <w:t>.</w:t>
      </w:r>
      <w:r w:rsidR="0045009C" w:rsidRPr="00990DEE">
        <w:t xml:space="preserve"> </w:t>
      </w:r>
    </w:p>
    <w:p w14:paraId="19D7AED5" w14:textId="7FBBB152" w:rsidR="00045E26" w:rsidRDefault="0045009C" w:rsidP="0029767D">
      <w:pPr>
        <w:pStyle w:val="Heading1"/>
        <w:numPr>
          <w:ilvl w:val="0"/>
          <w:numId w:val="23"/>
        </w:numPr>
        <w:tabs>
          <w:tab w:val="num" w:pos="720"/>
        </w:tabs>
      </w:pPr>
      <w:r w:rsidRPr="00990DEE">
        <w:t xml:space="preserve">By 2024, </w:t>
      </w:r>
      <w:r w:rsidR="00E476C3" w:rsidRPr="00990DEE">
        <w:t xml:space="preserve">when </w:t>
      </w:r>
      <w:r w:rsidRPr="00990DEE">
        <w:t xml:space="preserve">the first consumption compliance obligation under the Kigali Amendment for </w:t>
      </w:r>
      <w:r w:rsidR="00E476C3" w:rsidRPr="00990DEE">
        <w:t>Article</w:t>
      </w:r>
      <w:r w:rsidR="00DB7C8D">
        <w:t> </w:t>
      </w:r>
      <w:r w:rsidR="00E476C3" w:rsidRPr="00990DEE">
        <w:t>5 g</w:t>
      </w:r>
      <w:r w:rsidRPr="00990DEE">
        <w:t xml:space="preserve">roup </w:t>
      </w:r>
      <w:r w:rsidR="00DB7C8D">
        <w:t>1</w:t>
      </w:r>
      <w:r w:rsidR="00E476C3" w:rsidRPr="00990DEE">
        <w:t xml:space="preserve"> countries will </w:t>
      </w:r>
      <w:r w:rsidR="00DF77C4">
        <w:t>enter into force</w:t>
      </w:r>
      <w:r w:rsidRPr="00990DEE">
        <w:t>, the majority of HCFC and HFC consumption in Article</w:t>
      </w:r>
      <w:r w:rsidR="00DB7C8D">
        <w:t> </w:t>
      </w:r>
      <w:r w:rsidRPr="00990DEE">
        <w:t>5 countries will be in the refrigeration servicing sector.</w:t>
      </w:r>
    </w:p>
    <w:p w14:paraId="3A6095B7" w14:textId="77777777" w:rsidR="00045E26" w:rsidRPr="00045E26" w:rsidRDefault="00735EED" w:rsidP="00045E26">
      <w:pPr>
        <w:pStyle w:val="Heading1"/>
        <w:numPr>
          <w:ilvl w:val="0"/>
          <w:numId w:val="0"/>
        </w:numPr>
        <w:tabs>
          <w:tab w:val="num" w:pos="720"/>
        </w:tabs>
      </w:pPr>
      <w:r w:rsidRPr="00045E26">
        <w:rPr>
          <w:u w:val="single"/>
        </w:rPr>
        <w:t>Consumption of HFC-based refrigerants</w:t>
      </w:r>
    </w:p>
    <w:p w14:paraId="69EF2232" w14:textId="22C556BF" w:rsidR="00045E26" w:rsidRDefault="001D074D" w:rsidP="0029767D">
      <w:pPr>
        <w:pStyle w:val="Heading1"/>
        <w:numPr>
          <w:ilvl w:val="0"/>
          <w:numId w:val="23"/>
        </w:numPr>
        <w:tabs>
          <w:tab w:val="num" w:pos="720"/>
        </w:tabs>
      </w:pPr>
      <w:r w:rsidRPr="00045E26">
        <w:rPr>
          <w:lang w:val="en-CA"/>
        </w:rPr>
        <w:t>At</w:t>
      </w:r>
      <w:r w:rsidRPr="00990DEE">
        <w:t xml:space="preserve"> the time of the adoption of the</w:t>
      </w:r>
      <w:r w:rsidRPr="00B35CCD">
        <w:t xml:space="preserve"> Kigali Amendment, </w:t>
      </w:r>
      <w:r>
        <w:t xml:space="preserve">limited </w:t>
      </w:r>
      <w:r w:rsidRPr="00045E26">
        <w:rPr>
          <w:lang w:val="en-CA"/>
        </w:rPr>
        <w:t xml:space="preserve">knowledge was available on the amount of Annex F substances produced and consumed by each Article 5 country, and their specific uses. Aggregated information </w:t>
      </w:r>
      <w:r w:rsidRPr="00B35CCD">
        <w:t xml:space="preserve">on </w:t>
      </w:r>
      <w:r>
        <w:t xml:space="preserve">HFCs was provided in </w:t>
      </w:r>
      <w:r w:rsidRPr="00B35CCD">
        <w:t>the reports prepared by the TEAP Task Force under decisions XXV/5 and XXVI/9</w:t>
      </w:r>
      <w:r>
        <w:t xml:space="preserve"> of the Parties, and in a scientific journal article</w:t>
      </w:r>
      <w:r w:rsidR="00E67C38">
        <w:t xml:space="preserve"> published in </w:t>
      </w:r>
      <w:r w:rsidR="00E67C38" w:rsidRPr="00E67C38">
        <w:t>Atmospheric Science</w:t>
      </w:r>
      <w:r>
        <w:t>.</w:t>
      </w:r>
      <w:r>
        <w:rPr>
          <w:rStyle w:val="FootnoteReference"/>
        </w:rPr>
        <w:footnoteReference w:id="20"/>
      </w:r>
      <w:r w:rsidRPr="00CF7AE5">
        <w:t xml:space="preserve"> </w:t>
      </w:r>
    </w:p>
    <w:p w14:paraId="0E697C0F" w14:textId="77777777" w:rsidR="00045E26" w:rsidRDefault="001D074D" w:rsidP="0029767D">
      <w:pPr>
        <w:pStyle w:val="Heading1"/>
        <w:numPr>
          <w:ilvl w:val="0"/>
          <w:numId w:val="23"/>
        </w:numPr>
        <w:tabs>
          <w:tab w:val="num" w:pos="720"/>
        </w:tabs>
      </w:pPr>
      <w:r>
        <w:t xml:space="preserve">Additional information on HFC consumption was made available in </w:t>
      </w:r>
      <w:r w:rsidRPr="00CF7AE5">
        <w:t>surveys o</w:t>
      </w:r>
      <w:r>
        <w:t>f</w:t>
      </w:r>
      <w:r w:rsidRPr="00CF7AE5">
        <w:t xml:space="preserve"> ODS alternatives</w:t>
      </w:r>
      <w:r>
        <w:t xml:space="preserve"> conducted </w:t>
      </w:r>
      <w:r w:rsidRPr="00CF7AE5">
        <w:t>in 1</w:t>
      </w:r>
      <w:r>
        <w:t>19</w:t>
      </w:r>
      <w:r w:rsidRPr="00CF7AE5">
        <w:t xml:space="preserve"> Article 5 countries</w:t>
      </w:r>
      <w:r>
        <w:rPr>
          <w:rStyle w:val="FootnoteReference"/>
        </w:rPr>
        <w:footnoteReference w:id="21"/>
      </w:r>
      <w:r>
        <w:t xml:space="preserve"> i</w:t>
      </w:r>
      <w:r w:rsidRPr="00CF7AE5">
        <w:t>n response to paragraph 4 of decision XXVI/9</w:t>
      </w:r>
      <w:r>
        <w:t>,</w:t>
      </w:r>
      <w:r>
        <w:rPr>
          <w:rStyle w:val="FootnoteReference"/>
        </w:rPr>
        <w:footnoteReference w:id="22"/>
      </w:r>
      <w:r>
        <w:t xml:space="preserve"> which were submitted to the 80</w:t>
      </w:r>
      <w:r w:rsidRPr="00045E26">
        <w:rPr>
          <w:vertAlign w:val="superscript"/>
        </w:rPr>
        <w:t>th</w:t>
      </w:r>
      <w:r>
        <w:t xml:space="preserve"> meeting (November 2017).</w:t>
      </w:r>
      <w:r>
        <w:rPr>
          <w:rStyle w:val="FootnoteReference"/>
        </w:rPr>
        <w:footnoteReference w:id="23"/>
      </w:r>
      <w:r>
        <w:t xml:space="preserve"> The surveys provided disaggregated data on the level of consumption of HFCs and other alternatives to HCFCs, and their sectoral distribution. The </w:t>
      </w:r>
      <w:r w:rsidR="00876229">
        <w:t xml:space="preserve">disaggregated </w:t>
      </w:r>
      <w:r>
        <w:t xml:space="preserve">data </w:t>
      </w:r>
      <w:r w:rsidR="00876229">
        <w:t>made it possible to identify</w:t>
      </w:r>
      <w:r>
        <w:t xml:space="preserve"> the main HFCs used and their sectoral distribution between LVC and non</w:t>
      </w:r>
      <w:r w:rsidR="00C62C6C">
        <w:noBreakHyphen/>
      </w:r>
      <w:r>
        <w:t xml:space="preserve">LVC countries, an analysis that </w:t>
      </w:r>
      <w:r w:rsidR="00876229">
        <w:t>had not been</w:t>
      </w:r>
      <w:r>
        <w:t xml:space="preserve"> feasible with the aggregated data provided in the reports of the TEAP task force.</w:t>
      </w:r>
      <w:r w:rsidRPr="000579E7">
        <w:rPr>
          <w:rStyle w:val="FootnoteReference"/>
        </w:rPr>
        <w:footnoteReference w:id="24"/>
      </w:r>
    </w:p>
    <w:p w14:paraId="2D68B266" w14:textId="0D012335" w:rsidR="001D074D" w:rsidRPr="00DF77C4" w:rsidRDefault="001D074D" w:rsidP="0029767D">
      <w:pPr>
        <w:pStyle w:val="Heading1"/>
        <w:numPr>
          <w:ilvl w:val="0"/>
          <w:numId w:val="23"/>
        </w:numPr>
        <w:tabs>
          <w:tab w:val="num" w:pos="720"/>
        </w:tabs>
      </w:pPr>
      <w:r w:rsidRPr="00045E26">
        <w:rPr>
          <w:lang w:val="en-CA"/>
        </w:rPr>
        <w:t>Based on the reports prepared by the TEAP Task Force, aggregated HFC consumption in all Article</w:t>
      </w:r>
      <w:r w:rsidR="00DB7C8D">
        <w:rPr>
          <w:lang w:val="en-CA"/>
        </w:rPr>
        <w:t> </w:t>
      </w:r>
      <w:r w:rsidRPr="00045E26">
        <w:rPr>
          <w:lang w:val="en-CA"/>
        </w:rPr>
        <w:t>5 countries is estimated to increase from 284,326 mt in 2015 to 1,021,220 mt in 2030 under a business-as</w:t>
      </w:r>
      <w:r w:rsidR="00C62C6C" w:rsidRPr="00045E26">
        <w:rPr>
          <w:lang w:val="en-CA"/>
        </w:rPr>
        <w:noBreakHyphen/>
      </w:r>
      <w:r w:rsidRPr="00045E26">
        <w:rPr>
          <w:lang w:val="en-CA"/>
        </w:rPr>
        <w:t>usual scenario (which does not take into consideration the Kigali Amendment),</w:t>
      </w:r>
      <w:r w:rsidRPr="00DF77C4">
        <w:rPr>
          <w:rStyle w:val="FootnoteReference"/>
          <w:lang w:val="en-CA"/>
        </w:rPr>
        <w:footnoteReference w:id="25"/>
      </w:r>
      <w:r w:rsidRPr="00045E26">
        <w:rPr>
          <w:lang w:val="en-CA"/>
        </w:rPr>
        <w:t xml:space="preserve"> as shown in Table</w:t>
      </w:r>
      <w:r w:rsidR="00DB7C8D">
        <w:rPr>
          <w:lang w:val="en-CA"/>
        </w:rPr>
        <w:t> </w:t>
      </w:r>
      <w:r w:rsidRPr="00045E26">
        <w:rPr>
          <w:lang w:val="en-CA"/>
        </w:rPr>
        <w:t>1. Over 95</w:t>
      </w:r>
      <w:r w:rsidR="00DB7C8D">
        <w:rPr>
          <w:lang w:val="en-CA"/>
        </w:rPr>
        <w:t> </w:t>
      </w:r>
      <w:r w:rsidRPr="00045E26">
        <w:rPr>
          <w:lang w:val="en-CA"/>
        </w:rPr>
        <w:t>per</w:t>
      </w:r>
      <w:r w:rsidR="00DB7C8D">
        <w:rPr>
          <w:lang w:val="en-CA"/>
        </w:rPr>
        <w:t> </w:t>
      </w:r>
      <w:r w:rsidRPr="00045E26">
        <w:rPr>
          <w:lang w:val="en-CA"/>
        </w:rPr>
        <w:t>cent of the total HFC consumption is in the refrigeration and air-conditioning sector. The aggregated consumption of HFCs in the refrigeration servicing sector is expected to increase from 176,493</w:t>
      </w:r>
      <w:r w:rsidR="00E45A36">
        <w:rPr>
          <w:lang w:val="en-CA"/>
        </w:rPr>
        <w:t> </w:t>
      </w:r>
      <w:r w:rsidRPr="00045E26">
        <w:rPr>
          <w:lang w:val="en-CA"/>
        </w:rPr>
        <w:t>mt in 2020 to 468,550 mt in 2030 representing 46 per cent of the total consumption for all Article</w:t>
      </w:r>
      <w:r w:rsidR="00BB3A47">
        <w:rPr>
          <w:lang w:val="en-CA"/>
        </w:rPr>
        <w:t> </w:t>
      </w:r>
      <w:r w:rsidRPr="00045E26">
        <w:rPr>
          <w:lang w:val="en-CA"/>
        </w:rPr>
        <w:t>5 countries.</w:t>
      </w:r>
      <w:r w:rsidR="00466B87" w:rsidRPr="00045E26">
        <w:rPr>
          <w:lang w:val="en-CA"/>
        </w:rPr>
        <w:t xml:space="preserve"> The majority of that consumption is expected to be in </w:t>
      </w:r>
      <w:r w:rsidR="00442531" w:rsidRPr="00045E26">
        <w:rPr>
          <w:lang w:val="en-CA"/>
        </w:rPr>
        <w:t>HFC</w:t>
      </w:r>
      <w:r w:rsidR="000579E7" w:rsidRPr="00045E26">
        <w:rPr>
          <w:lang w:val="en-CA"/>
        </w:rPr>
        <w:t xml:space="preserve"> </w:t>
      </w:r>
      <w:r w:rsidR="00466B87" w:rsidRPr="00045E26">
        <w:rPr>
          <w:lang w:val="en-CA"/>
        </w:rPr>
        <w:t>blends.</w:t>
      </w:r>
    </w:p>
    <w:p w14:paraId="2490BFB5" w14:textId="77777777" w:rsidR="001D074D" w:rsidRPr="007C1AAC" w:rsidRDefault="001D074D" w:rsidP="00AC4B25">
      <w:pPr>
        <w:keepNext/>
        <w:keepLines/>
        <w:contextualSpacing/>
        <w:rPr>
          <w:b/>
          <w:lang w:val="en-CA"/>
        </w:rPr>
      </w:pPr>
      <w:r w:rsidRPr="007C1AAC">
        <w:rPr>
          <w:b/>
          <w:lang w:val="en-CA"/>
        </w:rPr>
        <w:t>Table 1. Distribution of HFC consumption in Article 5 countries under a business-as-usual scenario</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1D074D" w:rsidRPr="00E54F1D" w14:paraId="055C0064" w14:textId="77777777" w:rsidTr="0029767D">
        <w:trPr>
          <w:tblHeader/>
          <w:jc w:val="center"/>
        </w:trPr>
        <w:tc>
          <w:tcPr>
            <w:tcW w:w="2767" w:type="dxa"/>
            <w:vMerge w:val="restart"/>
            <w:shd w:val="clear" w:color="auto" w:fill="auto"/>
            <w:noWrap/>
            <w:vAlign w:val="center"/>
            <w:hideMark/>
          </w:tcPr>
          <w:p w14:paraId="6017559F" w14:textId="77777777" w:rsidR="001D074D" w:rsidRPr="00E54F1D" w:rsidRDefault="001D074D" w:rsidP="00A372C4">
            <w:pPr>
              <w:jc w:val="left"/>
              <w:rPr>
                <w:b/>
                <w:bCs/>
                <w:color w:val="000000"/>
                <w:sz w:val="21"/>
                <w:szCs w:val="21"/>
                <w:lang w:val="en-CA" w:eastAsia="en-CA"/>
              </w:rPr>
            </w:pPr>
            <w:r w:rsidRPr="00E54F1D">
              <w:rPr>
                <w:b/>
                <w:sz w:val="21"/>
                <w:szCs w:val="21"/>
                <w:highlight w:val="cyan"/>
                <w:lang w:val="en-CA"/>
              </w:rPr>
              <w:br w:type="page"/>
            </w:r>
            <w:r w:rsidRPr="00E54F1D">
              <w:rPr>
                <w:b/>
                <w:bCs/>
                <w:color w:val="000000"/>
                <w:sz w:val="21"/>
                <w:szCs w:val="21"/>
                <w:lang w:val="en-CA" w:eastAsia="en-CA"/>
              </w:rPr>
              <w:t>Sectors</w:t>
            </w:r>
          </w:p>
        </w:tc>
        <w:tc>
          <w:tcPr>
            <w:tcW w:w="6503" w:type="dxa"/>
            <w:gridSpan w:val="5"/>
            <w:shd w:val="clear" w:color="auto" w:fill="auto"/>
            <w:noWrap/>
            <w:vAlign w:val="center"/>
            <w:hideMark/>
          </w:tcPr>
          <w:p w14:paraId="7A3CB0E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HFC consumption</w:t>
            </w:r>
          </w:p>
        </w:tc>
      </w:tr>
      <w:tr w:rsidR="001D074D" w:rsidRPr="00E54F1D" w14:paraId="362F82AF" w14:textId="77777777" w:rsidTr="0029767D">
        <w:trPr>
          <w:tblHeader/>
          <w:jc w:val="center"/>
        </w:trPr>
        <w:tc>
          <w:tcPr>
            <w:tcW w:w="2767" w:type="dxa"/>
            <w:vMerge/>
            <w:vAlign w:val="center"/>
            <w:hideMark/>
          </w:tcPr>
          <w:p w14:paraId="3587A7B6" w14:textId="77777777" w:rsidR="001D074D" w:rsidRPr="00E54F1D" w:rsidRDefault="001D074D" w:rsidP="00A372C4">
            <w:pPr>
              <w:jc w:val="left"/>
              <w:rPr>
                <w:b/>
                <w:bCs/>
                <w:color w:val="000000"/>
                <w:sz w:val="21"/>
                <w:szCs w:val="21"/>
                <w:lang w:val="en-CA" w:eastAsia="en-CA"/>
              </w:rPr>
            </w:pPr>
          </w:p>
        </w:tc>
        <w:tc>
          <w:tcPr>
            <w:tcW w:w="1300" w:type="dxa"/>
            <w:shd w:val="clear" w:color="auto" w:fill="auto"/>
            <w:noWrap/>
            <w:vAlign w:val="center"/>
            <w:hideMark/>
          </w:tcPr>
          <w:p w14:paraId="3039D17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2010</w:t>
            </w:r>
          </w:p>
        </w:tc>
        <w:tc>
          <w:tcPr>
            <w:tcW w:w="1301" w:type="dxa"/>
            <w:shd w:val="clear" w:color="auto" w:fill="auto"/>
            <w:noWrap/>
            <w:vAlign w:val="center"/>
            <w:hideMark/>
          </w:tcPr>
          <w:p w14:paraId="3525FF6D"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2015</w:t>
            </w:r>
          </w:p>
        </w:tc>
        <w:tc>
          <w:tcPr>
            <w:tcW w:w="1300" w:type="dxa"/>
            <w:shd w:val="clear" w:color="auto" w:fill="auto"/>
            <w:noWrap/>
            <w:vAlign w:val="center"/>
            <w:hideMark/>
          </w:tcPr>
          <w:p w14:paraId="0DC4C4B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2020</w:t>
            </w:r>
          </w:p>
        </w:tc>
        <w:tc>
          <w:tcPr>
            <w:tcW w:w="1301" w:type="dxa"/>
            <w:shd w:val="clear" w:color="auto" w:fill="auto"/>
            <w:noWrap/>
            <w:vAlign w:val="center"/>
            <w:hideMark/>
          </w:tcPr>
          <w:p w14:paraId="50BBDC06"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2025</w:t>
            </w:r>
          </w:p>
        </w:tc>
        <w:tc>
          <w:tcPr>
            <w:tcW w:w="1301" w:type="dxa"/>
            <w:shd w:val="clear" w:color="auto" w:fill="auto"/>
            <w:noWrap/>
            <w:vAlign w:val="center"/>
            <w:hideMark/>
          </w:tcPr>
          <w:p w14:paraId="51F4C4D2"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2030</w:t>
            </w:r>
          </w:p>
        </w:tc>
      </w:tr>
      <w:tr w:rsidR="00EF0F05" w:rsidRPr="00E54F1D" w14:paraId="52E94AB9" w14:textId="77777777" w:rsidTr="0029767D">
        <w:trPr>
          <w:jc w:val="center"/>
        </w:trPr>
        <w:tc>
          <w:tcPr>
            <w:tcW w:w="9270" w:type="dxa"/>
            <w:gridSpan w:val="6"/>
            <w:shd w:val="clear" w:color="auto" w:fill="auto"/>
            <w:noWrap/>
          </w:tcPr>
          <w:p w14:paraId="70DC6A5C" w14:textId="0AC055BC" w:rsidR="00EF0F05" w:rsidRPr="00E54F1D" w:rsidRDefault="00EF0F05" w:rsidP="00EF0F05">
            <w:pPr>
              <w:jc w:val="left"/>
              <w:rPr>
                <w:color w:val="000000"/>
                <w:sz w:val="21"/>
                <w:szCs w:val="21"/>
              </w:rPr>
            </w:pPr>
            <w:r w:rsidRPr="00E54F1D">
              <w:rPr>
                <w:b/>
                <w:color w:val="000000"/>
                <w:sz w:val="21"/>
                <w:szCs w:val="21"/>
              </w:rPr>
              <w:t>Metric tonnes</w:t>
            </w:r>
          </w:p>
        </w:tc>
      </w:tr>
      <w:tr w:rsidR="00EF0F05" w:rsidRPr="00E54F1D" w14:paraId="0BC2669D" w14:textId="77777777" w:rsidTr="0029767D">
        <w:trPr>
          <w:jc w:val="center"/>
        </w:trPr>
        <w:tc>
          <w:tcPr>
            <w:tcW w:w="2767" w:type="dxa"/>
            <w:shd w:val="clear" w:color="auto" w:fill="auto"/>
            <w:noWrap/>
            <w:vAlign w:val="bottom"/>
          </w:tcPr>
          <w:p w14:paraId="5AE48C6C" w14:textId="21F5B097" w:rsidR="00EF0F05" w:rsidRPr="00E54F1D" w:rsidRDefault="00EF0F05" w:rsidP="00A372C4">
            <w:pPr>
              <w:rPr>
                <w:color w:val="000000"/>
                <w:sz w:val="21"/>
                <w:szCs w:val="21"/>
              </w:rPr>
            </w:pPr>
            <w:r>
              <w:rPr>
                <w:color w:val="000000"/>
                <w:sz w:val="20"/>
                <w:szCs w:val="20"/>
              </w:rPr>
              <w:t>RAC manufacturing</w:t>
            </w:r>
          </w:p>
        </w:tc>
        <w:tc>
          <w:tcPr>
            <w:tcW w:w="1300" w:type="dxa"/>
            <w:shd w:val="clear" w:color="auto" w:fill="auto"/>
            <w:noWrap/>
            <w:tcMar>
              <w:left w:w="115" w:type="dxa"/>
              <w:right w:w="288" w:type="dxa"/>
            </w:tcMar>
          </w:tcPr>
          <w:p w14:paraId="0CEBF6AF" w14:textId="4DBED532" w:rsidR="00EF0F05" w:rsidRPr="00E54F1D" w:rsidRDefault="00EF0F05" w:rsidP="00EF0F05">
            <w:pPr>
              <w:jc w:val="right"/>
              <w:rPr>
                <w:color w:val="000000"/>
                <w:sz w:val="21"/>
                <w:szCs w:val="21"/>
              </w:rPr>
            </w:pPr>
            <w:r>
              <w:rPr>
                <w:color w:val="000000"/>
                <w:sz w:val="20"/>
                <w:szCs w:val="20"/>
              </w:rPr>
              <w:t>91,523</w:t>
            </w:r>
          </w:p>
        </w:tc>
        <w:tc>
          <w:tcPr>
            <w:tcW w:w="1301" w:type="dxa"/>
            <w:shd w:val="clear" w:color="auto" w:fill="auto"/>
            <w:noWrap/>
            <w:tcMar>
              <w:left w:w="115" w:type="dxa"/>
              <w:right w:w="288" w:type="dxa"/>
            </w:tcMar>
          </w:tcPr>
          <w:p w14:paraId="53635D2F" w14:textId="5126BB0F" w:rsidR="00EF0F05" w:rsidRPr="00E54F1D" w:rsidRDefault="00EF0F05" w:rsidP="00EF0F05">
            <w:pPr>
              <w:jc w:val="right"/>
              <w:rPr>
                <w:color w:val="000000"/>
                <w:sz w:val="21"/>
                <w:szCs w:val="21"/>
              </w:rPr>
            </w:pPr>
            <w:r>
              <w:rPr>
                <w:color w:val="000000"/>
                <w:sz w:val="20"/>
                <w:szCs w:val="20"/>
              </w:rPr>
              <w:t>185,838</w:t>
            </w:r>
          </w:p>
        </w:tc>
        <w:tc>
          <w:tcPr>
            <w:tcW w:w="1300" w:type="dxa"/>
            <w:shd w:val="clear" w:color="auto" w:fill="auto"/>
            <w:noWrap/>
            <w:tcMar>
              <w:left w:w="115" w:type="dxa"/>
              <w:right w:w="288" w:type="dxa"/>
            </w:tcMar>
          </w:tcPr>
          <w:p w14:paraId="25FAA419" w14:textId="02152CCF" w:rsidR="00EF0F05" w:rsidRPr="00E54F1D" w:rsidRDefault="00EF0F05" w:rsidP="00EF0F05">
            <w:pPr>
              <w:jc w:val="right"/>
              <w:rPr>
                <w:color w:val="000000"/>
                <w:sz w:val="21"/>
                <w:szCs w:val="21"/>
              </w:rPr>
            </w:pPr>
            <w:r>
              <w:rPr>
                <w:color w:val="000000"/>
                <w:sz w:val="20"/>
                <w:szCs w:val="20"/>
              </w:rPr>
              <w:t>281,619</w:t>
            </w:r>
          </w:p>
        </w:tc>
        <w:tc>
          <w:tcPr>
            <w:tcW w:w="1301" w:type="dxa"/>
            <w:shd w:val="clear" w:color="auto" w:fill="auto"/>
            <w:noWrap/>
            <w:tcMar>
              <w:left w:w="115" w:type="dxa"/>
              <w:right w:w="288" w:type="dxa"/>
            </w:tcMar>
          </w:tcPr>
          <w:p w14:paraId="1B762CA0" w14:textId="0EB94AEE" w:rsidR="00EF0F05" w:rsidRPr="00E54F1D" w:rsidRDefault="00EF0F05" w:rsidP="00EF0F05">
            <w:pPr>
              <w:jc w:val="right"/>
              <w:rPr>
                <w:color w:val="000000"/>
                <w:sz w:val="21"/>
                <w:szCs w:val="21"/>
              </w:rPr>
            </w:pPr>
            <w:r>
              <w:rPr>
                <w:color w:val="000000"/>
                <w:sz w:val="20"/>
                <w:szCs w:val="20"/>
              </w:rPr>
              <w:t>392,390</w:t>
            </w:r>
          </w:p>
        </w:tc>
        <w:tc>
          <w:tcPr>
            <w:tcW w:w="1301" w:type="dxa"/>
            <w:shd w:val="clear" w:color="auto" w:fill="auto"/>
            <w:noWrap/>
            <w:tcMar>
              <w:left w:w="115" w:type="dxa"/>
              <w:right w:w="288" w:type="dxa"/>
            </w:tcMar>
          </w:tcPr>
          <w:p w14:paraId="1F9AABED" w14:textId="3DF4CC9C" w:rsidR="00EF0F05" w:rsidRPr="00E54F1D" w:rsidRDefault="00EF0F05" w:rsidP="00EF0F05">
            <w:pPr>
              <w:jc w:val="right"/>
              <w:rPr>
                <w:color w:val="000000"/>
                <w:sz w:val="21"/>
                <w:szCs w:val="21"/>
              </w:rPr>
            </w:pPr>
            <w:r>
              <w:rPr>
                <w:color w:val="000000"/>
                <w:sz w:val="20"/>
                <w:szCs w:val="20"/>
              </w:rPr>
              <w:t>510,596</w:t>
            </w:r>
          </w:p>
        </w:tc>
      </w:tr>
      <w:tr w:rsidR="00EF0F05" w:rsidRPr="00E54F1D" w14:paraId="5D333202" w14:textId="77777777" w:rsidTr="0029767D">
        <w:trPr>
          <w:jc w:val="center"/>
        </w:trPr>
        <w:tc>
          <w:tcPr>
            <w:tcW w:w="2767" w:type="dxa"/>
            <w:shd w:val="clear" w:color="auto" w:fill="auto"/>
            <w:noWrap/>
            <w:vAlign w:val="bottom"/>
          </w:tcPr>
          <w:p w14:paraId="3BE73B66" w14:textId="22575353" w:rsidR="00EF0F05" w:rsidRPr="00E54F1D" w:rsidRDefault="00EF0F05" w:rsidP="00A372C4">
            <w:pPr>
              <w:rPr>
                <w:color w:val="000000"/>
                <w:sz w:val="21"/>
                <w:szCs w:val="21"/>
              </w:rPr>
            </w:pPr>
            <w:r>
              <w:rPr>
                <w:color w:val="000000"/>
                <w:sz w:val="20"/>
                <w:szCs w:val="20"/>
              </w:rPr>
              <w:t>RAC servicing</w:t>
            </w:r>
          </w:p>
        </w:tc>
        <w:tc>
          <w:tcPr>
            <w:tcW w:w="1300" w:type="dxa"/>
            <w:shd w:val="clear" w:color="auto" w:fill="auto"/>
            <w:noWrap/>
            <w:tcMar>
              <w:left w:w="115" w:type="dxa"/>
              <w:right w:w="288" w:type="dxa"/>
            </w:tcMar>
          </w:tcPr>
          <w:p w14:paraId="30DE91E5" w14:textId="68E151DA" w:rsidR="00EF0F05" w:rsidRPr="00E54F1D" w:rsidRDefault="00EF0F05" w:rsidP="00EF0F05">
            <w:pPr>
              <w:jc w:val="right"/>
              <w:rPr>
                <w:color w:val="000000"/>
                <w:sz w:val="21"/>
                <w:szCs w:val="21"/>
              </w:rPr>
            </w:pPr>
            <w:r>
              <w:rPr>
                <w:color w:val="000000"/>
                <w:sz w:val="20"/>
                <w:szCs w:val="20"/>
              </w:rPr>
              <w:t>33,476</w:t>
            </w:r>
          </w:p>
        </w:tc>
        <w:tc>
          <w:tcPr>
            <w:tcW w:w="1301" w:type="dxa"/>
            <w:shd w:val="clear" w:color="auto" w:fill="auto"/>
            <w:noWrap/>
            <w:tcMar>
              <w:left w:w="115" w:type="dxa"/>
              <w:right w:w="288" w:type="dxa"/>
            </w:tcMar>
          </w:tcPr>
          <w:p w14:paraId="658FCFDC" w14:textId="5D61510F" w:rsidR="00EF0F05" w:rsidRPr="00E54F1D" w:rsidRDefault="00EF0F05" w:rsidP="00EF0F05">
            <w:pPr>
              <w:jc w:val="right"/>
              <w:rPr>
                <w:color w:val="000000"/>
                <w:sz w:val="21"/>
                <w:szCs w:val="21"/>
              </w:rPr>
            </w:pPr>
            <w:r>
              <w:rPr>
                <w:color w:val="000000"/>
                <w:sz w:val="20"/>
                <w:szCs w:val="20"/>
              </w:rPr>
              <w:t>87,033</w:t>
            </w:r>
          </w:p>
        </w:tc>
        <w:tc>
          <w:tcPr>
            <w:tcW w:w="1300" w:type="dxa"/>
            <w:shd w:val="clear" w:color="auto" w:fill="auto"/>
            <w:noWrap/>
            <w:tcMar>
              <w:left w:w="115" w:type="dxa"/>
              <w:right w:w="288" w:type="dxa"/>
            </w:tcMar>
          </w:tcPr>
          <w:p w14:paraId="59262AAC" w14:textId="4AE663DC" w:rsidR="00EF0F05" w:rsidRPr="00E54F1D" w:rsidRDefault="00EF0F05" w:rsidP="00EF0F05">
            <w:pPr>
              <w:jc w:val="right"/>
              <w:rPr>
                <w:color w:val="000000"/>
                <w:sz w:val="21"/>
                <w:szCs w:val="21"/>
              </w:rPr>
            </w:pPr>
            <w:r>
              <w:rPr>
                <w:color w:val="000000"/>
                <w:sz w:val="20"/>
                <w:szCs w:val="20"/>
              </w:rPr>
              <w:t>176,493</w:t>
            </w:r>
          </w:p>
        </w:tc>
        <w:tc>
          <w:tcPr>
            <w:tcW w:w="1301" w:type="dxa"/>
            <w:shd w:val="clear" w:color="auto" w:fill="auto"/>
            <w:noWrap/>
            <w:tcMar>
              <w:left w:w="115" w:type="dxa"/>
              <w:right w:w="288" w:type="dxa"/>
            </w:tcMar>
          </w:tcPr>
          <w:p w14:paraId="283FFD13" w14:textId="0A1D7A89" w:rsidR="00EF0F05" w:rsidRPr="00E54F1D" w:rsidRDefault="00EF0F05" w:rsidP="00EF0F05">
            <w:pPr>
              <w:jc w:val="right"/>
              <w:rPr>
                <w:color w:val="000000"/>
                <w:sz w:val="21"/>
                <w:szCs w:val="21"/>
              </w:rPr>
            </w:pPr>
            <w:r>
              <w:rPr>
                <w:color w:val="000000"/>
                <w:sz w:val="20"/>
                <w:szCs w:val="20"/>
              </w:rPr>
              <w:t>305,922</w:t>
            </w:r>
          </w:p>
        </w:tc>
        <w:tc>
          <w:tcPr>
            <w:tcW w:w="1301" w:type="dxa"/>
            <w:shd w:val="clear" w:color="auto" w:fill="auto"/>
            <w:noWrap/>
            <w:tcMar>
              <w:left w:w="115" w:type="dxa"/>
              <w:right w:w="288" w:type="dxa"/>
            </w:tcMar>
          </w:tcPr>
          <w:p w14:paraId="39DC8DA8" w14:textId="1D1C12D7" w:rsidR="00EF0F05" w:rsidRPr="00E54F1D" w:rsidRDefault="00EF0F05" w:rsidP="00EF0F05">
            <w:pPr>
              <w:jc w:val="right"/>
              <w:rPr>
                <w:color w:val="000000"/>
                <w:sz w:val="21"/>
                <w:szCs w:val="21"/>
              </w:rPr>
            </w:pPr>
            <w:r>
              <w:rPr>
                <w:color w:val="000000"/>
                <w:sz w:val="20"/>
                <w:szCs w:val="20"/>
              </w:rPr>
              <w:t>468,550</w:t>
            </w:r>
          </w:p>
        </w:tc>
      </w:tr>
      <w:tr w:rsidR="00EF0F05" w:rsidRPr="00E54F1D" w14:paraId="66633BB5" w14:textId="77777777" w:rsidTr="0029767D">
        <w:trPr>
          <w:jc w:val="center"/>
        </w:trPr>
        <w:tc>
          <w:tcPr>
            <w:tcW w:w="2767" w:type="dxa"/>
            <w:shd w:val="clear" w:color="auto" w:fill="auto"/>
            <w:noWrap/>
            <w:vAlign w:val="bottom"/>
          </w:tcPr>
          <w:p w14:paraId="638F0712" w14:textId="79780A28" w:rsidR="00EF0F05" w:rsidRPr="00E54F1D" w:rsidRDefault="00EF0F05" w:rsidP="00A372C4">
            <w:pPr>
              <w:rPr>
                <w:color w:val="000000"/>
                <w:sz w:val="21"/>
                <w:szCs w:val="21"/>
              </w:rPr>
            </w:pPr>
            <w:r>
              <w:rPr>
                <w:color w:val="000000"/>
                <w:sz w:val="20"/>
                <w:szCs w:val="20"/>
              </w:rPr>
              <w:t>Other sectors</w:t>
            </w:r>
          </w:p>
        </w:tc>
        <w:tc>
          <w:tcPr>
            <w:tcW w:w="1300" w:type="dxa"/>
            <w:shd w:val="clear" w:color="auto" w:fill="auto"/>
            <w:noWrap/>
            <w:tcMar>
              <w:left w:w="115" w:type="dxa"/>
              <w:right w:w="288" w:type="dxa"/>
            </w:tcMar>
          </w:tcPr>
          <w:p w14:paraId="010F289E" w14:textId="2987D156" w:rsidR="00EF0F05" w:rsidRPr="00E54F1D" w:rsidRDefault="00EF0F05" w:rsidP="00EF0F05">
            <w:pPr>
              <w:jc w:val="right"/>
              <w:rPr>
                <w:color w:val="000000"/>
                <w:sz w:val="21"/>
                <w:szCs w:val="21"/>
              </w:rPr>
            </w:pPr>
            <w:r>
              <w:rPr>
                <w:color w:val="000000"/>
                <w:sz w:val="20"/>
                <w:szCs w:val="20"/>
              </w:rPr>
              <w:t>2,010</w:t>
            </w:r>
          </w:p>
        </w:tc>
        <w:tc>
          <w:tcPr>
            <w:tcW w:w="1301" w:type="dxa"/>
            <w:shd w:val="clear" w:color="auto" w:fill="auto"/>
            <w:noWrap/>
            <w:tcMar>
              <w:left w:w="115" w:type="dxa"/>
              <w:right w:w="288" w:type="dxa"/>
            </w:tcMar>
          </w:tcPr>
          <w:p w14:paraId="3D95D82A" w14:textId="108DF12C" w:rsidR="00EF0F05" w:rsidRPr="00E54F1D" w:rsidRDefault="00EF0F05" w:rsidP="00EF0F05">
            <w:pPr>
              <w:jc w:val="right"/>
              <w:rPr>
                <w:color w:val="000000"/>
                <w:sz w:val="21"/>
                <w:szCs w:val="21"/>
              </w:rPr>
            </w:pPr>
            <w:r>
              <w:rPr>
                <w:color w:val="000000"/>
                <w:sz w:val="20"/>
                <w:szCs w:val="20"/>
              </w:rPr>
              <w:t>11,458</w:t>
            </w:r>
          </w:p>
        </w:tc>
        <w:tc>
          <w:tcPr>
            <w:tcW w:w="1300" w:type="dxa"/>
            <w:shd w:val="clear" w:color="auto" w:fill="auto"/>
            <w:noWrap/>
            <w:tcMar>
              <w:left w:w="115" w:type="dxa"/>
              <w:right w:w="288" w:type="dxa"/>
            </w:tcMar>
          </w:tcPr>
          <w:p w14:paraId="3892A7E3" w14:textId="69E69E6A" w:rsidR="00EF0F05" w:rsidRPr="00E54F1D" w:rsidRDefault="00EF0F05" w:rsidP="00EF0F05">
            <w:pPr>
              <w:jc w:val="right"/>
              <w:rPr>
                <w:color w:val="000000"/>
                <w:sz w:val="21"/>
                <w:szCs w:val="21"/>
              </w:rPr>
            </w:pPr>
            <w:r>
              <w:rPr>
                <w:color w:val="000000"/>
                <w:sz w:val="20"/>
                <w:szCs w:val="20"/>
              </w:rPr>
              <w:t>19,506</w:t>
            </w:r>
          </w:p>
        </w:tc>
        <w:tc>
          <w:tcPr>
            <w:tcW w:w="1301" w:type="dxa"/>
            <w:shd w:val="clear" w:color="auto" w:fill="auto"/>
            <w:noWrap/>
            <w:tcMar>
              <w:left w:w="115" w:type="dxa"/>
              <w:right w:w="288" w:type="dxa"/>
            </w:tcMar>
          </w:tcPr>
          <w:p w14:paraId="6D3F9298" w14:textId="04D3EEDE" w:rsidR="00EF0F05" w:rsidRPr="00E54F1D" w:rsidRDefault="00EF0F05" w:rsidP="00EF0F05">
            <w:pPr>
              <w:jc w:val="right"/>
              <w:rPr>
                <w:color w:val="000000"/>
                <w:sz w:val="21"/>
                <w:szCs w:val="21"/>
              </w:rPr>
            </w:pPr>
            <w:r>
              <w:rPr>
                <w:color w:val="000000"/>
                <w:sz w:val="20"/>
                <w:szCs w:val="20"/>
              </w:rPr>
              <w:t>33,092</w:t>
            </w:r>
          </w:p>
        </w:tc>
        <w:tc>
          <w:tcPr>
            <w:tcW w:w="1301" w:type="dxa"/>
            <w:shd w:val="clear" w:color="auto" w:fill="auto"/>
            <w:noWrap/>
            <w:tcMar>
              <w:left w:w="115" w:type="dxa"/>
              <w:right w:w="288" w:type="dxa"/>
            </w:tcMar>
          </w:tcPr>
          <w:p w14:paraId="3AE7B6F9" w14:textId="2134CD5A" w:rsidR="00EF0F05" w:rsidRPr="00E54F1D" w:rsidRDefault="00EF0F05" w:rsidP="00EF0F05">
            <w:pPr>
              <w:jc w:val="right"/>
              <w:rPr>
                <w:color w:val="000000"/>
                <w:sz w:val="21"/>
                <w:szCs w:val="21"/>
              </w:rPr>
            </w:pPr>
            <w:r>
              <w:rPr>
                <w:color w:val="000000"/>
                <w:sz w:val="20"/>
                <w:szCs w:val="20"/>
              </w:rPr>
              <w:t>42,074</w:t>
            </w:r>
          </w:p>
        </w:tc>
      </w:tr>
      <w:tr w:rsidR="00EF0F05" w:rsidRPr="00E54F1D" w14:paraId="731B14A2" w14:textId="77777777" w:rsidTr="0029767D">
        <w:trPr>
          <w:jc w:val="center"/>
        </w:trPr>
        <w:tc>
          <w:tcPr>
            <w:tcW w:w="2767" w:type="dxa"/>
            <w:shd w:val="clear" w:color="auto" w:fill="auto"/>
            <w:noWrap/>
            <w:vAlign w:val="bottom"/>
          </w:tcPr>
          <w:p w14:paraId="07F67303" w14:textId="19592A63" w:rsidR="00EF0F05" w:rsidRPr="00E54F1D" w:rsidRDefault="00EF0F05" w:rsidP="00A372C4">
            <w:pPr>
              <w:rPr>
                <w:color w:val="000000"/>
                <w:sz w:val="21"/>
                <w:szCs w:val="21"/>
              </w:rPr>
            </w:pPr>
            <w:r>
              <w:rPr>
                <w:color w:val="000000"/>
                <w:sz w:val="20"/>
                <w:szCs w:val="20"/>
              </w:rPr>
              <w:t>Total (mt)</w:t>
            </w:r>
          </w:p>
        </w:tc>
        <w:tc>
          <w:tcPr>
            <w:tcW w:w="1300" w:type="dxa"/>
            <w:shd w:val="clear" w:color="auto" w:fill="auto"/>
            <w:noWrap/>
            <w:tcMar>
              <w:left w:w="115" w:type="dxa"/>
              <w:right w:w="288" w:type="dxa"/>
            </w:tcMar>
          </w:tcPr>
          <w:p w14:paraId="14A6EEEB" w14:textId="57C9CB8D" w:rsidR="00EF0F05" w:rsidRPr="00E54F1D" w:rsidRDefault="00EF0F05" w:rsidP="00EF0F05">
            <w:pPr>
              <w:jc w:val="right"/>
              <w:rPr>
                <w:color w:val="000000"/>
                <w:sz w:val="21"/>
                <w:szCs w:val="21"/>
              </w:rPr>
            </w:pPr>
            <w:r>
              <w:rPr>
                <w:color w:val="000000"/>
                <w:sz w:val="20"/>
                <w:szCs w:val="20"/>
              </w:rPr>
              <w:t>127,009</w:t>
            </w:r>
          </w:p>
        </w:tc>
        <w:tc>
          <w:tcPr>
            <w:tcW w:w="1301" w:type="dxa"/>
            <w:shd w:val="clear" w:color="auto" w:fill="auto"/>
            <w:noWrap/>
            <w:tcMar>
              <w:left w:w="115" w:type="dxa"/>
              <w:right w:w="288" w:type="dxa"/>
            </w:tcMar>
          </w:tcPr>
          <w:p w14:paraId="63286305" w14:textId="61548554" w:rsidR="00EF0F05" w:rsidRPr="00E54F1D" w:rsidRDefault="00EF0F05" w:rsidP="00EF0F05">
            <w:pPr>
              <w:jc w:val="right"/>
              <w:rPr>
                <w:color w:val="000000"/>
                <w:sz w:val="21"/>
                <w:szCs w:val="21"/>
              </w:rPr>
            </w:pPr>
            <w:r>
              <w:rPr>
                <w:color w:val="000000"/>
                <w:sz w:val="20"/>
                <w:szCs w:val="20"/>
              </w:rPr>
              <w:t>284,329</w:t>
            </w:r>
          </w:p>
        </w:tc>
        <w:tc>
          <w:tcPr>
            <w:tcW w:w="1300" w:type="dxa"/>
            <w:shd w:val="clear" w:color="auto" w:fill="auto"/>
            <w:noWrap/>
            <w:tcMar>
              <w:left w:w="115" w:type="dxa"/>
              <w:right w:w="288" w:type="dxa"/>
            </w:tcMar>
          </w:tcPr>
          <w:p w14:paraId="1F6B92C1" w14:textId="47A504CC" w:rsidR="00EF0F05" w:rsidRPr="00E54F1D" w:rsidRDefault="00EF0F05" w:rsidP="00EF0F05">
            <w:pPr>
              <w:jc w:val="right"/>
              <w:rPr>
                <w:color w:val="000000"/>
                <w:sz w:val="21"/>
                <w:szCs w:val="21"/>
              </w:rPr>
            </w:pPr>
            <w:r>
              <w:rPr>
                <w:color w:val="000000"/>
                <w:sz w:val="20"/>
                <w:szCs w:val="20"/>
              </w:rPr>
              <w:t>477,618</w:t>
            </w:r>
          </w:p>
        </w:tc>
        <w:tc>
          <w:tcPr>
            <w:tcW w:w="1301" w:type="dxa"/>
            <w:shd w:val="clear" w:color="auto" w:fill="auto"/>
            <w:noWrap/>
            <w:tcMar>
              <w:left w:w="115" w:type="dxa"/>
              <w:right w:w="288" w:type="dxa"/>
            </w:tcMar>
          </w:tcPr>
          <w:p w14:paraId="7CE9CB14" w14:textId="7DC785A7" w:rsidR="00EF0F05" w:rsidRPr="00E54F1D" w:rsidRDefault="00EF0F05" w:rsidP="00EF0F05">
            <w:pPr>
              <w:jc w:val="right"/>
              <w:rPr>
                <w:color w:val="000000"/>
                <w:sz w:val="21"/>
                <w:szCs w:val="21"/>
              </w:rPr>
            </w:pPr>
            <w:r>
              <w:rPr>
                <w:color w:val="000000"/>
                <w:sz w:val="20"/>
                <w:szCs w:val="20"/>
              </w:rPr>
              <w:t>731,404</w:t>
            </w:r>
          </w:p>
        </w:tc>
        <w:tc>
          <w:tcPr>
            <w:tcW w:w="1301" w:type="dxa"/>
            <w:shd w:val="clear" w:color="auto" w:fill="auto"/>
            <w:noWrap/>
            <w:tcMar>
              <w:left w:w="115" w:type="dxa"/>
              <w:right w:w="288" w:type="dxa"/>
            </w:tcMar>
          </w:tcPr>
          <w:p w14:paraId="3020BDB8" w14:textId="67F9E954" w:rsidR="00EF0F05" w:rsidRPr="00E54F1D" w:rsidRDefault="00EF0F05" w:rsidP="00EF0F05">
            <w:pPr>
              <w:jc w:val="right"/>
              <w:rPr>
                <w:color w:val="000000"/>
                <w:sz w:val="21"/>
                <w:szCs w:val="21"/>
              </w:rPr>
            </w:pPr>
            <w:r>
              <w:rPr>
                <w:color w:val="000000"/>
                <w:sz w:val="20"/>
                <w:szCs w:val="20"/>
              </w:rPr>
              <w:t>1,021,220</w:t>
            </w:r>
          </w:p>
        </w:tc>
      </w:tr>
      <w:tr w:rsidR="00EF0F05" w:rsidRPr="00E54F1D" w14:paraId="711F5834" w14:textId="77777777" w:rsidTr="0029767D">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14:paraId="6B2B2460" w14:textId="35F749A7" w:rsidR="00EF0F05" w:rsidRPr="00E54F1D" w:rsidRDefault="00EF0F05" w:rsidP="00EF0F05">
            <w:pPr>
              <w:jc w:val="left"/>
              <w:rPr>
                <w:color w:val="000000"/>
                <w:sz w:val="21"/>
                <w:szCs w:val="21"/>
              </w:rPr>
            </w:pPr>
            <w:r w:rsidRPr="00EF0F05">
              <w:rPr>
                <w:b/>
                <w:color w:val="000000"/>
                <w:sz w:val="20"/>
                <w:szCs w:val="20"/>
              </w:rPr>
              <w:t>Per cent</w:t>
            </w:r>
            <w:r>
              <w:rPr>
                <w:b/>
                <w:color w:val="000000"/>
                <w:sz w:val="20"/>
                <w:szCs w:val="20"/>
              </w:rPr>
              <w:t xml:space="preserve"> (%)</w:t>
            </w:r>
          </w:p>
        </w:tc>
      </w:tr>
      <w:tr w:rsidR="00EF0F05" w:rsidRPr="00E54F1D" w14:paraId="0B84D4CB"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7C14B" w14:textId="7655A9AC" w:rsidR="00EF0F05" w:rsidRPr="00E54F1D" w:rsidRDefault="00EF0F05" w:rsidP="00A372C4">
            <w:pPr>
              <w:rPr>
                <w:color w:val="000000"/>
                <w:sz w:val="21"/>
                <w:szCs w:val="21"/>
              </w:rPr>
            </w:pPr>
            <w:r>
              <w:rPr>
                <w:color w:val="000000"/>
                <w:sz w:val="20"/>
                <w:szCs w:val="20"/>
              </w:rPr>
              <w:t>RAC manufacturing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50F4492" w14:textId="3593F177" w:rsidR="00EF0F05" w:rsidRPr="00E54F1D" w:rsidRDefault="00EF0F05" w:rsidP="00EF0F05">
            <w:pPr>
              <w:jc w:val="right"/>
              <w:rPr>
                <w:color w:val="000000"/>
                <w:sz w:val="21"/>
                <w:szCs w:val="21"/>
              </w:rPr>
            </w:pPr>
            <w:r>
              <w:rPr>
                <w:color w:val="000000"/>
                <w:sz w:val="20"/>
                <w:szCs w:val="20"/>
              </w:rPr>
              <w:t>72.1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5C66536" w14:textId="07A326CB" w:rsidR="00EF0F05" w:rsidRPr="00E54F1D" w:rsidRDefault="00EF0F05" w:rsidP="00EF0F05">
            <w:pPr>
              <w:jc w:val="right"/>
              <w:rPr>
                <w:color w:val="000000"/>
                <w:sz w:val="21"/>
                <w:szCs w:val="21"/>
              </w:rPr>
            </w:pPr>
            <w:r>
              <w:rPr>
                <w:color w:val="000000"/>
                <w:sz w:val="20"/>
                <w:szCs w:val="20"/>
              </w:rPr>
              <w:t>65.4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725B018" w14:textId="1913F4F1" w:rsidR="00EF0F05" w:rsidRPr="00E54F1D" w:rsidRDefault="00EF0F05" w:rsidP="00EF0F05">
            <w:pPr>
              <w:jc w:val="right"/>
              <w:rPr>
                <w:color w:val="000000"/>
                <w:sz w:val="21"/>
                <w:szCs w:val="21"/>
              </w:rPr>
            </w:pPr>
            <w:r>
              <w:rPr>
                <w:color w:val="000000"/>
                <w:sz w:val="20"/>
                <w:szCs w:val="20"/>
              </w:rPr>
              <w:t>59.0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BE15CA4" w14:textId="2DA8880F" w:rsidR="00EF0F05" w:rsidRPr="00E54F1D" w:rsidRDefault="00EF0F05" w:rsidP="00EF0F05">
            <w:pPr>
              <w:jc w:val="right"/>
              <w:rPr>
                <w:color w:val="000000"/>
                <w:sz w:val="21"/>
                <w:szCs w:val="21"/>
              </w:rPr>
            </w:pPr>
            <w:r>
              <w:rPr>
                <w:color w:val="000000"/>
                <w:sz w:val="20"/>
                <w:szCs w:val="20"/>
              </w:rPr>
              <w:t>53.6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FABC3D6" w14:textId="35787E5E" w:rsidR="00EF0F05" w:rsidRPr="00E54F1D" w:rsidRDefault="00EF0F05" w:rsidP="00EF0F05">
            <w:pPr>
              <w:jc w:val="right"/>
              <w:rPr>
                <w:color w:val="000000"/>
                <w:sz w:val="21"/>
                <w:szCs w:val="21"/>
              </w:rPr>
            </w:pPr>
            <w:r>
              <w:rPr>
                <w:color w:val="000000"/>
                <w:sz w:val="20"/>
                <w:szCs w:val="20"/>
              </w:rPr>
              <w:t>50.0</w:t>
            </w:r>
          </w:p>
        </w:tc>
      </w:tr>
      <w:tr w:rsidR="00EF0F05" w:rsidRPr="00E54F1D" w14:paraId="1FC57132"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42061" w14:textId="31A3257E" w:rsidR="00EF0F05" w:rsidRPr="00E54F1D" w:rsidRDefault="00EF0F05" w:rsidP="00A372C4">
            <w:pPr>
              <w:rPr>
                <w:color w:val="000000"/>
                <w:sz w:val="21"/>
                <w:szCs w:val="21"/>
              </w:rPr>
            </w:pPr>
            <w:r>
              <w:rPr>
                <w:color w:val="000000"/>
                <w:sz w:val="20"/>
                <w:szCs w:val="20"/>
              </w:rPr>
              <w:t>RAC servicing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7BAD84C" w14:textId="6A94AA99" w:rsidR="00EF0F05" w:rsidRPr="00E54F1D" w:rsidRDefault="00EF0F05" w:rsidP="00EF0F05">
            <w:pPr>
              <w:jc w:val="right"/>
              <w:rPr>
                <w:color w:val="000000"/>
                <w:sz w:val="21"/>
                <w:szCs w:val="21"/>
              </w:rPr>
            </w:pPr>
            <w:r>
              <w:rPr>
                <w:color w:val="000000"/>
                <w:sz w:val="20"/>
                <w:szCs w:val="20"/>
              </w:rPr>
              <w:t>26.4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60891C9" w14:textId="6461903D" w:rsidR="00EF0F05" w:rsidRPr="00E54F1D" w:rsidRDefault="00EF0F05" w:rsidP="00EF0F05">
            <w:pPr>
              <w:jc w:val="right"/>
              <w:rPr>
                <w:color w:val="000000"/>
                <w:sz w:val="21"/>
                <w:szCs w:val="21"/>
              </w:rPr>
            </w:pPr>
            <w:r>
              <w:rPr>
                <w:color w:val="000000"/>
                <w:sz w:val="20"/>
                <w:szCs w:val="20"/>
              </w:rPr>
              <w:t>30.6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1CDA303" w14:textId="0DE75A24" w:rsidR="00EF0F05" w:rsidRPr="00E54F1D" w:rsidRDefault="00EF0F05" w:rsidP="00EF0F05">
            <w:pPr>
              <w:jc w:val="right"/>
              <w:rPr>
                <w:color w:val="000000"/>
                <w:sz w:val="21"/>
                <w:szCs w:val="21"/>
              </w:rPr>
            </w:pPr>
            <w:r>
              <w:rPr>
                <w:color w:val="000000"/>
                <w:sz w:val="20"/>
                <w:szCs w:val="20"/>
              </w:rPr>
              <w:t>37.0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8F37F82" w14:textId="7F79D2B8" w:rsidR="00EF0F05" w:rsidRPr="00E54F1D" w:rsidRDefault="00EF0F05" w:rsidP="00EF0F05">
            <w:pPr>
              <w:jc w:val="right"/>
              <w:rPr>
                <w:color w:val="000000"/>
                <w:sz w:val="21"/>
                <w:szCs w:val="21"/>
              </w:rPr>
            </w:pPr>
            <w:r>
              <w:rPr>
                <w:color w:val="000000"/>
                <w:sz w:val="20"/>
                <w:szCs w:val="20"/>
              </w:rPr>
              <w:t>41.8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106F7AC4" w14:textId="7F95CD28" w:rsidR="00EF0F05" w:rsidRPr="00E54F1D" w:rsidRDefault="00EF0F05" w:rsidP="00EF0F05">
            <w:pPr>
              <w:jc w:val="right"/>
              <w:rPr>
                <w:color w:val="000000"/>
                <w:sz w:val="21"/>
                <w:szCs w:val="21"/>
              </w:rPr>
            </w:pPr>
            <w:r>
              <w:rPr>
                <w:color w:val="000000"/>
                <w:sz w:val="20"/>
                <w:szCs w:val="20"/>
              </w:rPr>
              <w:t>45.9</w:t>
            </w:r>
          </w:p>
        </w:tc>
      </w:tr>
      <w:tr w:rsidR="00EF0F05" w:rsidRPr="00E54F1D" w14:paraId="7CFFA9ED"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944348" w14:textId="21B420DE" w:rsidR="00EF0F05" w:rsidRPr="00E54F1D" w:rsidRDefault="00EF0F05" w:rsidP="00A372C4">
            <w:pPr>
              <w:rPr>
                <w:color w:val="000000"/>
                <w:sz w:val="21"/>
                <w:szCs w:val="21"/>
              </w:rPr>
            </w:pPr>
            <w:r>
              <w:rPr>
                <w:color w:val="000000"/>
                <w:sz w:val="20"/>
                <w:szCs w:val="20"/>
              </w:rPr>
              <w:t>Other sectors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6E6233B" w14:textId="30EC8286" w:rsidR="00EF0F05" w:rsidRPr="00E54F1D" w:rsidRDefault="00EF0F05" w:rsidP="00A372C4">
            <w:pPr>
              <w:jc w:val="right"/>
              <w:rPr>
                <w:color w:val="000000"/>
                <w:sz w:val="21"/>
                <w:szCs w:val="21"/>
              </w:rPr>
            </w:pPr>
            <w:r>
              <w:rPr>
                <w:color w:val="000000"/>
                <w:sz w:val="20"/>
                <w:szCs w:val="20"/>
              </w:rPr>
              <w:t>1.6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5E274DC" w14:textId="7C58266B" w:rsidR="00EF0F05" w:rsidRPr="00E54F1D" w:rsidRDefault="00EF0F05" w:rsidP="00A372C4">
            <w:pPr>
              <w:jc w:val="right"/>
              <w:rPr>
                <w:color w:val="000000"/>
                <w:sz w:val="21"/>
                <w:szCs w:val="21"/>
              </w:rPr>
            </w:pPr>
            <w:r>
              <w:rPr>
                <w:color w:val="000000"/>
                <w:sz w:val="20"/>
                <w:szCs w:val="20"/>
              </w:rPr>
              <w:t>4.0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0BAA0174" w14:textId="5CC6CB9C" w:rsidR="00EF0F05" w:rsidRPr="00E54F1D" w:rsidRDefault="00EF0F05" w:rsidP="00A372C4">
            <w:pPr>
              <w:jc w:val="right"/>
              <w:rPr>
                <w:color w:val="000000"/>
                <w:sz w:val="21"/>
                <w:szCs w:val="21"/>
              </w:rPr>
            </w:pPr>
            <w:r>
              <w:rPr>
                <w:color w:val="000000"/>
                <w:sz w:val="20"/>
                <w:szCs w:val="20"/>
              </w:rPr>
              <w:t>4.1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1406776A" w14:textId="517DF95C" w:rsidR="00EF0F05" w:rsidRPr="00E54F1D" w:rsidRDefault="00EF0F05" w:rsidP="00A372C4">
            <w:pPr>
              <w:jc w:val="right"/>
              <w:rPr>
                <w:color w:val="000000"/>
                <w:sz w:val="21"/>
                <w:szCs w:val="21"/>
              </w:rPr>
            </w:pPr>
            <w:r>
              <w:rPr>
                <w:color w:val="000000"/>
                <w:sz w:val="20"/>
                <w:szCs w:val="20"/>
              </w:rPr>
              <w:t>4.5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571FE0CB" w14:textId="68D42885" w:rsidR="00EF0F05" w:rsidRPr="00E54F1D" w:rsidRDefault="00EF0F05" w:rsidP="00A372C4">
            <w:pPr>
              <w:jc w:val="right"/>
              <w:rPr>
                <w:color w:val="000000"/>
                <w:sz w:val="21"/>
                <w:szCs w:val="21"/>
              </w:rPr>
            </w:pPr>
            <w:r>
              <w:rPr>
                <w:color w:val="000000"/>
                <w:sz w:val="20"/>
                <w:szCs w:val="20"/>
              </w:rPr>
              <w:t>4.1</w:t>
            </w:r>
          </w:p>
        </w:tc>
      </w:tr>
    </w:tbl>
    <w:p w14:paraId="024B751D" w14:textId="77777777" w:rsidR="001D074D" w:rsidRDefault="001D074D" w:rsidP="0029767D">
      <w:pPr>
        <w:pStyle w:val="Heading1"/>
        <w:numPr>
          <w:ilvl w:val="0"/>
          <w:numId w:val="0"/>
        </w:numPr>
        <w:spacing w:after="0"/>
        <w:rPr>
          <w:lang w:val="en-CA"/>
        </w:rPr>
      </w:pPr>
    </w:p>
    <w:p w14:paraId="23D89388" w14:textId="115D14C6" w:rsidR="001D074D" w:rsidRPr="00C9111C" w:rsidRDefault="001D074D" w:rsidP="0029767D">
      <w:pPr>
        <w:pStyle w:val="Heading1"/>
        <w:numPr>
          <w:ilvl w:val="0"/>
          <w:numId w:val="33"/>
        </w:numPr>
        <w:rPr>
          <w:lang w:val="en-CA"/>
        </w:rPr>
      </w:pPr>
      <w:r w:rsidRPr="00C9111C">
        <w:rPr>
          <w:lang w:val="en-CA"/>
        </w:rPr>
        <w:t>Information collected from the 119 surveys of ODS alternatives</w:t>
      </w:r>
      <w:r w:rsidR="006C7B71">
        <w:rPr>
          <w:rStyle w:val="FootnoteReference"/>
          <w:lang w:val="en-CA"/>
        </w:rPr>
        <w:footnoteReference w:id="26"/>
      </w:r>
      <w:r w:rsidR="00852D00">
        <w:rPr>
          <w:lang w:val="en-CA"/>
        </w:rPr>
        <w:t xml:space="preserve"> </w:t>
      </w:r>
      <w:r w:rsidRPr="00C9111C">
        <w:rPr>
          <w:lang w:val="en-CA"/>
        </w:rPr>
        <w:t>provides an overview of the main HFCs and HFC</w:t>
      </w:r>
      <w:r w:rsidR="000579E7" w:rsidRPr="00C9111C">
        <w:rPr>
          <w:lang w:val="en-CA"/>
        </w:rPr>
        <w:t xml:space="preserve"> </w:t>
      </w:r>
      <w:r w:rsidRPr="00C9111C">
        <w:rPr>
          <w:lang w:val="en-CA"/>
        </w:rPr>
        <w:t>blends consumed and their sectoral distribution</w:t>
      </w:r>
      <w:r w:rsidR="000579E7" w:rsidRPr="00C9111C">
        <w:rPr>
          <w:lang w:val="en-CA"/>
        </w:rPr>
        <w:t>,</w:t>
      </w:r>
      <w:r w:rsidRPr="00C9111C">
        <w:rPr>
          <w:lang w:val="en-CA"/>
        </w:rPr>
        <w:t xml:space="preserve"> as shown in Table 2.</w:t>
      </w:r>
    </w:p>
    <w:p w14:paraId="46A09283" w14:textId="77777777" w:rsidR="001D074D" w:rsidRPr="007C1AAC" w:rsidRDefault="001D074D" w:rsidP="0029767D">
      <w:pPr>
        <w:rPr>
          <w:b/>
          <w:lang w:val="en-CA"/>
        </w:rPr>
      </w:pPr>
      <w:r w:rsidRPr="007C1AAC">
        <w:rPr>
          <w:b/>
          <w:lang w:val="en-CA"/>
        </w:rPr>
        <w:t>Table 2. Main HFCs and HFC</w:t>
      </w:r>
      <w:r w:rsidR="000579E7" w:rsidRPr="007C1AAC">
        <w:rPr>
          <w:b/>
          <w:lang w:val="en-CA"/>
        </w:rPr>
        <w:t xml:space="preserve"> </w:t>
      </w:r>
      <w:r w:rsidRPr="007C1AAC">
        <w:rPr>
          <w:b/>
          <w:lang w:val="en-CA"/>
        </w:rPr>
        <w:t>blends consumed in 119 Article 5 countries</w:t>
      </w:r>
    </w:p>
    <w:tbl>
      <w:tblPr>
        <w:tblStyle w:val="TableGrid"/>
        <w:tblW w:w="4943" w:type="pct"/>
        <w:jc w:val="center"/>
        <w:tblLayout w:type="fixed"/>
        <w:tblLook w:val="04A0" w:firstRow="1" w:lastRow="0" w:firstColumn="1" w:lastColumn="0" w:noHBand="0" w:noVBand="1"/>
      </w:tblPr>
      <w:tblGrid>
        <w:gridCol w:w="1578"/>
        <w:gridCol w:w="860"/>
        <w:gridCol w:w="993"/>
        <w:gridCol w:w="993"/>
        <w:gridCol w:w="4819"/>
      </w:tblGrid>
      <w:tr w:rsidR="001D074D" w:rsidRPr="00876C2C" w14:paraId="6FADAC3D" w14:textId="77777777" w:rsidTr="0029767D">
        <w:trPr>
          <w:tblHeader/>
          <w:jc w:val="center"/>
        </w:trPr>
        <w:tc>
          <w:tcPr>
            <w:tcW w:w="854" w:type="pct"/>
            <w:vAlign w:val="center"/>
          </w:tcPr>
          <w:p w14:paraId="19218EB9" w14:textId="77777777" w:rsidR="001D074D" w:rsidRPr="00876C2C" w:rsidRDefault="001D074D" w:rsidP="00A372C4">
            <w:pPr>
              <w:jc w:val="left"/>
              <w:rPr>
                <w:b/>
                <w:sz w:val="20"/>
                <w:szCs w:val="20"/>
                <w:lang w:val="en-CA"/>
              </w:rPr>
            </w:pPr>
            <w:r w:rsidRPr="00876C2C">
              <w:rPr>
                <w:b/>
                <w:sz w:val="20"/>
                <w:szCs w:val="20"/>
                <w:lang w:val="en-CA"/>
              </w:rPr>
              <w:t>HFC</w:t>
            </w:r>
          </w:p>
        </w:tc>
        <w:tc>
          <w:tcPr>
            <w:tcW w:w="465" w:type="pct"/>
            <w:tcMar>
              <w:left w:w="0" w:type="dxa"/>
              <w:right w:w="0" w:type="dxa"/>
            </w:tcMar>
            <w:vAlign w:val="center"/>
          </w:tcPr>
          <w:p w14:paraId="376D0E99" w14:textId="77777777" w:rsidR="001D074D" w:rsidRPr="00876C2C" w:rsidRDefault="001D074D" w:rsidP="00A372C4">
            <w:pPr>
              <w:jc w:val="center"/>
              <w:rPr>
                <w:b/>
                <w:sz w:val="20"/>
                <w:szCs w:val="20"/>
                <w:lang w:val="en-CA"/>
              </w:rPr>
            </w:pPr>
            <w:r w:rsidRPr="00876C2C">
              <w:rPr>
                <w:b/>
                <w:sz w:val="20"/>
                <w:szCs w:val="20"/>
                <w:lang w:val="en-CA"/>
              </w:rPr>
              <w:t xml:space="preserve">No. of countries </w:t>
            </w:r>
          </w:p>
        </w:tc>
        <w:tc>
          <w:tcPr>
            <w:tcW w:w="537" w:type="pct"/>
            <w:tcMar>
              <w:left w:w="0" w:type="dxa"/>
              <w:right w:w="0" w:type="dxa"/>
            </w:tcMar>
            <w:vAlign w:val="center"/>
          </w:tcPr>
          <w:p w14:paraId="6DD5D0AE" w14:textId="77777777" w:rsidR="001D074D" w:rsidRPr="00876C2C" w:rsidRDefault="001D074D" w:rsidP="00A372C4">
            <w:pPr>
              <w:jc w:val="center"/>
              <w:rPr>
                <w:b/>
                <w:sz w:val="20"/>
                <w:szCs w:val="20"/>
                <w:lang w:val="en-CA"/>
              </w:rPr>
            </w:pPr>
            <w:r w:rsidRPr="00876C2C">
              <w:rPr>
                <w:b/>
                <w:sz w:val="20"/>
                <w:szCs w:val="20"/>
                <w:lang w:val="en-CA"/>
              </w:rPr>
              <w:t>% of total</w:t>
            </w:r>
          </w:p>
        </w:tc>
        <w:tc>
          <w:tcPr>
            <w:tcW w:w="537" w:type="pct"/>
            <w:tcMar>
              <w:left w:w="0" w:type="dxa"/>
              <w:right w:w="0" w:type="dxa"/>
            </w:tcMar>
            <w:vAlign w:val="center"/>
          </w:tcPr>
          <w:p w14:paraId="3EB39FE4" w14:textId="77777777" w:rsidR="001D074D" w:rsidRPr="00876C2C" w:rsidRDefault="001D074D" w:rsidP="00A372C4">
            <w:pPr>
              <w:jc w:val="center"/>
              <w:rPr>
                <w:b/>
                <w:sz w:val="20"/>
                <w:szCs w:val="20"/>
                <w:lang w:val="en-CA"/>
              </w:rPr>
            </w:pPr>
            <w:r w:rsidRPr="00876C2C">
              <w:rPr>
                <w:b/>
                <w:sz w:val="20"/>
                <w:szCs w:val="20"/>
                <w:lang w:val="en-CA"/>
              </w:rPr>
              <w:t>Growth rate</w:t>
            </w:r>
            <w:r>
              <w:rPr>
                <w:b/>
                <w:sz w:val="20"/>
                <w:szCs w:val="20"/>
                <w:lang w:val="en-CA"/>
              </w:rPr>
              <w:t>%</w:t>
            </w:r>
            <w:r w:rsidRPr="00876C2C">
              <w:rPr>
                <w:b/>
                <w:sz w:val="20"/>
                <w:szCs w:val="20"/>
                <w:lang w:val="en-CA"/>
              </w:rPr>
              <w:t>*</w:t>
            </w:r>
          </w:p>
        </w:tc>
        <w:tc>
          <w:tcPr>
            <w:tcW w:w="2607" w:type="pct"/>
            <w:vAlign w:val="center"/>
          </w:tcPr>
          <w:p w14:paraId="0C09D143" w14:textId="77777777" w:rsidR="001D074D" w:rsidRPr="00876C2C" w:rsidRDefault="001D074D" w:rsidP="00A372C4">
            <w:pPr>
              <w:jc w:val="center"/>
              <w:rPr>
                <w:b/>
                <w:sz w:val="20"/>
                <w:szCs w:val="20"/>
                <w:lang w:val="en-CA"/>
              </w:rPr>
            </w:pPr>
            <w:r w:rsidRPr="00876C2C">
              <w:rPr>
                <w:b/>
                <w:sz w:val="20"/>
                <w:szCs w:val="20"/>
                <w:lang w:val="en-CA"/>
              </w:rPr>
              <w:t>Uses</w:t>
            </w:r>
          </w:p>
        </w:tc>
      </w:tr>
      <w:tr w:rsidR="001D074D" w:rsidRPr="00876C2C" w14:paraId="13E55B0E" w14:textId="77777777" w:rsidTr="0029767D">
        <w:trPr>
          <w:jc w:val="center"/>
        </w:trPr>
        <w:tc>
          <w:tcPr>
            <w:tcW w:w="854" w:type="pct"/>
          </w:tcPr>
          <w:p w14:paraId="74B58323" w14:textId="77777777" w:rsidR="001D074D" w:rsidRPr="00876C2C" w:rsidRDefault="001D074D" w:rsidP="00A372C4">
            <w:pPr>
              <w:rPr>
                <w:b/>
                <w:sz w:val="20"/>
                <w:szCs w:val="20"/>
                <w:lang w:val="en-CA"/>
              </w:rPr>
            </w:pPr>
            <w:r w:rsidRPr="00876C2C">
              <w:rPr>
                <w:sz w:val="20"/>
                <w:szCs w:val="20"/>
                <w:lang w:val="en-CA"/>
              </w:rPr>
              <w:t>HFC-134a</w:t>
            </w:r>
          </w:p>
        </w:tc>
        <w:tc>
          <w:tcPr>
            <w:tcW w:w="465" w:type="pct"/>
            <w:tcMar>
              <w:left w:w="115" w:type="dxa"/>
              <w:right w:w="288" w:type="dxa"/>
            </w:tcMar>
          </w:tcPr>
          <w:p w14:paraId="7274D3F7"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6F4AD7C" w14:textId="77777777" w:rsidR="001D074D" w:rsidRPr="00876C2C" w:rsidRDefault="001D074D" w:rsidP="00A372C4">
            <w:pPr>
              <w:jc w:val="right"/>
              <w:rPr>
                <w:sz w:val="20"/>
                <w:szCs w:val="20"/>
                <w:lang w:val="en-CA"/>
              </w:rPr>
            </w:pPr>
            <w:r w:rsidRPr="00876C2C">
              <w:rPr>
                <w:sz w:val="20"/>
                <w:szCs w:val="20"/>
                <w:lang w:val="en-CA"/>
              </w:rPr>
              <w:t>34</w:t>
            </w:r>
          </w:p>
        </w:tc>
        <w:tc>
          <w:tcPr>
            <w:tcW w:w="537" w:type="pct"/>
            <w:tcMar>
              <w:left w:w="115" w:type="dxa"/>
              <w:right w:w="288" w:type="dxa"/>
            </w:tcMar>
          </w:tcPr>
          <w:p w14:paraId="73B0202C"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46CF25AE" w14:textId="77777777" w:rsidR="001D074D" w:rsidRPr="00876C2C" w:rsidRDefault="001D074D" w:rsidP="00A372C4">
            <w:pPr>
              <w:jc w:val="left"/>
              <w:rPr>
                <w:sz w:val="20"/>
                <w:szCs w:val="20"/>
                <w:lang w:val="en-CA"/>
              </w:rPr>
            </w:pPr>
            <w:r w:rsidRPr="00876C2C">
              <w:rPr>
                <w:sz w:val="20"/>
                <w:szCs w:val="20"/>
                <w:lang w:val="en-CA"/>
              </w:rPr>
              <w:t xml:space="preserve">Domestic and commercial refrigeration and MAC; small uses in </w:t>
            </w:r>
            <w:r>
              <w:rPr>
                <w:sz w:val="20"/>
                <w:szCs w:val="20"/>
                <w:lang w:val="en-CA"/>
              </w:rPr>
              <w:t>refrigeration</w:t>
            </w:r>
            <w:r w:rsidRPr="00876C2C">
              <w:rPr>
                <w:sz w:val="20"/>
                <w:szCs w:val="20"/>
                <w:lang w:val="en-CA"/>
              </w:rPr>
              <w:t>, foam and aerosol</w:t>
            </w:r>
            <w:r>
              <w:rPr>
                <w:sz w:val="20"/>
                <w:szCs w:val="20"/>
                <w:lang w:val="en-CA"/>
              </w:rPr>
              <w:t xml:space="preserve"> applications</w:t>
            </w:r>
          </w:p>
        </w:tc>
      </w:tr>
      <w:tr w:rsidR="001D074D" w:rsidRPr="00876C2C" w14:paraId="7726C155" w14:textId="77777777" w:rsidTr="0029767D">
        <w:trPr>
          <w:jc w:val="center"/>
        </w:trPr>
        <w:tc>
          <w:tcPr>
            <w:tcW w:w="854" w:type="pct"/>
          </w:tcPr>
          <w:p w14:paraId="60E2EF91" w14:textId="77777777" w:rsidR="001D074D" w:rsidRPr="00876C2C" w:rsidRDefault="001D074D" w:rsidP="00A372C4">
            <w:pPr>
              <w:rPr>
                <w:b/>
                <w:sz w:val="20"/>
                <w:szCs w:val="20"/>
                <w:lang w:val="en-CA"/>
              </w:rPr>
            </w:pPr>
            <w:r w:rsidRPr="00876C2C">
              <w:rPr>
                <w:sz w:val="20"/>
                <w:szCs w:val="20"/>
                <w:lang w:val="en-CA"/>
              </w:rPr>
              <w:t>R-410A</w:t>
            </w:r>
          </w:p>
        </w:tc>
        <w:tc>
          <w:tcPr>
            <w:tcW w:w="465" w:type="pct"/>
            <w:tcMar>
              <w:left w:w="115" w:type="dxa"/>
              <w:right w:w="288" w:type="dxa"/>
            </w:tcMar>
          </w:tcPr>
          <w:p w14:paraId="7D0D7273"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7ECB1BF" w14:textId="77777777" w:rsidR="001D074D" w:rsidRPr="00876C2C" w:rsidRDefault="001D074D" w:rsidP="00A372C4">
            <w:pPr>
              <w:jc w:val="right"/>
              <w:rPr>
                <w:sz w:val="20"/>
                <w:szCs w:val="20"/>
                <w:lang w:val="en-CA"/>
              </w:rPr>
            </w:pPr>
            <w:r w:rsidRPr="00876C2C">
              <w:rPr>
                <w:sz w:val="20"/>
                <w:szCs w:val="20"/>
                <w:lang w:val="en-CA"/>
              </w:rPr>
              <w:t>43</w:t>
            </w:r>
          </w:p>
        </w:tc>
        <w:tc>
          <w:tcPr>
            <w:tcW w:w="537" w:type="pct"/>
            <w:tcMar>
              <w:left w:w="115" w:type="dxa"/>
              <w:right w:w="288" w:type="dxa"/>
            </w:tcMar>
          </w:tcPr>
          <w:p w14:paraId="1E6BAB8E" w14:textId="77777777" w:rsidR="001D074D" w:rsidRPr="00876C2C" w:rsidRDefault="001D074D" w:rsidP="00A372C4">
            <w:pPr>
              <w:jc w:val="right"/>
              <w:rPr>
                <w:sz w:val="20"/>
                <w:szCs w:val="20"/>
                <w:lang w:val="en-CA"/>
              </w:rPr>
            </w:pPr>
            <w:r w:rsidRPr="00876C2C">
              <w:rPr>
                <w:sz w:val="20"/>
                <w:szCs w:val="20"/>
                <w:lang w:val="en-CA"/>
              </w:rPr>
              <w:t>40</w:t>
            </w:r>
          </w:p>
        </w:tc>
        <w:tc>
          <w:tcPr>
            <w:tcW w:w="2607" w:type="pct"/>
          </w:tcPr>
          <w:p w14:paraId="23A11EC9"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6A9D8286" w14:textId="77777777" w:rsidTr="0029767D">
        <w:trPr>
          <w:jc w:val="center"/>
        </w:trPr>
        <w:tc>
          <w:tcPr>
            <w:tcW w:w="854" w:type="pct"/>
          </w:tcPr>
          <w:p w14:paraId="24D3E28D" w14:textId="77777777" w:rsidR="001D074D" w:rsidRPr="00876C2C" w:rsidRDefault="001D074D" w:rsidP="00A372C4">
            <w:pPr>
              <w:rPr>
                <w:b/>
                <w:sz w:val="20"/>
                <w:szCs w:val="20"/>
                <w:lang w:val="en-CA"/>
              </w:rPr>
            </w:pPr>
            <w:r w:rsidRPr="00876C2C">
              <w:rPr>
                <w:sz w:val="20"/>
                <w:szCs w:val="20"/>
                <w:lang w:val="en-CA"/>
              </w:rPr>
              <w:t>R-404A</w:t>
            </w:r>
          </w:p>
        </w:tc>
        <w:tc>
          <w:tcPr>
            <w:tcW w:w="465" w:type="pct"/>
            <w:tcMar>
              <w:left w:w="115" w:type="dxa"/>
              <w:right w:w="288" w:type="dxa"/>
            </w:tcMar>
          </w:tcPr>
          <w:p w14:paraId="6FA6FAAF" w14:textId="77777777" w:rsidR="001D074D" w:rsidRPr="00876C2C" w:rsidRDefault="001D074D" w:rsidP="00A372C4">
            <w:pPr>
              <w:jc w:val="right"/>
              <w:rPr>
                <w:sz w:val="20"/>
                <w:szCs w:val="20"/>
                <w:lang w:val="en-CA"/>
              </w:rPr>
            </w:pPr>
            <w:r w:rsidRPr="00876C2C">
              <w:rPr>
                <w:sz w:val="20"/>
                <w:szCs w:val="20"/>
                <w:lang w:val="en-CA"/>
              </w:rPr>
              <w:t>118</w:t>
            </w:r>
          </w:p>
        </w:tc>
        <w:tc>
          <w:tcPr>
            <w:tcW w:w="537" w:type="pct"/>
            <w:tcMar>
              <w:left w:w="115" w:type="dxa"/>
              <w:right w:w="288" w:type="dxa"/>
            </w:tcMar>
          </w:tcPr>
          <w:p w14:paraId="73EC0601" w14:textId="77777777" w:rsidR="001D074D" w:rsidRPr="00876C2C" w:rsidRDefault="001D074D" w:rsidP="00A372C4">
            <w:pPr>
              <w:jc w:val="right"/>
              <w:rPr>
                <w:sz w:val="20"/>
                <w:szCs w:val="20"/>
                <w:lang w:val="en-CA"/>
              </w:rPr>
            </w:pPr>
            <w:r w:rsidRPr="00876C2C">
              <w:rPr>
                <w:sz w:val="20"/>
                <w:szCs w:val="20"/>
                <w:lang w:val="en-CA"/>
              </w:rPr>
              <w:t>7</w:t>
            </w:r>
          </w:p>
        </w:tc>
        <w:tc>
          <w:tcPr>
            <w:tcW w:w="537" w:type="pct"/>
            <w:tcMar>
              <w:left w:w="115" w:type="dxa"/>
              <w:right w:w="288" w:type="dxa"/>
            </w:tcMar>
          </w:tcPr>
          <w:p w14:paraId="40AF4D13" w14:textId="77777777" w:rsidR="001D074D" w:rsidRPr="00876C2C" w:rsidRDefault="001D074D" w:rsidP="00A372C4">
            <w:pPr>
              <w:jc w:val="right"/>
              <w:rPr>
                <w:sz w:val="20"/>
                <w:szCs w:val="20"/>
                <w:lang w:val="en-CA"/>
              </w:rPr>
            </w:pPr>
            <w:r w:rsidRPr="00876C2C">
              <w:rPr>
                <w:sz w:val="20"/>
                <w:szCs w:val="20"/>
                <w:lang w:val="en-CA"/>
              </w:rPr>
              <w:t>11</w:t>
            </w:r>
          </w:p>
        </w:tc>
        <w:tc>
          <w:tcPr>
            <w:tcW w:w="2607" w:type="pct"/>
          </w:tcPr>
          <w:p w14:paraId="202C9D5B" w14:textId="77777777" w:rsidR="001D074D" w:rsidRPr="00876C2C" w:rsidRDefault="001D074D" w:rsidP="00A372C4">
            <w:pPr>
              <w:jc w:val="left"/>
              <w:rPr>
                <w:sz w:val="20"/>
                <w:szCs w:val="20"/>
                <w:lang w:val="en-CA"/>
              </w:rPr>
            </w:pPr>
            <w:r w:rsidRPr="00876C2C">
              <w:rPr>
                <w:sz w:val="20"/>
                <w:szCs w:val="20"/>
                <w:lang w:val="en-CA"/>
              </w:rPr>
              <w:t>Low</w:t>
            </w:r>
            <w:r w:rsidR="00824E62">
              <w:rPr>
                <w:sz w:val="20"/>
                <w:szCs w:val="20"/>
                <w:lang w:val="en-CA"/>
              </w:rPr>
              <w:t>-</w:t>
            </w:r>
            <w:r w:rsidRPr="00876C2C">
              <w:rPr>
                <w:sz w:val="20"/>
                <w:szCs w:val="20"/>
                <w:lang w:val="en-CA"/>
              </w:rPr>
              <w:t>temperature refrigeration applications</w:t>
            </w:r>
          </w:p>
        </w:tc>
      </w:tr>
      <w:tr w:rsidR="001D074D" w:rsidRPr="00876C2C" w14:paraId="47D834C1" w14:textId="77777777" w:rsidTr="0029767D">
        <w:trPr>
          <w:jc w:val="center"/>
        </w:trPr>
        <w:tc>
          <w:tcPr>
            <w:tcW w:w="854" w:type="pct"/>
          </w:tcPr>
          <w:p w14:paraId="37A5400C" w14:textId="77777777" w:rsidR="001D074D" w:rsidRPr="00876C2C" w:rsidRDefault="001D074D" w:rsidP="00A372C4">
            <w:pPr>
              <w:rPr>
                <w:b/>
                <w:sz w:val="20"/>
                <w:szCs w:val="20"/>
                <w:lang w:val="en-CA"/>
              </w:rPr>
            </w:pPr>
            <w:r w:rsidRPr="00876C2C">
              <w:rPr>
                <w:sz w:val="20"/>
                <w:szCs w:val="20"/>
                <w:lang w:val="en-CA"/>
              </w:rPr>
              <w:t>R-507A</w:t>
            </w:r>
          </w:p>
        </w:tc>
        <w:tc>
          <w:tcPr>
            <w:tcW w:w="465" w:type="pct"/>
            <w:tcMar>
              <w:left w:w="115" w:type="dxa"/>
              <w:right w:w="288" w:type="dxa"/>
            </w:tcMar>
          </w:tcPr>
          <w:p w14:paraId="5996DF61" w14:textId="77777777" w:rsidR="001D074D" w:rsidRPr="00876C2C" w:rsidRDefault="001D074D" w:rsidP="00A372C4">
            <w:pPr>
              <w:jc w:val="right"/>
              <w:rPr>
                <w:sz w:val="20"/>
                <w:szCs w:val="20"/>
                <w:lang w:val="en-CA"/>
              </w:rPr>
            </w:pPr>
            <w:r w:rsidRPr="00876C2C">
              <w:rPr>
                <w:sz w:val="20"/>
                <w:szCs w:val="20"/>
                <w:lang w:val="en-CA"/>
              </w:rPr>
              <w:t>70</w:t>
            </w:r>
          </w:p>
        </w:tc>
        <w:tc>
          <w:tcPr>
            <w:tcW w:w="537" w:type="pct"/>
            <w:tcMar>
              <w:left w:w="115" w:type="dxa"/>
              <w:right w:w="288" w:type="dxa"/>
            </w:tcMar>
          </w:tcPr>
          <w:p w14:paraId="0C046FF9" w14:textId="77777777" w:rsidR="001D074D" w:rsidRPr="00876C2C" w:rsidRDefault="001D074D" w:rsidP="00A372C4">
            <w:pPr>
              <w:jc w:val="right"/>
              <w:rPr>
                <w:sz w:val="20"/>
                <w:szCs w:val="20"/>
                <w:lang w:val="en-CA"/>
              </w:rPr>
            </w:pPr>
            <w:r w:rsidRPr="00876C2C">
              <w:rPr>
                <w:sz w:val="20"/>
                <w:szCs w:val="20"/>
                <w:lang w:val="en-CA"/>
              </w:rPr>
              <w:t>1</w:t>
            </w:r>
          </w:p>
        </w:tc>
        <w:tc>
          <w:tcPr>
            <w:tcW w:w="537" w:type="pct"/>
            <w:tcMar>
              <w:left w:w="115" w:type="dxa"/>
              <w:right w:w="288" w:type="dxa"/>
            </w:tcMar>
          </w:tcPr>
          <w:p w14:paraId="21484DDE" w14:textId="77777777" w:rsidR="001D074D" w:rsidRPr="00876C2C" w:rsidRDefault="001D074D" w:rsidP="00A372C4">
            <w:pPr>
              <w:jc w:val="right"/>
              <w:rPr>
                <w:sz w:val="20"/>
                <w:szCs w:val="20"/>
                <w:lang w:val="en-CA"/>
              </w:rPr>
            </w:pPr>
            <w:r w:rsidRPr="00876C2C">
              <w:rPr>
                <w:sz w:val="20"/>
                <w:szCs w:val="20"/>
                <w:lang w:val="en-CA"/>
              </w:rPr>
              <w:t>21</w:t>
            </w:r>
          </w:p>
        </w:tc>
        <w:tc>
          <w:tcPr>
            <w:tcW w:w="2607" w:type="pct"/>
          </w:tcPr>
          <w:p w14:paraId="6DE01024" w14:textId="77777777" w:rsidR="001D074D" w:rsidRPr="00876C2C" w:rsidRDefault="001D074D" w:rsidP="00A372C4">
            <w:pPr>
              <w:jc w:val="left"/>
              <w:rPr>
                <w:sz w:val="20"/>
                <w:szCs w:val="20"/>
                <w:lang w:val="en-CA"/>
              </w:rPr>
            </w:pPr>
            <w:r>
              <w:rPr>
                <w:sz w:val="20"/>
                <w:szCs w:val="20"/>
                <w:lang w:val="en-CA"/>
              </w:rPr>
              <w:t>C</w:t>
            </w:r>
            <w:r w:rsidRPr="00876C2C">
              <w:rPr>
                <w:sz w:val="20"/>
                <w:szCs w:val="20"/>
                <w:lang w:val="en-CA"/>
              </w:rPr>
              <w:t>ommercial refrigeration</w:t>
            </w:r>
          </w:p>
        </w:tc>
      </w:tr>
      <w:tr w:rsidR="001D074D" w:rsidRPr="00876C2C" w14:paraId="0F83F37F" w14:textId="77777777" w:rsidTr="0029767D">
        <w:trPr>
          <w:jc w:val="center"/>
        </w:trPr>
        <w:tc>
          <w:tcPr>
            <w:tcW w:w="854" w:type="pct"/>
          </w:tcPr>
          <w:p w14:paraId="4C6CBDBC" w14:textId="77777777" w:rsidR="001D074D" w:rsidRPr="00876C2C" w:rsidRDefault="001D074D" w:rsidP="00A372C4">
            <w:pPr>
              <w:rPr>
                <w:b/>
                <w:sz w:val="20"/>
                <w:szCs w:val="20"/>
                <w:lang w:val="en-CA"/>
              </w:rPr>
            </w:pPr>
            <w:r w:rsidRPr="00876C2C">
              <w:rPr>
                <w:sz w:val="20"/>
                <w:szCs w:val="20"/>
                <w:lang w:val="en-CA"/>
              </w:rPr>
              <w:t>R-407C</w:t>
            </w:r>
          </w:p>
        </w:tc>
        <w:tc>
          <w:tcPr>
            <w:tcW w:w="465" w:type="pct"/>
            <w:tcMar>
              <w:left w:w="115" w:type="dxa"/>
              <w:right w:w="288" w:type="dxa"/>
            </w:tcMar>
          </w:tcPr>
          <w:p w14:paraId="02B7A52D" w14:textId="77777777" w:rsidR="001D074D" w:rsidRPr="00876C2C" w:rsidRDefault="001D074D" w:rsidP="00A372C4">
            <w:pPr>
              <w:jc w:val="right"/>
              <w:rPr>
                <w:sz w:val="20"/>
                <w:szCs w:val="20"/>
                <w:lang w:val="en-CA"/>
              </w:rPr>
            </w:pPr>
            <w:r w:rsidRPr="00876C2C">
              <w:rPr>
                <w:sz w:val="20"/>
                <w:szCs w:val="20"/>
                <w:lang w:val="en-CA"/>
              </w:rPr>
              <w:t>110</w:t>
            </w:r>
          </w:p>
        </w:tc>
        <w:tc>
          <w:tcPr>
            <w:tcW w:w="537" w:type="pct"/>
            <w:tcMar>
              <w:left w:w="115" w:type="dxa"/>
              <w:right w:w="288" w:type="dxa"/>
            </w:tcMar>
          </w:tcPr>
          <w:p w14:paraId="5A485496" w14:textId="77777777" w:rsidR="001D074D" w:rsidRPr="00876C2C" w:rsidRDefault="001D074D" w:rsidP="00A372C4">
            <w:pPr>
              <w:jc w:val="right"/>
              <w:rPr>
                <w:sz w:val="20"/>
                <w:szCs w:val="20"/>
                <w:lang w:val="en-CA"/>
              </w:rPr>
            </w:pPr>
            <w:r w:rsidRPr="00876C2C">
              <w:rPr>
                <w:sz w:val="20"/>
                <w:szCs w:val="20"/>
                <w:lang w:val="en-CA"/>
              </w:rPr>
              <w:t>6</w:t>
            </w:r>
          </w:p>
        </w:tc>
        <w:tc>
          <w:tcPr>
            <w:tcW w:w="537" w:type="pct"/>
            <w:tcMar>
              <w:left w:w="115" w:type="dxa"/>
              <w:right w:w="288" w:type="dxa"/>
            </w:tcMar>
          </w:tcPr>
          <w:p w14:paraId="23E1E2E7" w14:textId="77777777" w:rsidR="001D074D" w:rsidRPr="00876C2C" w:rsidRDefault="001D074D" w:rsidP="00A372C4">
            <w:pPr>
              <w:jc w:val="right"/>
              <w:rPr>
                <w:sz w:val="20"/>
                <w:szCs w:val="20"/>
                <w:lang w:val="en-CA"/>
              </w:rPr>
            </w:pPr>
            <w:r w:rsidRPr="00876C2C">
              <w:rPr>
                <w:sz w:val="20"/>
                <w:szCs w:val="20"/>
                <w:lang w:val="en-CA"/>
              </w:rPr>
              <w:t>33</w:t>
            </w:r>
          </w:p>
        </w:tc>
        <w:tc>
          <w:tcPr>
            <w:tcW w:w="2607" w:type="pct"/>
          </w:tcPr>
          <w:p w14:paraId="2BCA6B52"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7D1F7AC4" w14:textId="77777777" w:rsidTr="0029767D">
        <w:trPr>
          <w:jc w:val="center"/>
        </w:trPr>
        <w:tc>
          <w:tcPr>
            <w:tcW w:w="854" w:type="pct"/>
          </w:tcPr>
          <w:p w14:paraId="54210648" w14:textId="77777777" w:rsidR="001D074D" w:rsidRPr="00876C2C" w:rsidRDefault="001D074D" w:rsidP="00A372C4">
            <w:pPr>
              <w:rPr>
                <w:b/>
                <w:sz w:val="20"/>
                <w:szCs w:val="20"/>
                <w:lang w:val="en-CA"/>
              </w:rPr>
            </w:pPr>
            <w:r w:rsidRPr="00876C2C">
              <w:rPr>
                <w:sz w:val="20"/>
                <w:szCs w:val="20"/>
                <w:lang w:val="en-CA"/>
              </w:rPr>
              <w:t>HFC-152a**</w:t>
            </w:r>
          </w:p>
        </w:tc>
        <w:tc>
          <w:tcPr>
            <w:tcW w:w="465" w:type="pct"/>
            <w:tcMar>
              <w:left w:w="115" w:type="dxa"/>
              <w:right w:w="288" w:type="dxa"/>
            </w:tcMar>
          </w:tcPr>
          <w:p w14:paraId="11FAEC60" w14:textId="77777777" w:rsidR="001D074D" w:rsidRPr="00876C2C" w:rsidRDefault="001D074D" w:rsidP="00A372C4">
            <w:pPr>
              <w:jc w:val="right"/>
              <w:rPr>
                <w:sz w:val="20"/>
                <w:szCs w:val="20"/>
                <w:lang w:val="en-CA"/>
              </w:rPr>
            </w:pPr>
            <w:r w:rsidRPr="00876C2C">
              <w:rPr>
                <w:sz w:val="20"/>
                <w:szCs w:val="20"/>
                <w:lang w:val="en-CA"/>
              </w:rPr>
              <w:t>19</w:t>
            </w:r>
          </w:p>
        </w:tc>
        <w:tc>
          <w:tcPr>
            <w:tcW w:w="537" w:type="pct"/>
            <w:tcMar>
              <w:left w:w="115" w:type="dxa"/>
              <w:right w:w="288" w:type="dxa"/>
            </w:tcMar>
          </w:tcPr>
          <w:p w14:paraId="624AC7C9" w14:textId="77777777" w:rsidR="001D074D" w:rsidRPr="00876C2C" w:rsidRDefault="001D074D" w:rsidP="00A372C4">
            <w:pPr>
              <w:jc w:val="right"/>
              <w:rPr>
                <w:sz w:val="20"/>
                <w:szCs w:val="20"/>
                <w:lang w:val="en-CA"/>
              </w:rPr>
            </w:pPr>
            <w:r w:rsidRPr="00876C2C">
              <w:rPr>
                <w:sz w:val="20"/>
                <w:szCs w:val="20"/>
                <w:lang w:val="en-CA"/>
              </w:rPr>
              <w:t>4</w:t>
            </w:r>
          </w:p>
        </w:tc>
        <w:tc>
          <w:tcPr>
            <w:tcW w:w="537" w:type="pct"/>
            <w:tcMar>
              <w:left w:w="115" w:type="dxa"/>
              <w:right w:w="288" w:type="dxa"/>
            </w:tcMar>
          </w:tcPr>
          <w:p w14:paraId="69DF4A9A" w14:textId="77777777" w:rsidR="001D074D" w:rsidRPr="00876C2C" w:rsidRDefault="001D074D" w:rsidP="00A372C4">
            <w:pPr>
              <w:jc w:val="right"/>
              <w:rPr>
                <w:sz w:val="20"/>
                <w:szCs w:val="20"/>
                <w:lang w:val="en-CA"/>
              </w:rPr>
            </w:pPr>
            <w:r w:rsidRPr="00876C2C">
              <w:rPr>
                <w:sz w:val="20"/>
                <w:szCs w:val="20"/>
                <w:lang w:val="en-CA"/>
              </w:rPr>
              <w:t>23</w:t>
            </w:r>
          </w:p>
        </w:tc>
        <w:tc>
          <w:tcPr>
            <w:tcW w:w="2607" w:type="pct"/>
          </w:tcPr>
          <w:p w14:paraId="363DD4F5" w14:textId="77777777" w:rsidR="001D074D" w:rsidRPr="00876C2C" w:rsidRDefault="001D074D" w:rsidP="00A372C4">
            <w:pPr>
              <w:jc w:val="left"/>
              <w:rPr>
                <w:sz w:val="20"/>
                <w:szCs w:val="20"/>
                <w:lang w:val="en-CA"/>
              </w:rPr>
            </w:pPr>
            <w:r w:rsidRPr="00876C2C">
              <w:rPr>
                <w:sz w:val="20"/>
                <w:szCs w:val="20"/>
                <w:lang w:val="en-CA"/>
              </w:rPr>
              <w:t>Industrial aerosol sector and extruded polystyrene foam</w:t>
            </w:r>
          </w:p>
        </w:tc>
      </w:tr>
      <w:tr w:rsidR="001D074D" w:rsidRPr="00876C2C" w14:paraId="3E1C8A54" w14:textId="77777777" w:rsidTr="0029767D">
        <w:trPr>
          <w:jc w:val="center"/>
        </w:trPr>
        <w:tc>
          <w:tcPr>
            <w:tcW w:w="854" w:type="pct"/>
          </w:tcPr>
          <w:p w14:paraId="3BB5A126" w14:textId="77777777" w:rsidR="001D074D" w:rsidRPr="00876C2C" w:rsidRDefault="001D074D" w:rsidP="00A372C4">
            <w:pPr>
              <w:rPr>
                <w:b/>
                <w:sz w:val="20"/>
                <w:szCs w:val="20"/>
                <w:lang w:val="en-CA"/>
              </w:rPr>
            </w:pPr>
            <w:r w:rsidRPr="00876C2C">
              <w:rPr>
                <w:sz w:val="20"/>
                <w:szCs w:val="20"/>
                <w:lang w:val="en-CA"/>
              </w:rPr>
              <w:t>HFC-245fa***</w:t>
            </w:r>
          </w:p>
        </w:tc>
        <w:tc>
          <w:tcPr>
            <w:tcW w:w="465" w:type="pct"/>
            <w:tcMar>
              <w:left w:w="115" w:type="dxa"/>
              <w:right w:w="288" w:type="dxa"/>
            </w:tcMar>
          </w:tcPr>
          <w:p w14:paraId="41F3F0AB" w14:textId="77777777" w:rsidR="001D074D" w:rsidRPr="00876C2C" w:rsidRDefault="001D074D" w:rsidP="00A372C4">
            <w:pPr>
              <w:jc w:val="right"/>
              <w:rPr>
                <w:sz w:val="20"/>
                <w:szCs w:val="20"/>
                <w:lang w:val="en-CA"/>
              </w:rPr>
            </w:pPr>
            <w:r w:rsidRPr="00876C2C">
              <w:rPr>
                <w:sz w:val="20"/>
                <w:szCs w:val="20"/>
                <w:lang w:val="en-CA"/>
              </w:rPr>
              <w:t>10</w:t>
            </w:r>
          </w:p>
        </w:tc>
        <w:tc>
          <w:tcPr>
            <w:tcW w:w="537" w:type="pct"/>
            <w:tcMar>
              <w:left w:w="115" w:type="dxa"/>
              <w:right w:w="288" w:type="dxa"/>
            </w:tcMar>
          </w:tcPr>
          <w:p w14:paraId="46649CFF" w14:textId="77777777" w:rsidR="001D074D" w:rsidRPr="00876C2C" w:rsidRDefault="001D074D" w:rsidP="00A372C4">
            <w:pPr>
              <w:jc w:val="right"/>
              <w:rPr>
                <w:sz w:val="20"/>
                <w:szCs w:val="20"/>
                <w:lang w:val="en-CA"/>
              </w:rPr>
            </w:pPr>
            <w:r w:rsidRPr="00876C2C">
              <w:rPr>
                <w:sz w:val="20"/>
                <w:szCs w:val="20"/>
                <w:lang w:val="en-CA"/>
              </w:rPr>
              <w:t>2</w:t>
            </w:r>
          </w:p>
        </w:tc>
        <w:tc>
          <w:tcPr>
            <w:tcW w:w="537" w:type="pct"/>
            <w:tcMar>
              <w:left w:w="115" w:type="dxa"/>
              <w:right w:w="288" w:type="dxa"/>
            </w:tcMar>
          </w:tcPr>
          <w:p w14:paraId="1CE7CA6A"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034D0DF1" w14:textId="77777777" w:rsidR="001D074D" w:rsidRPr="00876C2C" w:rsidRDefault="001D074D" w:rsidP="00A372C4">
            <w:pPr>
              <w:jc w:val="left"/>
              <w:rPr>
                <w:sz w:val="20"/>
                <w:szCs w:val="20"/>
                <w:lang w:val="en-CA"/>
              </w:rPr>
            </w:pPr>
            <w:r w:rsidRPr="00876C2C">
              <w:rPr>
                <w:sz w:val="20"/>
                <w:szCs w:val="20"/>
                <w:lang w:val="en-CA"/>
              </w:rPr>
              <w:t>Polyurethane foam</w:t>
            </w:r>
          </w:p>
        </w:tc>
      </w:tr>
      <w:tr w:rsidR="001D074D" w:rsidRPr="00876C2C" w14:paraId="159A8555" w14:textId="77777777" w:rsidTr="0029767D">
        <w:trPr>
          <w:jc w:val="center"/>
        </w:trPr>
        <w:tc>
          <w:tcPr>
            <w:tcW w:w="854" w:type="pct"/>
          </w:tcPr>
          <w:p w14:paraId="67F37FB3" w14:textId="77777777" w:rsidR="001D074D" w:rsidRPr="00876C2C" w:rsidRDefault="001D074D" w:rsidP="00A372C4">
            <w:pPr>
              <w:rPr>
                <w:b/>
                <w:sz w:val="20"/>
                <w:szCs w:val="20"/>
                <w:lang w:val="en-CA"/>
              </w:rPr>
            </w:pPr>
            <w:r w:rsidRPr="00876C2C">
              <w:rPr>
                <w:sz w:val="20"/>
                <w:szCs w:val="20"/>
                <w:lang w:val="en-CA"/>
              </w:rPr>
              <w:t>Others</w:t>
            </w:r>
          </w:p>
        </w:tc>
        <w:tc>
          <w:tcPr>
            <w:tcW w:w="465" w:type="pct"/>
            <w:tcMar>
              <w:left w:w="115" w:type="dxa"/>
              <w:right w:w="288" w:type="dxa"/>
            </w:tcMar>
          </w:tcPr>
          <w:p w14:paraId="0376D5F1" w14:textId="77777777" w:rsidR="001D074D" w:rsidRPr="00876C2C" w:rsidRDefault="001D074D" w:rsidP="00A372C4">
            <w:pPr>
              <w:jc w:val="right"/>
              <w:rPr>
                <w:sz w:val="20"/>
                <w:szCs w:val="20"/>
                <w:lang w:val="en-CA"/>
              </w:rPr>
            </w:pPr>
            <w:r w:rsidRPr="00876C2C">
              <w:rPr>
                <w:sz w:val="20"/>
                <w:szCs w:val="20"/>
                <w:lang w:val="en-CA"/>
              </w:rPr>
              <w:t>64</w:t>
            </w:r>
          </w:p>
        </w:tc>
        <w:tc>
          <w:tcPr>
            <w:tcW w:w="537" w:type="pct"/>
            <w:tcMar>
              <w:left w:w="115" w:type="dxa"/>
              <w:right w:w="288" w:type="dxa"/>
            </w:tcMar>
          </w:tcPr>
          <w:p w14:paraId="00FA1ED9" w14:textId="77777777" w:rsidR="001D074D" w:rsidRPr="00876C2C" w:rsidRDefault="001D074D" w:rsidP="00A372C4">
            <w:pPr>
              <w:jc w:val="right"/>
              <w:rPr>
                <w:sz w:val="20"/>
                <w:szCs w:val="20"/>
                <w:lang w:val="en-CA"/>
              </w:rPr>
            </w:pPr>
            <w:r w:rsidRPr="00876C2C">
              <w:rPr>
                <w:sz w:val="20"/>
                <w:szCs w:val="20"/>
                <w:lang w:val="en-CA"/>
              </w:rPr>
              <w:t>3</w:t>
            </w:r>
          </w:p>
        </w:tc>
        <w:tc>
          <w:tcPr>
            <w:tcW w:w="537" w:type="pct"/>
            <w:tcMar>
              <w:left w:w="115" w:type="dxa"/>
              <w:right w:w="288" w:type="dxa"/>
            </w:tcMar>
          </w:tcPr>
          <w:p w14:paraId="167E2953" w14:textId="77777777" w:rsidR="001D074D" w:rsidRPr="00876C2C" w:rsidRDefault="001D074D" w:rsidP="00A372C4">
            <w:pPr>
              <w:jc w:val="right"/>
              <w:rPr>
                <w:sz w:val="20"/>
                <w:szCs w:val="20"/>
                <w:lang w:val="en-CA"/>
              </w:rPr>
            </w:pPr>
            <w:r w:rsidRPr="00876C2C">
              <w:rPr>
                <w:sz w:val="20"/>
                <w:szCs w:val="20"/>
                <w:lang w:val="en-CA"/>
              </w:rPr>
              <w:t>35</w:t>
            </w:r>
          </w:p>
        </w:tc>
        <w:tc>
          <w:tcPr>
            <w:tcW w:w="2607" w:type="pct"/>
          </w:tcPr>
          <w:p w14:paraId="01041B5E" w14:textId="77777777" w:rsidR="001D074D" w:rsidRPr="00876C2C" w:rsidRDefault="001D074D" w:rsidP="00A372C4">
            <w:pPr>
              <w:jc w:val="left"/>
              <w:rPr>
                <w:sz w:val="20"/>
                <w:szCs w:val="20"/>
                <w:lang w:val="en-CA"/>
              </w:rPr>
            </w:pPr>
            <w:r w:rsidRPr="00876C2C">
              <w:rPr>
                <w:sz w:val="20"/>
                <w:szCs w:val="20"/>
                <w:lang w:val="en-CA"/>
              </w:rPr>
              <w:t>Small uses in all applications</w:t>
            </w:r>
          </w:p>
        </w:tc>
      </w:tr>
    </w:tbl>
    <w:p w14:paraId="2C35BD68" w14:textId="77777777" w:rsidR="001D074D" w:rsidRPr="00AC2011" w:rsidRDefault="001D074D" w:rsidP="0029767D">
      <w:pPr>
        <w:rPr>
          <w:sz w:val="18"/>
          <w:szCs w:val="18"/>
          <w:lang w:val="en-CA"/>
        </w:rPr>
      </w:pPr>
      <w:r w:rsidRPr="00AC2011">
        <w:rPr>
          <w:sz w:val="18"/>
          <w:szCs w:val="18"/>
          <w:lang w:val="en-CA"/>
        </w:rPr>
        <w:t>(*) Calculated as compounded annual growth rate</w:t>
      </w:r>
      <w:r>
        <w:rPr>
          <w:sz w:val="18"/>
          <w:szCs w:val="18"/>
          <w:lang w:val="en-CA"/>
        </w:rPr>
        <w:t xml:space="preserve"> </w:t>
      </w:r>
      <w:r w:rsidRPr="00AC2011">
        <w:rPr>
          <w:sz w:val="18"/>
          <w:szCs w:val="18"/>
          <w:lang w:val="en-CA"/>
        </w:rPr>
        <w:t>between 2012 and 2015.</w:t>
      </w:r>
    </w:p>
    <w:p w14:paraId="24B00212" w14:textId="77777777" w:rsidR="001D074D" w:rsidRPr="00AC2011" w:rsidRDefault="001D074D" w:rsidP="0029767D">
      <w:pPr>
        <w:rPr>
          <w:sz w:val="18"/>
          <w:szCs w:val="18"/>
          <w:lang w:val="en-CA"/>
        </w:rPr>
      </w:pPr>
      <w:r w:rsidRPr="00AC2011">
        <w:rPr>
          <w:sz w:val="18"/>
          <w:szCs w:val="18"/>
          <w:lang w:val="en-CA"/>
        </w:rPr>
        <w:t>(**) Over 90 per cent of this consumption was reported for only one country.</w:t>
      </w:r>
    </w:p>
    <w:p w14:paraId="0F4C245D" w14:textId="77777777" w:rsidR="001D074D" w:rsidRPr="00AC2011" w:rsidRDefault="001D074D" w:rsidP="0029767D">
      <w:pPr>
        <w:rPr>
          <w:sz w:val="18"/>
          <w:szCs w:val="18"/>
          <w:lang w:val="en-CA"/>
        </w:rPr>
      </w:pPr>
      <w:r w:rsidRPr="00AC2011">
        <w:rPr>
          <w:sz w:val="18"/>
          <w:szCs w:val="18"/>
          <w:lang w:val="en-CA"/>
        </w:rPr>
        <w:t>(***) One country reported a high use of HFC-245fa for the foam sector (i.e., around 15 per cent of its total HFC consumption).</w:t>
      </w:r>
    </w:p>
    <w:p w14:paraId="771BC39F" w14:textId="77777777" w:rsidR="001D074D" w:rsidRDefault="001D074D" w:rsidP="0029767D">
      <w:pPr>
        <w:rPr>
          <w:lang w:val="en-CA"/>
        </w:rPr>
      </w:pPr>
    </w:p>
    <w:p w14:paraId="7F2CA1AB" w14:textId="377152FF" w:rsidR="001D074D" w:rsidRDefault="001D074D" w:rsidP="0029767D">
      <w:pPr>
        <w:pStyle w:val="Heading1"/>
        <w:rPr>
          <w:lang w:val="en-CA"/>
        </w:rPr>
      </w:pPr>
      <w:r>
        <w:rPr>
          <w:lang w:val="en-CA"/>
        </w:rPr>
        <w:t>Of the total consumption of HFCs and HFC blends reported for 2015 by 77 LVC countries and 42</w:t>
      </w:r>
      <w:r w:rsidR="00A6060E">
        <w:rPr>
          <w:lang w:val="en-CA"/>
        </w:rPr>
        <w:t> </w:t>
      </w:r>
      <w:r>
        <w:rPr>
          <w:lang w:val="en-CA"/>
        </w:rPr>
        <w:t>non-LVC countries,</w:t>
      </w:r>
      <w:r>
        <w:rPr>
          <w:rStyle w:val="FootnoteReference"/>
          <w:lang w:val="en-CA"/>
        </w:rPr>
        <w:footnoteReference w:id="27"/>
      </w:r>
      <w:r>
        <w:rPr>
          <w:lang w:val="en-CA"/>
        </w:rPr>
        <w:t xml:space="preserve"> over 90 per cent for non-LVC countries </w:t>
      </w:r>
      <w:r w:rsidR="00824E62">
        <w:rPr>
          <w:lang w:val="en-CA"/>
        </w:rPr>
        <w:t xml:space="preserve">and </w:t>
      </w:r>
      <w:r>
        <w:rPr>
          <w:lang w:val="en-CA"/>
        </w:rPr>
        <w:t>over 95 per cent for LVC countries was used in the refrigeration sector including manufacturing and servicing, as shown in Table 3.</w:t>
      </w:r>
    </w:p>
    <w:p w14:paraId="6E432783" w14:textId="62EF3BCF" w:rsidR="001D074D" w:rsidRPr="007C1AAC" w:rsidRDefault="001D074D" w:rsidP="0029767D">
      <w:pPr>
        <w:pageBreakBefore/>
        <w:widowControl w:val="0"/>
        <w:rPr>
          <w:b/>
          <w:lang w:val="en-CA"/>
        </w:rPr>
      </w:pPr>
      <w:r w:rsidRPr="007C1AAC">
        <w:rPr>
          <w:b/>
          <w:lang w:val="en-CA"/>
        </w:rPr>
        <w:t>Table 3. Total HFC consumption reported by 119 countries in 2015</w:t>
      </w:r>
      <w:r w:rsidR="00E36ABA" w:rsidRPr="007C1AAC">
        <w:rPr>
          <w:b/>
          <w:lang w:val="en-CA"/>
        </w:rPr>
        <w:t xml:space="preserve"> (mt)</w:t>
      </w:r>
    </w:p>
    <w:tbl>
      <w:tblPr>
        <w:tblW w:w="9360" w:type="dxa"/>
        <w:jc w:val="center"/>
        <w:tblLayout w:type="fixed"/>
        <w:tblLook w:val="04A0" w:firstRow="1" w:lastRow="0" w:firstColumn="1" w:lastColumn="0" w:noHBand="0" w:noVBand="1"/>
      </w:tblPr>
      <w:tblGrid>
        <w:gridCol w:w="2340"/>
        <w:gridCol w:w="1404"/>
        <w:gridCol w:w="1404"/>
        <w:gridCol w:w="1404"/>
        <w:gridCol w:w="1404"/>
        <w:gridCol w:w="1404"/>
      </w:tblGrid>
      <w:tr w:rsidR="001D074D" w:rsidRPr="00D95176" w14:paraId="33CD12D2" w14:textId="77777777" w:rsidTr="0029767D">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FB950" w14:textId="77777777" w:rsidR="001D074D" w:rsidRPr="00E36ABA" w:rsidRDefault="001D074D" w:rsidP="00A6060E">
            <w:pPr>
              <w:widowControl w:val="0"/>
              <w:jc w:val="left"/>
              <w:rPr>
                <w:b/>
                <w:color w:val="000000"/>
                <w:sz w:val="21"/>
                <w:szCs w:val="21"/>
                <w:lang w:val="en-CA" w:eastAsia="en-CA"/>
              </w:rPr>
            </w:pPr>
            <w:r w:rsidRPr="00E36ABA">
              <w:rPr>
                <w:b/>
                <w:color w:val="000000"/>
                <w:sz w:val="21"/>
                <w:szCs w:val="21"/>
                <w:lang w:val="en-CA" w:eastAsia="en-CA"/>
              </w:rPr>
              <w:t>Sector</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84FB1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2AA28B8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8D0C8BD"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Total</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CB1C1B1"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6084A3"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r>
      <w:tr w:rsidR="00E36ABA" w:rsidRPr="00D95176" w14:paraId="0E6E8F38"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8C815FE" w14:textId="65810EBF" w:rsidR="00E36ABA" w:rsidRPr="00E36ABA" w:rsidRDefault="00E36ABA" w:rsidP="00A6060E">
            <w:pPr>
              <w:widowControl w:val="0"/>
              <w:jc w:val="left"/>
              <w:rPr>
                <w:color w:val="000000"/>
                <w:sz w:val="21"/>
                <w:szCs w:val="21"/>
                <w:lang w:val="en-CA" w:eastAsia="en-CA"/>
              </w:rPr>
            </w:pPr>
            <w:r w:rsidRPr="00E36ABA">
              <w:rPr>
                <w:color w:val="000000"/>
                <w:sz w:val="21"/>
                <w:szCs w:val="21"/>
              </w:rPr>
              <w:t>Refrigeration</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F0061FA" w14:textId="0F3ED94B" w:rsidR="00E36ABA" w:rsidRPr="00E36ABA" w:rsidRDefault="00E36ABA" w:rsidP="00A6060E">
            <w:pPr>
              <w:widowControl w:val="0"/>
              <w:jc w:val="right"/>
              <w:rPr>
                <w:color w:val="000000"/>
                <w:sz w:val="21"/>
                <w:szCs w:val="21"/>
                <w:lang w:val="en-CA" w:eastAsia="en-CA"/>
              </w:rPr>
            </w:pPr>
            <w:r w:rsidRPr="00E36ABA">
              <w:rPr>
                <w:color w:val="000000"/>
                <w:sz w:val="21"/>
                <w:szCs w:val="21"/>
              </w:rPr>
              <w:t>14,466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CBB9035" w14:textId="48134457" w:rsidR="00E36ABA" w:rsidRPr="00E36ABA" w:rsidRDefault="00E36ABA" w:rsidP="00A6060E">
            <w:pPr>
              <w:widowControl w:val="0"/>
              <w:jc w:val="right"/>
              <w:rPr>
                <w:color w:val="000000"/>
                <w:sz w:val="21"/>
                <w:szCs w:val="21"/>
                <w:lang w:val="en-CA" w:eastAsia="en-CA"/>
              </w:rPr>
            </w:pPr>
            <w:r w:rsidRPr="00E36ABA">
              <w:rPr>
                <w:color w:val="000000"/>
                <w:sz w:val="21"/>
                <w:szCs w:val="21"/>
              </w:rPr>
              <w:t>151,548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29819AC" w14:textId="5A0FA51E" w:rsidR="00E36ABA" w:rsidRPr="00E36ABA" w:rsidRDefault="00E36ABA" w:rsidP="00A6060E">
            <w:pPr>
              <w:widowControl w:val="0"/>
              <w:jc w:val="right"/>
              <w:rPr>
                <w:color w:val="000000"/>
                <w:sz w:val="21"/>
                <w:szCs w:val="21"/>
                <w:lang w:val="en-CA" w:eastAsia="en-CA"/>
              </w:rPr>
            </w:pPr>
            <w:r w:rsidRPr="00E36ABA">
              <w:rPr>
                <w:color w:val="000000"/>
                <w:sz w:val="21"/>
                <w:szCs w:val="21"/>
              </w:rPr>
              <w:t>166,014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1D9BD9" w14:textId="0ED651CA" w:rsidR="00E36ABA" w:rsidRPr="00E36ABA" w:rsidRDefault="00E36ABA" w:rsidP="00A6060E">
            <w:pPr>
              <w:widowControl w:val="0"/>
              <w:jc w:val="right"/>
              <w:rPr>
                <w:color w:val="000000"/>
                <w:sz w:val="21"/>
                <w:szCs w:val="21"/>
                <w:lang w:val="en-CA" w:eastAsia="en-CA"/>
              </w:rPr>
            </w:pPr>
            <w:r w:rsidRPr="00E36ABA">
              <w:rPr>
                <w:color w:val="000000"/>
                <w:sz w:val="21"/>
                <w:szCs w:val="21"/>
              </w:rPr>
              <w:t>8.7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AF0AECB" w14:textId="4F0C60D6" w:rsidR="00E36ABA" w:rsidRPr="00E36ABA" w:rsidRDefault="00E36ABA" w:rsidP="00A6060E">
            <w:pPr>
              <w:widowControl w:val="0"/>
              <w:jc w:val="right"/>
              <w:rPr>
                <w:color w:val="000000"/>
                <w:sz w:val="21"/>
                <w:szCs w:val="21"/>
                <w:lang w:val="en-CA" w:eastAsia="en-CA"/>
              </w:rPr>
            </w:pPr>
            <w:r w:rsidRPr="00E36ABA">
              <w:rPr>
                <w:color w:val="000000"/>
                <w:sz w:val="21"/>
                <w:szCs w:val="21"/>
              </w:rPr>
              <w:t>91.3</w:t>
            </w:r>
          </w:p>
        </w:tc>
      </w:tr>
      <w:tr w:rsidR="00E36ABA" w:rsidRPr="00D95176" w14:paraId="442E949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2791948" w14:textId="4B6B2EE4" w:rsidR="00E36ABA" w:rsidRPr="00E36ABA" w:rsidRDefault="00E36ABA" w:rsidP="00A6060E">
            <w:pPr>
              <w:widowControl w:val="0"/>
              <w:jc w:val="left"/>
              <w:rPr>
                <w:color w:val="000000"/>
                <w:sz w:val="21"/>
                <w:szCs w:val="21"/>
                <w:lang w:val="en-CA" w:eastAsia="en-CA"/>
              </w:rPr>
            </w:pPr>
            <w:r w:rsidRPr="00E36ABA">
              <w:rPr>
                <w:color w:val="000000"/>
                <w:sz w:val="21"/>
                <w:szCs w:val="21"/>
              </w:rPr>
              <w:t>Other sectors*</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ACBB300" w14:textId="1FF9E1E9" w:rsidR="00E36ABA" w:rsidRPr="00E36ABA" w:rsidRDefault="00E36ABA" w:rsidP="00A6060E">
            <w:pPr>
              <w:widowControl w:val="0"/>
              <w:jc w:val="right"/>
              <w:rPr>
                <w:color w:val="000000"/>
                <w:sz w:val="21"/>
                <w:szCs w:val="21"/>
                <w:lang w:val="en-CA" w:eastAsia="en-CA"/>
              </w:rPr>
            </w:pPr>
            <w:r w:rsidRPr="00E36ABA">
              <w:rPr>
                <w:color w:val="000000"/>
                <w:sz w:val="21"/>
                <w:szCs w:val="21"/>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39EEAA8" w14:textId="02D59DCA" w:rsidR="00E36ABA" w:rsidRPr="00E36ABA" w:rsidRDefault="00E36ABA" w:rsidP="00A6060E">
            <w:pPr>
              <w:widowControl w:val="0"/>
              <w:jc w:val="right"/>
              <w:rPr>
                <w:color w:val="000000"/>
                <w:sz w:val="21"/>
                <w:szCs w:val="21"/>
                <w:lang w:val="en-CA" w:eastAsia="en-CA"/>
              </w:rPr>
            </w:pPr>
            <w:r w:rsidRPr="00E36ABA">
              <w:rPr>
                <w:color w:val="000000"/>
                <w:sz w:val="21"/>
                <w:szCs w:val="21"/>
              </w:rPr>
              <w:t>15,376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29CF8D5" w14:textId="6D7FF7FB" w:rsidR="00E36ABA" w:rsidRPr="00E36ABA" w:rsidRDefault="00E36ABA" w:rsidP="00A6060E">
            <w:pPr>
              <w:widowControl w:val="0"/>
              <w:jc w:val="right"/>
              <w:rPr>
                <w:color w:val="000000"/>
                <w:sz w:val="21"/>
                <w:szCs w:val="21"/>
                <w:lang w:val="en-CA" w:eastAsia="en-CA"/>
              </w:rPr>
            </w:pPr>
            <w:r w:rsidRPr="00E36ABA">
              <w:rPr>
                <w:color w:val="000000"/>
                <w:sz w:val="21"/>
                <w:szCs w:val="21"/>
              </w:rPr>
              <w:t>16,127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B03005D" w14:textId="28EBE343" w:rsidR="00E36ABA" w:rsidRPr="00E36ABA" w:rsidRDefault="00E36ABA" w:rsidP="00A6060E">
            <w:pPr>
              <w:widowControl w:val="0"/>
              <w:jc w:val="right"/>
              <w:rPr>
                <w:color w:val="000000"/>
                <w:sz w:val="21"/>
                <w:szCs w:val="21"/>
                <w:lang w:val="en-CA" w:eastAsia="en-CA"/>
              </w:rPr>
            </w:pPr>
            <w:r w:rsidRPr="00E36ABA">
              <w:rPr>
                <w:color w:val="000000"/>
                <w:sz w:val="21"/>
                <w:szCs w:val="21"/>
              </w:rPr>
              <w:t>4.7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D31A25D" w14:textId="7C7A3BEE" w:rsidR="00E36ABA" w:rsidRPr="00E36ABA" w:rsidRDefault="00E36ABA" w:rsidP="00A6060E">
            <w:pPr>
              <w:widowControl w:val="0"/>
              <w:jc w:val="right"/>
              <w:rPr>
                <w:color w:val="000000"/>
                <w:sz w:val="21"/>
                <w:szCs w:val="21"/>
                <w:lang w:val="en-CA" w:eastAsia="en-CA"/>
              </w:rPr>
            </w:pPr>
            <w:r w:rsidRPr="00E36ABA">
              <w:rPr>
                <w:color w:val="000000"/>
                <w:sz w:val="21"/>
                <w:szCs w:val="21"/>
              </w:rPr>
              <w:t>95.3</w:t>
            </w:r>
          </w:p>
        </w:tc>
      </w:tr>
      <w:tr w:rsidR="00E36ABA" w:rsidRPr="00D95176" w14:paraId="5A3F843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A063CCB" w14:textId="1640A06A" w:rsidR="00E36ABA" w:rsidRPr="00E36ABA" w:rsidRDefault="00E36ABA" w:rsidP="00A6060E">
            <w:pPr>
              <w:widowControl w:val="0"/>
              <w:jc w:val="left"/>
              <w:rPr>
                <w:color w:val="000000"/>
                <w:sz w:val="21"/>
                <w:szCs w:val="21"/>
                <w:lang w:val="en-CA" w:eastAsia="en-CA"/>
              </w:rPr>
            </w:pPr>
            <w:r w:rsidRPr="00E36ABA">
              <w:rPr>
                <w:color w:val="000000"/>
                <w:sz w:val="21"/>
                <w:szCs w:val="21"/>
              </w:rPr>
              <w:t>Total (mt)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570179" w14:textId="40DB3E5E" w:rsidR="00E36ABA" w:rsidRPr="00E36ABA" w:rsidRDefault="00E36ABA" w:rsidP="00A6060E">
            <w:pPr>
              <w:widowControl w:val="0"/>
              <w:jc w:val="right"/>
              <w:rPr>
                <w:color w:val="000000"/>
                <w:sz w:val="21"/>
                <w:szCs w:val="21"/>
                <w:lang w:val="en-CA" w:eastAsia="en-CA"/>
              </w:rPr>
            </w:pPr>
            <w:r w:rsidRPr="00E36ABA">
              <w:rPr>
                <w:color w:val="000000"/>
                <w:sz w:val="21"/>
                <w:szCs w:val="21"/>
              </w:rPr>
              <w:t>15,217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0E074F8" w14:textId="7CF7ECBF" w:rsidR="00E36ABA" w:rsidRPr="00E36ABA" w:rsidRDefault="00E36ABA" w:rsidP="00A6060E">
            <w:pPr>
              <w:widowControl w:val="0"/>
              <w:jc w:val="right"/>
              <w:rPr>
                <w:color w:val="000000"/>
                <w:sz w:val="21"/>
                <w:szCs w:val="21"/>
                <w:lang w:val="en-CA" w:eastAsia="en-CA"/>
              </w:rPr>
            </w:pPr>
            <w:r w:rsidRPr="00E36ABA">
              <w:rPr>
                <w:color w:val="000000"/>
                <w:sz w:val="21"/>
                <w:szCs w:val="21"/>
              </w:rPr>
              <w:t>166,924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DF42B3B" w14:textId="5F650832" w:rsidR="00E36ABA" w:rsidRPr="00E36ABA" w:rsidRDefault="00E36ABA" w:rsidP="00A6060E">
            <w:pPr>
              <w:widowControl w:val="0"/>
              <w:jc w:val="right"/>
              <w:rPr>
                <w:color w:val="000000"/>
                <w:sz w:val="21"/>
                <w:szCs w:val="21"/>
                <w:lang w:val="en-CA" w:eastAsia="en-CA"/>
              </w:rPr>
            </w:pPr>
            <w:r w:rsidRPr="00E36ABA">
              <w:rPr>
                <w:color w:val="000000"/>
                <w:sz w:val="21"/>
                <w:szCs w:val="21"/>
              </w:rPr>
              <w:t>182,141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B2B47CE" w14:textId="785A1B4F" w:rsidR="00E36ABA" w:rsidRPr="00E36ABA" w:rsidRDefault="00E36ABA" w:rsidP="00A6060E">
            <w:pPr>
              <w:widowControl w:val="0"/>
              <w:jc w:val="right"/>
              <w:rPr>
                <w:color w:val="000000"/>
                <w:sz w:val="21"/>
                <w:szCs w:val="21"/>
                <w:lang w:val="en-CA" w:eastAsia="en-CA"/>
              </w:rPr>
            </w:pPr>
            <w:r w:rsidRPr="00E36ABA">
              <w:rPr>
                <w:color w:val="000000"/>
                <w:sz w:val="21"/>
                <w:szCs w:val="21"/>
              </w:rPr>
              <w:t>8.4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66E8DB8" w14:textId="33D69DA9" w:rsidR="00E36ABA" w:rsidRPr="00E36ABA" w:rsidRDefault="00E36ABA" w:rsidP="00A6060E">
            <w:pPr>
              <w:widowControl w:val="0"/>
              <w:jc w:val="right"/>
              <w:rPr>
                <w:color w:val="000000"/>
                <w:sz w:val="21"/>
                <w:szCs w:val="21"/>
                <w:lang w:val="en-CA" w:eastAsia="en-CA"/>
              </w:rPr>
            </w:pPr>
            <w:r w:rsidRPr="00E36ABA">
              <w:rPr>
                <w:color w:val="000000"/>
                <w:sz w:val="21"/>
                <w:szCs w:val="21"/>
              </w:rPr>
              <w:t>91.6</w:t>
            </w:r>
          </w:p>
        </w:tc>
      </w:tr>
    </w:tbl>
    <w:p w14:paraId="02D81F9D" w14:textId="51E176E6" w:rsidR="001D074D" w:rsidRPr="00E36ABA" w:rsidRDefault="00E36ABA" w:rsidP="0029767D">
      <w:pPr>
        <w:widowControl w:val="0"/>
        <w:rPr>
          <w:sz w:val="20"/>
          <w:szCs w:val="20"/>
          <w:lang w:val="en-CA"/>
        </w:rPr>
      </w:pPr>
      <w:r w:rsidRPr="00E36ABA">
        <w:rPr>
          <w:sz w:val="20"/>
          <w:szCs w:val="20"/>
          <w:lang w:val="en-CA"/>
        </w:rPr>
        <w:t>(*) Including aerosol, foam and fire-fighting sectors.</w:t>
      </w:r>
    </w:p>
    <w:p w14:paraId="69F2BA24" w14:textId="77777777" w:rsidR="00E36ABA" w:rsidRDefault="00E36ABA" w:rsidP="0029767D">
      <w:pPr>
        <w:widowControl w:val="0"/>
        <w:rPr>
          <w:lang w:val="en-CA"/>
        </w:rPr>
      </w:pPr>
    </w:p>
    <w:p w14:paraId="38417BB7" w14:textId="122937DB" w:rsidR="001D074D" w:rsidRPr="001D4B5B" w:rsidRDefault="001D074D" w:rsidP="0029767D">
      <w:pPr>
        <w:pStyle w:val="Heading1"/>
        <w:rPr>
          <w:lang w:val="en-CA"/>
        </w:rPr>
      </w:pPr>
      <w:r>
        <w:rPr>
          <w:lang w:val="en-CA"/>
        </w:rPr>
        <w:t xml:space="preserve">The main HFCs consumed in the refrigeration </w:t>
      </w:r>
      <w:r w:rsidRPr="00AC2011">
        <w:rPr>
          <w:lang w:val="en-CA"/>
        </w:rPr>
        <w:t xml:space="preserve">sector </w:t>
      </w:r>
      <w:r>
        <w:rPr>
          <w:lang w:val="en-CA"/>
        </w:rPr>
        <w:t xml:space="preserve">in 2015 were: </w:t>
      </w:r>
      <w:r w:rsidRPr="00AC2011">
        <w:rPr>
          <w:lang w:val="en-CA"/>
        </w:rPr>
        <w:t>HFC-134a (</w:t>
      </w:r>
      <w:r>
        <w:rPr>
          <w:lang w:val="en-CA"/>
        </w:rPr>
        <w:t>36</w:t>
      </w:r>
      <w:r w:rsidRPr="00AC2011">
        <w:rPr>
          <w:lang w:val="en-CA"/>
        </w:rPr>
        <w:t xml:space="preserve"> per cent</w:t>
      </w:r>
      <w:r>
        <w:rPr>
          <w:lang w:val="en-CA"/>
        </w:rPr>
        <w:t>)</w:t>
      </w:r>
      <w:r w:rsidR="00E475E2">
        <w:rPr>
          <w:lang w:val="en-CA"/>
        </w:rPr>
        <w:t>, R</w:t>
      </w:r>
      <w:r w:rsidR="00E475E2">
        <w:rPr>
          <w:lang w:val="en-CA"/>
        </w:rPr>
        <w:noBreakHyphen/>
      </w:r>
      <w:r w:rsidRPr="00AC2011">
        <w:rPr>
          <w:lang w:val="en-CA"/>
        </w:rPr>
        <w:t>410A (</w:t>
      </w:r>
      <w:r>
        <w:rPr>
          <w:lang w:val="en-CA"/>
        </w:rPr>
        <w:t xml:space="preserve">47 per cent), R-404A (8 </w:t>
      </w:r>
      <w:r w:rsidRPr="00AC2011">
        <w:rPr>
          <w:lang w:val="en-CA"/>
        </w:rPr>
        <w:t>per cent)</w:t>
      </w:r>
      <w:r>
        <w:rPr>
          <w:lang w:val="en-CA"/>
        </w:rPr>
        <w:t xml:space="preserve"> and R</w:t>
      </w:r>
      <w:r>
        <w:rPr>
          <w:lang w:val="en-CA"/>
        </w:rPr>
        <w:noBreakHyphen/>
        <w:t>407C (6 per cent), measured in mt</w:t>
      </w:r>
      <w:r w:rsidRPr="00AC2011">
        <w:rPr>
          <w:lang w:val="en-CA"/>
        </w:rPr>
        <w:t xml:space="preserve">. </w:t>
      </w:r>
      <w:r w:rsidR="009C7664" w:rsidRPr="001D4B5B">
        <w:rPr>
          <w:lang w:val="en-CA"/>
        </w:rPr>
        <w:t>H</w:t>
      </w:r>
      <w:r w:rsidRPr="001D4B5B">
        <w:rPr>
          <w:lang w:val="en-CA"/>
        </w:rPr>
        <w:t>FC consumption used for servicing refrigeration and air-conditioning equipment accounted for 78</w:t>
      </w:r>
      <w:r w:rsidR="00A6060E">
        <w:rPr>
          <w:lang w:val="en-CA"/>
        </w:rPr>
        <w:t> </w:t>
      </w:r>
      <w:r w:rsidRPr="001D4B5B">
        <w:rPr>
          <w:lang w:val="en-CA"/>
        </w:rPr>
        <w:t>per</w:t>
      </w:r>
      <w:r w:rsidR="00A6060E">
        <w:rPr>
          <w:lang w:val="en-CA"/>
        </w:rPr>
        <w:t> </w:t>
      </w:r>
      <w:r w:rsidRPr="001D4B5B">
        <w:rPr>
          <w:lang w:val="en-CA"/>
        </w:rPr>
        <w:t>cent of the total consumption (i.e., 97 per cent of total consumption for LVC countries, and 76 per</w:t>
      </w:r>
      <w:r w:rsidR="00A6060E">
        <w:rPr>
          <w:lang w:val="en-CA"/>
        </w:rPr>
        <w:t> </w:t>
      </w:r>
      <w:r w:rsidRPr="001D4B5B">
        <w:rPr>
          <w:lang w:val="en-CA"/>
        </w:rPr>
        <w:t>cent for non</w:t>
      </w:r>
      <w:r w:rsidR="00A6060E">
        <w:rPr>
          <w:lang w:val="en-CA"/>
        </w:rPr>
        <w:noBreakHyphen/>
      </w:r>
      <w:r w:rsidRPr="001D4B5B">
        <w:rPr>
          <w:lang w:val="en-CA"/>
        </w:rPr>
        <w:t xml:space="preserve">LVC countries). </w:t>
      </w:r>
    </w:p>
    <w:p w14:paraId="4333DF5E" w14:textId="77777777" w:rsidR="00735EED" w:rsidRPr="00735EED" w:rsidRDefault="00735EED" w:rsidP="0029767D">
      <w:pPr>
        <w:rPr>
          <w:u w:val="single"/>
          <w:lang w:val="en-CA"/>
        </w:rPr>
      </w:pPr>
      <w:r w:rsidRPr="00735EED">
        <w:rPr>
          <w:u w:val="single"/>
          <w:lang w:val="en-CA"/>
        </w:rPr>
        <w:t xml:space="preserve">Technological advances </w:t>
      </w:r>
      <w:r w:rsidR="00255F6C">
        <w:rPr>
          <w:u w:val="single"/>
          <w:lang w:val="en-CA"/>
        </w:rPr>
        <w:t>in</w:t>
      </w:r>
      <w:r w:rsidRPr="00735EED">
        <w:rPr>
          <w:u w:val="single"/>
          <w:lang w:val="en-CA"/>
        </w:rPr>
        <w:t xml:space="preserve"> refrigeration</w:t>
      </w:r>
      <w:r w:rsidR="0056747C">
        <w:rPr>
          <w:u w:val="single"/>
          <w:lang w:val="en-CA"/>
        </w:rPr>
        <w:t xml:space="preserve"> and air-conditioning systems</w:t>
      </w:r>
    </w:p>
    <w:p w14:paraId="380CF95B" w14:textId="77777777" w:rsidR="00735EED" w:rsidRDefault="00735EED" w:rsidP="0029767D">
      <w:pPr>
        <w:rPr>
          <w:lang w:val="en-CA"/>
        </w:rPr>
      </w:pPr>
    </w:p>
    <w:p w14:paraId="64C6FA96" w14:textId="6FB2B498" w:rsidR="00B606BC" w:rsidRPr="00714CE0" w:rsidRDefault="00B606BC" w:rsidP="0029767D">
      <w:pPr>
        <w:pStyle w:val="Heading1"/>
      </w:pPr>
      <w:r>
        <w:t xml:space="preserve">The steep increase in refrigeration and air-conditioning </w:t>
      </w:r>
      <w:r w:rsidRPr="00124771">
        <w:t>equipment</w:t>
      </w:r>
      <w:r>
        <w:t xml:space="preserve"> since the inception of the Multilateral Fund </w:t>
      </w:r>
      <w:r w:rsidR="00DD4B05">
        <w:t>has given rise to</w:t>
      </w:r>
      <w:r>
        <w:t xml:space="preserve"> substantial </w:t>
      </w:r>
      <w:r w:rsidRPr="00124771">
        <w:t>technological advances</w:t>
      </w:r>
      <w:r>
        <w:t xml:space="preserve"> driven by the </w:t>
      </w:r>
      <w:r w:rsidRPr="00124771">
        <w:t>need to</w:t>
      </w:r>
      <w:r>
        <w:t xml:space="preserve"> optimize th</w:t>
      </w:r>
      <w:r w:rsidR="00DD4B05">
        <w:t>ose</w:t>
      </w:r>
      <w:r>
        <w:t xml:space="preserve"> systems and </w:t>
      </w:r>
      <w:r w:rsidRPr="00124771">
        <w:t xml:space="preserve">enhance their energy efficiency. </w:t>
      </w:r>
      <w:r>
        <w:t xml:space="preserve">The number of electronic </w:t>
      </w:r>
      <w:r w:rsidR="00017BF2">
        <w:t>components</w:t>
      </w:r>
      <w:r w:rsidR="00BF638D">
        <w:t>, controls</w:t>
      </w:r>
      <w:r w:rsidR="00017BF2">
        <w:t xml:space="preserve"> and </w:t>
      </w:r>
      <w:r w:rsidR="00017BF2" w:rsidRPr="00124771">
        <w:t xml:space="preserve">variable speed drives </w:t>
      </w:r>
      <w:r w:rsidR="00017BF2">
        <w:t xml:space="preserve">installed </w:t>
      </w:r>
      <w:r>
        <w:t xml:space="preserve">in refrigeration and air-conditioning equipment is increasing; </w:t>
      </w:r>
      <w:r w:rsidR="00017BF2">
        <w:t>e</w:t>
      </w:r>
      <w:r>
        <w:t xml:space="preserve">quipment </w:t>
      </w:r>
      <w:r w:rsidRPr="00A94663">
        <w:t>manufacturers</w:t>
      </w:r>
      <w:r>
        <w:t xml:space="preserve"> are</w:t>
      </w:r>
      <w:r w:rsidRPr="00A94663">
        <w:t xml:space="preserve"> </w:t>
      </w:r>
      <w:r>
        <w:t xml:space="preserve">currently </w:t>
      </w:r>
      <w:r w:rsidRPr="00A94663">
        <w:t xml:space="preserve">developing sophisticated microprocessor-based diagnostic and control kits that </w:t>
      </w:r>
      <w:r w:rsidR="00BF638D">
        <w:t>manage</w:t>
      </w:r>
      <w:r w:rsidRPr="00A94663">
        <w:t xml:space="preserve"> the operation of the compressor and air-flow </w:t>
      </w:r>
      <w:r w:rsidRPr="00714CE0">
        <w:t>system.</w:t>
      </w:r>
      <w:r w:rsidRPr="00714CE0">
        <w:rPr>
          <w:rStyle w:val="FootnoteReference"/>
        </w:rPr>
        <w:footnoteReference w:id="28"/>
      </w:r>
      <w:r w:rsidRPr="00714CE0">
        <w:t xml:space="preserve"> </w:t>
      </w:r>
      <w:r w:rsidR="00BF638D" w:rsidRPr="00714CE0">
        <w:t xml:space="preserve">Moreover, </w:t>
      </w:r>
      <w:r w:rsidR="00BE45A5">
        <w:t>an increasing number and</w:t>
      </w:r>
      <w:r w:rsidR="00BF638D" w:rsidRPr="00714CE0">
        <w:t xml:space="preserve"> </w:t>
      </w:r>
      <w:r w:rsidR="005246D4">
        <w:t>variety</w:t>
      </w:r>
      <w:r w:rsidR="005246D4" w:rsidRPr="00714CE0">
        <w:t xml:space="preserve"> </w:t>
      </w:r>
      <w:r w:rsidR="005246D4">
        <w:t xml:space="preserve">of </w:t>
      </w:r>
      <w:r w:rsidR="00BF638D" w:rsidRPr="00714CE0">
        <w:t>refrigeration and air-conditioning equipment</w:t>
      </w:r>
      <w:r w:rsidR="00BE45A5">
        <w:t xml:space="preserve"> combined with restrictions on </w:t>
      </w:r>
      <w:r w:rsidR="00852D00">
        <w:t xml:space="preserve">the consumption of </w:t>
      </w:r>
      <w:r w:rsidR="00BE45A5">
        <w:t>HCFCs and HFCs</w:t>
      </w:r>
      <w:r w:rsidR="00852D00">
        <w:t>,</w:t>
      </w:r>
      <w:r w:rsidR="00BE45A5">
        <w:t xml:space="preserve"> are</w:t>
      </w:r>
      <w:r w:rsidR="005246D4">
        <w:t xml:space="preserve"> </w:t>
      </w:r>
      <w:r w:rsidR="00BF638D" w:rsidRPr="00714CE0">
        <w:t xml:space="preserve">expected to lead to an increasing number of refrigerant blends targeting </w:t>
      </w:r>
      <w:r w:rsidR="0056747C" w:rsidRPr="00714CE0">
        <w:t>those applications</w:t>
      </w:r>
      <w:r w:rsidR="005246D4">
        <w:t xml:space="preserve"> for retrofit and servicing purposes</w:t>
      </w:r>
      <w:r w:rsidR="0056747C" w:rsidRPr="00714CE0">
        <w:t>.</w:t>
      </w:r>
    </w:p>
    <w:p w14:paraId="4088473A" w14:textId="77777777" w:rsidR="005A389C" w:rsidRPr="00124771" w:rsidRDefault="005A389C" w:rsidP="0029767D">
      <w:pPr>
        <w:pStyle w:val="Heading1"/>
      </w:pPr>
      <w:r w:rsidRPr="00124771">
        <w:t xml:space="preserve">Table </w:t>
      </w:r>
      <w:r>
        <w:t>4</w:t>
      </w:r>
      <w:r w:rsidRPr="00124771">
        <w:t xml:space="preserve"> </w:t>
      </w:r>
      <w:r>
        <w:t xml:space="preserve">illustrates the evolution of the refrigeration servicing sector’s complexity by </w:t>
      </w:r>
      <w:r w:rsidRPr="00124771">
        <w:t>present</w:t>
      </w:r>
      <w:r>
        <w:t>ing</w:t>
      </w:r>
      <w:r w:rsidRPr="00124771">
        <w:t xml:space="preserve"> a comparative </w:t>
      </w:r>
      <w:r>
        <w:t xml:space="preserve">analysis </w:t>
      </w:r>
      <w:r w:rsidRPr="00124771">
        <w:t>of the needs in the sector at different periods of implementation of the Montreal Protocol.</w:t>
      </w:r>
    </w:p>
    <w:p w14:paraId="472143C7" w14:textId="77777777" w:rsidR="005A389C" w:rsidRPr="007C1AAC" w:rsidRDefault="005A389C" w:rsidP="0029767D">
      <w:pPr>
        <w:outlineLvl w:val="0"/>
        <w:rPr>
          <w:b/>
        </w:rPr>
      </w:pPr>
      <w:r w:rsidRPr="007C1AAC">
        <w:rPr>
          <w:b/>
        </w:rPr>
        <w:t>Table 4. The refrigeration servicing sector at different periods of the Montreal Protocol</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669"/>
        <w:gridCol w:w="2669"/>
        <w:gridCol w:w="2669"/>
      </w:tblGrid>
      <w:tr w:rsidR="005A389C" w:rsidRPr="00EF720B" w14:paraId="2851169F" w14:textId="77777777" w:rsidTr="0029767D">
        <w:trPr>
          <w:tblHeader/>
        </w:trPr>
        <w:tc>
          <w:tcPr>
            <w:tcW w:w="745" w:type="pct"/>
            <w:shd w:val="clear" w:color="auto" w:fill="auto"/>
            <w:tcMar>
              <w:top w:w="15" w:type="dxa"/>
              <w:left w:w="30" w:type="dxa"/>
              <w:bottom w:w="0" w:type="dxa"/>
              <w:right w:w="30" w:type="dxa"/>
            </w:tcMar>
            <w:vAlign w:val="center"/>
            <w:hideMark/>
          </w:tcPr>
          <w:p w14:paraId="6231FC9D"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Description</w:t>
            </w:r>
          </w:p>
        </w:tc>
        <w:tc>
          <w:tcPr>
            <w:tcW w:w="1418" w:type="pct"/>
            <w:shd w:val="clear" w:color="auto" w:fill="auto"/>
            <w:tcMar>
              <w:top w:w="15" w:type="dxa"/>
              <w:left w:w="30" w:type="dxa"/>
              <w:bottom w:w="0" w:type="dxa"/>
              <w:right w:w="30" w:type="dxa"/>
            </w:tcMar>
            <w:vAlign w:val="center"/>
            <w:hideMark/>
          </w:tcPr>
          <w:p w14:paraId="32B4EC47"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CFC phase-out</w:t>
            </w:r>
          </w:p>
        </w:tc>
        <w:tc>
          <w:tcPr>
            <w:tcW w:w="1418" w:type="pct"/>
            <w:shd w:val="clear" w:color="auto" w:fill="auto"/>
            <w:tcMar>
              <w:top w:w="15" w:type="dxa"/>
              <w:left w:w="30" w:type="dxa"/>
              <w:bottom w:w="0" w:type="dxa"/>
              <w:right w:w="30" w:type="dxa"/>
            </w:tcMar>
            <w:vAlign w:val="center"/>
            <w:hideMark/>
          </w:tcPr>
          <w:p w14:paraId="61D92014"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tc>
        <w:tc>
          <w:tcPr>
            <w:tcW w:w="1418" w:type="pct"/>
            <w:shd w:val="clear" w:color="auto" w:fill="auto"/>
            <w:tcMar>
              <w:top w:w="15" w:type="dxa"/>
              <w:left w:w="30" w:type="dxa"/>
              <w:bottom w:w="0" w:type="dxa"/>
              <w:right w:w="30" w:type="dxa"/>
            </w:tcMar>
            <w:vAlign w:val="center"/>
            <w:hideMark/>
          </w:tcPr>
          <w:p w14:paraId="61B0999F"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p w14:paraId="4F025A5A"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HFC phase-down</w:t>
            </w:r>
          </w:p>
        </w:tc>
      </w:tr>
      <w:tr w:rsidR="005A389C" w:rsidRPr="00EF720B" w14:paraId="71164AA9" w14:textId="77777777" w:rsidTr="0029767D">
        <w:tc>
          <w:tcPr>
            <w:tcW w:w="745" w:type="pct"/>
            <w:shd w:val="clear" w:color="auto" w:fill="auto"/>
            <w:tcMar>
              <w:top w:w="15" w:type="dxa"/>
              <w:left w:w="30" w:type="dxa"/>
              <w:bottom w:w="0" w:type="dxa"/>
              <w:right w:w="30" w:type="dxa"/>
            </w:tcMar>
            <w:hideMark/>
          </w:tcPr>
          <w:p w14:paraId="49DDA921"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Substances addressed</w:t>
            </w:r>
          </w:p>
        </w:tc>
        <w:tc>
          <w:tcPr>
            <w:tcW w:w="1418" w:type="pct"/>
            <w:shd w:val="clear" w:color="auto" w:fill="auto"/>
            <w:tcMar>
              <w:top w:w="15" w:type="dxa"/>
              <w:left w:w="30" w:type="dxa"/>
              <w:bottom w:w="0" w:type="dxa"/>
              <w:right w:w="30" w:type="dxa"/>
            </w:tcMar>
            <w:hideMark/>
          </w:tcPr>
          <w:p w14:paraId="57AE28E2" w14:textId="72A41477" w:rsidR="005A389C" w:rsidRPr="00EF720B" w:rsidRDefault="005A389C" w:rsidP="00A6060E">
            <w:pPr>
              <w:tabs>
                <w:tab w:val="left" w:pos="2880"/>
                <w:tab w:val="left" w:pos="3600"/>
                <w:tab w:val="left" w:pos="5760"/>
              </w:tabs>
              <w:rPr>
                <w:sz w:val="20"/>
                <w:szCs w:val="20"/>
                <w:lang w:val="en-US"/>
              </w:rPr>
            </w:pPr>
            <w:r w:rsidRPr="00EF720B">
              <w:rPr>
                <w:kern w:val="24"/>
                <w:sz w:val="20"/>
                <w:szCs w:val="20"/>
              </w:rPr>
              <w:t>Mostly CFC-12</w:t>
            </w:r>
            <w:r>
              <w:rPr>
                <w:kern w:val="24"/>
                <w:sz w:val="20"/>
                <w:szCs w:val="20"/>
              </w:rPr>
              <w:t xml:space="preserve"> and, to a lesser extent, </w:t>
            </w:r>
            <w:r w:rsidRPr="00EF720B">
              <w:rPr>
                <w:kern w:val="24"/>
                <w:sz w:val="20"/>
                <w:szCs w:val="20"/>
              </w:rPr>
              <w:t>CFC-11 and CFC-115</w:t>
            </w:r>
            <w:r w:rsidR="00F6477A">
              <w:rPr>
                <w:kern w:val="24"/>
                <w:sz w:val="20"/>
                <w:szCs w:val="20"/>
              </w:rPr>
              <w:t>, R-502 (low temperature)</w:t>
            </w:r>
          </w:p>
        </w:tc>
        <w:tc>
          <w:tcPr>
            <w:tcW w:w="1418" w:type="pct"/>
            <w:shd w:val="clear" w:color="auto" w:fill="auto"/>
            <w:tcMar>
              <w:top w:w="15" w:type="dxa"/>
              <w:left w:w="30" w:type="dxa"/>
              <w:bottom w:w="0" w:type="dxa"/>
              <w:right w:w="30" w:type="dxa"/>
            </w:tcMar>
            <w:hideMark/>
          </w:tcPr>
          <w:p w14:paraId="4F635465"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Mostly HCFC-22</w:t>
            </w:r>
          </w:p>
          <w:p w14:paraId="30A98EEB" w14:textId="53FAF404" w:rsidR="005A389C" w:rsidRPr="00EF720B" w:rsidRDefault="005A389C" w:rsidP="00A6060E">
            <w:pPr>
              <w:tabs>
                <w:tab w:val="left" w:pos="2880"/>
                <w:tab w:val="left" w:pos="3600"/>
                <w:tab w:val="left" w:pos="5760"/>
              </w:tabs>
              <w:jc w:val="left"/>
              <w:rPr>
                <w:sz w:val="20"/>
                <w:szCs w:val="20"/>
                <w:lang w:val="en-US"/>
              </w:rPr>
            </w:pPr>
            <w:r w:rsidRPr="00EF720B">
              <w:rPr>
                <w:kern w:val="24"/>
                <w:sz w:val="20"/>
                <w:szCs w:val="20"/>
              </w:rPr>
              <w:t>(</w:t>
            </w:r>
            <w:r w:rsidR="00553724">
              <w:rPr>
                <w:kern w:val="24"/>
                <w:sz w:val="20"/>
                <w:szCs w:val="20"/>
              </w:rPr>
              <w:t xml:space="preserve">limited amounts of </w:t>
            </w:r>
            <w:r w:rsidRPr="00EF720B">
              <w:rPr>
                <w:kern w:val="24"/>
                <w:sz w:val="20"/>
                <w:szCs w:val="20"/>
              </w:rPr>
              <w:t>HCFC</w:t>
            </w:r>
            <w:r w:rsidR="00A6060E">
              <w:rPr>
                <w:kern w:val="24"/>
                <w:sz w:val="20"/>
                <w:szCs w:val="20"/>
              </w:rPr>
              <w:noBreakHyphen/>
            </w:r>
            <w:r w:rsidRPr="00EF720B">
              <w:rPr>
                <w:kern w:val="24"/>
                <w:sz w:val="20"/>
                <w:szCs w:val="20"/>
              </w:rPr>
              <w:t xml:space="preserve">141b </w:t>
            </w:r>
            <w:r w:rsidR="00553724">
              <w:rPr>
                <w:kern w:val="24"/>
                <w:sz w:val="20"/>
                <w:szCs w:val="20"/>
              </w:rPr>
              <w:t xml:space="preserve">used in </w:t>
            </w:r>
            <w:r w:rsidRPr="00EF720B">
              <w:rPr>
                <w:kern w:val="24"/>
                <w:sz w:val="20"/>
                <w:szCs w:val="20"/>
              </w:rPr>
              <w:t>flushing</w:t>
            </w:r>
            <w:r>
              <w:rPr>
                <w:kern w:val="24"/>
                <w:sz w:val="20"/>
                <w:szCs w:val="20"/>
              </w:rPr>
              <w:t xml:space="preserve"> and HCFC-124 and HCFC-142b contained in blends</w:t>
            </w:r>
            <w:r w:rsidRPr="00EF720B">
              <w:rPr>
                <w:kern w:val="24"/>
                <w:sz w:val="20"/>
                <w:szCs w:val="20"/>
              </w:rPr>
              <w:t>)</w:t>
            </w:r>
          </w:p>
        </w:tc>
        <w:tc>
          <w:tcPr>
            <w:tcW w:w="1418" w:type="pct"/>
            <w:shd w:val="clear" w:color="auto" w:fill="auto"/>
            <w:tcMar>
              <w:top w:w="15" w:type="dxa"/>
              <w:left w:w="30" w:type="dxa"/>
              <w:bottom w:w="0" w:type="dxa"/>
              <w:right w:w="30" w:type="dxa"/>
            </w:tcMar>
            <w:hideMark/>
          </w:tcPr>
          <w:p w14:paraId="73DC9A3F" w14:textId="278E0D29"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HCFC-22, HFC-134a, R</w:t>
            </w:r>
            <w:r w:rsidRPr="00EF720B">
              <w:rPr>
                <w:kern w:val="24"/>
                <w:sz w:val="20"/>
                <w:szCs w:val="20"/>
              </w:rPr>
              <w:noBreakHyphen/>
              <w:t>410A, R-404A, R-407C, R-507, and other HFCs and blends (HFC</w:t>
            </w:r>
            <w:r>
              <w:rPr>
                <w:kern w:val="24"/>
                <w:sz w:val="20"/>
                <w:szCs w:val="20"/>
              </w:rPr>
              <w:t>s</w:t>
            </w:r>
            <w:r w:rsidRPr="00EF720B">
              <w:rPr>
                <w:kern w:val="24"/>
                <w:sz w:val="20"/>
                <w:szCs w:val="20"/>
              </w:rPr>
              <w:t xml:space="preserve"> are used as </w:t>
            </w:r>
            <w:r>
              <w:rPr>
                <w:kern w:val="24"/>
                <w:sz w:val="20"/>
                <w:szCs w:val="20"/>
              </w:rPr>
              <w:t xml:space="preserve">an </w:t>
            </w:r>
            <w:r w:rsidRPr="00EF720B">
              <w:rPr>
                <w:kern w:val="24"/>
                <w:sz w:val="20"/>
                <w:szCs w:val="20"/>
              </w:rPr>
              <w:t>alternative to HCFC-22)</w:t>
            </w:r>
          </w:p>
        </w:tc>
      </w:tr>
      <w:tr w:rsidR="005A389C" w:rsidRPr="00EF720B" w14:paraId="78000CF0" w14:textId="77777777" w:rsidTr="0029767D">
        <w:tc>
          <w:tcPr>
            <w:tcW w:w="745" w:type="pct"/>
            <w:shd w:val="clear" w:color="auto" w:fill="auto"/>
            <w:tcMar>
              <w:top w:w="15" w:type="dxa"/>
              <w:left w:w="30" w:type="dxa"/>
              <w:bottom w:w="0" w:type="dxa"/>
              <w:right w:w="30" w:type="dxa"/>
            </w:tcMar>
          </w:tcPr>
          <w:p w14:paraId="7F3B2542" w14:textId="29234C1A"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Baseline consumption in Article 5 countries</w:t>
            </w:r>
            <w:r w:rsidR="00CE5768">
              <w:rPr>
                <w:b/>
                <w:bCs/>
                <w:kern w:val="24"/>
                <w:sz w:val="20"/>
                <w:szCs w:val="20"/>
              </w:rPr>
              <w:t xml:space="preserve"> in refrigeration and air-conditioning</w:t>
            </w:r>
          </w:p>
        </w:tc>
        <w:tc>
          <w:tcPr>
            <w:tcW w:w="1418" w:type="pct"/>
            <w:shd w:val="clear" w:color="auto" w:fill="auto"/>
            <w:tcMar>
              <w:top w:w="15" w:type="dxa"/>
              <w:left w:w="30" w:type="dxa"/>
              <w:bottom w:w="0" w:type="dxa"/>
              <w:right w:w="30" w:type="dxa"/>
            </w:tcMar>
          </w:tcPr>
          <w:p w14:paraId="1B115C86" w14:textId="2DF9DAA0" w:rsidR="005A389C" w:rsidRPr="00EF720B" w:rsidRDefault="00C35C5B" w:rsidP="00A6060E">
            <w:pPr>
              <w:tabs>
                <w:tab w:val="left" w:pos="2880"/>
                <w:tab w:val="left" w:pos="3600"/>
                <w:tab w:val="left" w:pos="5760"/>
              </w:tabs>
              <w:jc w:val="left"/>
              <w:rPr>
                <w:sz w:val="20"/>
                <w:szCs w:val="20"/>
                <w:lang w:val="en-US"/>
              </w:rPr>
            </w:pPr>
            <w:r>
              <w:rPr>
                <w:kern w:val="24"/>
                <w:sz w:val="20"/>
                <w:szCs w:val="20"/>
              </w:rPr>
              <w:t>The baseline in mt for refrigeration and air</w:t>
            </w:r>
            <w:r w:rsidR="00A6060E">
              <w:rPr>
                <w:kern w:val="24"/>
                <w:sz w:val="20"/>
                <w:szCs w:val="20"/>
              </w:rPr>
              <w:noBreakHyphen/>
            </w:r>
            <w:r>
              <w:rPr>
                <w:kern w:val="24"/>
                <w:sz w:val="20"/>
                <w:szCs w:val="20"/>
              </w:rPr>
              <w:t xml:space="preserve">conditioning is unavailable. </w:t>
            </w:r>
            <w:r w:rsidR="00CE5768">
              <w:rPr>
                <w:kern w:val="24"/>
                <w:sz w:val="20"/>
                <w:szCs w:val="20"/>
              </w:rPr>
              <w:t xml:space="preserve">The </w:t>
            </w:r>
            <w:r>
              <w:rPr>
                <w:kern w:val="24"/>
                <w:sz w:val="20"/>
                <w:szCs w:val="20"/>
              </w:rPr>
              <w:t xml:space="preserve">reported baseline of </w:t>
            </w:r>
            <w:r w:rsidR="00350A0C">
              <w:rPr>
                <w:kern w:val="24"/>
                <w:sz w:val="20"/>
                <w:szCs w:val="20"/>
              </w:rPr>
              <w:t>164,923</w:t>
            </w:r>
            <w:r w:rsidR="005A389C" w:rsidRPr="00EF720B">
              <w:rPr>
                <w:kern w:val="24"/>
                <w:sz w:val="20"/>
                <w:szCs w:val="20"/>
              </w:rPr>
              <w:t xml:space="preserve"> </w:t>
            </w:r>
            <w:r w:rsidR="00CE5768">
              <w:rPr>
                <w:kern w:val="24"/>
                <w:sz w:val="20"/>
                <w:szCs w:val="20"/>
              </w:rPr>
              <w:t xml:space="preserve">ODP tonnes </w:t>
            </w:r>
            <w:r w:rsidR="00350A0C">
              <w:rPr>
                <w:kern w:val="24"/>
                <w:sz w:val="20"/>
                <w:szCs w:val="20"/>
              </w:rPr>
              <w:t xml:space="preserve">includes all CFCs </w:t>
            </w:r>
            <w:r>
              <w:rPr>
                <w:kern w:val="24"/>
                <w:sz w:val="20"/>
                <w:szCs w:val="20"/>
              </w:rPr>
              <w:t xml:space="preserve">used in </w:t>
            </w:r>
            <w:r w:rsidR="00350A0C">
              <w:rPr>
                <w:kern w:val="24"/>
                <w:sz w:val="20"/>
                <w:szCs w:val="20"/>
              </w:rPr>
              <w:t xml:space="preserve">all sectors. </w:t>
            </w:r>
            <w:r w:rsidR="005A389C" w:rsidRPr="00EF720B">
              <w:rPr>
                <w:kern w:val="24"/>
                <w:sz w:val="20"/>
                <w:szCs w:val="20"/>
              </w:rPr>
              <w:t>(</w:t>
            </w:r>
            <w:r w:rsidR="005A389C">
              <w:rPr>
                <w:kern w:val="24"/>
                <w:sz w:val="20"/>
                <w:szCs w:val="20"/>
              </w:rPr>
              <w:t xml:space="preserve">baseline for compliance i.e., </w:t>
            </w:r>
            <w:r w:rsidR="005A389C" w:rsidRPr="00EF720B">
              <w:rPr>
                <w:kern w:val="24"/>
                <w:sz w:val="20"/>
                <w:szCs w:val="20"/>
              </w:rPr>
              <w:t>average 1995-1997</w:t>
            </w:r>
            <w:r w:rsidR="005A389C">
              <w:rPr>
                <w:kern w:val="24"/>
                <w:sz w:val="20"/>
                <w:szCs w:val="20"/>
              </w:rPr>
              <w:t xml:space="preserve"> consumption</w:t>
            </w:r>
            <w:r w:rsidR="00350A0C">
              <w:rPr>
                <w:kern w:val="24"/>
                <w:sz w:val="20"/>
                <w:szCs w:val="20"/>
              </w:rPr>
              <w:t>)</w:t>
            </w:r>
          </w:p>
        </w:tc>
        <w:tc>
          <w:tcPr>
            <w:tcW w:w="1418" w:type="pct"/>
            <w:shd w:val="clear" w:color="auto" w:fill="auto"/>
            <w:tcMar>
              <w:top w:w="15" w:type="dxa"/>
              <w:left w:w="30" w:type="dxa"/>
              <w:bottom w:w="0" w:type="dxa"/>
              <w:right w:w="30" w:type="dxa"/>
            </w:tcMar>
          </w:tcPr>
          <w:p w14:paraId="04174ACA" w14:textId="77777777" w:rsidR="005A389C" w:rsidRPr="00F92A6C" w:rsidRDefault="005A389C" w:rsidP="007906E2">
            <w:pPr>
              <w:tabs>
                <w:tab w:val="left" w:pos="2880"/>
                <w:tab w:val="left" w:pos="3600"/>
                <w:tab w:val="left" w:pos="5760"/>
              </w:tabs>
              <w:jc w:val="left"/>
              <w:rPr>
                <w:sz w:val="20"/>
                <w:szCs w:val="20"/>
                <w:lang w:val="en-US"/>
              </w:rPr>
            </w:pPr>
            <w:r w:rsidRPr="00F92A6C">
              <w:rPr>
                <w:kern w:val="24"/>
                <w:sz w:val="20"/>
                <w:szCs w:val="20"/>
              </w:rPr>
              <w:t>318,474 mt of HCFC-22 used in the refrigeration and air-conditioning sector (average 2009-2010)</w:t>
            </w:r>
          </w:p>
          <w:p w14:paraId="0C9CCD26" w14:textId="77777777" w:rsidR="005A389C" w:rsidRPr="00F92A6C" w:rsidRDefault="005A389C" w:rsidP="007906E2">
            <w:pPr>
              <w:tabs>
                <w:tab w:val="left" w:pos="2880"/>
                <w:tab w:val="left" w:pos="3600"/>
                <w:tab w:val="left" w:pos="5760"/>
              </w:tabs>
              <w:jc w:val="left"/>
              <w:rPr>
                <w:kern w:val="24"/>
                <w:sz w:val="20"/>
                <w:szCs w:val="20"/>
              </w:rPr>
            </w:pPr>
            <w:r w:rsidRPr="00F92A6C">
              <w:rPr>
                <w:kern w:val="24"/>
                <w:sz w:val="20"/>
                <w:szCs w:val="20"/>
              </w:rPr>
              <w:t>165,924 mt in manufacturing</w:t>
            </w:r>
          </w:p>
          <w:p w14:paraId="7676F342" w14:textId="77777777" w:rsidR="005A389C" w:rsidRPr="00EF720B" w:rsidRDefault="005A389C" w:rsidP="007906E2">
            <w:pPr>
              <w:tabs>
                <w:tab w:val="left" w:pos="2880"/>
                <w:tab w:val="left" w:pos="3600"/>
                <w:tab w:val="left" w:pos="5760"/>
              </w:tabs>
              <w:jc w:val="left"/>
              <w:rPr>
                <w:sz w:val="20"/>
                <w:szCs w:val="20"/>
                <w:lang w:val="en-US"/>
              </w:rPr>
            </w:pPr>
            <w:r w:rsidRPr="00F92A6C">
              <w:rPr>
                <w:kern w:val="24"/>
                <w:sz w:val="20"/>
                <w:szCs w:val="20"/>
              </w:rPr>
              <w:t>152,550 mt</w:t>
            </w:r>
            <w:r w:rsidRPr="00EF720B">
              <w:rPr>
                <w:kern w:val="24"/>
                <w:sz w:val="20"/>
                <w:szCs w:val="20"/>
              </w:rPr>
              <w:t xml:space="preserve"> in servicing</w:t>
            </w:r>
          </w:p>
        </w:tc>
        <w:tc>
          <w:tcPr>
            <w:tcW w:w="1418" w:type="pct"/>
            <w:shd w:val="clear" w:color="auto" w:fill="auto"/>
            <w:tcMar>
              <w:top w:w="15" w:type="dxa"/>
              <w:left w:w="30" w:type="dxa"/>
              <w:bottom w:w="0" w:type="dxa"/>
              <w:right w:w="30" w:type="dxa"/>
            </w:tcMar>
          </w:tcPr>
          <w:p w14:paraId="4C5F1D9E" w14:textId="50964753" w:rsidR="005A389C" w:rsidRPr="00EF720B" w:rsidRDefault="005A389C" w:rsidP="00047489">
            <w:pPr>
              <w:tabs>
                <w:tab w:val="left" w:pos="2880"/>
                <w:tab w:val="left" w:pos="3600"/>
                <w:tab w:val="left" w:pos="5760"/>
              </w:tabs>
              <w:jc w:val="left"/>
              <w:rPr>
                <w:sz w:val="20"/>
                <w:szCs w:val="20"/>
                <w:lang w:val="en-US"/>
              </w:rPr>
            </w:pPr>
            <w:r w:rsidRPr="00EF720B">
              <w:rPr>
                <w:sz w:val="20"/>
                <w:szCs w:val="20"/>
                <w:lang w:val="en-US"/>
              </w:rPr>
              <w:t>272,87</w:t>
            </w:r>
            <w:r>
              <w:rPr>
                <w:sz w:val="20"/>
                <w:szCs w:val="20"/>
                <w:lang w:val="en-US"/>
              </w:rPr>
              <w:t>1</w:t>
            </w:r>
            <w:r w:rsidRPr="00EF720B">
              <w:rPr>
                <w:sz w:val="20"/>
                <w:szCs w:val="20"/>
                <w:lang w:val="en-US"/>
              </w:rPr>
              <w:t xml:space="preserve"> mt of HFC-134a, R</w:t>
            </w:r>
            <w:r w:rsidR="00047489">
              <w:rPr>
                <w:sz w:val="20"/>
                <w:szCs w:val="20"/>
                <w:lang w:val="en-US"/>
              </w:rPr>
              <w:noBreakHyphen/>
            </w:r>
            <w:r w:rsidRPr="00EF720B">
              <w:rPr>
                <w:sz w:val="20"/>
                <w:szCs w:val="20"/>
                <w:lang w:val="en-US"/>
              </w:rPr>
              <w:t>410A, R-407C, R-404A and R-507</w:t>
            </w:r>
            <w:r w:rsidR="00CE5768">
              <w:rPr>
                <w:sz w:val="20"/>
                <w:szCs w:val="20"/>
                <w:lang w:val="en-US"/>
              </w:rPr>
              <w:t>A</w:t>
            </w:r>
            <w:r w:rsidRPr="00EF720B">
              <w:rPr>
                <w:sz w:val="20"/>
                <w:szCs w:val="20"/>
                <w:lang w:val="en-US"/>
              </w:rPr>
              <w:t xml:space="preserve"> estimated to be used in the </w:t>
            </w:r>
            <w:r>
              <w:rPr>
                <w:kern w:val="24"/>
                <w:sz w:val="20"/>
                <w:szCs w:val="20"/>
              </w:rPr>
              <w:t>refrigeration and air-conditioning</w:t>
            </w:r>
            <w:r w:rsidRPr="00EF720B">
              <w:rPr>
                <w:sz w:val="20"/>
                <w:szCs w:val="20"/>
                <w:lang w:val="en-US"/>
              </w:rPr>
              <w:t xml:space="preserve"> sector in 2015 (both manufacturing and servicing)</w:t>
            </w:r>
            <w:r w:rsidRPr="00EF720B">
              <w:rPr>
                <w:rStyle w:val="FootnoteReference"/>
                <w:sz w:val="20"/>
                <w:szCs w:val="20"/>
                <w:lang w:val="en-US"/>
              </w:rPr>
              <w:footnoteReference w:id="29"/>
            </w:r>
            <w:r>
              <w:rPr>
                <w:sz w:val="20"/>
                <w:szCs w:val="20"/>
                <w:lang w:val="en-US"/>
              </w:rPr>
              <w:t>. In addition, there is remaining consumption of HCFC-22 to be phased out.</w:t>
            </w:r>
          </w:p>
        </w:tc>
      </w:tr>
      <w:tr w:rsidR="005A389C" w:rsidRPr="00EF720B" w14:paraId="4B27C303" w14:textId="77777777" w:rsidTr="0029767D">
        <w:tc>
          <w:tcPr>
            <w:tcW w:w="745" w:type="pct"/>
            <w:shd w:val="clear" w:color="auto" w:fill="auto"/>
            <w:tcMar>
              <w:top w:w="15" w:type="dxa"/>
              <w:left w:w="30" w:type="dxa"/>
              <w:bottom w:w="0" w:type="dxa"/>
              <w:right w:w="30" w:type="dxa"/>
            </w:tcMar>
            <w:hideMark/>
          </w:tcPr>
          <w:p w14:paraId="34FD4B86" w14:textId="0B013D13" w:rsidR="005A389C" w:rsidRPr="00EF720B" w:rsidRDefault="005A389C" w:rsidP="00A6060E">
            <w:pPr>
              <w:keepNext/>
              <w:tabs>
                <w:tab w:val="left" w:pos="2880"/>
                <w:tab w:val="left" w:pos="3600"/>
                <w:tab w:val="left" w:pos="5760"/>
              </w:tabs>
              <w:jc w:val="left"/>
              <w:rPr>
                <w:sz w:val="20"/>
                <w:szCs w:val="20"/>
                <w:lang w:val="en-US"/>
              </w:rPr>
            </w:pPr>
            <w:r w:rsidRPr="00EF720B">
              <w:rPr>
                <w:b/>
                <w:bCs/>
                <w:kern w:val="24"/>
                <w:sz w:val="20"/>
                <w:szCs w:val="20"/>
              </w:rPr>
              <w:t>Alternatives introduced or</w:t>
            </w:r>
            <w:r w:rsidR="00AB3A59">
              <w:rPr>
                <w:b/>
                <w:bCs/>
                <w:kern w:val="24"/>
                <w:sz w:val="20"/>
                <w:szCs w:val="20"/>
              </w:rPr>
              <w:t xml:space="preserve"> </w:t>
            </w:r>
            <w:r>
              <w:rPr>
                <w:b/>
                <w:bCs/>
                <w:kern w:val="24"/>
                <w:sz w:val="20"/>
                <w:szCs w:val="20"/>
              </w:rPr>
              <w:t>c</w:t>
            </w:r>
            <w:r w:rsidRPr="00EF720B">
              <w:rPr>
                <w:b/>
                <w:bCs/>
                <w:kern w:val="24"/>
                <w:sz w:val="20"/>
                <w:szCs w:val="20"/>
              </w:rPr>
              <w:t>onsidered</w:t>
            </w:r>
            <w:r>
              <w:rPr>
                <w:b/>
                <w:bCs/>
                <w:kern w:val="24"/>
                <w:sz w:val="20"/>
                <w:szCs w:val="20"/>
              </w:rPr>
              <w:t xml:space="preserve"> in the </w:t>
            </w:r>
            <w:r w:rsidR="00BB3A47">
              <w:rPr>
                <w:b/>
                <w:bCs/>
                <w:kern w:val="24"/>
                <w:sz w:val="20"/>
                <w:szCs w:val="20"/>
              </w:rPr>
              <w:t>M</w:t>
            </w:r>
            <w:r>
              <w:rPr>
                <w:b/>
                <w:bCs/>
                <w:kern w:val="24"/>
                <w:sz w:val="20"/>
                <w:szCs w:val="20"/>
              </w:rPr>
              <w:t>anufacturing conversions</w:t>
            </w:r>
          </w:p>
        </w:tc>
        <w:tc>
          <w:tcPr>
            <w:tcW w:w="1418" w:type="pct"/>
            <w:shd w:val="clear" w:color="auto" w:fill="auto"/>
            <w:tcMar>
              <w:top w:w="15" w:type="dxa"/>
              <w:left w:w="30" w:type="dxa"/>
              <w:bottom w:w="0" w:type="dxa"/>
              <w:right w:w="30" w:type="dxa"/>
            </w:tcMar>
            <w:hideMark/>
          </w:tcPr>
          <w:p w14:paraId="744722BA"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HFC-134a, </w:t>
            </w:r>
          </w:p>
          <w:p w14:paraId="680C2B9C"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HCFC-22 in some uses, </w:t>
            </w:r>
          </w:p>
          <w:p w14:paraId="35F1EB32" w14:textId="794DE4C8" w:rsidR="005A389C" w:rsidRPr="00EF720B" w:rsidRDefault="005A389C" w:rsidP="00A6060E">
            <w:pPr>
              <w:keepNext/>
              <w:tabs>
                <w:tab w:val="left" w:pos="2880"/>
                <w:tab w:val="left" w:pos="3600"/>
                <w:tab w:val="left" w:pos="5760"/>
              </w:tabs>
              <w:jc w:val="left"/>
              <w:rPr>
                <w:sz w:val="20"/>
                <w:szCs w:val="20"/>
                <w:lang w:val="en-US"/>
              </w:rPr>
            </w:pPr>
            <w:r w:rsidRPr="00EF720B">
              <w:rPr>
                <w:kern w:val="24"/>
                <w:sz w:val="20"/>
                <w:szCs w:val="20"/>
              </w:rPr>
              <w:t xml:space="preserve">R-404A and other blends, R-600a in </w:t>
            </w:r>
            <w:r w:rsidR="00553724">
              <w:rPr>
                <w:kern w:val="24"/>
                <w:sz w:val="20"/>
                <w:szCs w:val="20"/>
              </w:rPr>
              <w:t>part of the</w:t>
            </w:r>
            <w:r w:rsidRPr="00EF720B">
              <w:rPr>
                <w:kern w:val="24"/>
                <w:sz w:val="20"/>
                <w:szCs w:val="20"/>
              </w:rPr>
              <w:t xml:space="preserve"> domestic refrigeration</w:t>
            </w:r>
            <w:r w:rsidR="00553724">
              <w:rPr>
                <w:kern w:val="24"/>
                <w:sz w:val="20"/>
                <w:szCs w:val="20"/>
              </w:rPr>
              <w:t xml:space="preserve"> market</w:t>
            </w:r>
          </w:p>
        </w:tc>
        <w:tc>
          <w:tcPr>
            <w:tcW w:w="1418" w:type="pct"/>
            <w:shd w:val="clear" w:color="auto" w:fill="auto"/>
            <w:tcMar>
              <w:top w:w="15" w:type="dxa"/>
              <w:left w:w="30" w:type="dxa"/>
              <w:bottom w:w="0" w:type="dxa"/>
              <w:right w:w="30" w:type="dxa"/>
            </w:tcMar>
            <w:hideMark/>
          </w:tcPr>
          <w:p w14:paraId="32B4ACAC" w14:textId="5435934B" w:rsidR="00553724" w:rsidRDefault="00553724" w:rsidP="00A6060E">
            <w:pPr>
              <w:keepNext/>
              <w:tabs>
                <w:tab w:val="left" w:pos="2880"/>
                <w:tab w:val="left" w:pos="3600"/>
                <w:tab w:val="left" w:pos="5760"/>
              </w:tabs>
              <w:jc w:val="left"/>
              <w:rPr>
                <w:kern w:val="24"/>
                <w:sz w:val="20"/>
                <w:szCs w:val="20"/>
              </w:rPr>
            </w:pPr>
            <w:r>
              <w:rPr>
                <w:kern w:val="24"/>
                <w:sz w:val="20"/>
                <w:szCs w:val="20"/>
              </w:rPr>
              <w:t>High-GWP HFC-blends,</w:t>
            </w:r>
          </w:p>
          <w:p w14:paraId="1CD8A9BE" w14:textId="22EB6AAD"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Low-GWP refrigerants where possible</w:t>
            </w:r>
            <w:r>
              <w:rPr>
                <w:kern w:val="24"/>
                <w:sz w:val="20"/>
                <w:szCs w:val="20"/>
              </w:rPr>
              <w:t xml:space="preserve">, with associated </w:t>
            </w:r>
            <w:r w:rsidRPr="00EF720B">
              <w:rPr>
                <w:kern w:val="24"/>
                <w:sz w:val="20"/>
                <w:szCs w:val="20"/>
              </w:rPr>
              <w:t xml:space="preserve">issues </w:t>
            </w:r>
            <w:r>
              <w:rPr>
                <w:kern w:val="24"/>
                <w:sz w:val="20"/>
                <w:szCs w:val="20"/>
              </w:rPr>
              <w:t>related to</w:t>
            </w:r>
            <w:r w:rsidRPr="00EF720B">
              <w:rPr>
                <w:kern w:val="24"/>
                <w:sz w:val="20"/>
                <w:szCs w:val="20"/>
              </w:rPr>
              <w:t xml:space="preserve"> flammability</w:t>
            </w:r>
            <w:r>
              <w:rPr>
                <w:kern w:val="24"/>
                <w:sz w:val="20"/>
                <w:szCs w:val="20"/>
              </w:rPr>
              <w:t xml:space="preserve"> or</w:t>
            </w:r>
            <w:r w:rsidR="00BB3A47">
              <w:rPr>
                <w:kern w:val="24"/>
                <w:sz w:val="20"/>
                <w:szCs w:val="20"/>
              </w:rPr>
              <w:t xml:space="preserve"> T</w:t>
            </w:r>
            <w:r w:rsidRPr="00EF720B">
              <w:rPr>
                <w:kern w:val="24"/>
                <w:sz w:val="20"/>
                <w:szCs w:val="20"/>
              </w:rPr>
              <w:t>oxicity</w:t>
            </w:r>
            <w:r>
              <w:rPr>
                <w:kern w:val="24"/>
                <w:sz w:val="20"/>
                <w:szCs w:val="20"/>
              </w:rPr>
              <w:t xml:space="preserve"> or</w:t>
            </w:r>
            <w:r w:rsidRPr="00EF720B">
              <w:rPr>
                <w:kern w:val="24"/>
                <w:sz w:val="20"/>
                <w:szCs w:val="20"/>
              </w:rPr>
              <w:t xml:space="preserve"> higher </w:t>
            </w:r>
            <w:r>
              <w:rPr>
                <w:kern w:val="24"/>
                <w:sz w:val="20"/>
                <w:szCs w:val="20"/>
              </w:rPr>
              <w:t xml:space="preserve">operating </w:t>
            </w:r>
            <w:r w:rsidRPr="00EF720B">
              <w:rPr>
                <w:kern w:val="24"/>
                <w:sz w:val="20"/>
                <w:szCs w:val="20"/>
              </w:rPr>
              <w:t>pressure</w:t>
            </w:r>
            <w:r>
              <w:rPr>
                <w:kern w:val="24"/>
                <w:sz w:val="20"/>
                <w:szCs w:val="20"/>
              </w:rPr>
              <w:t xml:space="preserve"> or limited commercial availability</w:t>
            </w:r>
            <w:r w:rsidRPr="00EF720B">
              <w:rPr>
                <w:kern w:val="24"/>
                <w:sz w:val="20"/>
                <w:szCs w:val="20"/>
              </w:rPr>
              <w:t xml:space="preserve">. However, the market still offers large amounts of HFC-based equipment </w:t>
            </w:r>
          </w:p>
        </w:tc>
        <w:tc>
          <w:tcPr>
            <w:tcW w:w="1418" w:type="pct"/>
            <w:shd w:val="clear" w:color="auto" w:fill="auto"/>
            <w:tcMar>
              <w:top w:w="15" w:type="dxa"/>
              <w:left w:w="30" w:type="dxa"/>
              <w:bottom w:w="0" w:type="dxa"/>
              <w:right w:w="30" w:type="dxa"/>
            </w:tcMar>
            <w:hideMark/>
          </w:tcPr>
          <w:p w14:paraId="3EF4A9ED" w14:textId="58534E3F" w:rsidR="005A389C" w:rsidRPr="00EF720B" w:rsidRDefault="005A389C" w:rsidP="00A6060E">
            <w:pPr>
              <w:keepNext/>
              <w:tabs>
                <w:tab w:val="left" w:pos="2880"/>
                <w:tab w:val="left" w:pos="3600"/>
                <w:tab w:val="left" w:pos="5760"/>
              </w:tabs>
              <w:jc w:val="left"/>
              <w:rPr>
                <w:kern w:val="24"/>
                <w:sz w:val="20"/>
                <w:szCs w:val="20"/>
              </w:rPr>
            </w:pPr>
            <w:r>
              <w:rPr>
                <w:kern w:val="24"/>
                <w:sz w:val="20"/>
                <w:szCs w:val="20"/>
              </w:rPr>
              <w:t>P</w:t>
            </w:r>
            <w:r w:rsidRPr="00EF720B">
              <w:rPr>
                <w:kern w:val="24"/>
                <w:sz w:val="20"/>
                <w:szCs w:val="20"/>
              </w:rPr>
              <w:t xml:space="preserve">otential alternatives: </w:t>
            </w:r>
            <w:r>
              <w:rPr>
                <w:kern w:val="24"/>
                <w:sz w:val="20"/>
                <w:szCs w:val="20"/>
              </w:rPr>
              <w:t>hydrocarbon-based</w:t>
            </w:r>
            <w:r w:rsidRPr="00EF720B">
              <w:rPr>
                <w:kern w:val="24"/>
                <w:sz w:val="20"/>
                <w:szCs w:val="20"/>
              </w:rPr>
              <w:t>, HFOs, HFC/HFO blends, CO</w:t>
            </w:r>
            <w:r w:rsidRPr="00E5284C">
              <w:rPr>
                <w:kern w:val="24"/>
                <w:sz w:val="20"/>
                <w:szCs w:val="20"/>
                <w:vertAlign w:val="subscript"/>
              </w:rPr>
              <w:t>2</w:t>
            </w:r>
            <w:r>
              <w:rPr>
                <w:kern w:val="24"/>
                <w:sz w:val="20"/>
                <w:szCs w:val="20"/>
              </w:rPr>
              <w:t xml:space="preserve"> and</w:t>
            </w:r>
            <w:r w:rsidRPr="00EF720B">
              <w:rPr>
                <w:kern w:val="24"/>
                <w:sz w:val="20"/>
                <w:szCs w:val="20"/>
              </w:rPr>
              <w:t xml:space="preserve"> ammonia</w:t>
            </w:r>
            <w:r>
              <w:rPr>
                <w:kern w:val="24"/>
                <w:sz w:val="20"/>
                <w:szCs w:val="20"/>
              </w:rPr>
              <w:t xml:space="preserve">, with associated </w:t>
            </w:r>
            <w:r w:rsidRPr="00EF720B">
              <w:rPr>
                <w:kern w:val="24"/>
                <w:sz w:val="20"/>
                <w:szCs w:val="20"/>
              </w:rPr>
              <w:t xml:space="preserve">issues </w:t>
            </w:r>
            <w:r w:rsidR="00BB3A47">
              <w:rPr>
                <w:kern w:val="24"/>
                <w:sz w:val="20"/>
                <w:szCs w:val="20"/>
              </w:rPr>
              <w:t>R</w:t>
            </w:r>
            <w:r>
              <w:rPr>
                <w:kern w:val="24"/>
                <w:sz w:val="20"/>
                <w:szCs w:val="20"/>
              </w:rPr>
              <w:t xml:space="preserve">elated to </w:t>
            </w:r>
            <w:r w:rsidRPr="00E5284C">
              <w:rPr>
                <w:kern w:val="24"/>
                <w:sz w:val="20"/>
                <w:szCs w:val="20"/>
              </w:rPr>
              <w:t>flammability</w:t>
            </w:r>
            <w:r>
              <w:rPr>
                <w:kern w:val="24"/>
                <w:sz w:val="20"/>
                <w:szCs w:val="20"/>
              </w:rPr>
              <w:t xml:space="preserve"> or</w:t>
            </w:r>
            <w:r w:rsidRPr="00E5284C">
              <w:rPr>
                <w:kern w:val="24"/>
                <w:sz w:val="20"/>
                <w:szCs w:val="20"/>
              </w:rPr>
              <w:t xml:space="preserve"> toxicity</w:t>
            </w:r>
            <w:r>
              <w:rPr>
                <w:kern w:val="24"/>
                <w:sz w:val="20"/>
                <w:szCs w:val="20"/>
              </w:rPr>
              <w:t xml:space="preserve"> or</w:t>
            </w:r>
            <w:r w:rsidRPr="00E5284C">
              <w:rPr>
                <w:kern w:val="24"/>
                <w:sz w:val="20"/>
                <w:szCs w:val="20"/>
              </w:rPr>
              <w:t xml:space="preserve"> higher operating pressure</w:t>
            </w:r>
            <w:r>
              <w:rPr>
                <w:kern w:val="24"/>
                <w:sz w:val="20"/>
                <w:szCs w:val="20"/>
              </w:rPr>
              <w:t xml:space="preserve"> or</w:t>
            </w:r>
            <w:r w:rsidRPr="00E5284C">
              <w:rPr>
                <w:kern w:val="24"/>
                <w:sz w:val="20"/>
                <w:szCs w:val="20"/>
              </w:rPr>
              <w:t xml:space="preserve"> limited commercial availability</w:t>
            </w:r>
          </w:p>
        </w:tc>
      </w:tr>
      <w:tr w:rsidR="005A389C" w:rsidRPr="00EF720B" w14:paraId="52DCD1D6" w14:textId="77777777" w:rsidTr="0029767D">
        <w:tc>
          <w:tcPr>
            <w:tcW w:w="745" w:type="pct"/>
            <w:shd w:val="clear" w:color="auto" w:fill="auto"/>
            <w:tcMar>
              <w:top w:w="15" w:type="dxa"/>
              <w:left w:w="30" w:type="dxa"/>
              <w:bottom w:w="0" w:type="dxa"/>
              <w:right w:w="30" w:type="dxa"/>
            </w:tcMar>
          </w:tcPr>
          <w:p w14:paraId="4F7122BB" w14:textId="0B2B3036" w:rsidR="005A389C" w:rsidRPr="00C95D45" w:rsidRDefault="00553724" w:rsidP="007906E2">
            <w:pPr>
              <w:tabs>
                <w:tab w:val="left" w:pos="2880"/>
                <w:tab w:val="left" w:pos="3600"/>
                <w:tab w:val="left" w:pos="5760"/>
              </w:tabs>
              <w:jc w:val="left"/>
              <w:rPr>
                <w:b/>
                <w:bCs/>
                <w:kern w:val="24"/>
                <w:sz w:val="20"/>
                <w:szCs w:val="20"/>
              </w:rPr>
            </w:pPr>
            <w:r>
              <w:rPr>
                <w:b/>
                <w:bCs/>
                <w:kern w:val="24"/>
                <w:sz w:val="20"/>
                <w:szCs w:val="20"/>
              </w:rPr>
              <w:t>Variety of b</w:t>
            </w:r>
            <w:r w:rsidR="005A389C" w:rsidRPr="00C95D45">
              <w:rPr>
                <w:b/>
                <w:bCs/>
                <w:kern w:val="24"/>
                <w:sz w:val="20"/>
                <w:szCs w:val="20"/>
              </w:rPr>
              <w:t>lends</w:t>
            </w:r>
          </w:p>
        </w:tc>
        <w:tc>
          <w:tcPr>
            <w:tcW w:w="1418" w:type="pct"/>
            <w:shd w:val="clear" w:color="auto" w:fill="auto"/>
            <w:tcMar>
              <w:top w:w="15" w:type="dxa"/>
              <w:left w:w="30" w:type="dxa"/>
              <w:bottom w:w="0" w:type="dxa"/>
              <w:right w:w="30" w:type="dxa"/>
            </w:tcMar>
          </w:tcPr>
          <w:p w14:paraId="29A89F85" w14:textId="77777777" w:rsidR="00553724" w:rsidRDefault="00CE5768" w:rsidP="00407FA1">
            <w:pPr>
              <w:tabs>
                <w:tab w:val="left" w:pos="2880"/>
                <w:tab w:val="left" w:pos="3600"/>
                <w:tab w:val="left" w:pos="5760"/>
              </w:tabs>
              <w:jc w:val="left"/>
              <w:rPr>
                <w:kern w:val="24"/>
                <w:sz w:val="20"/>
                <w:szCs w:val="20"/>
              </w:rPr>
            </w:pPr>
            <w:r>
              <w:rPr>
                <w:kern w:val="24"/>
                <w:sz w:val="20"/>
                <w:szCs w:val="20"/>
              </w:rPr>
              <w:t>Limited</w:t>
            </w:r>
          </w:p>
          <w:p w14:paraId="424E3534" w14:textId="44FC793F" w:rsidR="005A389C" w:rsidRPr="00C95D45" w:rsidRDefault="00407FA1" w:rsidP="00407FA1">
            <w:pPr>
              <w:tabs>
                <w:tab w:val="left" w:pos="2880"/>
                <w:tab w:val="left" w:pos="3600"/>
                <w:tab w:val="left" w:pos="5760"/>
              </w:tabs>
              <w:jc w:val="left"/>
              <w:rPr>
                <w:kern w:val="24"/>
                <w:sz w:val="20"/>
                <w:szCs w:val="20"/>
              </w:rPr>
            </w:pPr>
            <w:r w:rsidRPr="00C95D45">
              <w:rPr>
                <w:kern w:val="24"/>
                <w:sz w:val="20"/>
                <w:szCs w:val="20"/>
              </w:rPr>
              <w:t>(R-502</w:t>
            </w:r>
            <w:r w:rsidR="005A389C" w:rsidRPr="00C95D45">
              <w:rPr>
                <w:kern w:val="24"/>
                <w:sz w:val="20"/>
                <w:szCs w:val="20"/>
              </w:rPr>
              <w:t>)</w:t>
            </w:r>
            <w:r w:rsidR="00553724">
              <w:rPr>
                <w:kern w:val="24"/>
                <w:sz w:val="20"/>
                <w:szCs w:val="20"/>
              </w:rPr>
              <w:t xml:space="preserve"> for low temperature applications</w:t>
            </w:r>
          </w:p>
        </w:tc>
        <w:tc>
          <w:tcPr>
            <w:tcW w:w="1418" w:type="pct"/>
            <w:shd w:val="clear" w:color="auto" w:fill="auto"/>
            <w:tcMar>
              <w:top w:w="15" w:type="dxa"/>
              <w:left w:w="30" w:type="dxa"/>
              <w:bottom w:w="0" w:type="dxa"/>
              <w:right w:w="30" w:type="dxa"/>
            </w:tcMar>
          </w:tcPr>
          <w:p w14:paraId="19F57B6A" w14:textId="77777777" w:rsidR="00553724" w:rsidRDefault="005A389C" w:rsidP="007906E2">
            <w:pPr>
              <w:tabs>
                <w:tab w:val="left" w:pos="2880"/>
                <w:tab w:val="left" w:pos="3600"/>
                <w:tab w:val="left" w:pos="5760"/>
              </w:tabs>
              <w:jc w:val="left"/>
              <w:rPr>
                <w:kern w:val="24"/>
                <w:sz w:val="20"/>
                <w:szCs w:val="20"/>
              </w:rPr>
            </w:pPr>
            <w:r w:rsidRPr="00C95D45">
              <w:rPr>
                <w:kern w:val="24"/>
                <w:sz w:val="20"/>
                <w:szCs w:val="20"/>
              </w:rPr>
              <w:t xml:space="preserve">Limited </w:t>
            </w:r>
          </w:p>
          <w:p w14:paraId="4D5BDA7D" w14:textId="24C44E1D" w:rsidR="0049391A" w:rsidRPr="00C95D45" w:rsidRDefault="005A389C" w:rsidP="007906E2">
            <w:pPr>
              <w:tabs>
                <w:tab w:val="left" w:pos="2880"/>
                <w:tab w:val="left" w:pos="3600"/>
                <w:tab w:val="left" w:pos="5760"/>
              </w:tabs>
              <w:jc w:val="left"/>
              <w:rPr>
                <w:kern w:val="24"/>
                <w:sz w:val="20"/>
                <w:szCs w:val="20"/>
              </w:rPr>
            </w:pPr>
            <w:r w:rsidRPr="00C95D45">
              <w:rPr>
                <w:kern w:val="24"/>
                <w:sz w:val="20"/>
                <w:szCs w:val="20"/>
              </w:rPr>
              <w:t>(R-406</w:t>
            </w:r>
            <w:r w:rsidR="00400B1F">
              <w:rPr>
                <w:kern w:val="24"/>
                <w:sz w:val="20"/>
                <w:szCs w:val="20"/>
              </w:rPr>
              <w:t>A</w:t>
            </w:r>
            <w:r w:rsidRPr="00C95D45">
              <w:rPr>
                <w:kern w:val="24"/>
                <w:sz w:val="20"/>
                <w:szCs w:val="20"/>
              </w:rPr>
              <w:t>, R-409</w:t>
            </w:r>
            <w:r w:rsidR="00400B1F">
              <w:rPr>
                <w:kern w:val="24"/>
                <w:sz w:val="20"/>
                <w:szCs w:val="20"/>
              </w:rPr>
              <w:t>A</w:t>
            </w:r>
            <w:r w:rsidRPr="00C95D45">
              <w:rPr>
                <w:kern w:val="24"/>
                <w:sz w:val="20"/>
                <w:szCs w:val="20"/>
              </w:rPr>
              <w:t>)</w:t>
            </w:r>
            <w:r w:rsidR="00AB3A59" w:rsidRPr="00C95D45">
              <w:rPr>
                <w:kern w:val="24"/>
                <w:sz w:val="20"/>
                <w:szCs w:val="20"/>
              </w:rPr>
              <w:t xml:space="preserve"> </w:t>
            </w:r>
            <w:r w:rsidRPr="00C95D45">
              <w:rPr>
                <w:kern w:val="24"/>
                <w:sz w:val="20"/>
                <w:szCs w:val="20"/>
              </w:rPr>
              <w:t>(limited temperature glide)</w:t>
            </w:r>
          </w:p>
          <w:p w14:paraId="57D9DC01" w14:textId="77777777" w:rsidR="005A389C" w:rsidRPr="00C95D45" w:rsidRDefault="0049391A" w:rsidP="00FC0FED">
            <w:pPr>
              <w:tabs>
                <w:tab w:val="left" w:pos="2880"/>
                <w:tab w:val="left" w:pos="3600"/>
                <w:tab w:val="left" w:pos="5760"/>
              </w:tabs>
              <w:jc w:val="left"/>
              <w:rPr>
                <w:kern w:val="24"/>
                <w:sz w:val="20"/>
                <w:szCs w:val="20"/>
              </w:rPr>
            </w:pPr>
            <w:r w:rsidRPr="00C95D45">
              <w:rPr>
                <w:sz w:val="20"/>
                <w:szCs w:val="20"/>
                <w:lang w:val="en-US"/>
              </w:rPr>
              <w:t xml:space="preserve"> </w:t>
            </w:r>
          </w:p>
        </w:tc>
        <w:tc>
          <w:tcPr>
            <w:tcW w:w="1418" w:type="pct"/>
            <w:shd w:val="clear" w:color="auto" w:fill="auto"/>
            <w:tcMar>
              <w:top w:w="15" w:type="dxa"/>
              <w:left w:w="30" w:type="dxa"/>
              <w:bottom w:w="0" w:type="dxa"/>
              <w:right w:w="30" w:type="dxa"/>
            </w:tcMar>
          </w:tcPr>
          <w:p w14:paraId="1755F12B" w14:textId="77777777" w:rsidR="00553724" w:rsidRDefault="005A389C" w:rsidP="00407FA1">
            <w:pPr>
              <w:tabs>
                <w:tab w:val="left" w:pos="2880"/>
                <w:tab w:val="left" w:pos="3600"/>
                <w:tab w:val="left" w:pos="5760"/>
              </w:tabs>
              <w:jc w:val="left"/>
              <w:rPr>
                <w:sz w:val="20"/>
                <w:szCs w:val="20"/>
                <w:lang w:val="en-US"/>
              </w:rPr>
            </w:pPr>
            <w:r w:rsidRPr="00C95D45">
              <w:rPr>
                <w:sz w:val="20"/>
                <w:szCs w:val="20"/>
                <w:lang w:val="en-US"/>
              </w:rPr>
              <w:t>Large amount</w:t>
            </w:r>
          </w:p>
          <w:p w14:paraId="5BD9F019" w14:textId="0129C199" w:rsidR="00547006" w:rsidRPr="00F86EB0" w:rsidRDefault="00407FA1" w:rsidP="00407FA1">
            <w:pPr>
              <w:tabs>
                <w:tab w:val="left" w:pos="2880"/>
                <w:tab w:val="left" w:pos="3600"/>
                <w:tab w:val="left" w:pos="5760"/>
              </w:tabs>
              <w:jc w:val="left"/>
              <w:rPr>
                <w:sz w:val="20"/>
                <w:szCs w:val="20"/>
                <w:lang w:val="en-US"/>
              </w:rPr>
            </w:pPr>
            <w:r w:rsidRPr="00C95D45">
              <w:rPr>
                <w:sz w:val="20"/>
                <w:szCs w:val="20"/>
                <w:lang w:val="en-US"/>
              </w:rPr>
              <w:t>(R-404A, R-407C, R-410A, R-507</w:t>
            </w:r>
            <w:r w:rsidR="00400B1F">
              <w:rPr>
                <w:sz w:val="20"/>
                <w:szCs w:val="20"/>
                <w:lang w:val="en-US"/>
              </w:rPr>
              <w:t>A</w:t>
            </w:r>
            <w:r w:rsidRPr="00C95D45">
              <w:rPr>
                <w:sz w:val="20"/>
                <w:szCs w:val="20"/>
                <w:lang w:val="en-US"/>
              </w:rPr>
              <w:t>,</w:t>
            </w:r>
            <w:r w:rsidR="00CB6E67">
              <w:rPr>
                <w:sz w:val="20"/>
                <w:szCs w:val="20"/>
                <w:lang w:val="en-US"/>
              </w:rPr>
              <w:t xml:space="preserve"> </w:t>
            </w:r>
            <w:r w:rsidR="005A389C" w:rsidRPr="00C95D45">
              <w:rPr>
                <w:sz w:val="20"/>
                <w:szCs w:val="20"/>
                <w:lang w:val="en-US"/>
              </w:rPr>
              <w:t>(larger temperature glide)</w:t>
            </w:r>
            <w:r w:rsidR="009447D9">
              <w:rPr>
                <w:sz w:val="20"/>
                <w:szCs w:val="20"/>
                <w:lang w:val="en-US"/>
              </w:rPr>
              <w:t>)</w:t>
            </w:r>
            <w:r w:rsidR="00400B1F">
              <w:rPr>
                <w:sz w:val="20"/>
                <w:szCs w:val="20"/>
                <w:lang w:val="en-US"/>
              </w:rPr>
              <w:t>. Scattered use of many other HFC</w:t>
            </w:r>
            <w:r w:rsidR="00515EB2">
              <w:rPr>
                <w:sz w:val="20"/>
                <w:szCs w:val="20"/>
                <w:lang w:val="en-US"/>
              </w:rPr>
              <w:t xml:space="preserve"> or HFC</w:t>
            </w:r>
            <w:r w:rsidR="00553724">
              <w:rPr>
                <w:sz w:val="20"/>
                <w:szCs w:val="20"/>
                <w:lang w:val="en-US"/>
              </w:rPr>
              <w:t>/</w:t>
            </w:r>
            <w:r w:rsidR="00515EB2">
              <w:rPr>
                <w:sz w:val="20"/>
                <w:szCs w:val="20"/>
                <w:lang w:val="en-US"/>
              </w:rPr>
              <w:t>HFO</w:t>
            </w:r>
            <w:r w:rsidR="00400B1F">
              <w:rPr>
                <w:sz w:val="20"/>
                <w:szCs w:val="20"/>
                <w:lang w:val="en-US"/>
              </w:rPr>
              <w:t>-based blends</w:t>
            </w:r>
            <w:r w:rsidR="00515EB2">
              <w:rPr>
                <w:sz w:val="20"/>
                <w:szCs w:val="20"/>
                <w:lang w:val="en-US"/>
              </w:rPr>
              <w:t xml:space="preserve"> (e.g., R-448A, R-449A, R-450A, R-513A</w:t>
            </w:r>
            <w:r w:rsidR="00B05859">
              <w:rPr>
                <w:sz w:val="20"/>
                <w:szCs w:val="20"/>
                <w:lang w:val="en-US"/>
              </w:rPr>
              <w:t xml:space="preserve"> and others</w:t>
            </w:r>
            <w:r w:rsidR="00350A0C">
              <w:rPr>
                <w:sz w:val="20"/>
                <w:szCs w:val="20"/>
                <w:lang w:val="en-US"/>
              </w:rPr>
              <w:t>)</w:t>
            </w:r>
          </w:p>
        </w:tc>
      </w:tr>
      <w:tr w:rsidR="005A389C" w:rsidRPr="00EF720B" w14:paraId="5B40615B" w14:textId="77777777" w:rsidTr="0029767D">
        <w:tc>
          <w:tcPr>
            <w:tcW w:w="745" w:type="pct"/>
            <w:shd w:val="clear" w:color="auto" w:fill="auto"/>
            <w:tcMar>
              <w:top w:w="15" w:type="dxa"/>
              <w:left w:w="30" w:type="dxa"/>
              <w:bottom w:w="0" w:type="dxa"/>
              <w:right w:w="30" w:type="dxa"/>
            </w:tcMar>
            <w:hideMark/>
          </w:tcPr>
          <w:p w14:paraId="7C6AE803"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Applications (refrigerant charge)</w:t>
            </w:r>
          </w:p>
        </w:tc>
        <w:tc>
          <w:tcPr>
            <w:tcW w:w="1418" w:type="pct"/>
            <w:shd w:val="clear" w:color="auto" w:fill="auto"/>
            <w:tcMar>
              <w:top w:w="15" w:type="dxa"/>
              <w:left w:w="30" w:type="dxa"/>
              <w:bottom w:w="0" w:type="dxa"/>
              <w:right w:w="30" w:type="dxa"/>
            </w:tcMar>
            <w:hideMark/>
          </w:tcPr>
          <w:p w14:paraId="2C53C329"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Domestic and</w:t>
            </w:r>
            <w:r>
              <w:rPr>
                <w:kern w:val="24"/>
                <w:sz w:val="20"/>
                <w:szCs w:val="20"/>
              </w:rPr>
              <w:t xml:space="preserve"> small commercial refrigeration; </w:t>
            </w:r>
            <w:r w:rsidRPr="00EF720B">
              <w:rPr>
                <w:kern w:val="24"/>
                <w:sz w:val="20"/>
                <w:szCs w:val="20"/>
              </w:rPr>
              <w:t xml:space="preserve">MAC </w:t>
            </w:r>
            <w:r>
              <w:rPr>
                <w:kern w:val="24"/>
                <w:sz w:val="20"/>
                <w:szCs w:val="20"/>
              </w:rPr>
              <w:t xml:space="preserve">manufacturing </w:t>
            </w:r>
            <w:r w:rsidRPr="00EF720B">
              <w:rPr>
                <w:kern w:val="24"/>
                <w:sz w:val="20"/>
                <w:szCs w:val="20"/>
              </w:rPr>
              <w:t>in few countries</w:t>
            </w:r>
            <w:r>
              <w:rPr>
                <w:kern w:val="24"/>
                <w:sz w:val="20"/>
                <w:szCs w:val="20"/>
              </w:rPr>
              <w:t xml:space="preserve"> and servicing in all countries; s</w:t>
            </w:r>
            <w:r w:rsidRPr="00EF720B">
              <w:rPr>
                <w:kern w:val="24"/>
                <w:sz w:val="20"/>
                <w:szCs w:val="20"/>
              </w:rPr>
              <w:t xml:space="preserve">mall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2472D05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Only HCFC-22-based equipment</w:t>
            </w:r>
            <w:r>
              <w:rPr>
                <w:kern w:val="24"/>
                <w:sz w:val="20"/>
                <w:szCs w:val="20"/>
              </w:rPr>
              <w:t>,</w:t>
            </w:r>
            <w:r w:rsidRPr="00EF720B">
              <w:rPr>
                <w:kern w:val="24"/>
                <w:sz w:val="20"/>
                <w:szCs w:val="20"/>
              </w:rPr>
              <w:t xml:space="preserve"> </w:t>
            </w:r>
            <w:r>
              <w:rPr>
                <w:kern w:val="24"/>
                <w:sz w:val="20"/>
                <w:szCs w:val="20"/>
              </w:rPr>
              <w:t>m</w:t>
            </w:r>
            <w:r w:rsidRPr="00EF720B">
              <w:rPr>
                <w:kern w:val="24"/>
                <w:sz w:val="20"/>
                <w:szCs w:val="20"/>
              </w:rPr>
              <w:t xml:space="preserve">ostly </w:t>
            </w:r>
            <w:r>
              <w:rPr>
                <w:kern w:val="24"/>
                <w:sz w:val="20"/>
                <w:szCs w:val="20"/>
              </w:rPr>
              <w:t xml:space="preserve">in air-conditioning </w:t>
            </w:r>
            <w:r w:rsidRPr="00EF720B">
              <w:rPr>
                <w:kern w:val="24"/>
                <w:sz w:val="20"/>
                <w:szCs w:val="20"/>
              </w:rPr>
              <w:t>and some commercial refrigeration</w:t>
            </w:r>
            <w:r>
              <w:rPr>
                <w:kern w:val="24"/>
                <w:sz w:val="20"/>
                <w:szCs w:val="20"/>
              </w:rPr>
              <w:t>; l</w:t>
            </w:r>
            <w:r w:rsidRPr="00EF720B">
              <w:rPr>
                <w:kern w:val="24"/>
                <w:sz w:val="20"/>
                <w:szCs w:val="20"/>
              </w:rPr>
              <w:t xml:space="preserve">arger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63AF684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All types of domestic</w:t>
            </w:r>
            <w:r>
              <w:rPr>
                <w:kern w:val="24"/>
                <w:sz w:val="20"/>
                <w:szCs w:val="20"/>
              </w:rPr>
              <w:t xml:space="preserve">, </w:t>
            </w:r>
            <w:r w:rsidRPr="00EF720B">
              <w:rPr>
                <w:kern w:val="24"/>
                <w:sz w:val="20"/>
                <w:szCs w:val="20"/>
              </w:rPr>
              <w:t xml:space="preserve">commercial, and industrial refrigeration, </w:t>
            </w:r>
            <w:r>
              <w:rPr>
                <w:kern w:val="24"/>
                <w:sz w:val="20"/>
                <w:szCs w:val="20"/>
              </w:rPr>
              <w:t xml:space="preserve">air-conditioning, refrigerated </w:t>
            </w:r>
            <w:r w:rsidRPr="00EF720B">
              <w:rPr>
                <w:kern w:val="24"/>
                <w:sz w:val="20"/>
                <w:szCs w:val="20"/>
              </w:rPr>
              <w:t>transport, MAC</w:t>
            </w:r>
            <w:r>
              <w:rPr>
                <w:kern w:val="24"/>
                <w:sz w:val="20"/>
                <w:szCs w:val="20"/>
              </w:rPr>
              <w:t>; a</w:t>
            </w:r>
            <w:r w:rsidRPr="00EF720B">
              <w:rPr>
                <w:kern w:val="24"/>
                <w:sz w:val="20"/>
                <w:szCs w:val="20"/>
              </w:rPr>
              <w:t xml:space="preserve">ll sizes of </w:t>
            </w:r>
            <w:r>
              <w:rPr>
                <w:kern w:val="24"/>
                <w:sz w:val="20"/>
                <w:szCs w:val="20"/>
              </w:rPr>
              <w:t xml:space="preserve">refrigerant </w:t>
            </w:r>
            <w:r w:rsidRPr="00EF720B">
              <w:rPr>
                <w:kern w:val="24"/>
                <w:sz w:val="20"/>
                <w:szCs w:val="20"/>
              </w:rPr>
              <w:t>charges</w:t>
            </w:r>
          </w:p>
        </w:tc>
      </w:tr>
      <w:tr w:rsidR="005A389C" w:rsidRPr="00EF720B" w14:paraId="45889CA2" w14:textId="77777777" w:rsidTr="0029767D">
        <w:tc>
          <w:tcPr>
            <w:tcW w:w="745" w:type="pct"/>
            <w:shd w:val="clear" w:color="auto" w:fill="auto"/>
            <w:tcMar>
              <w:top w:w="15" w:type="dxa"/>
              <w:left w:w="30" w:type="dxa"/>
              <w:bottom w:w="0" w:type="dxa"/>
              <w:right w:w="30" w:type="dxa"/>
            </w:tcMar>
            <w:hideMark/>
          </w:tcPr>
          <w:p w14:paraId="4FE3B9AC"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Eligible activities</w:t>
            </w:r>
          </w:p>
        </w:tc>
        <w:tc>
          <w:tcPr>
            <w:tcW w:w="2836" w:type="pct"/>
            <w:gridSpan w:val="2"/>
            <w:shd w:val="clear" w:color="auto" w:fill="auto"/>
            <w:tcMar>
              <w:top w:w="15" w:type="dxa"/>
              <w:left w:w="30" w:type="dxa"/>
              <w:bottom w:w="0" w:type="dxa"/>
              <w:right w:w="30" w:type="dxa"/>
            </w:tcMar>
            <w:hideMark/>
          </w:tcPr>
          <w:p w14:paraId="6E56DE9D" w14:textId="5B6F116E" w:rsidR="005A389C" w:rsidRPr="00EF720B" w:rsidRDefault="005A389C" w:rsidP="002F7B75">
            <w:pPr>
              <w:tabs>
                <w:tab w:val="left" w:pos="2880"/>
                <w:tab w:val="left" w:pos="3600"/>
                <w:tab w:val="left" w:pos="5760"/>
              </w:tabs>
              <w:jc w:val="left"/>
              <w:rPr>
                <w:sz w:val="20"/>
                <w:szCs w:val="20"/>
                <w:lang w:val="en-US"/>
              </w:rPr>
            </w:pPr>
            <w:r>
              <w:rPr>
                <w:kern w:val="24"/>
                <w:sz w:val="20"/>
                <w:szCs w:val="20"/>
              </w:rPr>
              <w:t xml:space="preserve">Including </w:t>
            </w:r>
            <w:r>
              <w:rPr>
                <w:i/>
                <w:kern w:val="24"/>
                <w:sz w:val="20"/>
                <w:szCs w:val="20"/>
              </w:rPr>
              <w:t xml:space="preserve">inter alia </w:t>
            </w:r>
            <w:r w:rsidRPr="00EF720B">
              <w:rPr>
                <w:kern w:val="24"/>
                <w:sz w:val="20"/>
                <w:szCs w:val="20"/>
              </w:rPr>
              <w:t xml:space="preserve">assistance </w:t>
            </w:r>
            <w:r>
              <w:rPr>
                <w:kern w:val="24"/>
                <w:sz w:val="20"/>
                <w:szCs w:val="20"/>
              </w:rPr>
              <w:t xml:space="preserve">to develop </w:t>
            </w:r>
            <w:r w:rsidRPr="00EF720B">
              <w:rPr>
                <w:kern w:val="24"/>
                <w:sz w:val="20"/>
                <w:szCs w:val="20"/>
              </w:rPr>
              <w:t xml:space="preserve">legislation </w:t>
            </w:r>
            <w:r>
              <w:rPr>
                <w:kern w:val="24"/>
                <w:sz w:val="20"/>
                <w:szCs w:val="20"/>
              </w:rPr>
              <w:t xml:space="preserve">and regulations including import/export licensing systems; </w:t>
            </w:r>
            <w:r w:rsidRPr="00EF720B">
              <w:rPr>
                <w:kern w:val="24"/>
                <w:sz w:val="20"/>
                <w:szCs w:val="20"/>
              </w:rPr>
              <w:t>training</w:t>
            </w:r>
            <w:r>
              <w:rPr>
                <w:kern w:val="24"/>
                <w:sz w:val="20"/>
                <w:szCs w:val="20"/>
              </w:rPr>
              <w:t xml:space="preserve"> for customs and law enforcement authorities;</w:t>
            </w:r>
            <w:r w:rsidRPr="00EF720B">
              <w:rPr>
                <w:kern w:val="24"/>
                <w:sz w:val="20"/>
                <w:szCs w:val="20"/>
              </w:rPr>
              <w:t xml:space="preserve"> </w:t>
            </w:r>
            <w:r>
              <w:rPr>
                <w:kern w:val="24"/>
                <w:sz w:val="20"/>
                <w:szCs w:val="20"/>
              </w:rPr>
              <w:t>t</w:t>
            </w:r>
            <w:r w:rsidRPr="00EF720B">
              <w:rPr>
                <w:kern w:val="24"/>
                <w:sz w:val="20"/>
                <w:szCs w:val="20"/>
              </w:rPr>
              <w:t xml:space="preserve">raining in good </w:t>
            </w:r>
            <w:r>
              <w:rPr>
                <w:kern w:val="24"/>
                <w:sz w:val="20"/>
                <w:szCs w:val="20"/>
              </w:rPr>
              <w:t xml:space="preserve">refrigeration </w:t>
            </w:r>
            <w:r w:rsidRPr="00EF720B">
              <w:rPr>
                <w:kern w:val="24"/>
                <w:sz w:val="20"/>
                <w:szCs w:val="20"/>
              </w:rPr>
              <w:t xml:space="preserve">servicing practices; </w:t>
            </w:r>
            <w:r>
              <w:rPr>
                <w:kern w:val="24"/>
                <w:sz w:val="20"/>
                <w:szCs w:val="20"/>
              </w:rPr>
              <w:t xml:space="preserve">establishment of </w:t>
            </w:r>
            <w:r w:rsidR="002F7B75">
              <w:rPr>
                <w:kern w:val="24"/>
                <w:sz w:val="20"/>
                <w:szCs w:val="20"/>
              </w:rPr>
              <w:t>RRR</w:t>
            </w:r>
            <w:r>
              <w:rPr>
                <w:kern w:val="24"/>
                <w:sz w:val="20"/>
                <w:szCs w:val="20"/>
              </w:rPr>
              <w:t xml:space="preserve"> schemes</w:t>
            </w:r>
            <w:r w:rsidRPr="00EF720B">
              <w:rPr>
                <w:kern w:val="24"/>
                <w:sz w:val="20"/>
                <w:szCs w:val="20"/>
              </w:rPr>
              <w:t xml:space="preserve">; end-user incentives for conversion; </w:t>
            </w:r>
            <w:r>
              <w:rPr>
                <w:kern w:val="24"/>
                <w:sz w:val="20"/>
                <w:szCs w:val="20"/>
              </w:rPr>
              <w:t>and i</w:t>
            </w:r>
            <w:r w:rsidRPr="00EF720B">
              <w:rPr>
                <w:kern w:val="24"/>
                <w:sz w:val="20"/>
                <w:szCs w:val="20"/>
              </w:rPr>
              <w:t xml:space="preserve">n some cases technician certification, standards, strengthening associations, </w:t>
            </w:r>
            <w:r>
              <w:rPr>
                <w:kern w:val="24"/>
                <w:sz w:val="20"/>
                <w:szCs w:val="20"/>
              </w:rPr>
              <w:t xml:space="preserve">and </w:t>
            </w:r>
            <w:r w:rsidRPr="00EF720B">
              <w:rPr>
                <w:kern w:val="24"/>
                <w:sz w:val="20"/>
                <w:szCs w:val="20"/>
              </w:rPr>
              <w:t>leakage</w:t>
            </w:r>
            <w:r>
              <w:rPr>
                <w:kern w:val="24"/>
                <w:sz w:val="20"/>
                <w:szCs w:val="20"/>
              </w:rPr>
              <w:t>-</w:t>
            </w:r>
            <w:r w:rsidRPr="00EF720B">
              <w:rPr>
                <w:kern w:val="24"/>
                <w:sz w:val="20"/>
                <w:szCs w:val="20"/>
              </w:rPr>
              <w:t>reduction programmes</w:t>
            </w:r>
          </w:p>
        </w:tc>
        <w:tc>
          <w:tcPr>
            <w:tcW w:w="1418" w:type="pct"/>
            <w:shd w:val="clear" w:color="auto" w:fill="auto"/>
            <w:tcMar>
              <w:top w:w="15" w:type="dxa"/>
              <w:left w:w="30" w:type="dxa"/>
              <w:bottom w:w="0" w:type="dxa"/>
              <w:right w:w="30" w:type="dxa"/>
            </w:tcMar>
            <w:hideMark/>
          </w:tcPr>
          <w:p w14:paraId="15A712CA" w14:textId="53C87F7C"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 xml:space="preserve">Categories of eligible incremental costs for HCFC phase-out/HFC phase-down are the same. </w:t>
            </w:r>
            <w:r>
              <w:rPr>
                <w:kern w:val="24"/>
                <w:sz w:val="20"/>
                <w:szCs w:val="20"/>
              </w:rPr>
              <w:t>Assistance f</w:t>
            </w:r>
            <w:r w:rsidRPr="00EF720B">
              <w:rPr>
                <w:kern w:val="24"/>
                <w:sz w:val="20"/>
                <w:szCs w:val="20"/>
              </w:rPr>
              <w:t>ocus</w:t>
            </w:r>
            <w:r>
              <w:rPr>
                <w:kern w:val="24"/>
                <w:sz w:val="20"/>
                <w:szCs w:val="20"/>
              </w:rPr>
              <w:t>ed on</w:t>
            </w:r>
            <w:r w:rsidRPr="00EF720B">
              <w:rPr>
                <w:kern w:val="24"/>
                <w:sz w:val="20"/>
                <w:szCs w:val="20"/>
              </w:rPr>
              <w:t xml:space="preserve"> ensur</w:t>
            </w:r>
            <w:r>
              <w:rPr>
                <w:kern w:val="24"/>
                <w:sz w:val="20"/>
                <w:szCs w:val="20"/>
              </w:rPr>
              <w:t>ing</w:t>
            </w:r>
            <w:r w:rsidRPr="00EF720B">
              <w:rPr>
                <w:kern w:val="24"/>
                <w:sz w:val="20"/>
                <w:szCs w:val="20"/>
              </w:rPr>
              <w:t xml:space="preserve"> </w:t>
            </w:r>
            <w:r w:rsidR="00EA3E19">
              <w:rPr>
                <w:kern w:val="24"/>
                <w:sz w:val="20"/>
                <w:szCs w:val="20"/>
              </w:rPr>
              <w:t xml:space="preserve">larger impact and </w:t>
            </w:r>
            <w:r>
              <w:rPr>
                <w:kern w:val="24"/>
                <w:sz w:val="20"/>
                <w:szCs w:val="20"/>
              </w:rPr>
              <w:t>long-term sustainability of the proposed activities</w:t>
            </w:r>
          </w:p>
        </w:tc>
      </w:tr>
      <w:tr w:rsidR="005A389C" w:rsidRPr="00EF720B" w14:paraId="23DB94E5" w14:textId="77777777" w:rsidTr="0029767D">
        <w:tc>
          <w:tcPr>
            <w:tcW w:w="745" w:type="pct"/>
            <w:shd w:val="clear" w:color="auto" w:fill="auto"/>
            <w:tcMar>
              <w:top w:w="15" w:type="dxa"/>
              <w:left w:w="30" w:type="dxa"/>
              <w:bottom w:w="0" w:type="dxa"/>
              <w:right w:w="30" w:type="dxa"/>
            </w:tcMar>
          </w:tcPr>
          <w:p w14:paraId="24EDD71C" w14:textId="77777777"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 xml:space="preserve">Impact of activities implemented </w:t>
            </w:r>
          </w:p>
        </w:tc>
        <w:tc>
          <w:tcPr>
            <w:tcW w:w="1418" w:type="pct"/>
            <w:shd w:val="clear" w:color="auto" w:fill="auto"/>
            <w:tcMar>
              <w:top w:w="15" w:type="dxa"/>
              <w:left w:w="30" w:type="dxa"/>
              <w:bottom w:w="0" w:type="dxa"/>
              <w:right w:w="30" w:type="dxa"/>
            </w:tcMar>
          </w:tcPr>
          <w:p w14:paraId="230F0F3E" w14:textId="7FFA658A" w:rsidR="005A389C" w:rsidRPr="00574524" w:rsidRDefault="005A389C" w:rsidP="00BE56C8">
            <w:pPr>
              <w:tabs>
                <w:tab w:val="left" w:pos="2880"/>
                <w:tab w:val="left" w:pos="3600"/>
                <w:tab w:val="left" w:pos="5760"/>
              </w:tabs>
              <w:jc w:val="left"/>
              <w:rPr>
                <w:kern w:val="24"/>
                <w:sz w:val="20"/>
                <w:szCs w:val="20"/>
              </w:rPr>
            </w:pPr>
            <w:r w:rsidRPr="00574524">
              <w:rPr>
                <w:kern w:val="24"/>
                <w:sz w:val="20"/>
                <w:szCs w:val="20"/>
              </w:rPr>
              <w:t xml:space="preserve">CFC phased out: Minimum changes during servicing when working with alternatives introduced. </w:t>
            </w:r>
            <w:r w:rsidR="00A130DB" w:rsidRPr="00574524">
              <w:rPr>
                <w:kern w:val="24"/>
                <w:sz w:val="20"/>
                <w:szCs w:val="20"/>
              </w:rPr>
              <w:t xml:space="preserve">Impact of initial activities in servicing </w:t>
            </w:r>
            <w:r w:rsidR="00A130DB">
              <w:rPr>
                <w:kern w:val="24"/>
                <w:sz w:val="20"/>
                <w:szCs w:val="20"/>
              </w:rPr>
              <w:t xml:space="preserve">difficult to measure. </w:t>
            </w:r>
            <w:r w:rsidRPr="00574524">
              <w:rPr>
                <w:kern w:val="24"/>
                <w:sz w:val="20"/>
                <w:szCs w:val="20"/>
              </w:rPr>
              <w:t>Servicing sector adapted to alternatives</w:t>
            </w:r>
            <w:r w:rsidR="00BE56C8">
              <w:rPr>
                <w:kern w:val="24"/>
                <w:sz w:val="20"/>
                <w:szCs w:val="20"/>
              </w:rPr>
              <w:t>. Customs departments and training centres strengthened</w:t>
            </w:r>
          </w:p>
        </w:tc>
        <w:tc>
          <w:tcPr>
            <w:tcW w:w="1418" w:type="pct"/>
            <w:shd w:val="clear" w:color="auto" w:fill="auto"/>
          </w:tcPr>
          <w:p w14:paraId="13C89292" w14:textId="77777777" w:rsidR="005A389C" w:rsidRPr="00574524" w:rsidRDefault="005A389C" w:rsidP="007906E2">
            <w:pPr>
              <w:tabs>
                <w:tab w:val="left" w:pos="2880"/>
                <w:tab w:val="left" w:pos="3600"/>
                <w:tab w:val="left" w:pos="5760"/>
              </w:tabs>
              <w:jc w:val="left"/>
              <w:rPr>
                <w:kern w:val="24"/>
                <w:sz w:val="20"/>
                <w:szCs w:val="20"/>
              </w:rPr>
            </w:pPr>
            <w:r w:rsidRPr="00574524">
              <w:rPr>
                <w:kern w:val="24"/>
                <w:sz w:val="20"/>
                <w:szCs w:val="20"/>
              </w:rPr>
              <w:t>Ongoing evaluation. Expected changes during servicing to safely work with some low-GWP alternatives being introduced. Some activities typically from the servicing sector in HPMPs could help facilitate introduction of low-GWP alternatives</w:t>
            </w:r>
          </w:p>
        </w:tc>
        <w:tc>
          <w:tcPr>
            <w:tcW w:w="1418" w:type="pct"/>
            <w:shd w:val="clear" w:color="auto" w:fill="auto"/>
            <w:tcMar>
              <w:top w:w="15" w:type="dxa"/>
              <w:left w:w="30" w:type="dxa"/>
              <w:bottom w:w="0" w:type="dxa"/>
              <w:right w:w="30" w:type="dxa"/>
            </w:tcMar>
          </w:tcPr>
          <w:p w14:paraId="10ABA4BD" w14:textId="77777777" w:rsidR="005A389C" w:rsidRPr="00574524" w:rsidRDefault="005A389C" w:rsidP="007906E2">
            <w:pPr>
              <w:tabs>
                <w:tab w:val="left" w:pos="2880"/>
                <w:tab w:val="left" w:pos="3600"/>
                <w:tab w:val="left" w:pos="5760"/>
              </w:tabs>
              <w:jc w:val="left"/>
              <w:rPr>
                <w:kern w:val="24"/>
                <w:sz w:val="20"/>
                <w:szCs w:val="20"/>
              </w:rPr>
            </w:pPr>
            <w:r w:rsidRPr="00574524">
              <w:rPr>
                <w:sz w:val="20"/>
                <w:szCs w:val="20"/>
              </w:rPr>
              <w:t xml:space="preserve">Activities in the servicing sector need to have a wider impact and sustain over time to support safe adoption of low-GWP technologies, including with regard to installation, operation, maintenance and decommissioning of systems </w:t>
            </w:r>
          </w:p>
        </w:tc>
      </w:tr>
    </w:tbl>
    <w:p w14:paraId="39EBCB71" w14:textId="77777777" w:rsidR="005A389C" w:rsidRPr="00124771" w:rsidRDefault="005A389C" w:rsidP="0029767D">
      <w:pPr>
        <w:outlineLvl w:val="0"/>
      </w:pPr>
    </w:p>
    <w:p w14:paraId="25E87503" w14:textId="77777777" w:rsidR="00E078E8" w:rsidRPr="00735EED" w:rsidRDefault="00E078E8" w:rsidP="0029767D">
      <w:pPr>
        <w:pStyle w:val="Heading1"/>
        <w:numPr>
          <w:ilvl w:val="0"/>
          <w:numId w:val="0"/>
        </w:numPr>
        <w:rPr>
          <w:u w:val="single"/>
          <w:lang w:val="en-CA"/>
        </w:rPr>
      </w:pPr>
      <w:r w:rsidRPr="00735EED">
        <w:rPr>
          <w:u w:val="single"/>
          <w:lang w:val="en-CA"/>
        </w:rPr>
        <w:t xml:space="preserve">Barriers to broader penetration of </w:t>
      </w:r>
      <w:r>
        <w:rPr>
          <w:u w:val="single"/>
          <w:lang w:val="en-CA"/>
        </w:rPr>
        <w:t>low-GWP</w:t>
      </w:r>
      <w:r w:rsidRPr="00735EED">
        <w:rPr>
          <w:u w:val="single"/>
          <w:lang w:val="en-CA"/>
        </w:rPr>
        <w:t xml:space="preserve"> alternative technologies</w:t>
      </w:r>
    </w:p>
    <w:p w14:paraId="4754466D" w14:textId="4ECD5235" w:rsidR="00852D00" w:rsidRDefault="00E078E8" w:rsidP="0029767D">
      <w:pPr>
        <w:pStyle w:val="Heading1"/>
      </w:pPr>
      <w:r w:rsidRPr="00272906">
        <w:t xml:space="preserve">In addition, </w:t>
      </w:r>
      <w:r>
        <w:t xml:space="preserve">the Kigali Amendment triggered the </w:t>
      </w:r>
      <w:r w:rsidRPr="00272906">
        <w:t xml:space="preserve">need to adopt </w:t>
      </w:r>
      <w:r>
        <w:t xml:space="preserve">technologies based on </w:t>
      </w:r>
      <w:r w:rsidRPr="00272906">
        <w:t xml:space="preserve">low-GWP </w:t>
      </w:r>
      <w:r>
        <w:t>refrigerants on</w:t>
      </w:r>
      <w:r w:rsidRPr="00272906">
        <w:t xml:space="preserve"> a wide</w:t>
      </w:r>
      <w:r>
        <w:t>r</w:t>
      </w:r>
      <w:r w:rsidRPr="00272906">
        <w:t xml:space="preserve"> scale</w:t>
      </w:r>
      <w:r>
        <w:t>, which</w:t>
      </w:r>
      <w:r w:rsidRPr="00272906">
        <w:t xml:space="preserve"> </w:t>
      </w:r>
      <w:r>
        <w:t>raises</w:t>
      </w:r>
      <w:r w:rsidRPr="00272906">
        <w:t xml:space="preserve"> issues related to safety</w:t>
      </w:r>
      <w:r>
        <w:t xml:space="preserve"> and costs</w:t>
      </w:r>
      <w:r w:rsidRPr="00272906">
        <w:t>. For instance, the use of flammable refrigerants with refrigerant charges above 150 gr</w:t>
      </w:r>
      <w:r>
        <w:t>ams</w:t>
      </w:r>
      <w:r w:rsidRPr="00272906">
        <w:t xml:space="preserve"> require</w:t>
      </w:r>
      <w:r>
        <w:t>s</w:t>
      </w:r>
      <w:r w:rsidRPr="00272906">
        <w:t xml:space="preserve"> a change in standards, as well as additional </w:t>
      </w:r>
      <w:r w:rsidR="009D7660">
        <w:t>safety precautions</w:t>
      </w:r>
      <w:r w:rsidRPr="00272906">
        <w:t xml:space="preserve"> during installation, operation, maintenance and decommissioning of </w:t>
      </w:r>
      <w:r>
        <w:t xml:space="preserve">refrigeration </w:t>
      </w:r>
      <w:r w:rsidRPr="00272906">
        <w:t>systems using those tec</w:t>
      </w:r>
      <w:r w:rsidRPr="00C7612B">
        <w:t>hnologies.</w:t>
      </w:r>
      <w:r>
        <w:t xml:space="preserve"> </w:t>
      </w:r>
      <w:r w:rsidR="00852D00">
        <w:t>Other causes that limit the introduction of these technologies include:</w:t>
      </w:r>
    </w:p>
    <w:p w14:paraId="64E7AF07" w14:textId="77777777" w:rsidR="00852D00" w:rsidRPr="00A14EAF" w:rsidRDefault="00E078E8" w:rsidP="0029767D">
      <w:pPr>
        <w:pStyle w:val="Heading2"/>
      </w:pPr>
      <w:r>
        <w:rPr>
          <w:lang w:val="en-CA"/>
        </w:rPr>
        <w:t>T</w:t>
      </w:r>
      <w:r w:rsidRPr="00FB194C">
        <w:rPr>
          <w:lang w:val="en-CA"/>
        </w:rPr>
        <w:t xml:space="preserve">he lack of standards </w:t>
      </w:r>
      <w:r w:rsidR="001A7647">
        <w:rPr>
          <w:lang w:val="en-CA"/>
        </w:rPr>
        <w:t xml:space="preserve">for introduction, installation and proper servicing and maintenance of new equipment based on </w:t>
      </w:r>
      <w:r w:rsidR="001A7647" w:rsidRPr="00C46BA4">
        <w:rPr>
          <w:lang w:val="en-CA"/>
        </w:rPr>
        <w:t>flammable or toxic refrigera</w:t>
      </w:r>
      <w:r w:rsidR="001A7647">
        <w:rPr>
          <w:lang w:val="en-CA"/>
        </w:rPr>
        <w:t>nts</w:t>
      </w:r>
      <w:r w:rsidR="00852D00">
        <w:rPr>
          <w:lang w:val="en-CA"/>
        </w:rPr>
        <w:t>;</w:t>
      </w:r>
    </w:p>
    <w:p w14:paraId="0DD5BA89" w14:textId="2AF92027" w:rsidR="00852D00" w:rsidRPr="00A14EAF" w:rsidRDefault="00547006" w:rsidP="0029767D">
      <w:pPr>
        <w:pStyle w:val="Heading2"/>
      </w:pPr>
      <w:r>
        <w:rPr>
          <w:lang w:val="en-CA"/>
        </w:rPr>
        <w:t>The lack of s</w:t>
      </w:r>
      <w:r w:rsidR="001A7647">
        <w:rPr>
          <w:lang w:val="en-CA"/>
        </w:rPr>
        <w:t xml:space="preserve">tandards for proper </w:t>
      </w:r>
      <w:r w:rsidR="001A7647" w:rsidRPr="001A7647">
        <w:rPr>
          <w:lang w:val="en-CA"/>
        </w:rPr>
        <w:t>transportation</w:t>
      </w:r>
      <w:r w:rsidR="001A7647">
        <w:rPr>
          <w:lang w:val="en-CA"/>
        </w:rPr>
        <w:t xml:space="preserve"> of refrigerants and </w:t>
      </w:r>
      <w:r w:rsidR="001A7647" w:rsidRPr="001A7647">
        <w:rPr>
          <w:lang w:val="en-CA"/>
        </w:rPr>
        <w:t>building codes</w:t>
      </w:r>
      <w:r w:rsidR="00852D00">
        <w:rPr>
          <w:lang w:val="en-CA"/>
        </w:rPr>
        <w:t>;</w:t>
      </w:r>
    </w:p>
    <w:p w14:paraId="38E53923" w14:textId="23C0C794" w:rsidR="00852D00" w:rsidRPr="00A14EAF" w:rsidRDefault="00852D00" w:rsidP="0029767D">
      <w:pPr>
        <w:pStyle w:val="Heading2"/>
      </w:pPr>
      <w:r>
        <w:rPr>
          <w:lang w:val="en-CA"/>
        </w:rPr>
        <w:t>The l</w:t>
      </w:r>
      <w:r w:rsidR="001A7647" w:rsidRPr="001A7647">
        <w:rPr>
          <w:lang w:val="en-CA"/>
        </w:rPr>
        <w:t>ack</w:t>
      </w:r>
      <w:r>
        <w:rPr>
          <w:lang w:val="en-CA"/>
        </w:rPr>
        <w:t xml:space="preserve"> of</w:t>
      </w:r>
      <w:r w:rsidR="001A7647" w:rsidRPr="001A7647">
        <w:rPr>
          <w:lang w:val="en-CA"/>
        </w:rPr>
        <w:t xml:space="preserve"> essential </w:t>
      </w:r>
      <w:r w:rsidR="001A7647">
        <w:rPr>
          <w:lang w:val="en-CA"/>
        </w:rPr>
        <w:t xml:space="preserve">equipment and basic </w:t>
      </w:r>
      <w:r w:rsidR="001A7647" w:rsidRPr="001A7647">
        <w:rPr>
          <w:lang w:val="en-CA"/>
        </w:rPr>
        <w:t>tools</w:t>
      </w:r>
      <w:r w:rsidR="001A7647">
        <w:rPr>
          <w:lang w:val="en-CA"/>
        </w:rPr>
        <w:t xml:space="preserve"> </w:t>
      </w:r>
      <w:r w:rsidR="001A7647" w:rsidRPr="001A7647">
        <w:rPr>
          <w:lang w:val="en-CA"/>
        </w:rPr>
        <w:t>in servicing workshop</w:t>
      </w:r>
      <w:r w:rsidR="00547006">
        <w:rPr>
          <w:lang w:val="en-CA"/>
        </w:rPr>
        <w:t>s</w:t>
      </w:r>
      <w:r>
        <w:rPr>
          <w:lang w:val="en-CA"/>
        </w:rPr>
        <w:t>; and</w:t>
      </w:r>
    </w:p>
    <w:p w14:paraId="10DB40B9" w14:textId="4C921C8C" w:rsidR="00485933" w:rsidRPr="00AD74A6" w:rsidRDefault="00C80E9B" w:rsidP="0029767D">
      <w:pPr>
        <w:pStyle w:val="Heading2"/>
      </w:pPr>
      <w:r>
        <w:t>T</w:t>
      </w:r>
      <w:r w:rsidR="00485933">
        <w:t xml:space="preserve">he slow pace of commercialization and availability of </w:t>
      </w:r>
      <w:r>
        <w:t>some r</w:t>
      </w:r>
      <w:r w:rsidR="00485933">
        <w:t>efrigerants or the equipment operating with them</w:t>
      </w:r>
      <w:r w:rsidR="00852D00">
        <w:t>.</w:t>
      </w:r>
    </w:p>
    <w:p w14:paraId="0F865672" w14:textId="3ACEE0A4" w:rsidR="006010E5" w:rsidRDefault="00F37FCA" w:rsidP="0029767D">
      <w:pPr>
        <w:pStyle w:val="Heading1"/>
      </w:pPr>
      <w:r>
        <w:t xml:space="preserve">Currently </w:t>
      </w:r>
      <w:r w:rsidR="00E078E8" w:rsidRPr="00714CE0">
        <w:t xml:space="preserve">it is not </w:t>
      </w:r>
      <w:r>
        <w:t xml:space="preserve">possible to ascertain </w:t>
      </w:r>
      <w:r w:rsidR="00E078E8" w:rsidRPr="00714CE0">
        <w:t>whether there would be sufficient technicians with the minimum skills required to service the growing base of more technologically advanced equipment</w:t>
      </w:r>
      <w:r w:rsidR="001D4B5B" w:rsidRPr="00714CE0">
        <w:t>,</w:t>
      </w:r>
      <w:r w:rsidR="00E078E8" w:rsidRPr="00714CE0">
        <w:t xml:space="preserve"> using a wide variety of refrigerants with different operating characteristics related to pressure, flammability and toxicity. </w:t>
      </w:r>
      <w:r w:rsidR="00C803A9" w:rsidRPr="00714CE0">
        <w:t>A challenge faced by training institutes</w:t>
      </w:r>
      <w:r w:rsidR="00AD74A6">
        <w:t>, the industry</w:t>
      </w:r>
      <w:r w:rsidR="00C803A9" w:rsidRPr="00714CE0">
        <w:t xml:space="preserve"> and refrigeration associations </w:t>
      </w:r>
      <w:r>
        <w:t xml:space="preserve">to enhance the skills of the technicians to properly service and maintain the </w:t>
      </w:r>
      <w:r w:rsidRPr="00714CE0">
        <w:t xml:space="preserve">technologically advanced equipment </w:t>
      </w:r>
      <w:r>
        <w:t xml:space="preserve">being introduced in the markets </w:t>
      </w:r>
      <w:r w:rsidR="00C803A9" w:rsidRPr="00714CE0">
        <w:t xml:space="preserve">is that </w:t>
      </w:r>
      <w:r w:rsidR="001B7F04" w:rsidRPr="00714CE0">
        <w:t>fr</w:t>
      </w:r>
      <w:r w:rsidR="00176235" w:rsidRPr="00714CE0">
        <w:t>equently technicians are seasonal</w:t>
      </w:r>
      <w:r>
        <w:t>; i</w:t>
      </w:r>
      <w:r w:rsidR="00176235" w:rsidRPr="00714CE0">
        <w:t xml:space="preserve">n the low season (typically winter) those technicians search for other employment opportunities </w:t>
      </w:r>
      <w:r w:rsidR="00FC413E" w:rsidRPr="00C6416C">
        <w:t>and</w:t>
      </w:r>
      <w:r w:rsidR="00FC413E">
        <w:t xml:space="preserve"> </w:t>
      </w:r>
      <w:r w:rsidR="00176235" w:rsidRPr="00714CE0">
        <w:t>they tend to spend their limited time during high season on installation and servicing of equipment</w:t>
      </w:r>
      <w:r w:rsidR="00C6416C">
        <w:t>,</w:t>
      </w:r>
      <w:r w:rsidR="00176235" w:rsidRPr="00714CE0">
        <w:t xml:space="preserve"> rather than on training.</w:t>
      </w:r>
      <w:r>
        <w:t xml:space="preserve"> </w:t>
      </w:r>
      <w:r w:rsidR="00C10196">
        <w:t xml:space="preserve">Also, the trend in the number of new technicians entering the work force is downward as </w:t>
      </w:r>
      <w:r w:rsidRPr="00714CE0">
        <w:t xml:space="preserve">the refrigeration and air-conditioning industry appears to be less attractive than other disciplines such as information technology or electronics. </w:t>
      </w:r>
    </w:p>
    <w:p w14:paraId="2FAF0FF5" w14:textId="2221A762" w:rsidR="00E078E8" w:rsidRPr="006010E5" w:rsidRDefault="00A048AE" w:rsidP="0029767D">
      <w:pPr>
        <w:pStyle w:val="Heading1"/>
        <w:rPr>
          <w:color w:val="000000"/>
          <w:lang w:val="en-CA" w:eastAsia="en-CA"/>
        </w:rPr>
      </w:pPr>
      <w:r w:rsidRPr="00714CE0">
        <w:rPr>
          <w:lang w:val="en-CA"/>
        </w:rPr>
        <w:t xml:space="preserve">Article 5 countries are addressing </w:t>
      </w:r>
      <w:r w:rsidR="00E078E8" w:rsidRPr="00714CE0">
        <w:rPr>
          <w:lang w:val="en-CA"/>
        </w:rPr>
        <w:t xml:space="preserve">several of these barriers </w:t>
      </w:r>
      <w:r w:rsidR="00E078E8" w:rsidRPr="00714CE0">
        <w:t>through activities that</w:t>
      </w:r>
      <w:r w:rsidR="00E078E8" w:rsidRPr="003B42A6">
        <w:t xml:space="preserve"> are </w:t>
      </w:r>
      <w:r w:rsidR="00E078E8">
        <w:t xml:space="preserve">increasingly becoming standard </w:t>
      </w:r>
      <w:r w:rsidR="00E078E8" w:rsidRPr="003B42A6">
        <w:t xml:space="preserve">components of the HPMPs, such as </w:t>
      </w:r>
      <w:r w:rsidR="009128AA">
        <w:t xml:space="preserve">building the capacity of local training institutions; </w:t>
      </w:r>
      <w:r w:rsidR="00E078E8" w:rsidRPr="003B42A6">
        <w:t>training</w:t>
      </w:r>
      <w:r w:rsidR="00E078E8">
        <w:t xml:space="preserve"> of technicians focused on flammable and/or toxic refrigerants</w:t>
      </w:r>
      <w:r w:rsidR="00852D00">
        <w:t>,</w:t>
      </w:r>
      <w:r w:rsidR="00942860">
        <w:t xml:space="preserve"> and</w:t>
      </w:r>
      <w:r w:rsidR="00852D00">
        <w:t>/or</w:t>
      </w:r>
      <w:r w:rsidR="00942860">
        <w:t xml:space="preserve"> </w:t>
      </w:r>
      <w:r w:rsidR="00852D00">
        <w:t>high-pressure refrigerants</w:t>
      </w:r>
      <w:r w:rsidR="00E078E8">
        <w:t>;</w:t>
      </w:r>
      <w:r w:rsidR="00E078E8" w:rsidRPr="003B42A6">
        <w:t xml:space="preserve"> </w:t>
      </w:r>
      <w:r w:rsidR="00E078E8">
        <w:t xml:space="preserve">revision of </w:t>
      </w:r>
      <w:r w:rsidR="00E078E8" w:rsidRPr="003B42A6">
        <w:t xml:space="preserve">codes of </w:t>
      </w:r>
      <w:r w:rsidR="00E078E8">
        <w:t xml:space="preserve">good </w:t>
      </w:r>
      <w:r w:rsidR="00E078E8" w:rsidRPr="003B42A6">
        <w:t>practice</w:t>
      </w:r>
      <w:r w:rsidR="00E078E8">
        <w:t>;</w:t>
      </w:r>
      <w:r w:rsidR="00E078E8" w:rsidRPr="003B42A6">
        <w:t xml:space="preserve"> development of regulations</w:t>
      </w:r>
      <w:r w:rsidR="00E078E8">
        <w:t xml:space="preserve"> and</w:t>
      </w:r>
      <w:r w:rsidR="00E078E8" w:rsidRPr="003B42A6">
        <w:t xml:space="preserve"> adoption of standards</w:t>
      </w:r>
      <w:r w:rsidR="00E078E8">
        <w:t xml:space="preserve"> associated with</w:t>
      </w:r>
      <w:r w:rsidR="00FC413E">
        <w:t xml:space="preserve"> the</w:t>
      </w:r>
      <w:r w:rsidR="00E078E8">
        <w:t xml:space="preserve"> installation and servicing of various hydrocarbon-based refrigeration systems;</w:t>
      </w:r>
      <w:r w:rsidR="00E078E8" w:rsidRPr="003B42A6">
        <w:t xml:space="preserve"> use of incentives</w:t>
      </w:r>
      <w:r w:rsidR="00E078E8">
        <w:t xml:space="preserve">; </w:t>
      </w:r>
      <w:r w:rsidR="00E078E8" w:rsidRPr="003B42A6">
        <w:t xml:space="preserve">technology demonstration projects </w:t>
      </w:r>
      <w:r w:rsidR="00E078E8">
        <w:t xml:space="preserve">for low-GWP-based refrigerants; </w:t>
      </w:r>
      <w:r w:rsidR="00E078E8" w:rsidRPr="003B42A6">
        <w:t>and awareness</w:t>
      </w:r>
      <w:r w:rsidR="00FC413E">
        <w:t>-</w:t>
      </w:r>
      <w:r w:rsidR="00E078E8" w:rsidRPr="003B42A6">
        <w:t>r</w:t>
      </w:r>
      <w:r w:rsidR="00E078E8">
        <w:t>ai</w:t>
      </w:r>
      <w:r w:rsidR="00E078E8" w:rsidRPr="003B42A6">
        <w:t>sing</w:t>
      </w:r>
      <w:r w:rsidR="00E078E8">
        <w:t xml:space="preserve"> programmes</w:t>
      </w:r>
      <w:r w:rsidR="00E078E8" w:rsidRPr="003B42A6">
        <w:t>.</w:t>
      </w:r>
      <w:r w:rsidR="00E078E8">
        <w:t xml:space="preserve"> </w:t>
      </w:r>
    </w:p>
    <w:p w14:paraId="6A03FAD9" w14:textId="77777777" w:rsidR="00077B80" w:rsidRPr="000D7645" w:rsidRDefault="00077B80" w:rsidP="0029767D">
      <w:pPr>
        <w:pStyle w:val="Heading1"/>
        <w:numPr>
          <w:ilvl w:val="0"/>
          <w:numId w:val="0"/>
        </w:numPr>
        <w:spacing w:after="0"/>
        <w:ind w:left="720" w:hanging="720"/>
        <w:rPr>
          <w:b/>
        </w:rPr>
      </w:pPr>
      <w:r w:rsidRPr="00077B80">
        <w:rPr>
          <w:b/>
        </w:rPr>
        <w:t xml:space="preserve">II. </w:t>
      </w:r>
      <w:r w:rsidRPr="00077B80">
        <w:rPr>
          <w:b/>
        </w:rPr>
        <w:tab/>
        <w:t xml:space="preserve">ANALYSIS OF EXISTING </w:t>
      </w:r>
      <w:r w:rsidR="008F3D9A" w:rsidRPr="00077B80">
        <w:rPr>
          <w:b/>
        </w:rPr>
        <w:t>CAPACIT</w:t>
      </w:r>
      <w:r w:rsidR="008F3D9A">
        <w:rPr>
          <w:b/>
        </w:rPr>
        <w:t>Y</w:t>
      </w:r>
      <w:r w:rsidR="008F3D9A" w:rsidRPr="00077B80">
        <w:rPr>
          <w:b/>
        </w:rPr>
        <w:t xml:space="preserve"> </w:t>
      </w:r>
      <w:r w:rsidR="008F3D9A">
        <w:rPr>
          <w:b/>
        </w:rPr>
        <w:t xml:space="preserve">CREATED </w:t>
      </w:r>
      <w:r w:rsidRPr="00077B80">
        <w:rPr>
          <w:b/>
        </w:rPr>
        <w:t xml:space="preserve">WITH THE FUNDING APPROVED FOR </w:t>
      </w:r>
      <w:r w:rsidRPr="000D7645">
        <w:rPr>
          <w:b/>
        </w:rPr>
        <w:t>THE REFRIGERATION SERVICING SECTOR</w:t>
      </w:r>
    </w:p>
    <w:p w14:paraId="35BB56A9" w14:textId="77777777" w:rsidR="00924689" w:rsidRPr="000D7645" w:rsidRDefault="00924689" w:rsidP="0029767D"/>
    <w:p w14:paraId="545989DB" w14:textId="49DA971C" w:rsidR="001A7647" w:rsidRDefault="004D7929" w:rsidP="0029767D">
      <w:pPr>
        <w:pStyle w:val="Heading1"/>
      </w:pPr>
      <w:r w:rsidRPr="000D7645">
        <w:t xml:space="preserve">The Multilateral Fund has </w:t>
      </w:r>
      <w:r w:rsidR="00D84DD3">
        <w:t xml:space="preserve">been established as the financial mechanism of the Montreal Protocol for assisting Article 5 countries to be in compliance with the Montreal Protocol and its amendments. Given that controlled substances are used by all Article 5 countries for servicing and maintaining the refrigeration equipment, technical and financial </w:t>
      </w:r>
      <w:r w:rsidRPr="000D7645">
        <w:t xml:space="preserve">assistance </w:t>
      </w:r>
      <w:r w:rsidR="00D84DD3">
        <w:t xml:space="preserve">has been provided to this </w:t>
      </w:r>
      <w:r w:rsidRPr="000D7645">
        <w:t>sector since the 4</w:t>
      </w:r>
      <w:r w:rsidRPr="000D7645">
        <w:rPr>
          <w:vertAlign w:val="superscript"/>
        </w:rPr>
        <w:t>th </w:t>
      </w:r>
      <w:r w:rsidRPr="000D7645">
        <w:t>meeting</w:t>
      </w:r>
      <w:r w:rsidR="00D84DD3">
        <w:t xml:space="preserve"> of the Executive Committee</w:t>
      </w:r>
      <w:r w:rsidRPr="000D7645">
        <w:t xml:space="preserve">. </w:t>
      </w:r>
    </w:p>
    <w:p w14:paraId="6EF86696" w14:textId="0A0A6AC8" w:rsidR="00924689" w:rsidRPr="000D7645" w:rsidRDefault="004D7929" w:rsidP="0029767D">
      <w:pPr>
        <w:pStyle w:val="Heading1"/>
      </w:pPr>
      <w:r w:rsidRPr="000D7645">
        <w:t xml:space="preserve">Since then, the Executive Committee has </w:t>
      </w:r>
      <w:r w:rsidR="00924689" w:rsidRPr="000D7645">
        <w:t xml:space="preserve">continuously </w:t>
      </w:r>
      <w:r w:rsidRPr="000D7645">
        <w:t xml:space="preserve">taken decisions to </w:t>
      </w:r>
      <w:r w:rsidR="00924689" w:rsidRPr="000D7645">
        <w:t>strengthen</w:t>
      </w:r>
      <w:r w:rsidRPr="000D7645">
        <w:t xml:space="preserve"> </w:t>
      </w:r>
      <w:r w:rsidR="00FC413E" w:rsidRPr="000D7645">
        <w:t>th</w:t>
      </w:r>
      <w:r w:rsidR="00FC413E">
        <w:t>at</w:t>
      </w:r>
      <w:r w:rsidR="00FC413E" w:rsidRPr="000D7645">
        <w:t xml:space="preserve"> </w:t>
      </w:r>
      <w:r w:rsidRPr="000D7645">
        <w:t>assistance and address emerging</w:t>
      </w:r>
      <w:r w:rsidR="00924689" w:rsidRPr="000D7645">
        <w:t xml:space="preserve"> needs </w:t>
      </w:r>
      <w:r w:rsidRPr="000D7645">
        <w:t xml:space="preserve">and issues </w:t>
      </w:r>
      <w:r w:rsidR="001F26C6" w:rsidRPr="000D7645">
        <w:t xml:space="preserve">in </w:t>
      </w:r>
      <w:r w:rsidRPr="000D7645">
        <w:t>the</w:t>
      </w:r>
      <w:r w:rsidR="001F26C6" w:rsidRPr="000D7645">
        <w:t xml:space="preserve"> sector </w:t>
      </w:r>
      <w:r w:rsidRPr="000D7645">
        <w:t xml:space="preserve">to facilitate </w:t>
      </w:r>
      <w:r w:rsidR="00924689" w:rsidRPr="000D7645">
        <w:t>Article 5 countries</w:t>
      </w:r>
      <w:r w:rsidR="00FC413E">
        <w:t>’</w:t>
      </w:r>
      <w:r w:rsidRPr="000D7645">
        <w:t xml:space="preserve"> compliance with the Montreal Protocol</w:t>
      </w:r>
      <w:r w:rsidR="00924689" w:rsidRPr="000D7645">
        <w:t xml:space="preserve">. Furthermore, under the Monitoring and Evaluation work programme of the </w:t>
      </w:r>
      <w:r w:rsidR="009842AA" w:rsidRPr="000D7645">
        <w:t xml:space="preserve">Multilateral </w:t>
      </w:r>
      <w:r w:rsidR="00924689" w:rsidRPr="000D7645">
        <w:t>Fund, the Executive Committee has undertaken desk studies, country</w:t>
      </w:r>
      <w:r w:rsidR="00FC413E">
        <w:t xml:space="preserve"> </w:t>
      </w:r>
      <w:r w:rsidR="00924689" w:rsidRPr="000D7645">
        <w:t>case</w:t>
      </w:r>
      <w:r w:rsidR="00FC413E">
        <w:t>-</w:t>
      </w:r>
      <w:r w:rsidR="00924689" w:rsidRPr="000D7645">
        <w:t xml:space="preserve">studies, evaluations of the refrigeration servicing sector, </w:t>
      </w:r>
      <w:r w:rsidR="001F26C6" w:rsidRPr="000D7645">
        <w:t xml:space="preserve">and evaluations of </w:t>
      </w:r>
      <w:r w:rsidR="00924689" w:rsidRPr="000D7645">
        <w:t xml:space="preserve">stand-alone projects (e.g., import/export licensing systems and regulations; training programmes for customs officers; training programmes for refrigeration technicians; recovery and recycling schemes; and refrigerant management plans) to further assess the applicability of </w:t>
      </w:r>
      <w:r w:rsidR="001F26C6" w:rsidRPr="000D7645">
        <w:t xml:space="preserve">its </w:t>
      </w:r>
      <w:r w:rsidR="00924689" w:rsidRPr="000D7645">
        <w:t xml:space="preserve">decisions </w:t>
      </w:r>
      <w:r w:rsidR="001F26C6" w:rsidRPr="000D7645">
        <w:t>in</w:t>
      </w:r>
      <w:r w:rsidR="00924689" w:rsidRPr="000D7645">
        <w:t xml:space="preserve"> the circumstances prevailing in Article 5 countries</w:t>
      </w:r>
      <w:r w:rsidR="001F26C6" w:rsidRPr="000D7645">
        <w:t>,</w:t>
      </w:r>
      <w:r w:rsidR="00924689" w:rsidRPr="000D7645">
        <w:t xml:space="preserve"> </w:t>
      </w:r>
      <w:r w:rsidR="00FC413E">
        <w:t>and to assess</w:t>
      </w:r>
      <w:r w:rsidR="00924689" w:rsidRPr="000D7645">
        <w:t xml:space="preserve"> the effectiveness of the funding activities in reducing emissions of controlled substances into the atmosphere. The lessons </w:t>
      </w:r>
      <w:r w:rsidR="001F26C6" w:rsidRPr="000D7645">
        <w:t xml:space="preserve">learned </w:t>
      </w:r>
      <w:r w:rsidR="00924689" w:rsidRPr="000D7645">
        <w:t xml:space="preserve">from those evaluations </w:t>
      </w:r>
      <w:r w:rsidR="001F26C6" w:rsidRPr="000D7645">
        <w:t xml:space="preserve">and the recommendations made </w:t>
      </w:r>
      <w:r w:rsidR="00FC413E">
        <w:t xml:space="preserve">as a result have </w:t>
      </w:r>
      <w:r w:rsidR="009842AA" w:rsidRPr="000D7645">
        <w:t xml:space="preserve">continuously </w:t>
      </w:r>
      <w:r w:rsidR="00FC413E" w:rsidRPr="000D7645">
        <w:t>be</w:t>
      </w:r>
      <w:r w:rsidR="00FC413E">
        <w:t>en</w:t>
      </w:r>
      <w:r w:rsidR="00FC413E" w:rsidRPr="000D7645">
        <w:t xml:space="preserve"> </w:t>
      </w:r>
      <w:r w:rsidR="00924689" w:rsidRPr="000D7645">
        <w:t xml:space="preserve">incorporated into refrigeration servicing </w:t>
      </w:r>
      <w:r w:rsidR="009842AA" w:rsidRPr="000D7645">
        <w:t xml:space="preserve">sector </w:t>
      </w:r>
      <w:r w:rsidR="00924689" w:rsidRPr="000D7645">
        <w:t xml:space="preserve">activities </w:t>
      </w:r>
      <w:r w:rsidR="001F26C6" w:rsidRPr="000D7645">
        <w:t>under implementation</w:t>
      </w:r>
      <w:r w:rsidR="00924689" w:rsidRPr="000D7645">
        <w:t>.</w:t>
      </w:r>
      <w:r w:rsidR="00924689" w:rsidRPr="000D7645">
        <w:rPr>
          <w:rStyle w:val="FootnoteReference"/>
        </w:rPr>
        <w:footnoteReference w:id="30"/>
      </w:r>
    </w:p>
    <w:p w14:paraId="4A84767D" w14:textId="77777777" w:rsidR="009842AA" w:rsidRPr="000D7645" w:rsidRDefault="009842AA" w:rsidP="0029767D">
      <w:pPr>
        <w:pStyle w:val="Heading1"/>
      </w:pPr>
      <w:r w:rsidRPr="000D7645">
        <w:t>For reference, Annex I to the present document contains relevant decisions related to the refrigeration servicing sector adopted by the Executive Committee and the Parties, and Annex II contains a list of the evaluations related to the refrigeration servicing sector undertaken by the Multilateral Fund</w:t>
      </w:r>
      <w:r w:rsidR="00DD2114" w:rsidRPr="000D7645">
        <w:t>.</w:t>
      </w:r>
    </w:p>
    <w:p w14:paraId="56C265C3" w14:textId="77777777" w:rsidR="00924689" w:rsidRPr="009323FC" w:rsidRDefault="00924689" w:rsidP="0029767D">
      <w:pPr>
        <w:keepNext/>
        <w:keepLines/>
        <w:rPr>
          <w:b/>
        </w:rPr>
      </w:pPr>
      <w:r w:rsidRPr="009323FC">
        <w:rPr>
          <w:b/>
        </w:rPr>
        <w:t xml:space="preserve">Strengthening national </w:t>
      </w:r>
      <w:r w:rsidR="001F26C6" w:rsidRPr="009323FC">
        <w:rPr>
          <w:b/>
        </w:rPr>
        <w:t>capacit</w:t>
      </w:r>
      <w:r w:rsidR="001F26C6">
        <w:rPr>
          <w:b/>
        </w:rPr>
        <w:t>y</w:t>
      </w:r>
    </w:p>
    <w:p w14:paraId="7AC6C732" w14:textId="77777777" w:rsidR="00924689" w:rsidRDefault="00924689" w:rsidP="0029767D">
      <w:pPr>
        <w:keepNext/>
        <w:keepLines/>
      </w:pPr>
    </w:p>
    <w:p w14:paraId="36D4D5CE" w14:textId="63A6B728" w:rsidR="00924689" w:rsidRPr="00AF3484" w:rsidRDefault="00924689" w:rsidP="0029767D">
      <w:pPr>
        <w:pStyle w:val="Heading1"/>
        <w:keepNext/>
        <w:keepLines/>
      </w:pPr>
      <w:r>
        <w:t xml:space="preserve">The cumulative experience gained during the implementation of projects related to the refrigeration servicing sector has strengthened the national </w:t>
      </w:r>
      <w:r w:rsidR="001F26C6">
        <w:t xml:space="preserve">capacity </w:t>
      </w:r>
      <w:r>
        <w:t xml:space="preserve">engaged in those projects. In addition to </w:t>
      </w:r>
      <w:r w:rsidR="00C76B8C">
        <w:t>national ozone units (</w:t>
      </w:r>
      <w:r w:rsidR="009C3AAD">
        <w:t>NOUs</w:t>
      </w:r>
      <w:r w:rsidR="00C76B8C">
        <w:t>)</w:t>
      </w:r>
      <w:r w:rsidR="001F26C6">
        <w:t>, for</w:t>
      </w:r>
      <w:r w:rsidR="009C3AAD">
        <w:t xml:space="preserve"> which direct funding is provided under “institutional strengthening</w:t>
      </w:r>
      <w:r w:rsidR="00FF3D70">
        <w:t>,</w:t>
      </w:r>
      <w:r w:rsidR="009C3AAD">
        <w:t xml:space="preserve">” </w:t>
      </w:r>
      <w:r w:rsidR="001F26C6">
        <w:t>national capacity</w:t>
      </w:r>
      <w:r>
        <w:t xml:space="preserve"> </w:t>
      </w:r>
      <w:r w:rsidR="004F00C6">
        <w:t xml:space="preserve">related to </w:t>
      </w:r>
      <w:r>
        <w:t xml:space="preserve">customs and law enforcement authorities and schools; teaching institutes and vocational schools </w:t>
      </w:r>
      <w:r w:rsidR="004F00C6">
        <w:t xml:space="preserve">for refrigeration </w:t>
      </w:r>
      <w:r>
        <w:t>technicians; and associations of refrigeration technicians</w:t>
      </w:r>
      <w:r w:rsidR="004F00C6">
        <w:t xml:space="preserve"> have been established and/or strengthened</w:t>
      </w:r>
      <w:r>
        <w:t xml:space="preserve">. </w:t>
      </w:r>
      <w:r w:rsidRPr="00AF3484">
        <w:t>Capacity</w:t>
      </w:r>
      <w:r w:rsidR="001F26C6">
        <w:t xml:space="preserve"> </w:t>
      </w:r>
      <w:r w:rsidRPr="00AF3484">
        <w:t xml:space="preserve">building has also been provided </w:t>
      </w:r>
      <w:r w:rsidR="001A7647">
        <w:t xml:space="preserve">directly by UNEP CAP through its clearinghouse function and </w:t>
      </w:r>
      <w:r w:rsidRPr="00AF3484">
        <w:t xml:space="preserve">at the regional and global levels, mainly through </w:t>
      </w:r>
      <w:r w:rsidR="005A389C">
        <w:t xml:space="preserve">regional network meetings since </w:t>
      </w:r>
      <w:r w:rsidRPr="00AF3484">
        <w:t>the 9</w:t>
      </w:r>
      <w:r w:rsidRPr="00A86AA9">
        <w:rPr>
          <w:vertAlign w:val="superscript"/>
        </w:rPr>
        <w:t>th</w:t>
      </w:r>
      <w:r>
        <w:t xml:space="preserve"> </w:t>
      </w:r>
      <w:r w:rsidRPr="00AF3484">
        <w:t>meeting (March 1993). Regional network meetings are conducted on an annual basis.</w:t>
      </w:r>
    </w:p>
    <w:p w14:paraId="1E1B176E" w14:textId="10C3090A" w:rsidR="00924689" w:rsidRDefault="004E3DF0" w:rsidP="0029767D">
      <w:pPr>
        <w:pStyle w:val="Heading1"/>
      </w:pPr>
      <w:r>
        <w:t>D</w:t>
      </w:r>
      <w:r w:rsidR="00924689">
        <w:t xml:space="preserve">uring </w:t>
      </w:r>
      <w:r w:rsidR="003A2396">
        <w:t xml:space="preserve">the </w:t>
      </w:r>
      <w:r w:rsidR="00924689">
        <w:t>implementation of HPMPs</w:t>
      </w:r>
      <w:r>
        <w:t xml:space="preserve"> in particular</w:t>
      </w:r>
      <w:r w:rsidR="00924689">
        <w:t xml:space="preserve">, several Article 5 countries have considered </w:t>
      </w:r>
      <w:r w:rsidR="003A2396">
        <w:t xml:space="preserve">it </w:t>
      </w:r>
      <w:r w:rsidR="00924689">
        <w:t xml:space="preserve">relevant to ensure the long-term sustainability of proposed activities related to the refrigeration servicing sector by </w:t>
      </w:r>
      <w:r w:rsidR="00924689" w:rsidRPr="009323FC">
        <w:rPr>
          <w:i/>
        </w:rPr>
        <w:t>inter alia</w:t>
      </w:r>
      <w:r w:rsidR="00924689">
        <w:t xml:space="preserve"> increasing and/or strengthening local </w:t>
      </w:r>
      <w:r w:rsidR="003A2396">
        <w:t xml:space="preserve">capacity </w:t>
      </w:r>
      <w:r w:rsidR="00924689">
        <w:t xml:space="preserve">and institutions to provide comprehensive training programmes to a larger number of </w:t>
      </w:r>
      <w:r w:rsidR="002F01DF">
        <w:t xml:space="preserve">refrigeration </w:t>
      </w:r>
      <w:r w:rsidR="00924689">
        <w:t>technicians or customs officers; modifying the curricula o</w:t>
      </w:r>
      <w:r w:rsidR="002F01DF">
        <w:t>f</w:t>
      </w:r>
      <w:r w:rsidR="00924689">
        <w:t xml:space="preserve"> training institutes, vocational schools and</w:t>
      </w:r>
      <w:r w:rsidR="002F01DF">
        <w:t>/or</w:t>
      </w:r>
      <w:r w:rsidR="00924689">
        <w:t xml:space="preserve"> </w:t>
      </w:r>
      <w:r w:rsidR="003A2396">
        <w:t xml:space="preserve">customs </w:t>
      </w:r>
      <w:r w:rsidR="00924689">
        <w:t xml:space="preserve">authorities; revising and updating the code of good </w:t>
      </w:r>
      <w:r w:rsidR="002F01DF">
        <w:t xml:space="preserve">servicing </w:t>
      </w:r>
      <w:r w:rsidR="00924689">
        <w:t xml:space="preserve">practices and introducing systems to certify the competency of technicians to implement good </w:t>
      </w:r>
      <w:r w:rsidR="001E7DC2">
        <w:t xml:space="preserve">installation and </w:t>
      </w:r>
      <w:r w:rsidR="00924689">
        <w:t xml:space="preserve">servicing practices; extending training to </w:t>
      </w:r>
      <w:r w:rsidR="00FC413E">
        <w:t xml:space="preserve">cover </w:t>
      </w:r>
      <w:r>
        <w:t xml:space="preserve">the </w:t>
      </w:r>
      <w:r w:rsidR="00924689">
        <w:t>handling of alternative technologies to HCFCs, particularly those based on flammable refrigerants; and promoting/facilitating the adoption of standards related to the refrigeration servicing sector.</w:t>
      </w:r>
    </w:p>
    <w:p w14:paraId="105E9767" w14:textId="77777777" w:rsidR="00C41BF0" w:rsidRPr="000D7645" w:rsidRDefault="009C3AAD" w:rsidP="0029767D">
      <w:pPr>
        <w:rPr>
          <w:b/>
        </w:rPr>
      </w:pPr>
      <w:r w:rsidRPr="000D7645">
        <w:rPr>
          <w:b/>
        </w:rPr>
        <w:t xml:space="preserve">Support to the </w:t>
      </w:r>
      <w:r w:rsidR="00C41BF0" w:rsidRPr="000D7645">
        <w:rPr>
          <w:b/>
        </w:rPr>
        <w:t xml:space="preserve">policy </w:t>
      </w:r>
      <w:r w:rsidRPr="000D7645">
        <w:rPr>
          <w:b/>
        </w:rPr>
        <w:t xml:space="preserve">and regulatory </w:t>
      </w:r>
      <w:r w:rsidR="00C41BF0" w:rsidRPr="000D7645">
        <w:rPr>
          <w:b/>
        </w:rPr>
        <w:t xml:space="preserve">framework </w:t>
      </w:r>
    </w:p>
    <w:p w14:paraId="17E305FD" w14:textId="77777777" w:rsidR="00C41BF0" w:rsidRPr="000D7645" w:rsidRDefault="00C41BF0" w:rsidP="0029767D"/>
    <w:p w14:paraId="7B697DE5" w14:textId="77777777" w:rsidR="004F00C6" w:rsidRPr="000D7645" w:rsidRDefault="004F00C6" w:rsidP="0029767D">
      <w:pPr>
        <w:pStyle w:val="Heading1"/>
      </w:pPr>
      <w:r w:rsidRPr="000D7645">
        <w:t xml:space="preserve">The policy </w:t>
      </w:r>
      <w:r w:rsidR="000D7645">
        <w:t>a</w:t>
      </w:r>
      <w:r w:rsidRPr="000D7645">
        <w:t xml:space="preserve">nd regulatory framework established under the Multilateral Fund has been of particular relevance </w:t>
      </w:r>
      <w:r w:rsidR="008E7529" w:rsidRPr="000D7645">
        <w:t xml:space="preserve">in </w:t>
      </w:r>
      <w:r w:rsidRPr="000D7645">
        <w:t>supporting the phase-out activities in the refrigeration servicing sector</w:t>
      </w:r>
      <w:r w:rsidR="008E7529" w:rsidRPr="000D7645">
        <w:t>,</w:t>
      </w:r>
      <w:r w:rsidRPr="000D7645">
        <w:t xml:space="preserve"> </w:t>
      </w:r>
      <w:r w:rsidR="008E7529" w:rsidRPr="000D7645">
        <w:t xml:space="preserve">and will be </w:t>
      </w:r>
      <w:r w:rsidRPr="000D7645">
        <w:t>even more relevant with the phase-down of HFCs</w:t>
      </w:r>
      <w:r w:rsidR="008E7529" w:rsidRPr="000D7645">
        <w:t>. Therefore, this section of the document describes this framework</w:t>
      </w:r>
      <w:r w:rsidR="00FC413E" w:rsidRPr="00FC413E">
        <w:t xml:space="preserve"> </w:t>
      </w:r>
      <w:r w:rsidR="00FC413E" w:rsidRPr="000D7645">
        <w:t>in detail</w:t>
      </w:r>
      <w:r w:rsidRPr="000D7645">
        <w:t>.</w:t>
      </w:r>
    </w:p>
    <w:p w14:paraId="190FA2DE" w14:textId="77777777" w:rsidR="004F00C6" w:rsidRPr="00E47FAF" w:rsidRDefault="004F00C6" w:rsidP="0029767D">
      <w:pPr>
        <w:pStyle w:val="Heading1"/>
        <w:numPr>
          <w:ilvl w:val="0"/>
          <w:numId w:val="0"/>
        </w:numPr>
        <w:rPr>
          <w:u w:val="single"/>
        </w:rPr>
      </w:pPr>
      <w:r w:rsidRPr="000D7645">
        <w:rPr>
          <w:u w:val="single"/>
        </w:rPr>
        <w:t>Regulatory framework established during the phase-out of CFC</w:t>
      </w:r>
    </w:p>
    <w:p w14:paraId="07E7EF0D" w14:textId="58160EA1" w:rsidR="00C84A1E" w:rsidRDefault="00C41BF0" w:rsidP="0029767D">
      <w:pPr>
        <w:pStyle w:val="Heading1"/>
      </w:pPr>
      <w:r w:rsidRPr="005472DC">
        <w:t>Article 5 countries have reduce</w:t>
      </w:r>
      <w:r w:rsidR="00C84A1E">
        <w:t>d</w:t>
      </w:r>
      <w:r w:rsidRPr="005472DC">
        <w:t xml:space="preserve"> the</w:t>
      </w:r>
      <w:r>
        <w:t xml:space="preserve"> </w:t>
      </w:r>
      <w:r w:rsidRPr="005472DC">
        <w:t xml:space="preserve">supply </w:t>
      </w:r>
      <w:r>
        <w:t xml:space="preserve">of controlled substances under the Protocol </w:t>
      </w:r>
      <w:r w:rsidRPr="005472DC">
        <w:t xml:space="preserve">by restricting imports and/or exports mainly through their licensing and quota systems. </w:t>
      </w:r>
      <w:r w:rsidR="00C84A1E">
        <w:t>In addition</w:t>
      </w:r>
      <w:r w:rsidR="00C84A1E" w:rsidRPr="005472DC">
        <w:t>, several countries have established</w:t>
      </w:r>
      <w:r w:rsidR="00C84A1E">
        <w:t>,</w:t>
      </w:r>
      <w:r w:rsidR="00C84A1E" w:rsidRPr="005472DC">
        <w:t xml:space="preserve"> or are in the process of </w:t>
      </w:r>
      <w:r w:rsidR="00C84A1E">
        <w:t>establishing,</w:t>
      </w:r>
      <w:r w:rsidR="00C84A1E" w:rsidRPr="005472DC">
        <w:t xml:space="preserve"> controls on </w:t>
      </w:r>
      <w:r w:rsidR="00C84A1E">
        <w:t xml:space="preserve">the </w:t>
      </w:r>
      <w:r w:rsidR="00C84A1E" w:rsidRPr="005472DC">
        <w:t>import and export</w:t>
      </w:r>
      <w:r w:rsidR="00C84A1E">
        <w:t>,</w:t>
      </w:r>
      <w:r w:rsidR="00C84A1E" w:rsidRPr="005472DC">
        <w:t xml:space="preserve"> where applicable</w:t>
      </w:r>
      <w:r w:rsidR="00C84A1E">
        <w:t>,</w:t>
      </w:r>
      <w:r w:rsidR="00C84A1E" w:rsidRPr="005472DC">
        <w:t xml:space="preserve"> of refrigeration equipment</w:t>
      </w:r>
      <w:r w:rsidR="00C84A1E">
        <w:t xml:space="preserve"> based on controlled substances, </w:t>
      </w:r>
      <w:r w:rsidR="00C84A1E" w:rsidRPr="005472DC">
        <w:t>to limit the</w:t>
      </w:r>
      <w:r w:rsidR="00C84A1E">
        <w:t>ir</w:t>
      </w:r>
      <w:r w:rsidR="00C84A1E" w:rsidRPr="005472DC">
        <w:t xml:space="preserve"> growth and</w:t>
      </w:r>
      <w:r w:rsidR="00C84A1E">
        <w:t xml:space="preserve"> </w:t>
      </w:r>
      <w:r w:rsidR="00C84A1E" w:rsidRPr="005472DC">
        <w:t xml:space="preserve">reduce the size of the installed base of </w:t>
      </w:r>
      <w:r w:rsidR="00C84A1E">
        <w:t xml:space="preserve">such </w:t>
      </w:r>
      <w:r w:rsidR="00C84A1E" w:rsidRPr="005472DC">
        <w:t>equipment.</w:t>
      </w:r>
    </w:p>
    <w:p w14:paraId="67CA7560" w14:textId="77777777" w:rsidR="00C41BF0" w:rsidRPr="005472DC" w:rsidRDefault="00C41BF0" w:rsidP="0029767D">
      <w:pPr>
        <w:pStyle w:val="Heading1"/>
      </w:pPr>
      <w:r w:rsidRPr="005472DC">
        <w:t xml:space="preserve">Such restrictions have become increasingly effective, as demonstrated by the verification reports </w:t>
      </w:r>
      <w:r w:rsidR="002F01DF">
        <w:t xml:space="preserve">submitted together with funding tranche requests of phase-out plans </w:t>
      </w:r>
      <w:r w:rsidRPr="005472DC">
        <w:t>reviewed by the Secretariat</w:t>
      </w:r>
      <w:r w:rsidR="003A2396">
        <w:t>,</w:t>
      </w:r>
      <w:r w:rsidRPr="005472DC">
        <w:t xml:space="preserve"> </w:t>
      </w:r>
      <w:r>
        <w:t>which showed</w:t>
      </w:r>
      <w:r w:rsidRPr="005472DC">
        <w:t xml:space="preserve"> significant improvements in co</w:t>
      </w:r>
      <w:r w:rsidRPr="005472DC">
        <w:noBreakHyphen/>
        <w:t>ordination between the NOU, licence</w:t>
      </w:r>
      <w:r w:rsidR="009A5553">
        <w:t>-</w:t>
      </w:r>
      <w:r w:rsidRPr="005472DC">
        <w:t xml:space="preserve">issuing bodies, customs </w:t>
      </w:r>
      <w:r w:rsidR="00D2509E">
        <w:t xml:space="preserve">authorities </w:t>
      </w:r>
      <w:r w:rsidRPr="005472DC">
        <w:t xml:space="preserve">and importers. The monitoring of imports </w:t>
      </w:r>
      <w:r w:rsidR="00C84A1E">
        <w:t xml:space="preserve">of controlled substances under the Protocol </w:t>
      </w:r>
      <w:r w:rsidRPr="005472DC">
        <w:t xml:space="preserve">has also improved greatly, and countries </w:t>
      </w:r>
      <w:r w:rsidR="003A2396">
        <w:t>are</w:t>
      </w:r>
      <w:r w:rsidR="00FF3D70">
        <w:t xml:space="preserve"> increasingly</w:t>
      </w:r>
      <w:r w:rsidR="003A2396" w:rsidRPr="005472DC">
        <w:t xml:space="preserve"> </w:t>
      </w:r>
      <w:r w:rsidRPr="005472DC">
        <w:t xml:space="preserve">using a computerized database for customs. </w:t>
      </w:r>
    </w:p>
    <w:p w14:paraId="5D05D1CB" w14:textId="77777777" w:rsidR="00C41BF0" w:rsidRPr="00BB3E6F" w:rsidRDefault="006502D8" w:rsidP="0029767D">
      <w:pPr>
        <w:pStyle w:val="Heading1"/>
        <w:tabs>
          <w:tab w:val="num" w:pos="720"/>
        </w:tabs>
      </w:pPr>
      <w:r>
        <w:t xml:space="preserve">In support to the regulatory framework </w:t>
      </w:r>
      <w:r w:rsidR="00712FF5">
        <w:t xml:space="preserve">for </w:t>
      </w:r>
      <w:r>
        <w:t xml:space="preserve">controlled substances under the Protocol and its enforcement, extensive assistance has been provided for </w:t>
      </w:r>
      <w:r w:rsidR="00712FF5">
        <w:t>the t</w:t>
      </w:r>
      <w:r>
        <w:t xml:space="preserve">raining of customs </w:t>
      </w:r>
      <w:r w:rsidR="00712FF5">
        <w:t xml:space="preserve">officers </w:t>
      </w:r>
      <w:r>
        <w:t>and other law enforcement officers. For example, a</w:t>
      </w:r>
      <w:r w:rsidR="00C41BF0" w:rsidRPr="00BB3E6F">
        <w:rPr>
          <w:lang w:val="en-CA"/>
        </w:rPr>
        <w:t>t the 48</w:t>
      </w:r>
      <w:r w:rsidR="00C41BF0" w:rsidRPr="00BB3E6F">
        <w:rPr>
          <w:vertAlign w:val="superscript"/>
          <w:lang w:val="en-CA"/>
        </w:rPr>
        <w:t>th</w:t>
      </w:r>
      <w:r w:rsidR="00C41BF0" w:rsidRPr="00BB3E6F">
        <w:rPr>
          <w:lang w:val="en-CA"/>
        </w:rPr>
        <w:t xml:space="preserve"> meeting (April 2006), the Executive Committee </w:t>
      </w:r>
      <w:r w:rsidR="00C41BF0" w:rsidRPr="00BB3E6F">
        <w:t xml:space="preserve">requested bilateral and implementing agencies to prepare and implement phase-out plans in a manner that would ensure, where feasible, implementation of </w:t>
      </w:r>
      <w:r w:rsidR="00712FF5" w:rsidRPr="00BB3E6F">
        <w:t>th</w:t>
      </w:r>
      <w:r w:rsidR="00712FF5">
        <w:t>e following</w:t>
      </w:r>
      <w:r w:rsidR="00712FF5" w:rsidRPr="00BB3E6F">
        <w:t xml:space="preserve"> </w:t>
      </w:r>
      <w:r w:rsidR="00C41BF0" w:rsidRPr="00BB3E6F">
        <w:t>recommendations:</w:t>
      </w:r>
    </w:p>
    <w:p w14:paraId="434E447E" w14:textId="77777777" w:rsidR="00C41BF0" w:rsidRPr="00BB3E6F" w:rsidRDefault="001E3A54" w:rsidP="0029767D">
      <w:pPr>
        <w:pStyle w:val="Heading2"/>
        <w:ind w:left="1350"/>
      </w:pPr>
      <w:r>
        <w:t>I</w:t>
      </w:r>
      <w:r w:rsidR="00C41BF0" w:rsidRPr="00BB3E6F">
        <w:t>ntroduc</w:t>
      </w:r>
      <w:r>
        <w:t xml:space="preserve">ing </w:t>
      </w:r>
      <w:r w:rsidR="00C41BF0" w:rsidRPr="00BB3E6F">
        <w:t>regulations regarding the exports</w:t>
      </w:r>
      <w:r w:rsidR="006502D8">
        <w:t>,</w:t>
      </w:r>
      <w:r w:rsidR="00C41BF0" w:rsidRPr="00BB3E6F">
        <w:t xml:space="preserve"> licensing schemes </w:t>
      </w:r>
      <w:r w:rsidR="006502D8">
        <w:t>and</w:t>
      </w:r>
      <w:r w:rsidR="00C41BF0" w:rsidRPr="00BB3E6F">
        <w:t xml:space="preserve"> a ban on sales to non</w:t>
      </w:r>
      <w:r w:rsidR="00C41BF0" w:rsidRPr="00BB3E6F">
        <w:noBreakHyphen/>
        <w:t>licensed companies</w:t>
      </w:r>
      <w:r w:rsidR="006502D8">
        <w:t xml:space="preserve"> </w:t>
      </w:r>
      <w:r w:rsidR="006502D8" w:rsidRPr="00BB3E6F">
        <w:t xml:space="preserve">of </w:t>
      </w:r>
      <w:r w:rsidR="006502D8">
        <w:t>controlled substances;</w:t>
      </w:r>
      <w:r w:rsidR="00C41BF0" w:rsidRPr="00BB3E6F">
        <w:t xml:space="preserve"> restrictions on the import of refrigeration and air-conditioning equipment</w:t>
      </w:r>
      <w:r w:rsidR="006502D8">
        <w:t xml:space="preserve"> based </w:t>
      </w:r>
      <w:r>
        <w:t xml:space="preserve">on </w:t>
      </w:r>
      <w:r w:rsidR="006502D8">
        <w:t>controlled refrigerants</w:t>
      </w:r>
      <w:r w:rsidR="00C41BF0" w:rsidRPr="00BB3E6F">
        <w:t xml:space="preserve">; appointing customs officers to participate in the Ozone Committees, signing memoranda of understanding between the Customs Department and the </w:t>
      </w:r>
      <w:r w:rsidR="006502D8">
        <w:t>NOU</w:t>
      </w:r>
      <w:r w:rsidR="00C41BF0" w:rsidRPr="00BB3E6F">
        <w:t xml:space="preserve">, and creating focal points for environment in customs with access to the top level of customs hierarchy; involving certification and normalization institutes in the identification of </w:t>
      </w:r>
      <w:r w:rsidR="006502D8">
        <w:t xml:space="preserve">controlled substances </w:t>
      </w:r>
      <w:r w:rsidR="00C41BF0" w:rsidRPr="00BB3E6F">
        <w:t xml:space="preserve">in case there is a lack of adequately equipped laboratory facilities in customs offices; making customs codes more detailed by adding digits to the </w:t>
      </w:r>
      <w:r w:rsidR="00593074" w:rsidRPr="003F0B0A">
        <w:rPr>
          <w:lang w:val="en-CA"/>
        </w:rPr>
        <w:t>Harmonized Commodity Description and Coding System (Harmonized System)</w:t>
      </w:r>
      <w:r w:rsidR="00593074">
        <w:rPr>
          <w:lang w:val="en-CA"/>
        </w:rPr>
        <w:t xml:space="preserve"> </w:t>
      </w:r>
      <w:r w:rsidR="00593074" w:rsidRPr="007F66BF">
        <w:t>developed and maintained by the World Customs Organization</w:t>
      </w:r>
      <w:r w:rsidR="00C41BF0" w:rsidRPr="00BB3E6F">
        <w:t>; informing importing countries about licensed shipments and checking that the clients are on the list of authorized importers, to be provided by the importing countries on a regular basis;</w:t>
      </w:r>
    </w:p>
    <w:p w14:paraId="2CA67742" w14:textId="77777777" w:rsidR="00C41BF0" w:rsidRPr="00BB3E6F" w:rsidRDefault="001E3A54" w:rsidP="0029767D">
      <w:pPr>
        <w:pStyle w:val="Heading2"/>
        <w:ind w:left="1350"/>
      </w:pPr>
      <w:r>
        <w:t>Inviting h</w:t>
      </w:r>
      <w:r w:rsidR="00C41BF0" w:rsidRPr="00BB3E6F">
        <w:t>igh level officials from customs</w:t>
      </w:r>
      <w:r w:rsidR="004F129E">
        <w:t>,</w:t>
      </w:r>
      <w:r w:rsidR="00C41BF0" w:rsidRPr="00BB3E6F">
        <w:t xml:space="preserve"> </w:t>
      </w:r>
      <w:r w:rsidR="006F1686" w:rsidRPr="00BB3E6F">
        <w:t xml:space="preserve">other government departments </w:t>
      </w:r>
      <w:r w:rsidR="006F1686">
        <w:t xml:space="preserve">and </w:t>
      </w:r>
      <w:r w:rsidR="004F129E" w:rsidRPr="00BB3E6F">
        <w:t>trade agents or brokers in charge of managing the clearance of shipments</w:t>
      </w:r>
      <w:r w:rsidR="006F1686">
        <w:t>,</w:t>
      </w:r>
      <w:r w:rsidR="004F129E" w:rsidRPr="00BB3E6F">
        <w:t xml:space="preserve"> </w:t>
      </w:r>
      <w:r w:rsidR="00C41BF0" w:rsidRPr="00BB3E6F">
        <w:t>to seminars to ensure the correct application of the licensing system and identification of imports</w:t>
      </w:r>
      <w:r w:rsidR="004F129E">
        <w:t xml:space="preserve"> of controlled substances</w:t>
      </w:r>
      <w:r w:rsidR="00C41BF0" w:rsidRPr="00BB3E6F">
        <w:t>; ensur</w:t>
      </w:r>
      <w:r>
        <w:t>ing</w:t>
      </w:r>
      <w:r w:rsidR="00C41BF0" w:rsidRPr="00BB3E6F">
        <w:t xml:space="preserve"> that phase</w:t>
      </w:r>
      <w:r w:rsidR="00712FF5">
        <w:t>s of</w:t>
      </w:r>
      <w:r w:rsidR="00C41BF0" w:rsidRPr="00BB3E6F">
        <w:t xml:space="preserve"> train</w:t>
      </w:r>
      <w:r w:rsidR="00712FF5">
        <w:t>-</w:t>
      </w:r>
      <w:r w:rsidR="00C41BF0" w:rsidRPr="00BB3E6F">
        <w:t>the</w:t>
      </w:r>
      <w:r w:rsidR="00712FF5">
        <w:t>-</w:t>
      </w:r>
      <w:r w:rsidR="00C41BF0" w:rsidRPr="00BB3E6F">
        <w:t xml:space="preserve">trainer and </w:t>
      </w:r>
      <w:r w:rsidR="004F129E">
        <w:t xml:space="preserve">the </w:t>
      </w:r>
      <w:r w:rsidR="00C41BF0" w:rsidRPr="00BB3E6F">
        <w:t>training of customs officers take place in rapid succession</w:t>
      </w:r>
      <w:r>
        <w:t xml:space="preserve"> and </w:t>
      </w:r>
      <w:r w:rsidR="00C41BF0" w:rsidRPr="00BB3E6F">
        <w:t>that a database of active trainers and trainees is maintained; expedit</w:t>
      </w:r>
      <w:r>
        <w:t>ing</w:t>
      </w:r>
      <w:r w:rsidR="00C41BF0" w:rsidRPr="00BB3E6F">
        <w:t xml:space="preserve"> the dispatch of refrigerant identifiers supplied to customs services</w:t>
      </w:r>
      <w:r>
        <w:t>;</w:t>
      </w:r>
      <w:r w:rsidR="00C41BF0" w:rsidRPr="00BB3E6F">
        <w:t xml:space="preserve"> and</w:t>
      </w:r>
    </w:p>
    <w:p w14:paraId="0939DE85" w14:textId="77777777" w:rsidR="00C41BF0" w:rsidRDefault="001E3A54" w:rsidP="0029767D">
      <w:pPr>
        <w:pStyle w:val="Heading2"/>
        <w:ind w:left="1350"/>
      </w:pPr>
      <w:r>
        <w:t>O</w:t>
      </w:r>
      <w:r w:rsidR="00C41BF0" w:rsidRPr="00BB3E6F">
        <w:t>rganiz</w:t>
      </w:r>
      <w:r>
        <w:t>ing</w:t>
      </w:r>
      <w:r w:rsidR="00C41BF0" w:rsidRPr="00BB3E6F">
        <w:t xml:space="preserve"> seminars on regional cooperation between customs officers, supporting the harmonization of legislation and customs procedures</w:t>
      </w:r>
      <w:r>
        <w:t xml:space="preserve"> by </w:t>
      </w:r>
      <w:r w:rsidRPr="00BB3E6F">
        <w:t xml:space="preserve">UNEP </w:t>
      </w:r>
      <w:r>
        <w:t>CAP</w:t>
      </w:r>
      <w:r w:rsidR="00C41BF0" w:rsidRPr="00BB3E6F">
        <w:t>; promot</w:t>
      </w:r>
      <w:r>
        <w:t>ing</w:t>
      </w:r>
      <w:r w:rsidR="00C41BF0" w:rsidRPr="00BB3E6F">
        <w:t xml:space="preserve"> the creation of informal regional networks of customs officials; amend</w:t>
      </w:r>
      <w:r>
        <w:t>ing</w:t>
      </w:r>
      <w:r w:rsidR="00C41BF0" w:rsidRPr="00BB3E6F">
        <w:t xml:space="preserve"> training manual</w:t>
      </w:r>
      <w:r w:rsidR="004F129E">
        <w:t>s</w:t>
      </w:r>
      <w:r w:rsidR="00C41BF0" w:rsidRPr="00BB3E6F">
        <w:t xml:space="preserve"> for customs officers by adding information on customs controls and detection of illegal trade; </w:t>
      </w:r>
      <w:r w:rsidR="004F129E">
        <w:t xml:space="preserve">and </w:t>
      </w:r>
      <w:r w:rsidR="00C41BF0" w:rsidRPr="00BB3E6F">
        <w:t>develop</w:t>
      </w:r>
      <w:r w:rsidR="001439CC">
        <w:t>ing</w:t>
      </w:r>
      <w:r w:rsidR="00C41BF0" w:rsidRPr="00BB3E6F">
        <w:t xml:space="preserve"> screening tools (e.g., the Customs Quick Reference tool, posters, check lists and databases), ensuring wide distribution to Article 5 countries.</w:t>
      </w:r>
    </w:p>
    <w:p w14:paraId="0C1A48FF" w14:textId="77777777" w:rsidR="00E47FAF" w:rsidRPr="00E47FAF" w:rsidRDefault="00E47FAF" w:rsidP="0029767D">
      <w:pPr>
        <w:rPr>
          <w:u w:val="single"/>
        </w:rPr>
      </w:pPr>
      <w:r w:rsidRPr="00E47FAF">
        <w:rPr>
          <w:u w:val="single"/>
        </w:rPr>
        <w:t>Strengthening of the regulatory framework during the phase-out of HCFCs</w:t>
      </w:r>
    </w:p>
    <w:p w14:paraId="676F0659" w14:textId="77777777" w:rsidR="00E47FAF" w:rsidRPr="00E47FAF" w:rsidRDefault="00E47FAF" w:rsidP="0029767D"/>
    <w:p w14:paraId="29536883" w14:textId="37F70FE3" w:rsidR="008E7529" w:rsidRDefault="001439CC" w:rsidP="0029767D">
      <w:pPr>
        <w:pStyle w:val="Heading1"/>
      </w:pPr>
      <w:r>
        <w:t>Article 5 countries</w:t>
      </w:r>
      <w:r w:rsidR="00AD4BEF">
        <w:t>,</w:t>
      </w:r>
      <w:r>
        <w:t xml:space="preserve"> </w:t>
      </w:r>
      <w:r w:rsidR="004F3654">
        <w:t xml:space="preserve">and bilateral and implementing agencies </w:t>
      </w:r>
      <w:r>
        <w:t xml:space="preserve">have been </w:t>
      </w:r>
      <w:r w:rsidR="00FF3D70">
        <w:t>following</w:t>
      </w:r>
      <w:r>
        <w:t xml:space="preserve"> all the above recommendations, according to their particular circumstances</w:t>
      </w:r>
      <w:r w:rsidR="00066C0A">
        <w:t xml:space="preserve">. </w:t>
      </w:r>
      <w:r w:rsidR="00C35BFF">
        <w:t xml:space="preserve">In this regard, the regulatory framework that had been established </w:t>
      </w:r>
      <w:r w:rsidR="00C84A1E" w:rsidRPr="00997AAB">
        <w:t xml:space="preserve">has </w:t>
      </w:r>
      <w:r w:rsidR="00C35BFF" w:rsidRPr="00997AAB">
        <w:t>be</w:t>
      </w:r>
      <w:r w:rsidR="00C84A1E" w:rsidRPr="001504E5">
        <w:t>en</w:t>
      </w:r>
      <w:r w:rsidR="00C84A1E">
        <w:t xml:space="preserve"> fully utilized </w:t>
      </w:r>
      <w:r w:rsidR="00C35BFF">
        <w:t xml:space="preserve">for the accelerated phase-out of HCFCs as agreed by the Parties. </w:t>
      </w:r>
    </w:p>
    <w:p w14:paraId="7FDD3DCE" w14:textId="4CA9E20D" w:rsidR="00206290" w:rsidRDefault="00C84A1E" w:rsidP="0029767D">
      <w:pPr>
        <w:pStyle w:val="Heading1"/>
      </w:pPr>
      <w:r>
        <w:t>F</w:t>
      </w:r>
      <w:r w:rsidR="00066C0A" w:rsidRPr="00331E05">
        <w:t xml:space="preserve">unding to include HCFC control measures in legislation, regulations and licensing systems </w:t>
      </w:r>
      <w:r w:rsidR="00C35BFF">
        <w:t xml:space="preserve">was provided </w:t>
      </w:r>
      <w:r w:rsidR="00066C0A" w:rsidRPr="00331E05">
        <w:t xml:space="preserve">as part of the funding </w:t>
      </w:r>
      <w:r w:rsidR="00712FF5">
        <w:t>for</w:t>
      </w:r>
      <w:r w:rsidR="00712FF5" w:rsidRPr="00331E05">
        <w:t xml:space="preserve"> </w:t>
      </w:r>
      <w:r w:rsidR="00C35BFF">
        <w:t xml:space="preserve">the </w:t>
      </w:r>
      <w:r w:rsidR="00066C0A">
        <w:t xml:space="preserve">preparation </w:t>
      </w:r>
      <w:r w:rsidR="00C35BFF">
        <w:t>of HPMPs</w:t>
      </w:r>
      <w:r w:rsidR="00712FF5">
        <w:t>,</w:t>
      </w:r>
      <w:r w:rsidR="00C35BFF">
        <w:t xml:space="preserve"> </w:t>
      </w:r>
      <w:r>
        <w:t xml:space="preserve">as </w:t>
      </w:r>
      <w:r w:rsidR="00066C0A" w:rsidRPr="00331E05">
        <w:t xml:space="preserve">confirmation of </w:t>
      </w:r>
      <w:r w:rsidR="009A5553" w:rsidRPr="00331E05">
        <w:t>th</w:t>
      </w:r>
      <w:r w:rsidR="009A5553">
        <w:t xml:space="preserve">e </w:t>
      </w:r>
      <w:r w:rsidR="00066C0A" w:rsidRPr="00331E05">
        <w:t xml:space="preserve">implementation of </w:t>
      </w:r>
      <w:r w:rsidR="009A5553">
        <w:t>such control measures</w:t>
      </w:r>
      <w:r w:rsidR="00066C0A" w:rsidRPr="00331E05">
        <w:t xml:space="preserve"> </w:t>
      </w:r>
      <w:r>
        <w:t xml:space="preserve">was </w:t>
      </w:r>
      <w:r w:rsidR="00066C0A" w:rsidRPr="00331E05">
        <w:t xml:space="preserve">a prerequisite </w:t>
      </w:r>
      <w:r w:rsidR="00066C0A">
        <w:t>for</w:t>
      </w:r>
      <w:r w:rsidR="00066C0A" w:rsidRPr="00331E05">
        <w:t xml:space="preserve"> </w:t>
      </w:r>
      <w:r>
        <w:t xml:space="preserve">approving </w:t>
      </w:r>
      <w:r w:rsidR="00066C0A" w:rsidRPr="00331E05">
        <w:t xml:space="preserve">funding </w:t>
      </w:r>
      <w:r>
        <w:t xml:space="preserve">for </w:t>
      </w:r>
      <w:r w:rsidR="00712FF5">
        <w:t xml:space="preserve">the </w:t>
      </w:r>
      <w:r w:rsidR="00066C0A" w:rsidRPr="00331E05">
        <w:t>implement</w:t>
      </w:r>
      <w:r w:rsidR="00066C0A">
        <w:t>ation of the HPMP (decision</w:t>
      </w:r>
      <w:r w:rsidR="00B04FF6">
        <w:t> </w:t>
      </w:r>
      <w:r w:rsidR="00066C0A">
        <w:t>54/39(e)</w:t>
      </w:r>
      <w:r w:rsidR="00FF3D70">
        <w:t>)</w:t>
      </w:r>
      <w:r w:rsidR="00C35BFF">
        <w:t xml:space="preserve">. </w:t>
      </w:r>
      <w:r>
        <w:t>To further strengthen the licensing and quota system</w:t>
      </w:r>
      <w:r w:rsidR="00206290">
        <w:t xml:space="preserve">, the Executive Committee decided that for all funding requests </w:t>
      </w:r>
      <w:r w:rsidR="00712FF5">
        <w:t xml:space="preserve">for </w:t>
      </w:r>
      <w:r w:rsidR="00206290">
        <w:t xml:space="preserve">HPMPs </w:t>
      </w:r>
      <w:r w:rsidR="00712FF5">
        <w:t>submitted</w:t>
      </w:r>
      <w:r w:rsidR="00206290">
        <w:t xml:space="preserve"> from the 68</w:t>
      </w:r>
      <w:r w:rsidR="00206290" w:rsidRPr="00206290">
        <w:rPr>
          <w:vertAlign w:val="superscript"/>
        </w:rPr>
        <w:t>th</w:t>
      </w:r>
      <w:r w:rsidR="00206290">
        <w:t xml:space="preserve"> meeting (December 20</w:t>
      </w:r>
      <w:r w:rsidR="00FF3D70">
        <w:t>1</w:t>
      </w:r>
      <w:r w:rsidR="00206290">
        <w:t xml:space="preserve">2) onwards, confirmation </w:t>
      </w:r>
      <w:r w:rsidR="00712FF5">
        <w:t xml:space="preserve">had to </w:t>
      </w:r>
      <w:r w:rsidR="00AB12A9">
        <w:t>be</w:t>
      </w:r>
      <w:r w:rsidR="00206290">
        <w:t xml:space="preserve"> received from the Government that an enforceable national system of licensing and quotas for HCFC imports and, where applicable, </w:t>
      </w:r>
      <w:r w:rsidR="00712FF5">
        <w:t xml:space="preserve">HCFC </w:t>
      </w:r>
      <w:r w:rsidR="00206290">
        <w:t>production and exports</w:t>
      </w:r>
      <w:r w:rsidR="00712FF5">
        <w:t xml:space="preserve">, was </w:t>
      </w:r>
      <w:r w:rsidR="00206290">
        <w:t xml:space="preserve">in place and that the system </w:t>
      </w:r>
      <w:r w:rsidR="00712FF5">
        <w:t xml:space="preserve">was </w:t>
      </w:r>
      <w:r w:rsidR="00206290">
        <w:t>capable of ensuring the country's compliance with the HCFC phase-out schedule (decision</w:t>
      </w:r>
      <w:r w:rsidR="002760A3">
        <w:t> </w:t>
      </w:r>
      <w:bookmarkStart w:id="2" w:name="_GoBack"/>
      <w:bookmarkEnd w:id="2"/>
      <w:r w:rsidR="00206290">
        <w:t>63/17).</w:t>
      </w:r>
    </w:p>
    <w:p w14:paraId="65990E55" w14:textId="001F2A54" w:rsidR="00C41BF0" w:rsidRDefault="00C84A1E" w:rsidP="00A605E6">
      <w:pPr>
        <w:pStyle w:val="Heading1"/>
        <w:widowControl w:val="0"/>
        <w:rPr>
          <w:lang w:val="en-CA"/>
        </w:rPr>
      </w:pPr>
      <w:r>
        <w:t>During implementation of their HPMPs, s</w:t>
      </w:r>
      <w:r w:rsidR="00593074">
        <w:t xml:space="preserve">everal Article 5 countries </w:t>
      </w:r>
      <w:r>
        <w:t xml:space="preserve">considered </w:t>
      </w:r>
      <w:r w:rsidR="00997AAB">
        <w:t xml:space="preserve">it </w:t>
      </w:r>
      <w:r>
        <w:t xml:space="preserve">relevant to </w:t>
      </w:r>
      <w:r w:rsidR="00593074">
        <w:t>introduce o</w:t>
      </w:r>
      <w:r w:rsidR="00C41BF0" w:rsidRPr="005472DC">
        <w:t xml:space="preserve">ther </w:t>
      </w:r>
      <w:r w:rsidR="00593074">
        <w:t xml:space="preserve">regulatory </w:t>
      </w:r>
      <w:r w:rsidR="00C41BF0" w:rsidRPr="005472DC">
        <w:t>control measures</w:t>
      </w:r>
      <w:r w:rsidR="001439CC">
        <w:t>,</w:t>
      </w:r>
      <w:r w:rsidR="00C41BF0" w:rsidRPr="005472DC">
        <w:t xml:space="preserve"> includ</w:t>
      </w:r>
      <w:r w:rsidR="00593074">
        <w:t xml:space="preserve">ing </w:t>
      </w:r>
      <w:r w:rsidR="00593074">
        <w:rPr>
          <w:i/>
        </w:rPr>
        <w:t>inter alia</w:t>
      </w:r>
      <w:r w:rsidR="00C41BF0" w:rsidRPr="005472DC">
        <w:rPr>
          <w:lang w:val="en-CA"/>
        </w:rPr>
        <w:t xml:space="preserve"> mandatory reporting by HCFC importers and exporters; bans on “non-refillable” (disposable) </w:t>
      </w:r>
      <w:r w:rsidR="00387E8E">
        <w:rPr>
          <w:lang w:val="en-CA"/>
        </w:rPr>
        <w:t>cylinders</w:t>
      </w:r>
      <w:r w:rsidR="00C41BF0" w:rsidRPr="005472DC">
        <w:rPr>
          <w:lang w:val="en-CA"/>
        </w:rPr>
        <w:t>; fees for HCFC imports; extension of the licensing system to all refrigerants imported into the country; HCFC emission control measures; and options related to record-keeping.</w:t>
      </w:r>
      <w:r w:rsidR="00E81E25" w:rsidRPr="00E81E25">
        <w:rPr>
          <w:rStyle w:val="FootnoteReference"/>
        </w:rPr>
        <w:t xml:space="preserve"> </w:t>
      </w:r>
      <w:r w:rsidR="00E81E25" w:rsidRPr="000D7645">
        <w:rPr>
          <w:rStyle w:val="FootnoteReference"/>
        </w:rPr>
        <w:footnoteReference w:id="31"/>
      </w:r>
    </w:p>
    <w:p w14:paraId="3BC7AE84" w14:textId="47DD1864" w:rsidR="00E47FAF" w:rsidRPr="00E47FAF" w:rsidRDefault="00E47FAF" w:rsidP="0029767D">
      <w:pPr>
        <w:rPr>
          <w:u w:val="single"/>
          <w:lang w:val="en-CA"/>
        </w:rPr>
      </w:pPr>
      <w:r w:rsidRPr="00E47FAF">
        <w:rPr>
          <w:u w:val="single"/>
          <w:lang w:val="en-CA"/>
        </w:rPr>
        <w:t>Regulatory framework post Kigali Amendment</w:t>
      </w:r>
    </w:p>
    <w:p w14:paraId="767EDD69" w14:textId="77777777" w:rsidR="00E47FAF" w:rsidRPr="00E47FAF" w:rsidRDefault="00E47FAF" w:rsidP="0029767D">
      <w:pPr>
        <w:rPr>
          <w:lang w:val="en-CA"/>
        </w:rPr>
      </w:pPr>
    </w:p>
    <w:p w14:paraId="7C00EEB7" w14:textId="08C930AF" w:rsidR="009F0025" w:rsidRPr="000D7645" w:rsidRDefault="009F0025" w:rsidP="0029767D">
      <w:pPr>
        <w:pStyle w:val="Heading1"/>
        <w:tabs>
          <w:tab w:val="num" w:pos="720"/>
        </w:tabs>
      </w:pPr>
      <w:r w:rsidRPr="00F37EF5">
        <w:t xml:space="preserve">In the context of HFC phase-down, Article 5 countries </w:t>
      </w:r>
      <w:r>
        <w:t xml:space="preserve">would </w:t>
      </w:r>
      <w:r w:rsidRPr="00F37EF5">
        <w:t>need to review, update and/or further develop legislation, including import/export licensing and quota systems</w:t>
      </w:r>
      <w:r w:rsidR="00997AAB">
        <w:t>,</w:t>
      </w:r>
      <w:r w:rsidRPr="00F37EF5">
        <w:t xml:space="preserve"> to include HFCs</w:t>
      </w:r>
      <w:r w:rsidR="007906E2">
        <w:t xml:space="preserve"> which </w:t>
      </w:r>
      <w:r w:rsidR="007906E2">
        <w:rPr>
          <w:lang w:val="en-CA"/>
        </w:rPr>
        <w:t xml:space="preserve">are currently </w:t>
      </w:r>
      <w:r w:rsidR="007906E2" w:rsidRPr="000836D7">
        <w:rPr>
          <w:lang w:val="en-CA"/>
        </w:rPr>
        <w:t xml:space="preserve">not included in the existing Harmonized System, </w:t>
      </w:r>
      <w:r w:rsidR="007906E2">
        <w:rPr>
          <w:lang w:val="en-CA"/>
        </w:rPr>
        <w:t xml:space="preserve">making </w:t>
      </w:r>
      <w:r w:rsidR="007906E2" w:rsidRPr="000836D7">
        <w:rPr>
          <w:lang w:val="en-CA"/>
        </w:rPr>
        <w:t xml:space="preserve">difficult for </w:t>
      </w:r>
      <w:r w:rsidR="007906E2">
        <w:rPr>
          <w:lang w:val="en-CA"/>
        </w:rPr>
        <w:t>C</w:t>
      </w:r>
      <w:r w:rsidR="007906E2" w:rsidRPr="000836D7">
        <w:rPr>
          <w:lang w:val="en-CA"/>
        </w:rPr>
        <w:t xml:space="preserve">ustoms authorities to recognize the illegal nature of the relevant import or export of HCFCs </w:t>
      </w:r>
      <w:r w:rsidR="007906E2">
        <w:rPr>
          <w:lang w:val="en-CA"/>
        </w:rPr>
        <w:t xml:space="preserve">and </w:t>
      </w:r>
      <w:r w:rsidR="007906E2" w:rsidRPr="000836D7">
        <w:rPr>
          <w:lang w:val="en-CA"/>
        </w:rPr>
        <w:t>HFCs</w:t>
      </w:r>
      <w:r w:rsidR="007906E2">
        <w:rPr>
          <w:lang w:val="en-CA"/>
        </w:rPr>
        <w:t>.</w:t>
      </w:r>
      <w:r w:rsidR="007906E2">
        <w:rPr>
          <w:rStyle w:val="FootnoteReference"/>
          <w:lang w:val="en-CA"/>
        </w:rPr>
        <w:footnoteReference w:id="32"/>
      </w:r>
      <w:r w:rsidR="000D7645">
        <w:rPr>
          <w:lang w:val="en-CA"/>
        </w:rPr>
        <w:t xml:space="preserve"> </w:t>
      </w:r>
      <w:r w:rsidR="007906E2">
        <w:t xml:space="preserve">The review of the regulatory framework is particularly urgent for </w:t>
      </w:r>
      <w:r>
        <w:t xml:space="preserve">those </w:t>
      </w:r>
      <w:r w:rsidRPr="00F37EF5">
        <w:t xml:space="preserve">countries </w:t>
      </w:r>
      <w:r w:rsidR="00997AAB">
        <w:t>ratifying</w:t>
      </w:r>
      <w:r>
        <w:t xml:space="preserve"> the Kigali Amendment </w:t>
      </w:r>
      <w:r w:rsidRPr="00F37EF5">
        <w:t xml:space="preserve">before </w:t>
      </w:r>
      <w:r>
        <w:t>1</w:t>
      </w:r>
      <w:r w:rsidR="000B5B1A">
        <w:t> </w:t>
      </w:r>
      <w:r>
        <w:t>January</w:t>
      </w:r>
      <w:r w:rsidR="000B5B1A">
        <w:t> </w:t>
      </w:r>
      <w:r w:rsidRPr="00F37EF5">
        <w:t>2019</w:t>
      </w:r>
      <w:r w:rsidR="00997AAB">
        <w:t>, as they</w:t>
      </w:r>
      <w:r w:rsidRPr="00F37EF5">
        <w:t xml:space="preserve"> would need to establish a licensing system </w:t>
      </w:r>
      <w:r w:rsidR="000836D7">
        <w:t xml:space="preserve">for HFCs </w:t>
      </w:r>
      <w:r w:rsidRPr="00F37EF5">
        <w:t xml:space="preserve">by 2018 in order </w:t>
      </w:r>
      <w:r w:rsidRPr="000D7645">
        <w:t xml:space="preserve">to satisfy </w:t>
      </w:r>
      <w:r w:rsidR="000836D7" w:rsidRPr="000D7645">
        <w:t xml:space="preserve">the </w:t>
      </w:r>
      <w:r w:rsidRPr="000D7645">
        <w:t>reporting requirements</w:t>
      </w:r>
      <w:r w:rsidR="000836D7" w:rsidRPr="000D7645">
        <w:t xml:space="preserve"> under Article 7 of the Montreal Protocol</w:t>
      </w:r>
      <w:r w:rsidRPr="000D7645">
        <w:t xml:space="preserve">. </w:t>
      </w:r>
      <w:r w:rsidR="002629E1">
        <w:t xml:space="preserve">The increased amount and variety of controlled substances, which include a large portion of </w:t>
      </w:r>
      <w:r w:rsidR="00AD4BEF">
        <w:t xml:space="preserve">refrigerant </w:t>
      </w:r>
      <w:r w:rsidR="002629E1">
        <w:t>blends, as well as the measurement of compliance of HFC production and consumption in CO</w:t>
      </w:r>
      <w:r w:rsidR="002629E1" w:rsidRPr="002629E1">
        <w:rPr>
          <w:vertAlign w:val="subscript"/>
        </w:rPr>
        <w:t>2</w:t>
      </w:r>
      <w:r w:rsidR="002629E1">
        <w:t xml:space="preserve"> equivalent tonnes, will also require updates and adjustments to the current customs training contents and to the application of licensing and quotas for imports and exports of HFCs.</w:t>
      </w:r>
    </w:p>
    <w:p w14:paraId="63B4FC99" w14:textId="77777777" w:rsidR="003D4041" w:rsidRDefault="00325A15" w:rsidP="0029767D">
      <w:pPr>
        <w:pStyle w:val="Heading1"/>
        <w:rPr>
          <w:lang w:val="en-CA"/>
        </w:rPr>
      </w:pPr>
      <w:r w:rsidRPr="000D7645">
        <w:rPr>
          <w:lang w:val="en-CA"/>
        </w:rPr>
        <w:t xml:space="preserve">Given the parallel implementation of HCFC phase-out and HFC phase-down, </w:t>
      </w:r>
      <w:r w:rsidR="007906E2" w:rsidRPr="000D7645">
        <w:rPr>
          <w:lang w:val="en-CA"/>
        </w:rPr>
        <w:t xml:space="preserve">the </w:t>
      </w:r>
      <w:r w:rsidR="00AB7386" w:rsidRPr="000D7645">
        <w:rPr>
          <w:lang w:val="en-CA"/>
        </w:rPr>
        <w:t>regulatory framework</w:t>
      </w:r>
      <w:r w:rsidR="007906E2" w:rsidRPr="000D7645">
        <w:rPr>
          <w:lang w:val="en-CA"/>
        </w:rPr>
        <w:t xml:space="preserve"> could be further strengthen</w:t>
      </w:r>
      <w:r w:rsidR="00997AAB">
        <w:rPr>
          <w:lang w:val="en-CA"/>
        </w:rPr>
        <w:t>ed</w:t>
      </w:r>
      <w:r w:rsidR="007906E2" w:rsidRPr="000D7645">
        <w:rPr>
          <w:lang w:val="en-CA"/>
        </w:rPr>
        <w:t xml:space="preserve"> by </w:t>
      </w:r>
      <w:r w:rsidR="00652869" w:rsidRPr="000D7645">
        <w:rPr>
          <w:lang w:val="en-CA"/>
        </w:rPr>
        <w:t>includ</w:t>
      </w:r>
      <w:r w:rsidR="007906E2" w:rsidRPr="000D7645">
        <w:rPr>
          <w:lang w:val="en-CA"/>
        </w:rPr>
        <w:t>ing</w:t>
      </w:r>
      <w:r w:rsidR="00652869" w:rsidRPr="000D7645">
        <w:rPr>
          <w:lang w:val="en-CA"/>
        </w:rPr>
        <w:t xml:space="preserve"> </w:t>
      </w:r>
      <w:r w:rsidRPr="000D7645">
        <w:rPr>
          <w:lang w:val="en-CA"/>
        </w:rPr>
        <w:t xml:space="preserve">HFCs </w:t>
      </w:r>
      <w:r w:rsidR="00652869" w:rsidRPr="000D7645">
        <w:rPr>
          <w:lang w:val="en-CA"/>
        </w:rPr>
        <w:t xml:space="preserve">under </w:t>
      </w:r>
      <w:r w:rsidRPr="000D7645">
        <w:rPr>
          <w:lang w:val="en-CA"/>
        </w:rPr>
        <w:t xml:space="preserve">the </w:t>
      </w:r>
      <w:r w:rsidR="00FE01AA" w:rsidRPr="000D7645">
        <w:rPr>
          <w:lang w:val="en-CA"/>
        </w:rPr>
        <w:t xml:space="preserve">existing </w:t>
      </w:r>
      <w:r w:rsidRPr="000D7645">
        <w:rPr>
          <w:lang w:val="en-CA"/>
        </w:rPr>
        <w:t>HCFC regulations</w:t>
      </w:r>
      <w:r w:rsidR="00997AAB">
        <w:rPr>
          <w:lang w:val="en-CA"/>
        </w:rPr>
        <w:t>,</w:t>
      </w:r>
      <w:r w:rsidRPr="000D7645">
        <w:rPr>
          <w:lang w:val="en-CA"/>
        </w:rPr>
        <w:t xml:space="preserve"> </w:t>
      </w:r>
      <w:r w:rsidR="00FE01AA" w:rsidRPr="000D7645">
        <w:rPr>
          <w:lang w:val="en-CA"/>
        </w:rPr>
        <w:t xml:space="preserve">particularly those </w:t>
      </w:r>
      <w:r w:rsidRPr="000D7645">
        <w:rPr>
          <w:lang w:val="en-CA"/>
        </w:rPr>
        <w:t>related to trade control and monitoring (e.g., import licensing and quota systems</w:t>
      </w:r>
      <w:r w:rsidR="00652869" w:rsidRPr="000D7645">
        <w:rPr>
          <w:lang w:val="en-CA"/>
        </w:rPr>
        <w:t>;</w:t>
      </w:r>
      <w:r w:rsidRPr="000D7645">
        <w:rPr>
          <w:lang w:val="en-CA"/>
        </w:rPr>
        <w:t xml:space="preserve"> reporting by importers</w:t>
      </w:r>
      <w:r w:rsidR="00652869" w:rsidRPr="000D7645">
        <w:rPr>
          <w:lang w:val="en-CA"/>
        </w:rPr>
        <w:t>;</w:t>
      </w:r>
      <w:r w:rsidRPr="000D7645">
        <w:rPr>
          <w:lang w:val="en-CA"/>
        </w:rPr>
        <w:t xml:space="preserve"> bans on non-refillable HFC cylinders</w:t>
      </w:r>
      <w:r w:rsidR="00652869" w:rsidRPr="000D7645">
        <w:rPr>
          <w:lang w:val="en-CA"/>
        </w:rPr>
        <w:t>;</w:t>
      </w:r>
      <w:r w:rsidRPr="000D7645">
        <w:rPr>
          <w:lang w:val="en-CA"/>
        </w:rPr>
        <w:t xml:space="preserve"> ban on imports of certain types of HFC-based equipment</w:t>
      </w:r>
      <w:r w:rsidR="00652869" w:rsidRPr="000D7645">
        <w:rPr>
          <w:lang w:val="en-CA"/>
        </w:rPr>
        <w:t>;</w:t>
      </w:r>
      <w:r w:rsidRPr="000D7645">
        <w:rPr>
          <w:lang w:val="en-CA"/>
        </w:rPr>
        <w:t xml:space="preserve"> record</w:t>
      </w:r>
      <w:r w:rsidR="00997AAB">
        <w:rPr>
          <w:lang w:val="en-CA"/>
        </w:rPr>
        <w:t>-</w:t>
      </w:r>
      <w:r w:rsidRPr="000D7645">
        <w:rPr>
          <w:lang w:val="en-CA"/>
        </w:rPr>
        <w:t>keeping for certain types of HFC</w:t>
      </w:r>
      <w:r w:rsidR="00997AAB">
        <w:rPr>
          <w:lang w:val="en-CA"/>
        </w:rPr>
        <w:t>-</w:t>
      </w:r>
      <w:r w:rsidRPr="000D7645">
        <w:rPr>
          <w:lang w:val="en-CA"/>
        </w:rPr>
        <w:t xml:space="preserve">based systems, </w:t>
      </w:r>
      <w:r w:rsidR="00997AAB">
        <w:rPr>
          <w:lang w:val="en-CA"/>
        </w:rPr>
        <w:t xml:space="preserve">and </w:t>
      </w:r>
      <w:r w:rsidRPr="000D7645">
        <w:rPr>
          <w:lang w:val="en-CA"/>
        </w:rPr>
        <w:t>controls on HFC emissions).</w:t>
      </w:r>
      <w:r w:rsidR="00E81E25">
        <w:rPr>
          <w:rStyle w:val="FootnoteReference"/>
          <w:lang w:val="en-CA"/>
        </w:rPr>
        <w:footnoteReference w:id="33"/>
      </w:r>
      <w:r w:rsidR="003D4041" w:rsidRPr="003D4041">
        <w:rPr>
          <w:lang w:val="en-CA"/>
        </w:rPr>
        <w:t xml:space="preserve"> </w:t>
      </w:r>
    </w:p>
    <w:p w14:paraId="6AA57978" w14:textId="6A7F5317" w:rsidR="003D4041" w:rsidRDefault="003D4041" w:rsidP="0029767D">
      <w:pPr>
        <w:pStyle w:val="Heading1"/>
        <w:rPr>
          <w:lang w:val="en-CA"/>
        </w:rPr>
      </w:pPr>
      <w:r>
        <w:rPr>
          <w:lang w:val="en-CA"/>
        </w:rPr>
        <w:t>Several non-Article 5 countries use regulatory measures to ensure a larger and sustained adoption of good refrigeration practices</w:t>
      </w:r>
      <w:r w:rsidR="00AB3B17">
        <w:rPr>
          <w:lang w:val="en-CA"/>
        </w:rPr>
        <w:t>. F</w:t>
      </w:r>
      <w:r>
        <w:rPr>
          <w:lang w:val="en-CA"/>
        </w:rPr>
        <w:t>or example</w:t>
      </w:r>
      <w:r w:rsidR="00AB3B17">
        <w:rPr>
          <w:lang w:val="en-CA"/>
        </w:rPr>
        <w:t>,</w:t>
      </w:r>
      <w:r>
        <w:rPr>
          <w:lang w:val="en-CA"/>
        </w:rPr>
        <w:t xml:space="preserve"> certification and training are precondition</w:t>
      </w:r>
      <w:r w:rsidR="00AB3B17">
        <w:rPr>
          <w:lang w:val="en-CA"/>
        </w:rPr>
        <w:t>s</w:t>
      </w:r>
      <w:r>
        <w:rPr>
          <w:lang w:val="en-CA"/>
        </w:rPr>
        <w:t xml:space="preserve"> for </w:t>
      </w:r>
      <w:r w:rsidR="00AB3B17">
        <w:rPr>
          <w:lang w:val="en-CA"/>
        </w:rPr>
        <w:t xml:space="preserve">technicians </w:t>
      </w:r>
      <w:r>
        <w:rPr>
          <w:lang w:val="en-CA"/>
        </w:rPr>
        <w:t>servicing refrigeration systems; producers and distributors of refrigerant are obliged to receive used refrigerant for recycling or disposal; and refrigerant recovery is mandatory by certified technicians.</w:t>
      </w:r>
    </w:p>
    <w:p w14:paraId="16ED69B9" w14:textId="5AA4B61F" w:rsidR="0083422F" w:rsidRPr="00F37EF5" w:rsidRDefault="009C3AAD" w:rsidP="0029767D">
      <w:pPr>
        <w:pStyle w:val="Heading1"/>
      </w:pPr>
      <w:r w:rsidRPr="005472DC">
        <w:t xml:space="preserve">As many of the alternatives </w:t>
      </w:r>
      <w:r w:rsidR="008E7529">
        <w:t xml:space="preserve">for HCFCs and HFCs </w:t>
      </w:r>
      <w:r w:rsidRPr="005472DC">
        <w:t xml:space="preserve">are classified </w:t>
      </w:r>
      <w:r>
        <w:t>with</w:t>
      </w:r>
      <w:r w:rsidRPr="005472DC">
        <w:t xml:space="preserve"> some level of flammability, regulations, codes of practices, and standards</w:t>
      </w:r>
      <w:r w:rsidR="0007301A">
        <w:rPr>
          <w:rStyle w:val="FootnoteReference"/>
        </w:rPr>
        <w:footnoteReference w:id="34"/>
      </w:r>
      <w:r w:rsidRPr="005472DC">
        <w:t xml:space="preserve"> </w:t>
      </w:r>
      <w:r w:rsidR="009F0025">
        <w:t xml:space="preserve">should be </w:t>
      </w:r>
      <w:r w:rsidRPr="005472DC">
        <w:t xml:space="preserve">adopted to ensure </w:t>
      </w:r>
      <w:r w:rsidR="00FE01AA">
        <w:t xml:space="preserve">safe </w:t>
      </w:r>
      <w:r w:rsidR="0083422F" w:rsidRPr="006B0ACE">
        <w:rPr>
          <w:lang w:val="en-CA"/>
        </w:rPr>
        <w:t xml:space="preserve">operation of equipment </w:t>
      </w:r>
      <w:r w:rsidR="009F0025" w:rsidRPr="006B0ACE">
        <w:rPr>
          <w:lang w:val="en-CA"/>
        </w:rPr>
        <w:t xml:space="preserve">based </w:t>
      </w:r>
      <w:r w:rsidR="00997AAB" w:rsidRPr="006B0ACE">
        <w:rPr>
          <w:lang w:val="en-CA"/>
        </w:rPr>
        <w:t>o</w:t>
      </w:r>
      <w:r w:rsidR="00997AAB">
        <w:rPr>
          <w:lang w:val="en-CA"/>
        </w:rPr>
        <w:t>n</w:t>
      </w:r>
      <w:r w:rsidR="00997AAB" w:rsidRPr="006B0ACE">
        <w:rPr>
          <w:lang w:val="en-CA"/>
        </w:rPr>
        <w:t xml:space="preserve"> </w:t>
      </w:r>
      <w:r w:rsidR="009F0025" w:rsidRPr="006B0ACE">
        <w:rPr>
          <w:lang w:val="en-CA"/>
        </w:rPr>
        <w:t xml:space="preserve">those alternatives </w:t>
      </w:r>
      <w:r w:rsidR="00FE01AA" w:rsidRPr="006B0ACE">
        <w:rPr>
          <w:lang w:val="en-CA"/>
        </w:rPr>
        <w:t>and the</w:t>
      </w:r>
      <w:r w:rsidR="00997AAB">
        <w:rPr>
          <w:lang w:val="en-CA"/>
        </w:rPr>
        <w:t>ir</w:t>
      </w:r>
      <w:r w:rsidR="00FE01AA" w:rsidRPr="006B0ACE">
        <w:rPr>
          <w:lang w:val="en-CA"/>
        </w:rPr>
        <w:t xml:space="preserve"> safe handling and management </w:t>
      </w:r>
      <w:r w:rsidR="00997AAB">
        <w:rPr>
          <w:lang w:val="en-CA"/>
        </w:rPr>
        <w:t>by</w:t>
      </w:r>
      <w:r w:rsidR="00997AAB" w:rsidRPr="006B0ACE">
        <w:rPr>
          <w:lang w:val="en-CA"/>
        </w:rPr>
        <w:t xml:space="preserve"> </w:t>
      </w:r>
      <w:r w:rsidR="00FE01AA" w:rsidRPr="006B0ACE">
        <w:rPr>
          <w:lang w:val="en-CA"/>
        </w:rPr>
        <w:t>all stakeholder</w:t>
      </w:r>
      <w:r w:rsidR="00997AAB">
        <w:rPr>
          <w:lang w:val="en-CA"/>
        </w:rPr>
        <w:t>s</w:t>
      </w:r>
      <w:r w:rsidR="00FE01AA" w:rsidRPr="006B0ACE">
        <w:rPr>
          <w:lang w:val="en-CA"/>
        </w:rPr>
        <w:t xml:space="preserve"> involved (e.g., Customs departments, importers, </w:t>
      </w:r>
      <w:r w:rsidR="006B0ACE" w:rsidRPr="006B0ACE">
        <w:rPr>
          <w:lang w:val="en-CA"/>
        </w:rPr>
        <w:t xml:space="preserve">service workshops and technicians). The adoption of these regulations and standards </w:t>
      </w:r>
      <w:r w:rsidR="006B0ACE">
        <w:rPr>
          <w:lang w:val="en-CA"/>
        </w:rPr>
        <w:t xml:space="preserve">could </w:t>
      </w:r>
      <w:r w:rsidR="00A670D6" w:rsidRPr="006B0ACE">
        <w:rPr>
          <w:lang w:val="en-CA"/>
        </w:rPr>
        <w:t>delay</w:t>
      </w:r>
      <w:r w:rsidR="00362A0F" w:rsidRPr="006B0ACE">
        <w:rPr>
          <w:lang w:val="en-CA"/>
        </w:rPr>
        <w:t xml:space="preserve"> the </w:t>
      </w:r>
      <w:r w:rsidR="006B0ACE">
        <w:rPr>
          <w:lang w:val="en-CA"/>
        </w:rPr>
        <w:t xml:space="preserve">introduction of </w:t>
      </w:r>
      <w:r w:rsidR="00362A0F" w:rsidRPr="006B0ACE">
        <w:rPr>
          <w:lang w:val="en-CA"/>
        </w:rPr>
        <w:t xml:space="preserve">low-GWP alternative </w:t>
      </w:r>
      <w:r w:rsidR="00A670D6" w:rsidRPr="006B0ACE">
        <w:rPr>
          <w:lang w:val="en-CA"/>
        </w:rPr>
        <w:t xml:space="preserve">technologies. </w:t>
      </w:r>
      <w:r w:rsidR="006B0ACE">
        <w:rPr>
          <w:lang w:val="en-CA"/>
        </w:rPr>
        <w:t xml:space="preserve">For example, among </w:t>
      </w:r>
      <w:r w:rsidR="0083422F" w:rsidRPr="006B0ACE">
        <w:rPr>
          <w:lang w:val="en-CA"/>
        </w:rPr>
        <w:t xml:space="preserve">the barriers identified by UNEP for the adoption of standards </w:t>
      </w:r>
      <w:r w:rsidR="001504E5">
        <w:rPr>
          <w:lang w:val="en-CA"/>
        </w:rPr>
        <w:t>are</w:t>
      </w:r>
      <w:r w:rsidR="001504E5" w:rsidRPr="006B0ACE">
        <w:rPr>
          <w:lang w:val="en-CA"/>
        </w:rPr>
        <w:t xml:space="preserve"> </w:t>
      </w:r>
      <w:r w:rsidR="005F4968" w:rsidRPr="006B0ACE">
        <w:rPr>
          <w:lang w:val="en-CA"/>
        </w:rPr>
        <w:t xml:space="preserve">the </w:t>
      </w:r>
      <w:r w:rsidR="00F37EF5" w:rsidRPr="006B0ACE">
        <w:rPr>
          <w:lang w:val="en-CA"/>
        </w:rPr>
        <w:t>complexity</w:t>
      </w:r>
      <w:r w:rsidR="00A670D6" w:rsidRPr="006B0ACE">
        <w:rPr>
          <w:lang w:val="en-CA"/>
        </w:rPr>
        <w:t xml:space="preserve"> and length </w:t>
      </w:r>
      <w:r w:rsidR="00F37EF5" w:rsidRPr="006B0ACE">
        <w:rPr>
          <w:lang w:val="en-CA"/>
        </w:rPr>
        <w:t>of the process</w:t>
      </w:r>
      <w:r w:rsidR="006B0ACE">
        <w:rPr>
          <w:lang w:val="en-CA"/>
        </w:rPr>
        <w:t>;</w:t>
      </w:r>
      <w:r w:rsidR="00A670D6" w:rsidRPr="006B0ACE">
        <w:rPr>
          <w:lang w:val="en-CA"/>
        </w:rPr>
        <w:t xml:space="preserve"> the </w:t>
      </w:r>
      <w:r w:rsidR="005F4968" w:rsidRPr="006B0ACE">
        <w:rPr>
          <w:lang w:val="en-CA"/>
        </w:rPr>
        <w:t>lack of expertise and adequate institutional infrastructure</w:t>
      </w:r>
      <w:r w:rsidR="006B0ACE">
        <w:rPr>
          <w:lang w:val="en-CA"/>
        </w:rPr>
        <w:t>;</w:t>
      </w:r>
      <w:r w:rsidR="005F4968" w:rsidRPr="006B0ACE">
        <w:rPr>
          <w:lang w:val="en-CA"/>
        </w:rPr>
        <w:t xml:space="preserve"> lack of connections with international/regional standardization bodies</w:t>
      </w:r>
      <w:r w:rsidR="006B0ACE">
        <w:rPr>
          <w:lang w:val="en-CA"/>
        </w:rPr>
        <w:t>;</w:t>
      </w:r>
      <w:r w:rsidR="005F4968" w:rsidRPr="006B0ACE">
        <w:rPr>
          <w:lang w:val="en-CA"/>
        </w:rPr>
        <w:t xml:space="preserve"> resistance to modify</w:t>
      </w:r>
      <w:r w:rsidR="001504E5">
        <w:rPr>
          <w:lang w:val="en-CA"/>
        </w:rPr>
        <w:t>ing</w:t>
      </w:r>
      <w:r w:rsidR="005F4968" w:rsidRPr="006B0ACE">
        <w:rPr>
          <w:lang w:val="en-CA"/>
        </w:rPr>
        <w:t xml:space="preserve"> practices and </w:t>
      </w:r>
      <w:r w:rsidR="001504E5">
        <w:rPr>
          <w:lang w:val="en-CA"/>
        </w:rPr>
        <w:t xml:space="preserve">the </w:t>
      </w:r>
      <w:r w:rsidR="005F4968" w:rsidRPr="006B0ACE">
        <w:rPr>
          <w:lang w:val="en-CA"/>
        </w:rPr>
        <w:t>cost</w:t>
      </w:r>
      <w:r w:rsidR="00F37EF5" w:rsidRPr="006B0ACE">
        <w:rPr>
          <w:lang w:val="en-CA"/>
        </w:rPr>
        <w:t>s</w:t>
      </w:r>
      <w:r w:rsidR="005F4968" w:rsidRPr="006B0ACE">
        <w:rPr>
          <w:lang w:val="en-CA"/>
        </w:rPr>
        <w:t xml:space="preserve"> </w:t>
      </w:r>
      <w:r w:rsidR="00AB7386" w:rsidRPr="006B0ACE">
        <w:rPr>
          <w:lang w:val="en-CA"/>
        </w:rPr>
        <w:t xml:space="preserve">associated with </w:t>
      </w:r>
      <w:r w:rsidR="005F4968" w:rsidRPr="006B0ACE">
        <w:rPr>
          <w:lang w:val="en-CA"/>
        </w:rPr>
        <w:t xml:space="preserve">acquiring the standards </w:t>
      </w:r>
      <w:r w:rsidR="00F37EF5" w:rsidRPr="006B0ACE">
        <w:rPr>
          <w:lang w:val="en-CA"/>
        </w:rPr>
        <w:t xml:space="preserve">by </w:t>
      </w:r>
      <w:r w:rsidR="005F4968" w:rsidRPr="006B0ACE">
        <w:rPr>
          <w:lang w:val="en-CA"/>
        </w:rPr>
        <w:t xml:space="preserve">smaller enterprises. </w:t>
      </w:r>
      <w:r w:rsidR="000E7B4E" w:rsidRPr="00F37EF5">
        <w:t>NOUs can support n</w:t>
      </w:r>
      <w:r w:rsidR="005F4968" w:rsidRPr="00F37EF5">
        <w:t xml:space="preserve">ational </w:t>
      </w:r>
      <w:r w:rsidR="000E7B4E" w:rsidRPr="00F37EF5">
        <w:t>s</w:t>
      </w:r>
      <w:r w:rsidR="005F4968" w:rsidRPr="00F37EF5">
        <w:t xml:space="preserve">tandardisation </w:t>
      </w:r>
      <w:r w:rsidR="000E7B4E" w:rsidRPr="00F37EF5">
        <w:t>b</w:t>
      </w:r>
      <w:r w:rsidR="005F4968" w:rsidRPr="00F37EF5">
        <w:t>od</w:t>
      </w:r>
      <w:r w:rsidR="000E7B4E" w:rsidRPr="00F37EF5">
        <w:t xml:space="preserve">ies to facilitate the process of </w:t>
      </w:r>
      <w:r w:rsidR="001504E5" w:rsidRPr="00F37EF5">
        <w:t>develop</w:t>
      </w:r>
      <w:r w:rsidR="001504E5">
        <w:t>ing</w:t>
      </w:r>
      <w:r w:rsidR="000E7B4E" w:rsidRPr="00F37EF5">
        <w:t xml:space="preserve">, </w:t>
      </w:r>
      <w:r w:rsidR="001504E5" w:rsidRPr="00F37EF5">
        <w:t>adopti</w:t>
      </w:r>
      <w:r w:rsidR="001504E5">
        <w:t>ng</w:t>
      </w:r>
      <w:r w:rsidR="001504E5" w:rsidRPr="00F37EF5">
        <w:t xml:space="preserve"> </w:t>
      </w:r>
      <w:r w:rsidR="000E7B4E" w:rsidRPr="00F37EF5">
        <w:t>and updat</w:t>
      </w:r>
      <w:r w:rsidR="001504E5">
        <w:t>ing</w:t>
      </w:r>
      <w:r w:rsidR="000E7B4E" w:rsidRPr="00F37EF5">
        <w:t xml:space="preserve"> standards and to</w:t>
      </w:r>
      <w:r w:rsidR="005F4968" w:rsidRPr="00F37EF5">
        <w:t xml:space="preserve"> strengthen</w:t>
      </w:r>
      <w:r w:rsidR="000E7B4E" w:rsidRPr="00F37EF5">
        <w:t xml:space="preserve"> ties </w:t>
      </w:r>
      <w:r w:rsidR="005F4968" w:rsidRPr="00F37EF5">
        <w:t xml:space="preserve">to the local </w:t>
      </w:r>
      <w:r w:rsidR="000E7B4E" w:rsidRPr="00F37EF5">
        <w:t>refrigeration and air</w:t>
      </w:r>
      <w:r w:rsidR="00AF4799">
        <w:noBreakHyphen/>
      </w:r>
      <w:r w:rsidR="000E7B4E" w:rsidRPr="00F37EF5">
        <w:t>conditioning associations and stakeholders.</w:t>
      </w:r>
      <w:r w:rsidR="005F4968" w:rsidRPr="00F37EF5">
        <w:rPr>
          <w:rStyle w:val="FootnoteReference"/>
        </w:rPr>
        <w:footnoteReference w:id="35"/>
      </w:r>
    </w:p>
    <w:p w14:paraId="2CFD8ADE" w14:textId="02E9BA31" w:rsidR="00D10EF9" w:rsidRPr="00380B17" w:rsidRDefault="00D10EF9" w:rsidP="0029767D">
      <w:pPr>
        <w:pStyle w:val="Heading1"/>
      </w:pPr>
      <w:r w:rsidRPr="006C7D79">
        <w:t xml:space="preserve">At </w:t>
      </w:r>
      <w:r>
        <w:t xml:space="preserve">its </w:t>
      </w:r>
      <w:r w:rsidRPr="006C7D79">
        <w:t>72</w:t>
      </w:r>
      <w:r w:rsidRPr="006C7D79">
        <w:rPr>
          <w:vertAlign w:val="superscript"/>
        </w:rPr>
        <w:t>nd</w:t>
      </w:r>
      <w:r w:rsidRPr="006C7D79">
        <w:t xml:space="preserve"> meeting</w:t>
      </w:r>
      <w:r>
        <w:t xml:space="preserve"> (May 2014)</w:t>
      </w:r>
      <w:r w:rsidRPr="006C7D79">
        <w:t xml:space="preserve">, the Executive Committee encouraged Article 5 countries, when implementing their HPMPs, to consider, as needed and feasible, </w:t>
      </w:r>
      <w:r w:rsidRPr="006C7D79">
        <w:rPr>
          <w:i/>
        </w:rPr>
        <w:t>inter</w:t>
      </w:r>
      <w:r w:rsidR="00AF4799">
        <w:rPr>
          <w:i/>
        </w:rPr>
        <w:t xml:space="preserve"> </w:t>
      </w:r>
      <w:r w:rsidRPr="006C7D79">
        <w:rPr>
          <w:i/>
        </w:rPr>
        <w:t>alia</w:t>
      </w:r>
      <w:r w:rsidRPr="006C7D79">
        <w:t xml:space="preserve">, the development of regulations and codes of practice, and the adoption of standards for the safe introduction of flammable and toxic refrigerants </w:t>
      </w:r>
      <w:r w:rsidR="004616B0">
        <w:t xml:space="preserve">and refrigerants operating with very high pressure </w:t>
      </w:r>
      <w:r w:rsidRPr="006C7D79">
        <w:t xml:space="preserve">given the potential risk of accidents and negative effects on health associated with their use; and </w:t>
      </w:r>
      <w:r w:rsidR="00CD1F0A">
        <w:t xml:space="preserve">consider </w:t>
      </w:r>
      <w:r w:rsidRPr="006C7D79">
        <w:t xml:space="preserve">focusing activities in the refrigeration servicing sector on training of technicians, good practices, the safe handling of </w:t>
      </w:r>
      <w:r w:rsidRPr="00380B17">
        <w:t>refrigerants, containment, recovery and recycling</w:t>
      </w:r>
      <w:r w:rsidR="00CD1F0A">
        <w:t>,</w:t>
      </w:r>
      <w:r w:rsidRPr="00380B17">
        <w:t xml:space="preserve"> and </w:t>
      </w:r>
      <w:r w:rsidR="00CD1F0A">
        <w:t xml:space="preserve">the </w:t>
      </w:r>
      <w:r w:rsidRPr="00380B17">
        <w:t>reuse of recovered refrigerants (decision 72/41). Training in the installation, operation, maintenance and disposal of equipment using flammable substances has been considered a priority during stage I of the HPMPs in countries where these refrigerants were already in the market or expected to be introduced.</w:t>
      </w:r>
    </w:p>
    <w:p w14:paraId="15C52405" w14:textId="5A28E19A" w:rsidR="005A3467" w:rsidRPr="00380B17" w:rsidRDefault="006B0ACE" w:rsidP="0029767D">
      <w:pPr>
        <w:pStyle w:val="Heading1"/>
      </w:pPr>
      <w:r w:rsidRPr="00380B17">
        <w:rPr>
          <w:lang w:val="en-CA"/>
        </w:rPr>
        <w:t xml:space="preserve">While </w:t>
      </w:r>
      <w:r w:rsidR="004F4FF8" w:rsidRPr="00380B17">
        <w:rPr>
          <w:lang w:val="en-CA"/>
        </w:rPr>
        <w:t xml:space="preserve">some activities </w:t>
      </w:r>
      <w:r w:rsidRPr="00380B17">
        <w:rPr>
          <w:lang w:val="en-CA"/>
        </w:rPr>
        <w:t xml:space="preserve">to adopt national standards to facilitate the </w:t>
      </w:r>
      <w:r w:rsidR="00C80E9B">
        <w:rPr>
          <w:lang w:val="en-CA"/>
        </w:rPr>
        <w:t>introduction</w:t>
      </w:r>
      <w:r w:rsidR="00C80E9B" w:rsidRPr="00380B17">
        <w:rPr>
          <w:lang w:val="en-CA"/>
        </w:rPr>
        <w:t xml:space="preserve"> </w:t>
      </w:r>
      <w:r w:rsidRPr="00380B17">
        <w:rPr>
          <w:lang w:val="en-CA"/>
        </w:rPr>
        <w:t>of low-GWP alternatives</w:t>
      </w:r>
      <w:r w:rsidR="004F4FF8" w:rsidRPr="00380B17">
        <w:rPr>
          <w:lang w:val="en-CA"/>
        </w:rPr>
        <w:t xml:space="preserve"> have been included in several HPMPs under implementation, </w:t>
      </w:r>
      <w:r w:rsidRPr="00380B17">
        <w:rPr>
          <w:lang w:val="en-CA"/>
        </w:rPr>
        <w:t xml:space="preserve">additional work </w:t>
      </w:r>
      <w:r w:rsidR="00CD1F0A">
        <w:rPr>
          <w:lang w:val="en-CA"/>
        </w:rPr>
        <w:t>i</w:t>
      </w:r>
      <w:r w:rsidR="00CD1F0A" w:rsidRPr="00380B17">
        <w:rPr>
          <w:lang w:val="en-CA"/>
        </w:rPr>
        <w:t xml:space="preserve">n </w:t>
      </w:r>
      <w:r w:rsidR="004F4FF8" w:rsidRPr="00380B17">
        <w:rPr>
          <w:lang w:val="en-CA"/>
        </w:rPr>
        <w:t xml:space="preserve">this area would </w:t>
      </w:r>
      <w:r w:rsidRPr="00380B17">
        <w:rPr>
          <w:lang w:val="en-CA"/>
        </w:rPr>
        <w:t>be required in the majority of Article 5 countries</w:t>
      </w:r>
      <w:r w:rsidR="004F4FF8" w:rsidRPr="00380B17">
        <w:rPr>
          <w:lang w:val="en-CA"/>
        </w:rPr>
        <w:t xml:space="preserve">. In this regard, </w:t>
      </w:r>
      <w:r w:rsidR="00E47FAF" w:rsidRPr="00380B17">
        <w:t>at its 79</w:t>
      </w:r>
      <w:r w:rsidR="00E47FAF" w:rsidRPr="00380B17">
        <w:rPr>
          <w:vertAlign w:val="superscript"/>
        </w:rPr>
        <w:t>th</w:t>
      </w:r>
      <w:r w:rsidR="00E47FAF" w:rsidRPr="00380B17">
        <w:t xml:space="preserve"> meeting (July 2017) the Executive Committee agreed </w:t>
      </w:r>
      <w:r w:rsidR="00CD1F0A">
        <w:t xml:space="preserve">to the </w:t>
      </w:r>
      <w:r w:rsidR="00E47FAF" w:rsidRPr="00380B17">
        <w:t>funding of enabling activities to support the phase-down of HFCs (decision 79/46)</w:t>
      </w:r>
      <w:r w:rsidR="004F4FF8" w:rsidRPr="00380B17">
        <w:t xml:space="preserve">, </w:t>
      </w:r>
      <w:r w:rsidR="00E47FAF" w:rsidRPr="00380B17">
        <w:t>consisting of, but not limited to activities to facilitate and support the early ratification of the Kigali Amendment; activities aimed at initiating supporting institutional arrangements</w:t>
      </w:r>
      <w:r w:rsidR="004F4FF8" w:rsidRPr="00380B17">
        <w:t>;</w:t>
      </w:r>
      <w:r w:rsidR="00E47FAF" w:rsidRPr="00380B17">
        <w:t xml:space="preserve"> the review of licensing systems</w:t>
      </w:r>
      <w:r w:rsidR="004F4FF8" w:rsidRPr="00380B17">
        <w:t>;</w:t>
      </w:r>
      <w:r w:rsidR="00E47FAF" w:rsidRPr="00380B17">
        <w:t xml:space="preserve"> </w:t>
      </w:r>
      <w:r w:rsidR="004F4FF8" w:rsidRPr="00380B17">
        <w:t xml:space="preserve">HFC </w:t>
      </w:r>
      <w:r w:rsidR="00E47FAF" w:rsidRPr="00380B17">
        <w:t>data reporting</w:t>
      </w:r>
      <w:r w:rsidR="004F4FF8" w:rsidRPr="00380B17">
        <w:t>;</w:t>
      </w:r>
      <w:r w:rsidR="00E47FAF" w:rsidRPr="00380B17">
        <w:t xml:space="preserve"> and demonstration of non-investment activities; and national strategies. </w:t>
      </w:r>
      <w:r w:rsidR="004F4FF8" w:rsidRPr="00380B17">
        <w:t xml:space="preserve">The Committee </w:t>
      </w:r>
      <w:r w:rsidR="00E47FAF" w:rsidRPr="00380B17">
        <w:t xml:space="preserve">also agreed that funding for the preparation of national </w:t>
      </w:r>
      <w:r w:rsidR="004F4FF8" w:rsidRPr="00380B17">
        <w:t xml:space="preserve">HFC phase-down </w:t>
      </w:r>
      <w:r w:rsidR="00E47FAF" w:rsidRPr="00380B17">
        <w:t>plans to meet initial reduction obligations could be provided, at the earliest, five years prior to those obligations, after a country had ratified the Kigali Amendment.</w:t>
      </w:r>
      <w:r w:rsidR="005A3467" w:rsidRPr="00380B17">
        <w:t xml:space="preserve"> At the time of finalization of the present document,</w:t>
      </w:r>
      <w:r w:rsidR="00A449E8">
        <w:t xml:space="preserve"> 3</w:t>
      </w:r>
      <w:r w:rsidR="00AA51F0">
        <w:t>5</w:t>
      </w:r>
      <w:r w:rsidR="005A3467" w:rsidRPr="00380B17">
        <w:t xml:space="preserve"> Article</w:t>
      </w:r>
      <w:r w:rsidR="00AA51F0">
        <w:t> </w:t>
      </w:r>
      <w:r w:rsidR="005A3467" w:rsidRPr="00380B17">
        <w:t>5 countries had ratified the Kigali Amendment, a</w:t>
      </w:r>
      <w:r w:rsidR="00380B17">
        <w:t xml:space="preserve">ll of them classified in group </w:t>
      </w:r>
      <w:r w:rsidR="00AA51F0">
        <w:t>1</w:t>
      </w:r>
      <w:r w:rsidR="005A3467" w:rsidRPr="00380B17">
        <w:t>. For those countries funding requests could be received as early as 2019.</w:t>
      </w:r>
    </w:p>
    <w:p w14:paraId="47037E3A" w14:textId="77777777" w:rsidR="008B110E" w:rsidRPr="008B110E" w:rsidRDefault="008B110E" w:rsidP="0029767D">
      <w:pPr>
        <w:widowControl w:val="0"/>
        <w:spacing w:after="240"/>
        <w:outlineLvl w:val="2"/>
        <w:rPr>
          <w:b/>
        </w:rPr>
      </w:pPr>
      <w:r w:rsidRPr="00380B17">
        <w:rPr>
          <w:b/>
        </w:rPr>
        <w:t>Training and certification of technicians</w:t>
      </w:r>
    </w:p>
    <w:p w14:paraId="6C0E4990" w14:textId="77777777" w:rsidR="003D1739" w:rsidRPr="00187443" w:rsidRDefault="003D1739" w:rsidP="0029767D">
      <w:pPr>
        <w:pStyle w:val="Heading1"/>
      </w:pPr>
      <w:r w:rsidRPr="00187443">
        <w:t xml:space="preserve">Training was </w:t>
      </w:r>
      <w:r>
        <w:t xml:space="preserve">initially </w:t>
      </w:r>
      <w:r w:rsidRPr="00187443">
        <w:t xml:space="preserve">provided </w:t>
      </w:r>
      <w:r>
        <w:t xml:space="preserve">to technicians </w:t>
      </w:r>
      <w:r w:rsidRPr="00187443">
        <w:t>a</w:t>
      </w:r>
      <w:r w:rsidRPr="00A832A7">
        <w:t xml:space="preserve">s stand-alone training in good refrigeration servicing practices, which contained a train-the-trainer session followed by </w:t>
      </w:r>
      <w:r w:rsidRPr="00B46699">
        <w:t xml:space="preserve">technician training. </w:t>
      </w:r>
      <w:r>
        <w:t xml:space="preserve">Although the </w:t>
      </w:r>
      <w:r w:rsidRPr="00B46699">
        <w:t xml:space="preserve">coverage of </w:t>
      </w:r>
      <w:r>
        <w:t xml:space="preserve">the training </w:t>
      </w:r>
      <w:r w:rsidRPr="00B46699">
        <w:t xml:space="preserve">programmes was limited </w:t>
      </w:r>
      <w:r>
        <w:t>and the resulting</w:t>
      </w:r>
      <w:r w:rsidRPr="00A94A6E">
        <w:t xml:space="preserve"> reduction of CFC consumption</w:t>
      </w:r>
      <w:r>
        <w:t xml:space="preserve"> was not quantified, </w:t>
      </w:r>
      <w:r w:rsidRPr="00A94A6E">
        <w:t xml:space="preserve">Multilateral Fund evaluations concluded that the introduction of good refrigeration servicing </w:t>
      </w:r>
      <w:r>
        <w:t xml:space="preserve">practices </w:t>
      </w:r>
      <w:r w:rsidRPr="00A94A6E">
        <w:t>was an imp</w:t>
      </w:r>
      <w:r w:rsidRPr="00BB07EA">
        <w:t>ortant factor in reducing CFC emissions into the atmosphere,</w:t>
      </w:r>
      <w:r w:rsidRPr="00187443">
        <w:rPr>
          <w:vertAlign w:val="superscript"/>
        </w:rPr>
        <w:footnoteReference w:id="36"/>
      </w:r>
      <w:r w:rsidRPr="00187443">
        <w:t xml:space="preserve"> and in allowing countries to be in compliance with their obligations under the Montreal Protocol. In addition, training programmes increased awareness about conservation, preventive maintenance and substitute technologies, and contributed to updating the curricula of training-centre courses.</w:t>
      </w:r>
    </w:p>
    <w:p w14:paraId="7B2918FD" w14:textId="77777777" w:rsidR="003D1739" w:rsidRPr="00226B68" w:rsidRDefault="003D1739" w:rsidP="0029767D">
      <w:pPr>
        <w:pStyle w:val="Heading1"/>
      </w:pPr>
      <w:r w:rsidRPr="00B46699">
        <w:t xml:space="preserve">As training programmes for refrigeration technicians evolved from stand-alone activities to </w:t>
      </w:r>
      <w:r w:rsidRPr="00A94A6E">
        <w:t>become integral components of sector and</w:t>
      </w:r>
      <w:r w:rsidRPr="00BB07EA">
        <w:t xml:space="preserve"> national phase-out plans, NOUs increased the involvement of national vocational/training centres in their implementation, and ensured that the subjects covered by the training </w:t>
      </w:r>
      <w:r>
        <w:t xml:space="preserve">(e.g., </w:t>
      </w:r>
      <w:r w:rsidRPr="00BB07EA">
        <w:t>good practices in refrigeration</w:t>
      </w:r>
      <w:r>
        <w:t>, proper use of flammable refrigerants</w:t>
      </w:r>
      <w:r w:rsidRPr="00BB07EA">
        <w:t>) were included in the centres</w:t>
      </w:r>
      <w:r w:rsidRPr="005638B9">
        <w:t>’ cur</w:t>
      </w:r>
      <w:r w:rsidRPr="00226B68">
        <w:t xml:space="preserve">ricula. </w:t>
      </w:r>
    </w:p>
    <w:p w14:paraId="72B08F87" w14:textId="77777777" w:rsidR="008B110E" w:rsidRPr="00795CB1" w:rsidRDefault="00EB5F26" w:rsidP="0029767D">
      <w:pPr>
        <w:pStyle w:val="Heading1"/>
      </w:pPr>
      <w:r>
        <w:t>T</w:t>
      </w:r>
      <w:r w:rsidRPr="00AD7E9B">
        <w:t xml:space="preserve">he </w:t>
      </w:r>
      <w:r>
        <w:t xml:space="preserve">programmes for the training and certification of technicians implemented so far have allowed several </w:t>
      </w:r>
      <w:r w:rsidRPr="00AD7E9B">
        <w:t xml:space="preserve">countries </w:t>
      </w:r>
      <w:r>
        <w:t xml:space="preserve">to </w:t>
      </w:r>
      <w:r w:rsidRPr="00AD7E9B">
        <w:t xml:space="preserve">strengthen </w:t>
      </w:r>
      <w:r>
        <w:t xml:space="preserve">their </w:t>
      </w:r>
      <w:r w:rsidRPr="00AD7E9B">
        <w:t>local institutions</w:t>
      </w:r>
      <w:r>
        <w:t>,</w:t>
      </w:r>
      <w:r w:rsidRPr="00AD7E9B">
        <w:t xml:space="preserve"> and </w:t>
      </w:r>
      <w:r>
        <w:t xml:space="preserve">have </w:t>
      </w:r>
      <w:r w:rsidRPr="00AD7E9B">
        <w:t>enabl</w:t>
      </w:r>
      <w:r>
        <w:t>ed</w:t>
      </w:r>
      <w:r w:rsidRPr="00AD7E9B">
        <w:t xml:space="preserve"> </w:t>
      </w:r>
      <w:r>
        <w:t xml:space="preserve">them </w:t>
      </w:r>
      <w:r w:rsidRPr="00AD7E9B">
        <w:t>to provide training</w:t>
      </w:r>
      <w:r>
        <w:t xml:space="preserve"> to technicians</w:t>
      </w:r>
      <w:r w:rsidRPr="0001508E">
        <w:t xml:space="preserve"> </w:t>
      </w:r>
      <w:r>
        <w:t xml:space="preserve">at different skill levels. </w:t>
      </w:r>
      <w:r w:rsidR="008B110E" w:rsidRPr="006C7D79">
        <w:t xml:space="preserve">Past evaluations of training programmes </w:t>
      </w:r>
      <w:r w:rsidR="008B110E">
        <w:t xml:space="preserve">have </w:t>
      </w:r>
      <w:r w:rsidR="008B110E" w:rsidRPr="006C7D79">
        <w:t xml:space="preserve">also recommended supporting the establishment of technician certification systems. Many countries have </w:t>
      </w:r>
      <w:r w:rsidR="0001508E">
        <w:t xml:space="preserve">moved toward </w:t>
      </w:r>
      <w:r w:rsidR="008B110E" w:rsidRPr="006C7D79">
        <w:t xml:space="preserve">establishing </w:t>
      </w:r>
      <w:r w:rsidR="0001508E">
        <w:t xml:space="preserve">voluntary </w:t>
      </w:r>
      <w:r w:rsidR="008B110E" w:rsidRPr="006C7D79">
        <w:t>certification schemes supported by regulations</w:t>
      </w:r>
      <w:r w:rsidR="00BD04BC">
        <w:t xml:space="preserve">. Making such schemes </w:t>
      </w:r>
      <w:r w:rsidR="008B110E" w:rsidRPr="00BC128E">
        <w:t>mandatory is more challenging</w:t>
      </w:r>
      <w:r w:rsidR="0001508E">
        <w:t>,</w:t>
      </w:r>
      <w:r w:rsidR="008B110E" w:rsidRPr="00BC128E">
        <w:t xml:space="preserve"> as </w:t>
      </w:r>
      <w:r w:rsidR="0001508E">
        <w:t>such a</w:t>
      </w:r>
      <w:r w:rsidR="0001508E" w:rsidRPr="00BC128E">
        <w:t xml:space="preserve"> </w:t>
      </w:r>
      <w:r w:rsidR="008B110E" w:rsidRPr="00BC128E">
        <w:t>decision would often go beyond the NOU</w:t>
      </w:r>
      <w:r w:rsidR="00BD04BC">
        <w:t>’</w:t>
      </w:r>
      <w:r w:rsidR="008B110E" w:rsidRPr="00BC128E">
        <w:t xml:space="preserve">s </w:t>
      </w:r>
      <w:r w:rsidR="0001508E">
        <w:t>purview</w:t>
      </w:r>
      <w:r w:rsidR="0001508E" w:rsidRPr="00BC128E">
        <w:t xml:space="preserve"> </w:t>
      </w:r>
      <w:r w:rsidR="008B110E" w:rsidRPr="00BC128E">
        <w:t xml:space="preserve">(i.e., an issue related to the ministries of education and/or labour) and would require additional institutional work. An alternative </w:t>
      </w:r>
      <w:r w:rsidR="00DE1FB3">
        <w:t xml:space="preserve">approach </w:t>
      </w:r>
      <w:r w:rsidR="008B110E" w:rsidRPr="00BC128E">
        <w:t xml:space="preserve">considered in some countries is the issuing of environmental licenses, which would be under the </w:t>
      </w:r>
      <w:r w:rsidR="0001508E">
        <w:t>purview</w:t>
      </w:r>
      <w:r w:rsidR="0001508E" w:rsidRPr="00BC128E">
        <w:t xml:space="preserve"> </w:t>
      </w:r>
      <w:r w:rsidR="008B110E" w:rsidRPr="00BC128E">
        <w:t xml:space="preserve">of the Ministries of </w:t>
      </w:r>
      <w:r w:rsidR="008B110E" w:rsidRPr="00795CB1">
        <w:t xml:space="preserve">Environment. </w:t>
      </w:r>
    </w:p>
    <w:p w14:paraId="7A7F245A" w14:textId="120B2B3B" w:rsidR="008B110E" w:rsidRDefault="00152AE0" w:rsidP="0029767D">
      <w:pPr>
        <w:pStyle w:val="Heading1"/>
      </w:pPr>
      <w:r>
        <w:t xml:space="preserve">One of the </w:t>
      </w:r>
      <w:r w:rsidR="008B110E" w:rsidRPr="00795CB1">
        <w:t>evaluation</w:t>
      </w:r>
      <w:r w:rsidR="0001508E">
        <w:t>s</w:t>
      </w:r>
      <w:r w:rsidR="008B110E" w:rsidRPr="00795CB1">
        <w:t xml:space="preserve"> of training programmes</w:t>
      </w:r>
      <w:r w:rsidR="008B110E" w:rsidRPr="00795CB1">
        <w:rPr>
          <w:vertAlign w:val="superscript"/>
        </w:rPr>
        <w:footnoteReference w:id="37"/>
      </w:r>
      <w:r w:rsidR="008B110E" w:rsidRPr="00795CB1">
        <w:t xml:space="preserve"> recommended strengthening associations and involving them more closely in project implementation. This recommendation has been incorporated into the HPMPs of several Article 5 countries with positive results, to the extent that some governments have designated and supported refrigeration association</w:t>
      </w:r>
      <w:r w:rsidR="00DE1FB3">
        <w:t>s</w:t>
      </w:r>
      <w:r w:rsidR="008B110E" w:rsidRPr="00795CB1">
        <w:t xml:space="preserve"> to implement the certification system for technicians, which could potentially generate income that would contribute to their sustainability.</w:t>
      </w:r>
      <w:r w:rsidR="00034CA2">
        <w:t xml:space="preserve"> </w:t>
      </w:r>
      <w:r w:rsidR="004E6D13">
        <w:t xml:space="preserve">These results have been confirmed by the current evaluation </w:t>
      </w:r>
      <w:r w:rsidR="004E6D13" w:rsidRPr="004E6D13">
        <w:t xml:space="preserve">of the </w:t>
      </w:r>
      <w:r w:rsidR="004E6D13">
        <w:t xml:space="preserve">refrigeration and air-conditioning </w:t>
      </w:r>
      <w:r w:rsidR="004E6D13" w:rsidRPr="004E6D13">
        <w:t xml:space="preserve">servicing </w:t>
      </w:r>
      <w:r w:rsidR="004E6D13">
        <w:t>sector,</w:t>
      </w:r>
      <w:r w:rsidR="004E6D13" w:rsidRPr="004E6D13">
        <w:t xml:space="preserve"> </w:t>
      </w:r>
      <w:r w:rsidR="004E6D13">
        <w:t xml:space="preserve">where it </w:t>
      </w:r>
      <w:r w:rsidR="004E6D13" w:rsidRPr="004E6D13">
        <w:t>ha</w:t>
      </w:r>
      <w:r w:rsidR="004E6D13">
        <w:t>s</w:t>
      </w:r>
      <w:r w:rsidR="004E6D13" w:rsidRPr="004E6D13">
        <w:t xml:space="preserve"> highlighted the importance of </w:t>
      </w:r>
      <w:r w:rsidR="004E6D13">
        <w:t xml:space="preserve">refrigeration </w:t>
      </w:r>
      <w:r w:rsidR="004E6D13" w:rsidRPr="004E6D13">
        <w:t>associations as key stakeholders in project design and implementation</w:t>
      </w:r>
      <w:r w:rsidR="004E6D13">
        <w:t xml:space="preserve">, and where it has been </w:t>
      </w:r>
      <w:r w:rsidR="004E6D13" w:rsidRPr="004E6D13">
        <w:t xml:space="preserve">recommended to strengthen them or strongly suggested to </w:t>
      </w:r>
      <w:r w:rsidR="004E6D13">
        <w:t xml:space="preserve">establish </w:t>
      </w:r>
      <w:r w:rsidR="004E6D13" w:rsidRPr="004E6D13">
        <w:t>them if they are non-existent.</w:t>
      </w:r>
      <w:r w:rsidR="004E6D13">
        <w:rPr>
          <w:rStyle w:val="FootnoteReference"/>
        </w:rPr>
        <w:footnoteReference w:id="38"/>
      </w:r>
    </w:p>
    <w:p w14:paraId="7AA289B4" w14:textId="77777777" w:rsidR="008B110E" w:rsidRPr="00FA17DF" w:rsidRDefault="00C05066" w:rsidP="0029767D">
      <w:pPr>
        <w:pStyle w:val="Heading1"/>
        <w:numPr>
          <w:ilvl w:val="0"/>
          <w:numId w:val="0"/>
        </w:numPr>
        <w:rPr>
          <w:u w:val="single"/>
          <w:lang w:val="en-CA"/>
        </w:rPr>
      </w:pPr>
      <w:r>
        <w:rPr>
          <w:u w:val="single"/>
          <w:lang w:val="en-CA"/>
        </w:rPr>
        <w:t xml:space="preserve">Utilization of the </w:t>
      </w:r>
      <w:r w:rsidR="004E51A2">
        <w:rPr>
          <w:u w:val="single"/>
          <w:lang w:val="en-CA"/>
        </w:rPr>
        <w:t xml:space="preserve">training </w:t>
      </w:r>
      <w:r>
        <w:rPr>
          <w:u w:val="single"/>
          <w:lang w:val="en-CA"/>
        </w:rPr>
        <w:t>c</w:t>
      </w:r>
      <w:r w:rsidR="008B110E" w:rsidRPr="004C1158">
        <w:rPr>
          <w:u w:val="single"/>
          <w:lang w:val="en-CA"/>
        </w:rPr>
        <w:t>apacity created</w:t>
      </w:r>
      <w:r w:rsidR="008B110E">
        <w:rPr>
          <w:u w:val="single"/>
          <w:lang w:val="en-CA"/>
        </w:rPr>
        <w:t xml:space="preserve"> </w:t>
      </w:r>
      <w:r w:rsidR="008B110E" w:rsidRPr="004C1158">
        <w:rPr>
          <w:u w:val="single"/>
          <w:lang w:val="en-CA"/>
        </w:rPr>
        <w:t>for</w:t>
      </w:r>
      <w:r w:rsidR="004E51A2">
        <w:rPr>
          <w:u w:val="single"/>
          <w:lang w:val="en-CA"/>
        </w:rPr>
        <w:t xml:space="preserve"> </w:t>
      </w:r>
      <w:r w:rsidR="008B110E" w:rsidRPr="004C1158">
        <w:rPr>
          <w:u w:val="single"/>
          <w:lang w:val="en-CA"/>
        </w:rPr>
        <w:t>HFC phase-down</w:t>
      </w:r>
    </w:p>
    <w:p w14:paraId="4889A5B7" w14:textId="1CDEC7B2" w:rsidR="00AE688E" w:rsidRDefault="00E01A8C" w:rsidP="0029767D">
      <w:pPr>
        <w:pStyle w:val="Heading1"/>
      </w:pPr>
      <w:r w:rsidRPr="007B2F17">
        <w:rPr>
          <w:lang w:val="en-CA"/>
        </w:rPr>
        <w:t xml:space="preserve">With the accelerated phase-out of HCFCs and the adoption of the Kigali Amendment, the number </w:t>
      </w:r>
      <w:r w:rsidR="006A3349">
        <w:rPr>
          <w:lang w:val="en-CA"/>
        </w:rPr>
        <w:t xml:space="preserve">and variety </w:t>
      </w:r>
      <w:r w:rsidRPr="007B2F17">
        <w:rPr>
          <w:lang w:val="en-CA"/>
        </w:rPr>
        <w:t>of refrigeration and air-conditioning systems operating with low</w:t>
      </w:r>
      <w:r w:rsidR="002F7B75">
        <w:rPr>
          <w:lang w:val="en-CA"/>
        </w:rPr>
        <w:noBreakHyphen/>
      </w:r>
      <w:r w:rsidRPr="007B2F17">
        <w:rPr>
          <w:lang w:val="en-CA"/>
        </w:rPr>
        <w:t xml:space="preserve">GWP refrigerants </w:t>
      </w:r>
      <w:r w:rsidR="0001508E" w:rsidRPr="007B2F17">
        <w:rPr>
          <w:lang w:val="en-CA"/>
        </w:rPr>
        <w:t>ha</w:t>
      </w:r>
      <w:r w:rsidR="0001508E">
        <w:rPr>
          <w:lang w:val="en-CA"/>
        </w:rPr>
        <w:t>s</w:t>
      </w:r>
      <w:r w:rsidR="0001508E" w:rsidRPr="007B2F17">
        <w:rPr>
          <w:lang w:val="en-CA"/>
        </w:rPr>
        <w:t xml:space="preserve"> </w:t>
      </w:r>
      <w:r w:rsidR="007B2F17" w:rsidRPr="007B2F17">
        <w:rPr>
          <w:lang w:val="en-CA"/>
        </w:rPr>
        <w:t xml:space="preserve">been </w:t>
      </w:r>
      <w:r w:rsidRPr="007B2F17">
        <w:rPr>
          <w:lang w:val="en-CA"/>
        </w:rPr>
        <w:t>gradually increas</w:t>
      </w:r>
      <w:r w:rsidR="007B2F17" w:rsidRPr="007B2F17">
        <w:rPr>
          <w:lang w:val="en-CA"/>
        </w:rPr>
        <w:t>ing</w:t>
      </w:r>
      <w:r w:rsidR="002F7B75">
        <w:rPr>
          <w:lang w:val="en-CA"/>
        </w:rPr>
        <w:t>.</w:t>
      </w:r>
      <w:r w:rsidR="006A3349">
        <w:rPr>
          <w:lang w:val="en-CA"/>
        </w:rPr>
        <w:t xml:space="preserve"> </w:t>
      </w:r>
      <w:r w:rsidR="007B2F17">
        <w:rPr>
          <w:lang w:val="en-CA"/>
        </w:rPr>
        <w:t xml:space="preserve">In this context, </w:t>
      </w:r>
      <w:r w:rsidRPr="007B2F17">
        <w:rPr>
          <w:lang w:val="en-CA"/>
        </w:rPr>
        <w:t>several countries have already started to strengthen the local institutions and bodies involved in technician training and certification during the implementation of their HPMPs</w:t>
      </w:r>
      <w:r w:rsidR="006A3349">
        <w:rPr>
          <w:lang w:val="en-CA"/>
        </w:rPr>
        <w:t>.</w:t>
      </w:r>
      <w:r w:rsidR="00AA51F0">
        <w:rPr>
          <w:lang w:val="en-CA"/>
        </w:rPr>
        <w:t xml:space="preserve"> </w:t>
      </w:r>
      <w:r w:rsidR="00AE688E">
        <w:t>This will help create the conditions to ensure that technicians serving equipment based on these alternative refrigerants have the knowledge, skill and tools to do it in a safe and environmentally sound manner.</w:t>
      </w:r>
    </w:p>
    <w:p w14:paraId="63A749E6" w14:textId="77777777" w:rsidR="00AE688E" w:rsidRPr="00B46699" w:rsidRDefault="00AE688E" w:rsidP="0029767D">
      <w:pPr>
        <w:pStyle w:val="Heading1"/>
      </w:pPr>
      <w:r w:rsidRPr="00187443">
        <w:t>Lessons learned from implemented projects indicated that training should become self</w:t>
      </w:r>
      <w:r w:rsidRPr="00187443">
        <w:noBreakHyphen/>
        <w:t xml:space="preserve">sustained in order to ensure broader coverage after project completion and to better contribute to a permanent change of </w:t>
      </w:r>
      <w:r w:rsidRPr="00A832A7">
        <w:t xml:space="preserve">behaviour in the refrigeration sector. </w:t>
      </w:r>
    </w:p>
    <w:p w14:paraId="23CAF664" w14:textId="3E7781EB" w:rsidR="00E01A8C" w:rsidRPr="0089351C" w:rsidRDefault="00C34E33" w:rsidP="0029767D">
      <w:pPr>
        <w:pStyle w:val="Heading1"/>
      </w:pPr>
      <w:r>
        <w:rPr>
          <w:lang w:val="en-US"/>
        </w:rPr>
        <w:t>T</w:t>
      </w:r>
      <w:r w:rsidR="00E01A8C" w:rsidRPr="0089351C">
        <w:rPr>
          <w:lang w:val="en-US"/>
        </w:rPr>
        <w:t xml:space="preserve">o ensure the long-term sustainability </w:t>
      </w:r>
      <w:r>
        <w:rPr>
          <w:lang w:val="en-US"/>
        </w:rPr>
        <w:t xml:space="preserve">of </w:t>
      </w:r>
      <w:r w:rsidR="00E01A8C" w:rsidRPr="0089351C">
        <w:rPr>
          <w:lang w:val="en-US"/>
        </w:rPr>
        <w:t xml:space="preserve">refrigeration </w:t>
      </w:r>
      <w:r>
        <w:rPr>
          <w:lang w:val="en-US"/>
        </w:rPr>
        <w:t xml:space="preserve">servicing </w:t>
      </w:r>
      <w:r w:rsidR="00E01A8C" w:rsidRPr="0089351C">
        <w:rPr>
          <w:lang w:val="en-US"/>
        </w:rPr>
        <w:t xml:space="preserve">practices </w:t>
      </w:r>
      <w:r w:rsidR="007B2F17" w:rsidRPr="007B2F17">
        <w:rPr>
          <w:lang w:val="en-CA"/>
        </w:rPr>
        <w:t>beyond the assistance provided by the Multilateral Fund</w:t>
      </w:r>
      <w:r w:rsidR="007B2F17">
        <w:rPr>
          <w:lang w:val="en-CA"/>
        </w:rPr>
        <w:t>,</w:t>
      </w:r>
      <w:r w:rsidR="007B2F17">
        <w:rPr>
          <w:lang w:val="en-US"/>
        </w:rPr>
        <w:t xml:space="preserve"> </w:t>
      </w:r>
      <w:r>
        <w:rPr>
          <w:lang w:val="en-US"/>
        </w:rPr>
        <w:t xml:space="preserve">further consideration should be given </w:t>
      </w:r>
      <w:r w:rsidR="00E01A8C" w:rsidRPr="0089351C">
        <w:rPr>
          <w:i/>
          <w:lang w:val="en-US"/>
        </w:rPr>
        <w:t>inter alia</w:t>
      </w:r>
      <w:r w:rsidR="00E01A8C" w:rsidRPr="0089351C">
        <w:rPr>
          <w:lang w:val="en-US"/>
        </w:rPr>
        <w:t xml:space="preserve"> </w:t>
      </w:r>
      <w:r w:rsidR="0001508E">
        <w:rPr>
          <w:lang w:val="en-US"/>
        </w:rPr>
        <w:t xml:space="preserve">to </w:t>
      </w:r>
      <w:r>
        <w:rPr>
          <w:lang w:val="en-CA"/>
        </w:rPr>
        <w:t xml:space="preserve">continuously </w:t>
      </w:r>
      <w:r w:rsidR="0001508E" w:rsidRPr="0089351C">
        <w:rPr>
          <w:lang w:val="en-CA"/>
        </w:rPr>
        <w:t>updat</w:t>
      </w:r>
      <w:r w:rsidR="0001508E">
        <w:rPr>
          <w:lang w:val="en-CA"/>
        </w:rPr>
        <w:t>ing</w:t>
      </w:r>
      <w:r w:rsidR="0001508E" w:rsidRPr="0089351C">
        <w:rPr>
          <w:lang w:val="en-CA"/>
        </w:rPr>
        <w:t xml:space="preserve"> </w:t>
      </w:r>
      <w:r w:rsidR="00E01A8C" w:rsidRPr="0089351C">
        <w:rPr>
          <w:lang w:val="en-CA"/>
        </w:rPr>
        <w:t xml:space="preserve">the training curricula </w:t>
      </w:r>
      <w:r>
        <w:rPr>
          <w:lang w:val="en-CA"/>
        </w:rPr>
        <w:t xml:space="preserve">of institutions and vocational schools </w:t>
      </w:r>
      <w:r w:rsidR="00E01A8C" w:rsidRPr="0089351C">
        <w:rPr>
          <w:lang w:val="en-CA"/>
        </w:rPr>
        <w:t xml:space="preserve">to incorporate </w:t>
      </w:r>
      <w:r w:rsidR="0001508E">
        <w:rPr>
          <w:lang w:val="en-CA"/>
        </w:rPr>
        <w:t xml:space="preserve">changes, </w:t>
      </w:r>
      <w:r w:rsidR="00E01A8C" w:rsidRPr="0089351C">
        <w:rPr>
          <w:lang w:val="en-CA"/>
        </w:rPr>
        <w:t>technology upgrades of refrigeration systems and the introduction of alternative refrigerants; extending t</w:t>
      </w:r>
      <w:r w:rsidR="00E01A8C" w:rsidRPr="0089351C">
        <w:t xml:space="preserve">raining to other stakeholders of the refrigerant and equipment supply chain and end-users; </w:t>
      </w:r>
      <w:r w:rsidR="007163BF">
        <w:t xml:space="preserve">extending certification to </w:t>
      </w:r>
      <w:r w:rsidR="00A303A3">
        <w:t xml:space="preserve">enterprises involved in installation, servicing, maintenance and decommissioning </w:t>
      </w:r>
      <w:r w:rsidR="00AB3B17">
        <w:t xml:space="preserve">refrigeration </w:t>
      </w:r>
      <w:r w:rsidR="00A303A3">
        <w:t>equipment</w:t>
      </w:r>
      <w:r w:rsidR="007163BF">
        <w:t xml:space="preserve">; </w:t>
      </w:r>
      <w:r w:rsidR="00E01A8C" w:rsidRPr="0089351C">
        <w:t xml:space="preserve">linking </w:t>
      </w:r>
      <w:r w:rsidR="00E01A8C" w:rsidRPr="0089351C">
        <w:rPr>
          <w:lang w:val="en-US"/>
        </w:rPr>
        <w:t>technician certification to regulatory norms or standards adopted by the country; determining the number and levels of technician certification according to the specific needs of the country; considering whether technician certification should be compulsory and ensur</w:t>
      </w:r>
      <w:r>
        <w:rPr>
          <w:lang w:val="en-US"/>
        </w:rPr>
        <w:t>ing</w:t>
      </w:r>
      <w:r w:rsidR="00E01A8C" w:rsidRPr="0089351C">
        <w:rPr>
          <w:lang w:val="en-US"/>
        </w:rPr>
        <w:t xml:space="preserve"> a critical mass of technicians certified; and </w:t>
      </w:r>
      <w:r>
        <w:rPr>
          <w:lang w:val="en-US"/>
        </w:rPr>
        <w:t xml:space="preserve">strengthening and </w:t>
      </w:r>
      <w:r w:rsidR="00E01A8C" w:rsidRPr="0089351C">
        <w:rPr>
          <w:lang w:val="en-US"/>
        </w:rPr>
        <w:t xml:space="preserve">involving refrigeration associations in the promotion or implementation of technician certification. </w:t>
      </w:r>
    </w:p>
    <w:p w14:paraId="3C5B1B24" w14:textId="7BEA7D3D" w:rsidR="008B110E" w:rsidRPr="00E01A8C" w:rsidRDefault="008B110E" w:rsidP="0029767D">
      <w:pPr>
        <w:pStyle w:val="Heading1"/>
        <w:rPr>
          <w:lang w:val="en-US"/>
        </w:rPr>
      </w:pPr>
      <w:r w:rsidRPr="00E01A8C">
        <w:rPr>
          <w:lang w:val="en-US"/>
        </w:rPr>
        <w:t xml:space="preserve">One </w:t>
      </w:r>
      <w:r w:rsidR="00C10196">
        <w:rPr>
          <w:lang w:val="en-US"/>
        </w:rPr>
        <w:t xml:space="preserve">of the </w:t>
      </w:r>
      <w:r w:rsidRPr="00E01A8C">
        <w:rPr>
          <w:lang w:val="en-US"/>
        </w:rPr>
        <w:t xml:space="preserve">issues </w:t>
      </w:r>
      <w:r w:rsidR="00C10196">
        <w:rPr>
          <w:lang w:val="en-US"/>
        </w:rPr>
        <w:t xml:space="preserve">that need to be further considered </w:t>
      </w:r>
      <w:r w:rsidRPr="00E01A8C">
        <w:rPr>
          <w:lang w:val="en-US"/>
        </w:rPr>
        <w:t xml:space="preserve">is the population of technicians without formal training </w:t>
      </w:r>
      <w:r w:rsidR="005638B9" w:rsidRPr="00E01A8C">
        <w:rPr>
          <w:lang w:val="en-US"/>
        </w:rPr>
        <w:t xml:space="preserve">who </w:t>
      </w:r>
      <w:r w:rsidRPr="00E01A8C">
        <w:rPr>
          <w:lang w:val="en-US"/>
        </w:rPr>
        <w:t xml:space="preserve">are not part of servicing workshops or associations, </w:t>
      </w:r>
      <w:r w:rsidR="005638B9" w:rsidRPr="00E01A8C">
        <w:rPr>
          <w:lang w:val="en-US"/>
        </w:rPr>
        <w:t xml:space="preserve">who </w:t>
      </w:r>
      <w:r w:rsidRPr="00E01A8C">
        <w:rPr>
          <w:lang w:val="en-US"/>
        </w:rPr>
        <w:t>are not registered as technicians</w:t>
      </w:r>
      <w:r w:rsidR="00C34E33">
        <w:rPr>
          <w:lang w:val="en-US"/>
        </w:rPr>
        <w:t xml:space="preserve">, and </w:t>
      </w:r>
      <w:r w:rsidR="00C10196">
        <w:rPr>
          <w:lang w:val="en-US"/>
        </w:rPr>
        <w:t xml:space="preserve">who frequently </w:t>
      </w:r>
      <w:r w:rsidRPr="00E01A8C">
        <w:rPr>
          <w:lang w:val="en-US"/>
        </w:rPr>
        <w:t xml:space="preserve">do not work permanently in </w:t>
      </w:r>
      <w:r w:rsidR="00C34E33">
        <w:rPr>
          <w:lang w:val="en-US"/>
        </w:rPr>
        <w:t xml:space="preserve">the </w:t>
      </w:r>
      <w:r w:rsidRPr="00E01A8C">
        <w:rPr>
          <w:lang w:val="en-US"/>
        </w:rPr>
        <w:t xml:space="preserve">refrigeration </w:t>
      </w:r>
      <w:r w:rsidR="00C34E33">
        <w:rPr>
          <w:lang w:val="en-US"/>
        </w:rPr>
        <w:t>servicing sector</w:t>
      </w:r>
      <w:r w:rsidRPr="00E01A8C">
        <w:rPr>
          <w:lang w:val="en-US"/>
        </w:rPr>
        <w:t xml:space="preserve">. </w:t>
      </w:r>
      <w:r w:rsidR="00C10196">
        <w:rPr>
          <w:lang w:val="en-US"/>
        </w:rPr>
        <w:t>For example, i</w:t>
      </w:r>
      <w:r w:rsidR="00C34E33">
        <w:rPr>
          <w:lang w:val="en-US"/>
        </w:rPr>
        <w:t xml:space="preserve">n some countries this </w:t>
      </w:r>
      <w:r w:rsidRPr="00E01A8C">
        <w:rPr>
          <w:lang w:val="en-US"/>
        </w:rPr>
        <w:t xml:space="preserve">sector </w:t>
      </w:r>
      <w:r w:rsidR="00C34E33">
        <w:rPr>
          <w:lang w:val="en-US"/>
        </w:rPr>
        <w:t xml:space="preserve">has been supported through </w:t>
      </w:r>
      <w:r w:rsidR="005638B9" w:rsidRPr="00E01A8C">
        <w:rPr>
          <w:i/>
          <w:lang w:val="en-US"/>
        </w:rPr>
        <w:t>inter</w:t>
      </w:r>
      <w:r w:rsidR="00C34E33">
        <w:rPr>
          <w:i/>
          <w:lang w:val="en-US"/>
        </w:rPr>
        <w:t xml:space="preserve"> </w:t>
      </w:r>
      <w:r w:rsidR="005638B9" w:rsidRPr="00E01A8C">
        <w:rPr>
          <w:i/>
          <w:lang w:val="en-US"/>
        </w:rPr>
        <w:t>alia</w:t>
      </w:r>
      <w:r w:rsidR="005638B9" w:rsidRPr="00E01A8C">
        <w:rPr>
          <w:lang w:val="en-US"/>
        </w:rPr>
        <w:t xml:space="preserve"> training and </w:t>
      </w:r>
      <w:r w:rsidR="005638B9" w:rsidRPr="00E01A8C">
        <w:t>awareness-raising activities implemented through non-</w:t>
      </w:r>
      <w:r w:rsidR="005638B9" w:rsidRPr="00E01A8C">
        <w:rPr>
          <w:lang w:val="en-US"/>
        </w:rPr>
        <w:t>conventional means (e.g., short courses and videos</w:t>
      </w:r>
      <w:r w:rsidR="00C34E33">
        <w:rPr>
          <w:lang w:val="en-US"/>
        </w:rPr>
        <w:t xml:space="preserve"> uploaded into a website;</w:t>
      </w:r>
      <w:r w:rsidR="005638B9" w:rsidRPr="00E01A8C">
        <w:rPr>
          <w:lang w:val="en-US"/>
        </w:rPr>
        <w:t xml:space="preserve"> specific “apps” for cellular phones, and other means)</w:t>
      </w:r>
      <w:r w:rsidR="00C10196">
        <w:rPr>
          <w:lang w:val="en-US"/>
        </w:rPr>
        <w:t>,</w:t>
      </w:r>
      <w:r w:rsidR="00C34E33">
        <w:rPr>
          <w:lang w:val="en-US"/>
        </w:rPr>
        <w:t xml:space="preserve"> and</w:t>
      </w:r>
      <w:r w:rsidR="00C10196">
        <w:rPr>
          <w:lang w:val="en-US"/>
        </w:rPr>
        <w:t>/or</w:t>
      </w:r>
      <w:r w:rsidR="00C34E33">
        <w:rPr>
          <w:lang w:val="en-US"/>
        </w:rPr>
        <w:t xml:space="preserve"> </w:t>
      </w:r>
      <w:r w:rsidR="002026D4">
        <w:rPr>
          <w:lang w:val="en-US"/>
        </w:rPr>
        <w:t xml:space="preserve">through the assistance </w:t>
      </w:r>
      <w:r w:rsidR="0001508E">
        <w:rPr>
          <w:lang w:val="en-US"/>
        </w:rPr>
        <w:t xml:space="preserve">of </w:t>
      </w:r>
      <w:r w:rsidR="005638B9" w:rsidRPr="00E01A8C">
        <w:rPr>
          <w:lang w:val="en-US"/>
        </w:rPr>
        <w:t>refrigeration associations.</w:t>
      </w:r>
      <w:r w:rsidR="00C34E33" w:rsidRPr="00C34E33">
        <w:rPr>
          <w:lang w:val="en-US"/>
        </w:rPr>
        <w:t xml:space="preserve"> </w:t>
      </w:r>
      <w:r w:rsidR="007163BF">
        <w:rPr>
          <w:lang w:val="en-US"/>
        </w:rPr>
        <w:t xml:space="preserve">Given the increasing complexity of refrigeration and air-conditioning systems, the minimum level of skills and knowledge </w:t>
      </w:r>
      <w:r w:rsidR="00C10196">
        <w:rPr>
          <w:lang w:val="en-US"/>
        </w:rPr>
        <w:t>of the</w:t>
      </w:r>
      <w:r w:rsidR="00A568DB">
        <w:rPr>
          <w:lang w:val="en-US"/>
        </w:rPr>
        <w:t>se technicians would need to be enhanced</w:t>
      </w:r>
      <w:r w:rsidR="007163BF">
        <w:rPr>
          <w:lang w:val="en-US"/>
        </w:rPr>
        <w:t xml:space="preserve">. </w:t>
      </w:r>
    </w:p>
    <w:p w14:paraId="0E2D127E" w14:textId="77777777" w:rsidR="008B110E" w:rsidRPr="008B110E" w:rsidRDefault="008B110E" w:rsidP="0029767D">
      <w:pPr>
        <w:rPr>
          <w:b/>
        </w:rPr>
      </w:pPr>
      <w:r w:rsidRPr="00E01A8C">
        <w:rPr>
          <w:b/>
        </w:rPr>
        <w:t>Technical assistance including servicing tools and equipment</w:t>
      </w:r>
    </w:p>
    <w:p w14:paraId="722B1A27" w14:textId="77777777" w:rsidR="008B110E" w:rsidRDefault="008B110E" w:rsidP="0029767D">
      <w:pPr>
        <w:rPr>
          <w:u w:val="single"/>
        </w:rPr>
      </w:pPr>
    </w:p>
    <w:p w14:paraId="7A9734B6" w14:textId="302863AB" w:rsidR="00C92FB8" w:rsidRDefault="006E6412" w:rsidP="0029767D">
      <w:pPr>
        <w:pStyle w:val="Heading1"/>
        <w:rPr>
          <w:u w:val="single"/>
        </w:rPr>
      </w:pPr>
      <w:r>
        <w:rPr>
          <w:lang w:val="en-CA"/>
        </w:rPr>
        <w:t xml:space="preserve">Three </w:t>
      </w:r>
      <w:r w:rsidR="00C92FB8">
        <w:rPr>
          <w:lang w:val="en-CA"/>
        </w:rPr>
        <w:t xml:space="preserve">key </w:t>
      </w:r>
      <w:r w:rsidR="0001508E">
        <w:rPr>
          <w:lang w:val="en-CA"/>
        </w:rPr>
        <w:t xml:space="preserve">forms of </w:t>
      </w:r>
      <w:r w:rsidR="00C92FB8">
        <w:rPr>
          <w:lang w:val="en-CA"/>
        </w:rPr>
        <w:t xml:space="preserve">technical assistance in the refrigeration servicing sector </w:t>
      </w:r>
      <w:r w:rsidR="007B2F17">
        <w:rPr>
          <w:lang w:val="en-CA"/>
        </w:rPr>
        <w:t xml:space="preserve">supported under the </w:t>
      </w:r>
      <w:r w:rsidR="00C92FB8" w:rsidRPr="00FE1DE1">
        <w:rPr>
          <w:lang w:val="en-CA"/>
        </w:rPr>
        <w:t>Multilateral Fund</w:t>
      </w:r>
      <w:r w:rsidR="00C92FB8">
        <w:rPr>
          <w:lang w:val="en-CA"/>
        </w:rPr>
        <w:t xml:space="preserve"> </w:t>
      </w:r>
      <w:r w:rsidR="007B2F17">
        <w:rPr>
          <w:lang w:val="en-CA"/>
        </w:rPr>
        <w:t>are</w:t>
      </w:r>
      <w:r w:rsidR="00820EE1">
        <w:rPr>
          <w:lang w:val="en-CA"/>
        </w:rPr>
        <w:t>:</w:t>
      </w:r>
      <w:r w:rsidR="007B2F17">
        <w:rPr>
          <w:lang w:val="en-CA"/>
        </w:rPr>
        <w:t xml:space="preserve"> </w:t>
      </w:r>
      <w:r w:rsidR="00C92FB8">
        <w:rPr>
          <w:lang w:val="en-CA"/>
        </w:rPr>
        <w:t xml:space="preserve">the provision of basic </w:t>
      </w:r>
      <w:r w:rsidR="00C92FB8" w:rsidRPr="00FE1DE1">
        <w:rPr>
          <w:lang w:val="en-CA"/>
        </w:rPr>
        <w:t>servicing tools</w:t>
      </w:r>
      <w:r w:rsidR="00C92FB8">
        <w:rPr>
          <w:lang w:val="en-CA"/>
        </w:rPr>
        <w:t xml:space="preserve"> to refrigeration technicians</w:t>
      </w:r>
      <w:r>
        <w:rPr>
          <w:lang w:val="en-CA"/>
        </w:rPr>
        <w:t>;</w:t>
      </w:r>
      <w:r w:rsidR="00C92FB8">
        <w:rPr>
          <w:lang w:val="en-CA"/>
        </w:rPr>
        <w:t xml:space="preserve"> the establishment of recovery and recycling (R&amp;R) or RRR schemes</w:t>
      </w:r>
      <w:r w:rsidR="007B2F17">
        <w:rPr>
          <w:lang w:val="en-CA"/>
        </w:rPr>
        <w:t xml:space="preserve"> of refrigerants</w:t>
      </w:r>
      <w:r>
        <w:rPr>
          <w:lang w:val="en-CA"/>
        </w:rPr>
        <w:t>; and r</w:t>
      </w:r>
      <w:r w:rsidRPr="006E6412">
        <w:rPr>
          <w:lang w:val="en-CA"/>
        </w:rPr>
        <w:t>etrofit and equipment replacement</w:t>
      </w:r>
      <w:r w:rsidR="00C92FB8">
        <w:rPr>
          <w:lang w:val="en-CA"/>
        </w:rPr>
        <w:t>.</w:t>
      </w:r>
    </w:p>
    <w:p w14:paraId="15CE35B6" w14:textId="77777777" w:rsidR="00C92FB8" w:rsidRDefault="00C92FB8" w:rsidP="002760A3">
      <w:pPr>
        <w:keepNext/>
        <w:rPr>
          <w:u w:val="single"/>
          <w:lang w:val="en-CA"/>
        </w:rPr>
      </w:pPr>
      <w:r>
        <w:rPr>
          <w:u w:val="single"/>
          <w:lang w:val="en-CA"/>
        </w:rPr>
        <w:t>Basic s</w:t>
      </w:r>
      <w:r w:rsidRPr="006E24FD">
        <w:rPr>
          <w:u w:val="single"/>
          <w:lang w:val="en-CA"/>
        </w:rPr>
        <w:t>ervicing tools</w:t>
      </w:r>
      <w:r>
        <w:rPr>
          <w:u w:val="single"/>
          <w:lang w:val="en-CA"/>
        </w:rPr>
        <w:t xml:space="preserve"> for technicians</w:t>
      </w:r>
    </w:p>
    <w:p w14:paraId="22EF49E1" w14:textId="77777777" w:rsidR="00C92FB8" w:rsidRPr="00C92FB8" w:rsidRDefault="00C92FB8" w:rsidP="002760A3">
      <w:pPr>
        <w:keepNext/>
        <w:rPr>
          <w:lang w:val="en-CA"/>
        </w:rPr>
      </w:pPr>
    </w:p>
    <w:p w14:paraId="50F21082" w14:textId="5C8C3166" w:rsidR="00C92FB8" w:rsidRPr="00DA53D8" w:rsidRDefault="00DA53D8" w:rsidP="002760A3">
      <w:pPr>
        <w:pStyle w:val="Heading1"/>
        <w:keepNext/>
        <w:rPr>
          <w:lang w:val="en-CA"/>
        </w:rPr>
      </w:pPr>
      <w:r w:rsidRPr="00DA53D8">
        <w:rPr>
          <w:lang w:val="en-CA"/>
        </w:rPr>
        <w:t>Refrigeration s</w:t>
      </w:r>
      <w:r w:rsidR="00C92FB8" w:rsidRPr="00DA53D8">
        <w:rPr>
          <w:lang w:val="en-CA"/>
        </w:rPr>
        <w:t>ervicing tools</w:t>
      </w:r>
      <w:r w:rsidR="007B2F17">
        <w:rPr>
          <w:rStyle w:val="FootnoteReference"/>
          <w:lang w:val="en-CA"/>
        </w:rPr>
        <w:footnoteReference w:id="39"/>
      </w:r>
      <w:r w:rsidR="00C92FB8" w:rsidRPr="00DA53D8">
        <w:rPr>
          <w:lang w:val="en-CA"/>
        </w:rPr>
        <w:t xml:space="preserve"> have been distributed in the majority of Article 5 countries</w:t>
      </w:r>
      <w:r w:rsidRPr="00DA53D8">
        <w:rPr>
          <w:lang w:val="en-CA"/>
        </w:rPr>
        <w:t xml:space="preserve">, </w:t>
      </w:r>
      <w:r w:rsidR="00C92FB8" w:rsidRPr="00DA53D8">
        <w:rPr>
          <w:lang w:val="en-CA"/>
        </w:rPr>
        <w:t>allow</w:t>
      </w:r>
      <w:r w:rsidRPr="00DA53D8">
        <w:rPr>
          <w:lang w:val="en-CA"/>
        </w:rPr>
        <w:t>ing</w:t>
      </w:r>
      <w:r w:rsidR="00C92FB8" w:rsidRPr="00DA53D8">
        <w:rPr>
          <w:lang w:val="en-CA"/>
        </w:rPr>
        <w:t xml:space="preserve"> a higher number of technicians to apply good servicing practices. Distributed tool kits vary from country to country, depending on local priorities, the most common type of equipment serviced, the available budget and the number of technicians to be covered. </w:t>
      </w:r>
      <w:r w:rsidR="00AB3B17">
        <w:rPr>
          <w:lang w:val="en-CA"/>
        </w:rPr>
        <w:t>Use of e</w:t>
      </w:r>
      <w:r w:rsidR="002D36F5">
        <w:rPr>
          <w:lang w:val="en-CA"/>
        </w:rPr>
        <w:t xml:space="preserve">quipment and </w:t>
      </w:r>
      <w:r w:rsidR="00AB3B17">
        <w:rPr>
          <w:lang w:val="en-CA"/>
        </w:rPr>
        <w:t xml:space="preserve">application of </w:t>
      </w:r>
      <w:r w:rsidR="002D36F5">
        <w:rPr>
          <w:lang w:val="en-CA"/>
        </w:rPr>
        <w:t xml:space="preserve">good practices for refrigerant circuit flushing </w:t>
      </w:r>
      <w:r w:rsidR="00AB3B17">
        <w:rPr>
          <w:lang w:val="en-CA"/>
        </w:rPr>
        <w:t xml:space="preserve">operations have </w:t>
      </w:r>
      <w:r w:rsidR="002D36F5">
        <w:rPr>
          <w:lang w:val="en-CA"/>
        </w:rPr>
        <w:t xml:space="preserve">also been considered by several countries. </w:t>
      </w:r>
      <w:r w:rsidR="00C92FB8" w:rsidRPr="00DA53D8">
        <w:rPr>
          <w:lang w:val="en-CA"/>
        </w:rPr>
        <w:t>Additional tools for servicing refrigeration equipment operating</w:t>
      </w:r>
      <w:r w:rsidR="002471D2" w:rsidRPr="00DA53D8">
        <w:rPr>
          <w:lang w:val="en-CA"/>
        </w:rPr>
        <w:t xml:space="preserve"> with</w:t>
      </w:r>
      <w:r w:rsidR="00C92FB8" w:rsidRPr="00DA53D8">
        <w:rPr>
          <w:lang w:val="en-CA"/>
        </w:rPr>
        <w:t xml:space="preserve"> flammab</w:t>
      </w:r>
      <w:r>
        <w:rPr>
          <w:lang w:val="en-CA"/>
        </w:rPr>
        <w:t>le</w:t>
      </w:r>
      <w:r w:rsidR="00C92FB8" w:rsidRPr="00DA53D8">
        <w:rPr>
          <w:lang w:val="en-CA"/>
        </w:rPr>
        <w:t>, higher pressure and/or higher toxicity refrigerants</w:t>
      </w:r>
      <w:r>
        <w:rPr>
          <w:lang w:val="en-CA"/>
        </w:rPr>
        <w:t>,</w:t>
      </w:r>
      <w:r>
        <w:rPr>
          <w:rStyle w:val="FootnoteReference"/>
          <w:lang w:val="en-CA"/>
        </w:rPr>
        <w:footnoteReference w:id="40"/>
      </w:r>
      <w:r w:rsidR="00C92FB8" w:rsidRPr="00DA53D8">
        <w:rPr>
          <w:lang w:val="en-CA"/>
        </w:rPr>
        <w:t xml:space="preserve"> </w:t>
      </w:r>
      <w:r>
        <w:rPr>
          <w:lang w:val="en-CA"/>
        </w:rPr>
        <w:t>have been distributed during implementation of HPMPs.</w:t>
      </w:r>
      <w:r w:rsidR="00C92FB8" w:rsidRPr="00DA53D8">
        <w:rPr>
          <w:i/>
          <w:lang w:val="en-CA"/>
        </w:rPr>
        <w:t xml:space="preserve"> </w:t>
      </w:r>
    </w:p>
    <w:p w14:paraId="717027E9" w14:textId="558F6C91" w:rsidR="008B110E" w:rsidRPr="005472DC" w:rsidRDefault="00C92FB8" w:rsidP="0029767D">
      <w:pPr>
        <w:rPr>
          <w:u w:val="single"/>
        </w:rPr>
      </w:pPr>
      <w:r>
        <w:rPr>
          <w:u w:val="single"/>
        </w:rPr>
        <w:t>Schemes for r</w:t>
      </w:r>
      <w:r w:rsidR="008B110E" w:rsidRPr="005472DC">
        <w:rPr>
          <w:u w:val="single"/>
        </w:rPr>
        <w:t>ecovery, recycling and reclamation</w:t>
      </w:r>
      <w:r w:rsidR="008B110E">
        <w:rPr>
          <w:u w:val="single"/>
        </w:rPr>
        <w:t xml:space="preserve"> of refrigerants </w:t>
      </w:r>
    </w:p>
    <w:p w14:paraId="76B809EE" w14:textId="77777777" w:rsidR="008B110E" w:rsidRDefault="008B110E" w:rsidP="0029767D">
      <w:pPr>
        <w:rPr>
          <w:lang w:val="en-CA"/>
        </w:rPr>
      </w:pPr>
    </w:p>
    <w:p w14:paraId="0D61EC12" w14:textId="21280D9E" w:rsidR="00751285" w:rsidRPr="00924C57" w:rsidRDefault="008B110E" w:rsidP="0029767D">
      <w:pPr>
        <w:pStyle w:val="Heading1"/>
      </w:pPr>
      <w:r w:rsidRPr="00B7408D">
        <w:rPr>
          <w:lang w:val="en-CA"/>
        </w:rPr>
        <w:t xml:space="preserve">The Executive Committee has </w:t>
      </w:r>
      <w:r w:rsidR="002B3377">
        <w:rPr>
          <w:lang w:val="en-CA"/>
        </w:rPr>
        <w:t xml:space="preserve">been </w:t>
      </w:r>
      <w:r w:rsidR="002B3377" w:rsidRPr="00B7408D">
        <w:rPr>
          <w:lang w:val="en-CA"/>
        </w:rPr>
        <w:t>approv</w:t>
      </w:r>
      <w:r w:rsidR="002B3377">
        <w:rPr>
          <w:lang w:val="en-CA"/>
        </w:rPr>
        <w:t>ing</w:t>
      </w:r>
      <w:r w:rsidR="002B3377" w:rsidRPr="00B7408D">
        <w:rPr>
          <w:lang w:val="en-CA"/>
        </w:rPr>
        <w:t xml:space="preserve"> </w:t>
      </w:r>
      <w:r w:rsidRPr="00B7408D">
        <w:rPr>
          <w:lang w:val="en-CA"/>
        </w:rPr>
        <w:t xml:space="preserve">projects to </w:t>
      </w:r>
      <w:r w:rsidR="0063542A">
        <w:rPr>
          <w:lang w:val="en-CA"/>
        </w:rPr>
        <w:t xml:space="preserve">recover and </w:t>
      </w:r>
      <w:r w:rsidR="00820EE1">
        <w:rPr>
          <w:lang w:val="en-CA"/>
        </w:rPr>
        <w:t xml:space="preserve">recycle </w:t>
      </w:r>
      <w:r w:rsidRPr="00B7408D">
        <w:rPr>
          <w:lang w:val="en-CA"/>
        </w:rPr>
        <w:t xml:space="preserve">refrigerants since </w:t>
      </w:r>
      <w:r w:rsidR="0063219C">
        <w:rPr>
          <w:lang w:val="en-CA"/>
        </w:rPr>
        <w:t>1991</w:t>
      </w:r>
      <w:r w:rsidRPr="00B7408D">
        <w:rPr>
          <w:lang w:val="en-CA"/>
        </w:rPr>
        <w:t xml:space="preserve">. </w:t>
      </w:r>
      <w:r w:rsidR="00751285">
        <w:rPr>
          <w:lang w:val="en-CA"/>
        </w:rPr>
        <w:t>The</w:t>
      </w:r>
      <w:r w:rsidR="00751285" w:rsidRPr="00920464">
        <w:rPr>
          <w:lang w:val="en-CA"/>
        </w:rPr>
        <w:t xml:space="preserve"> level of infrastructure created through the </w:t>
      </w:r>
      <w:r w:rsidR="00751285">
        <w:rPr>
          <w:lang w:val="en-CA"/>
        </w:rPr>
        <w:t>RRR</w:t>
      </w:r>
      <w:r w:rsidR="00751285" w:rsidRPr="00920464">
        <w:rPr>
          <w:lang w:val="en-CA"/>
        </w:rPr>
        <w:t xml:space="preserve"> projects implemented </w:t>
      </w:r>
      <w:r w:rsidR="008102F3" w:rsidRPr="00920464">
        <w:rPr>
          <w:lang w:val="en-CA"/>
        </w:rPr>
        <w:t>var</w:t>
      </w:r>
      <w:r w:rsidR="008102F3">
        <w:rPr>
          <w:lang w:val="en-CA"/>
        </w:rPr>
        <w:t xml:space="preserve">ies </w:t>
      </w:r>
      <w:r w:rsidR="00751285">
        <w:rPr>
          <w:lang w:val="en-CA"/>
        </w:rPr>
        <w:t>significantly</w:t>
      </w:r>
      <w:r w:rsidR="00751285" w:rsidRPr="00920464">
        <w:rPr>
          <w:lang w:val="en-CA"/>
        </w:rPr>
        <w:t xml:space="preserve"> from country to country.</w:t>
      </w:r>
      <w:r w:rsidR="00751285">
        <w:rPr>
          <w:lang w:val="en-CA"/>
        </w:rPr>
        <w:t xml:space="preserve"> </w:t>
      </w:r>
      <w:r w:rsidR="0063219C">
        <w:rPr>
          <w:lang w:val="en-CA"/>
        </w:rPr>
        <w:t>In s</w:t>
      </w:r>
      <w:r w:rsidR="00751285">
        <w:rPr>
          <w:lang w:val="en-CA"/>
        </w:rPr>
        <w:t>ome countries</w:t>
      </w:r>
      <w:r w:rsidR="0063219C">
        <w:rPr>
          <w:lang w:val="en-CA"/>
        </w:rPr>
        <w:t>, multiple-refrigerant</w:t>
      </w:r>
      <w:r w:rsidR="00751285">
        <w:rPr>
          <w:lang w:val="en-CA"/>
        </w:rPr>
        <w:t xml:space="preserve"> </w:t>
      </w:r>
      <w:r w:rsidR="002F7B75">
        <w:rPr>
          <w:lang w:val="en-CA"/>
        </w:rPr>
        <w:t>RRR</w:t>
      </w:r>
      <w:r w:rsidR="00751285" w:rsidRPr="00920464">
        <w:rPr>
          <w:lang w:val="en-CA"/>
        </w:rPr>
        <w:t xml:space="preserve"> equipment </w:t>
      </w:r>
      <w:r w:rsidR="0063219C">
        <w:rPr>
          <w:lang w:val="en-CA"/>
        </w:rPr>
        <w:t>was provided</w:t>
      </w:r>
      <w:r w:rsidR="00751285" w:rsidRPr="00920464">
        <w:rPr>
          <w:lang w:val="en-CA"/>
        </w:rPr>
        <w:t xml:space="preserve">, </w:t>
      </w:r>
      <w:r w:rsidR="0063219C">
        <w:rPr>
          <w:lang w:val="en-CA"/>
        </w:rPr>
        <w:t xml:space="preserve">while in several other </w:t>
      </w:r>
      <w:r w:rsidR="00751285">
        <w:rPr>
          <w:lang w:val="en-CA"/>
        </w:rPr>
        <w:t>countries,</w:t>
      </w:r>
      <w:r w:rsidR="00751285" w:rsidRPr="00920464">
        <w:rPr>
          <w:lang w:val="en-CA"/>
        </w:rPr>
        <w:t xml:space="preserve"> </w:t>
      </w:r>
      <w:r w:rsidR="0063219C">
        <w:rPr>
          <w:lang w:val="en-CA"/>
        </w:rPr>
        <w:t xml:space="preserve">only </w:t>
      </w:r>
      <w:r w:rsidR="00751285" w:rsidRPr="00920464">
        <w:rPr>
          <w:lang w:val="en-CA"/>
        </w:rPr>
        <w:t xml:space="preserve">servicing tools </w:t>
      </w:r>
      <w:r w:rsidR="008102F3">
        <w:rPr>
          <w:lang w:val="en-CA"/>
        </w:rPr>
        <w:t xml:space="preserve">were </w:t>
      </w:r>
      <w:r w:rsidR="0063219C">
        <w:rPr>
          <w:lang w:val="en-CA"/>
        </w:rPr>
        <w:t>provided</w:t>
      </w:r>
      <w:r w:rsidR="008102F3">
        <w:rPr>
          <w:lang w:val="en-CA"/>
        </w:rPr>
        <w:t>,</w:t>
      </w:r>
      <w:r w:rsidR="0063219C">
        <w:rPr>
          <w:lang w:val="en-CA"/>
        </w:rPr>
        <w:t xml:space="preserve"> </w:t>
      </w:r>
      <w:r w:rsidR="00751285" w:rsidRPr="00920464">
        <w:rPr>
          <w:lang w:val="en-CA"/>
        </w:rPr>
        <w:t xml:space="preserve">as the volumes of refrigerant </w:t>
      </w:r>
      <w:r w:rsidR="00751285">
        <w:rPr>
          <w:lang w:val="en-CA"/>
        </w:rPr>
        <w:t>did</w:t>
      </w:r>
      <w:r w:rsidR="00751285" w:rsidRPr="00920464">
        <w:rPr>
          <w:lang w:val="en-CA"/>
        </w:rPr>
        <w:t xml:space="preserve"> not justify a reclaiming operation. </w:t>
      </w:r>
    </w:p>
    <w:p w14:paraId="00AA24B7" w14:textId="094FFD3C" w:rsidR="008B110E" w:rsidRDefault="008B110E" w:rsidP="0029767D">
      <w:pPr>
        <w:pStyle w:val="Heading1"/>
      </w:pPr>
      <w:r w:rsidRPr="00B7408D">
        <w:rPr>
          <w:lang w:val="en-CA"/>
        </w:rPr>
        <w:t>As documented in past evaluations,</w:t>
      </w:r>
      <w:r w:rsidRPr="00924C57">
        <w:rPr>
          <w:vertAlign w:val="superscript"/>
        </w:rPr>
        <w:footnoteReference w:id="41"/>
      </w:r>
      <w:r w:rsidRPr="00B7408D">
        <w:rPr>
          <w:lang w:val="en-CA"/>
        </w:rPr>
        <w:t xml:space="preserve"> issues that prevented the effective implementation of the first </w:t>
      </w:r>
      <w:r w:rsidRPr="00924C57">
        <w:t xml:space="preserve">CFC </w:t>
      </w:r>
      <w:r w:rsidR="002471D2">
        <w:t>recovery and recycling</w:t>
      </w:r>
      <w:r w:rsidRPr="00924C57">
        <w:t xml:space="preserve"> projects included: lack of regulations to prohibit purposeful emissions of </w:t>
      </w:r>
      <w:r>
        <w:t>controlled substances</w:t>
      </w:r>
      <w:r w:rsidRPr="00924C57">
        <w:t xml:space="preserve">; lack of an economic model combined with the low CFC prices that prevailed during most of the period of CFC phase-out; lack of awareness among technicians and end-users; high costs of </w:t>
      </w:r>
      <w:r w:rsidR="002471D2">
        <w:t>recovery and recycling</w:t>
      </w:r>
      <w:r w:rsidRPr="00924C57">
        <w:t xml:space="preserve"> equipment and lack of supplies (e.g., filters) on local markets; logistical matters (e.g., weight of equipment, distance and </w:t>
      </w:r>
      <w:r w:rsidR="000043BE">
        <w:t xml:space="preserve">small </w:t>
      </w:r>
      <w:r w:rsidRPr="00924C57">
        <w:t xml:space="preserve">refrigerant charges </w:t>
      </w:r>
      <w:r w:rsidR="000043BE">
        <w:t>to be recovered</w:t>
      </w:r>
      <w:r w:rsidRPr="00924C57">
        <w:t>); and lack of proper monitoring and reporting systems</w:t>
      </w:r>
      <w:r>
        <w:t>.</w:t>
      </w:r>
    </w:p>
    <w:p w14:paraId="1A4F4079" w14:textId="3A49BD5B" w:rsidR="008B110E" w:rsidRPr="00924C57" w:rsidRDefault="008B110E" w:rsidP="0029767D">
      <w:pPr>
        <w:pStyle w:val="Heading1"/>
      </w:pPr>
      <w:r w:rsidRPr="00924C57">
        <w:t xml:space="preserve">Using the experience gained </w:t>
      </w:r>
      <w:r w:rsidR="00FB1EB0">
        <w:t>i</w:t>
      </w:r>
      <w:r w:rsidR="00FB1EB0" w:rsidRPr="00924C57">
        <w:t xml:space="preserve">n </w:t>
      </w:r>
      <w:r>
        <w:t xml:space="preserve">previous </w:t>
      </w:r>
      <w:r w:rsidR="00790F08">
        <w:t>recovery and recycling</w:t>
      </w:r>
      <w:r w:rsidRPr="00924C57">
        <w:t xml:space="preserve"> </w:t>
      </w:r>
      <w:r>
        <w:t>projects</w:t>
      </w:r>
      <w:r w:rsidRPr="00924C57">
        <w:t xml:space="preserve">, several countries </w:t>
      </w:r>
      <w:r w:rsidR="00FB1EB0">
        <w:t xml:space="preserve">have </w:t>
      </w:r>
      <w:r w:rsidRPr="00924C57">
        <w:t xml:space="preserve">considered in their </w:t>
      </w:r>
      <w:r w:rsidR="004E51A2">
        <w:t>subsequent phase</w:t>
      </w:r>
      <w:r w:rsidR="008102F3">
        <w:t>-</w:t>
      </w:r>
      <w:r w:rsidR="004E51A2">
        <w:t xml:space="preserve">out plans and their current </w:t>
      </w:r>
      <w:r w:rsidRPr="00924C57">
        <w:t xml:space="preserve">HPMPs additional factors to enhance the effectiveness of </w:t>
      </w:r>
      <w:r w:rsidR="004E51A2">
        <w:t xml:space="preserve">RRR </w:t>
      </w:r>
      <w:r w:rsidRPr="00924C57">
        <w:t>schemes. For example, some countries replaced recycling</w:t>
      </w:r>
      <w:r>
        <w:t xml:space="preserve"> units</w:t>
      </w:r>
      <w:r w:rsidRPr="00924C57">
        <w:t xml:space="preserve"> </w:t>
      </w:r>
      <w:r w:rsidR="00FB1EB0">
        <w:t>with</w:t>
      </w:r>
      <w:r w:rsidR="00FB1EB0" w:rsidRPr="00924C57">
        <w:t xml:space="preserve"> </w:t>
      </w:r>
      <w:r w:rsidRPr="00924C57">
        <w:t xml:space="preserve">relatively inexpensive </w:t>
      </w:r>
      <w:r>
        <w:t>reclaiming</w:t>
      </w:r>
      <w:r w:rsidRPr="00924C57">
        <w:t xml:space="preserve"> units that could guarantee the return of certified refrigerant</w:t>
      </w:r>
      <w:r w:rsidR="004E51A2">
        <w:t>.</w:t>
      </w:r>
      <w:r w:rsidRPr="00924C57">
        <w:rPr>
          <w:vertAlign w:val="superscript"/>
        </w:rPr>
        <w:footnoteReference w:id="42"/>
      </w:r>
      <w:r w:rsidRPr="00924C57">
        <w:t xml:space="preserve"> </w:t>
      </w:r>
      <w:r w:rsidR="004E51A2">
        <w:t>In other countries, r</w:t>
      </w:r>
      <w:r>
        <w:t>eclaiming</w:t>
      </w:r>
      <w:r w:rsidRPr="00924C57">
        <w:t xml:space="preserve"> centres were established in </w:t>
      </w:r>
      <w:r>
        <w:t xml:space="preserve">large </w:t>
      </w:r>
      <w:r w:rsidRPr="00924C57">
        <w:t xml:space="preserve">enterprises involved in the refrigerant sales business rather than </w:t>
      </w:r>
      <w:r w:rsidR="00FB1EB0">
        <w:t>i</w:t>
      </w:r>
      <w:r w:rsidR="00FB1EB0" w:rsidRPr="00924C57">
        <w:t xml:space="preserve">n </w:t>
      </w:r>
      <w:r w:rsidRPr="00924C57">
        <w:t>training centres or government bodies, according to a business model and with co</w:t>
      </w:r>
      <w:r w:rsidRPr="00924C57">
        <w:noBreakHyphen/>
        <w:t>financing by the beneficiary enterprise</w:t>
      </w:r>
      <w:r>
        <w:t>s</w:t>
      </w:r>
      <w:r w:rsidRPr="00924C57">
        <w:t xml:space="preserve">. Reclaiming units were also set </w:t>
      </w:r>
      <w:r w:rsidR="008102F3">
        <w:t xml:space="preserve">up </w:t>
      </w:r>
      <w:r w:rsidRPr="00924C57">
        <w:t xml:space="preserve">to work with </w:t>
      </w:r>
      <w:r w:rsidR="004E51A2">
        <w:t xml:space="preserve">different types of pure refrigerants or contained in </w:t>
      </w:r>
      <w:r w:rsidRPr="00924C57">
        <w:t xml:space="preserve">blends. Higher HCFC-22 recovery rates </w:t>
      </w:r>
      <w:r w:rsidR="004E51A2">
        <w:t xml:space="preserve">were achieved </w:t>
      </w:r>
      <w:r w:rsidRPr="00924C57">
        <w:t xml:space="preserve">due to the larger charge size of HCFC-based equipment compared to </w:t>
      </w:r>
      <w:r w:rsidR="00FB1EB0">
        <w:t xml:space="preserve">the </w:t>
      </w:r>
      <w:r w:rsidRPr="00924C57">
        <w:t>CFC-based equipment addressed in the past.</w:t>
      </w:r>
    </w:p>
    <w:p w14:paraId="6D691A14" w14:textId="77777777" w:rsidR="008B110E" w:rsidRPr="00924C57" w:rsidRDefault="008B110E" w:rsidP="0029767D">
      <w:pPr>
        <w:pStyle w:val="Heading1"/>
      </w:pPr>
      <w:r w:rsidRPr="00924C57">
        <w:t xml:space="preserve">It was also </w:t>
      </w:r>
      <w:r>
        <w:t>found</w:t>
      </w:r>
      <w:r w:rsidRPr="00924C57">
        <w:t xml:space="preserve"> that a </w:t>
      </w:r>
      <w:r w:rsidR="00FB1EB0">
        <w:t>significant</w:t>
      </w:r>
      <w:r w:rsidR="00FB1EB0" w:rsidRPr="00924C57">
        <w:t xml:space="preserve"> </w:t>
      </w:r>
      <w:r w:rsidRPr="00924C57">
        <w:t xml:space="preserve">portion of the recovered refrigerant was generated from the decommissioning of equipment </w:t>
      </w:r>
      <w:r w:rsidR="00FB1EB0">
        <w:t>that had reached</w:t>
      </w:r>
      <w:r w:rsidR="00FB1EB0" w:rsidRPr="00924C57">
        <w:t xml:space="preserve"> </w:t>
      </w:r>
      <w:r w:rsidR="00FB1EB0">
        <w:t>the</w:t>
      </w:r>
      <w:r w:rsidR="00FB1EB0" w:rsidRPr="00924C57">
        <w:t xml:space="preserve"> </w:t>
      </w:r>
      <w:r w:rsidRPr="00924C57">
        <w:t>end-of-life</w:t>
      </w:r>
      <w:r w:rsidR="00FB1EB0">
        <w:t xml:space="preserve"> stage</w:t>
      </w:r>
      <w:r w:rsidRPr="00924C57">
        <w:t xml:space="preserve">. </w:t>
      </w:r>
      <w:r w:rsidR="004E51A2">
        <w:t xml:space="preserve">In those cases, the enterprises </w:t>
      </w:r>
      <w:r w:rsidRPr="00924C57">
        <w:t>recycl</w:t>
      </w:r>
      <w:r w:rsidR="004E51A2">
        <w:t>ed</w:t>
      </w:r>
      <w:r w:rsidRPr="00924C57">
        <w:t xml:space="preserve"> all </w:t>
      </w:r>
      <w:r w:rsidR="005E7F21">
        <w:t>of the</w:t>
      </w:r>
      <w:r w:rsidR="005E7F21" w:rsidRPr="00924C57">
        <w:t xml:space="preserve"> </w:t>
      </w:r>
      <w:r w:rsidRPr="00924C57">
        <w:t>components</w:t>
      </w:r>
      <w:r w:rsidR="004E51A2">
        <w:t xml:space="preserve"> of the equipment</w:t>
      </w:r>
      <w:r w:rsidRPr="00924C57">
        <w:t xml:space="preserve">, which </w:t>
      </w:r>
      <w:r>
        <w:t>generated</w:t>
      </w:r>
      <w:r w:rsidRPr="00924C57">
        <w:t xml:space="preserve"> ad</w:t>
      </w:r>
      <w:r>
        <w:t>ditional income that could sustain the reclamation of refrigerant</w:t>
      </w:r>
      <w:r w:rsidRPr="00924C57">
        <w:t xml:space="preserve">. In </w:t>
      </w:r>
      <w:r w:rsidR="00FB1EB0">
        <w:t xml:space="preserve">a </w:t>
      </w:r>
      <w:r>
        <w:t>few</w:t>
      </w:r>
      <w:r w:rsidRPr="00924C57">
        <w:t xml:space="preserve"> </w:t>
      </w:r>
      <w:r w:rsidR="004E51A2">
        <w:t xml:space="preserve">other </w:t>
      </w:r>
      <w:r w:rsidRPr="00924C57">
        <w:t xml:space="preserve">countries, the recovery and recycling </w:t>
      </w:r>
      <w:r w:rsidR="004E51A2">
        <w:t>(</w:t>
      </w:r>
      <w:r w:rsidRPr="00924C57">
        <w:t xml:space="preserve">or reclamation) </w:t>
      </w:r>
      <w:r>
        <w:t>project</w:t>
      </w:r>
      <w:r w:rsidRPr="00924C57">
        <w:t xml:space="preserve"> partnered with energy-efficiency programmes aimed at exchanging old, inefficient CFC-based domestic refrigerators for energy-efficient ones, with substantial amounts of CFC recovered (for reuse or destruction depending on the case) that otherwise would have been vented into the atmosphere during equipment disposal. </w:t>
      </w:r>
    </w:p>
    <w:p w14:paraId="741A587A" w14:textId="77777777" w:rsidR="00790F08" w:rsidRPr="006E6412" w:rsidRDefault="008B110E" w:rsidP="0029767D">
      <w:pPr>
        <w:pStyle w:val="Heading1"/>
      </w:pPr>
      <w:r>
        <w:rPr>
          <w:lang w:val="en-CA"/>
        </w:rPr>
        <w:t>Despite the progress achieve</w:t>
      </w:r>
      <w:r w:rsidR="00FB1EB0">
        <w:rPr>
          <w:lang w:val="en-CA"/>
        </w:rPr>
        <w:t>d</w:t>
      </w:r>
      <w:r>
        <w:rPr>
          <w:lang w:val="en-CA"/>
        </w:rPr>
        <w:t xml:space="preserve"> so far, the latest evaluation </w:t>
      </w:r>
      <w:r w:rsidR="00FB1EB0">
        <w:rPr>
          <w:lang w:val="en-CA"/>
        </w:rPr>
        <w:t xml:space="preserve">of </w:t>
      </w:r>
      <w:r>
        <w:rPr>
          <w:lang w:val="en-CA"/>
        </w:rPr>
        <w:t>the refrigeration servicing sector identified that the sustainability of RRR</w:t>
      </w:r>
      <w:r w:rsidR="004E51A2">
        <w:rPr>
          <w:lang w:val="en-CA"/>
        </w:rPr>
        <w:t xml:space="preserve"> </w:t>
      </w:r>
      <w:r>
        <w:rPr>
          <w:lang w:val="en-CA"/>
        </w:rPr>
        <w:t xml:space="preserve">systems </w:t>
      </w:r>
      <w:r w:rsidR="00FB1EB0">
        <w:rPr>
          <w:lang w:val="en-CA"/>
        </w:rPr>
        <w:t>remains</w:t>
      </w:r>
      <w:r>
        <w:rPr>
          <w:lang w:val="en-CA"/>
        </w:rPr>
        <w:t xml:space="preserve"> challenging due to factors such as logistics costs, labour costs, lack of ancillary equipment and lack of economic incentives </w:t>
      </w:r>
      <w:r w:rsidR="00CA5CF8">
        <w:rPr>
          <w:lang w:val="en-CA"/>
        </w:rPr>
        <w:t>for reclamation</w:t>
      </w:r>
      <w:r>
        <w:rPr>
          <w:lang w:val="en-CA"/>
        </w:rPr>
        <w:t xml:space="preserve"> </w:t>
      </w:r>
      <w:r w:rsidR="00FB1EB0">
        <w:rPr>
          <w:lang w:val="en-CA"/>
        </w:rPr>
        <w:t>given</w:t>
      </w:r>
      <w:r>
        <w:rPr>
          <w:lang w:val="en-CA"/>
        </w:rPr>
        <w:t xml:space="preserve"> the low cost of virgin refrigerant. </w:t>
      </w:r>
    </w:p>
    <w:p w14:paraId="31C1356F" w14:textId="77777777" w:rsidR="006E6412" w:rsidRPr="005472DC" w:rsidRDefault="006E6412" w:rsidP="0029767D">
      <w:pPr>
        <w:pStyle w:val="Heading1"/>
        <w:numPr>
          <w:ilvl w:val="0"/>
          <w:numId w:val="0"/>
        </w:numPr>
        <w:rPr>
          <w:u w:val="single"/>
        </w:rPr>
      </w:pPr>
      <w:r w:rsidRPr="006E24FD">
        <w:rPr>
          <w:u w:val="single"/>
        </w:rPr>
        <w:t>Retrofit and equipment replacement</w:t>
      </w:r>
    </w:p>
    <w:p w14:paraId="5C2BB991" w14:textId="77777777" w:rsidR="006E6412" w:rsidRPr="005472DC" w:rsidRDefault="008D410F" w:rsidP="0029767D">
      <w:pPr>
        <w:pStyle w:val="Heading1"/>
      </w:pPr>
      <w:r>
        <w:t>G</w:t>
      </w:r>
      <w:r w:rsidR="006E6412" w:rsidRPr="005472DC">
        <w:t xml:space="preserve">uidelines for end-user conversion in the commercial refrigeration sector </w:t>
      </w:r>
      <w:r>
        <w:t xml:space="preserve">were </w:t>
      </w:r>
      <w:r w:rsidR="006E6412" w:rsidRPr="005472DC">
        <w:t xml:space="preserve">adopted at </w:t>
      </w:r>
      <w:r w:rsidR="0063219C">
        <w:t xml:space="preserve">the </w:t>
      </w:r>
      <w:r w:rsidR="006E6412" w:rsidRPr="005472DC">
        <w:t>28</w:t>
      </w:r>
      <w:r w:rsidR="006E6412" w:rsidRPr="005472DC">
        <w:rPr>
          <w:vertAlign w:val="superscript"/>
        </w:rPr>
        <w:t>th</w:t>
      </w:r>
      <w:r w:rsidR="0063219C" w:rsidRPr="0063219C">
        <w:t> </w:t>
      </w:r>
      <w:r w:rsidR="006E6412" w:rsidRPr="005472DC">
        <w:t>meeting</w:t>
      </w:r>
      <w:r w:rsidR="006E6412">
        <w:t xml:space="preserve"> (July 1999)</w:t>
      </w:r>
      <w:r>
        <w:t>,</w:t>
      </w:r>
      <w:r w:rsidR="006E6412" w:rsidRPr="005472DC">
        <w:rPr>
          <w:rStyle w:val="FootnoteReference"/>
        </w:rPr>
        <w:footnoteReference w:id="43"/>
      </w:r>
      <w:r w:rsidR="006E6412" w:rsidRPr="005472DC">
        <w:t xml:space="preserve"> </w:t>
      </w:r>
      <w:r>
        <w:t xml:space="preserve">and </w:t>
      </w:r>
      <w:r w:rsidR="006E6412" w:rsidRPr="005472DC">
        <w:t>incentive programmes to encourage retrofitting of refrigeration equipment were allowed at the 32</w:t>
      </w:r>
      <w:r w:rsidR="006E6412" w:rsidRPr="005472DC">
        <w:rPr>
          <w:vertAlign w:val="superscript"/>
        </w:rPr>
        <w:t>nd</w:t>
      </w:r>
      <w:r w:rsidR="006E6412" w:rsidRPr="005472DC">
        <w:t xml:space="preserve"> meeting</w:t>
      </w:r>
      <w:r w:rsidR="006E6412">
        <w:t xml:space="preserve"> (December 2000)</w:t>
      </w:r>
      <w:r w:rsidR="006E6412" w:rsidRPr="005472DC">
        <w:t xml:space="preserve">. </w:t>
      </w:r>
      <w:r>
        <w:t xml:space="preserve">The evaluation of </w:t>
      </w:r>
      <w:r w:rsidR="006E6412" w:rsidRPr="005472DC">
        <w:t>TPMP</w:t>
      </w:r>
      <w:r>
        <w:t>s</w:t>
      </w:r>
      <w:r w:rsidR="006E6412" w:rsidRPr="005472DC">
        <w:t xml:space="preserve"> </w:t>
      </w:r>
      <w:r>
        <w:t xml:space="preserve">conducted </w:t>
      </w:r>
      <w:r w:rsidR="006E6412" w:rsidRPr="005472DC">
        <w:t xml:space="preserve">in 2009 showed that </w:t>
      </w:r>
      <w:r>
        <w:t xml:space="preserve">those </w:t>
      </w:r>
      <w:r w:rsidR="006E6412" w:rsidRPr="005472DC">
        <w:t xml:space="preserve">incentive </w:t>
      </w:r>
      <w:r>
        <w:t xml:space="preserve">programmes </w:t>
      </w:r>
      <w:r w:rsidR="006E6412" w:rsidRPr="005472DC">
        <w:t xml:space="preserve">worked well in places where CFC-12 prices were </w:t>
      </w:r>
      <w:r w:rsidR="006E6412">
        <w:t>rising</w:t>
      </w:r>
      <w:r w:rsidR="006E6412" w:rsidRPr="005472DC">
        <w:t xml:space="preserve"> rapidly, against a backdrop of stable prices of equally available alternatives. The price difference, the level of the incentive, and NOU-related activities also played a significant role. </w:t>
      </w:r>
    </w:p>
    <w:p w14:paraId="147ACC24" w14:textId="77777777" w:rsidR="006E6412" w:rsidRPr="001B088E" w:rsidRDefault="006E6412" w:rsidP="0029767D">
      <w:pPr>
        <w:pStyle w:val="Heading1"/>
      </w:pPr>
      <w:r w:rsidRPr="005472DC">
        <w:t xml:space="preserve">Applying the principles of decision 28/44 to HCFCs, the relevant circumstances </w:t>
      </w:r>
      <w:r>
        <w:t>that</w:t>
      </w:r>
      <w:r w:rsidRPr="005472DC">
        <w:t xml:space="preserve"> must prevail before priority would be granted to end-user conversion activities are: </w:t>
      </w:r>
      <w:r>
        <w:t>(</w:t>
      </w:r>
      <w:r w:rsidRPr="005472DC">
        <w:t>a) production and import controls on HCFC</w:t>
      </w:r>
      <w:r>
        <w:t>s</w:t>
      </w:r>
      <w:r w:rsidRPr="005472DC">
        <w:t xml:space="preserve"> and HCFC-based equipment </w:t>
      </w:r>
      <w:r>
        <w:t xml:space="preserve">that </w:t>
      </w:r>
      <w:r w:rsidRPr="005472DC">
        <w:t xml:space="preserve">are in place and effectively enforced, and restrict the deployment of new HCFC components; </w:t>
      </w:r>
      <w:r>
        <w:t>(</w:t>
      </w:r>
      <w:r w:rsidRPr="005472DC">
        <w:t xml:space="preserve">b) the country's major remaining consumption is for the servicing of refrigeration and air-conditioning equipment; </w:t>
      </w:r>
      <w:r>
        <w:t>(</w:t>
      </w:r>
      <w:r w:rsidRPr="005472DC">
        <w:t xml:space="preserve">c) either no other possible activities would allow the country to meet its HCFC control obligations, or the comparative consumer price of HCFCs, relative to substitute refrigerants, has been high and is predicted to continue to increase; and </w:t>
      </w:r>
      <w:r>
        <w:t>(</w:t>
      </w:r>
      <w:r w:rsidRPr="005472DC">
        <w:t xml:space="preserve">d) codes of practice and standards for the use of flammable refrigerants </w:t>
      </w:r>
      <w:r>
        <w:t>are</w:t>
      </w:r>
      <w:r w:rsidRPr="005472DC">
        <w:t xml:space="preserve"> in place and technicians servicing the equipment have received proper training and </w:t>
      </w:r>
      <w:r w:rsidRPr="001B088E">
        <w:t xml:space="preserve">certification. </w:t>
      </w:r>
    </w:p>
    <w:p w14:paraId="45F63A19" w14:textId="1617355B" w:rsidR="006E6412" w:rsidRPr="001B088E" w:rsidRDefault="008D410F" w:rsidP="0029767D">
      <w:pPr>
        <w:pStyle w:val="Heading1"/>
      </w:pPr>
      <w:r w:rsidRPr="001B088E">
        <w:t xml:space="preserve">Currently, </w:t>
      </w:r>
      <w:r w:rsidR="006E6412" w:rsidRPr="001B088E">
        <w:t>the available alternative refrigerants</w:t>
      </w:r>
      <w:r w:rsidR="006E6412" w:rsidRPr="001B088E">
        <w:rPr>
          <w:vertAlign w:val="superscript"/>
        </w:rPr>
        <w:footnoteReference w:id="44"/>
      </w:r>
      <w:r w:rsidR="006E6412" w:rsidRPr="001B088E">
        <w:t xml:space="preserve"> suitable for retrofitting are high-GWP refrigerants, which would not represent an improvement in refrigerant emissions, or an improvement in energy use. HCFC-22</w:t>
      </w:r>
      <w:r w:rsidRPr="001B088E">
        <w:t>-based equipment</w:t>
      </w:r>
      <w:r w:rsidR="006E6412" w:rsidRPr="001B088E">
        <w:t xml:space="preserve"> has, in almost all cases, a higher inherent efficiency compared to </w:t>
      </w:r>
      <w:r w:rsidRPr="001B088E">
        <w:t xml:space="preserve">other potential </w:t>
      </w:r>
      <w:r w:rsidR="006E6412" w:rsidRPr="001B088E">
        <w:t xml:space="preserve">retrofit </w:t>
      </w:r>
      <w:r w:rsidRPr="001B088E">
        <w:t xml:space="preserve">refrigerants. </w:t>
      </w:r>
      <w:r w:rsidR="00D52313" w:rsidRPr="001B088E">
        <w:t xml:space="preserve">Accordingly, </w:t>
      </w:r>
      <w:r w:rsidRPr="001B088E">
        <w:t>t</w:t>
      </w:r>
      <w:r w:rsidR="00D52313" w:rsidRPr="001B088E">
        <w:t xml:space="preserve">he Executive Committee </w:t>
      </w:r>
      <w:r w:rsidR="00CA5CF8">
        <w:t xml:space="preserve">has </w:t>
      </w:r>
      <w:r w:rsidR="00D52313" w:rsidRPr="001B088E">
        <w:t>encourage</w:t>
      </w:r>
      <w:r w:rsidRPr="001B088E">
        <w:t>d</w:t>
      </w:r>
      <w:r w:rsidR="00D52313" w:rsidRPr="001B088E">
        <w:t xml:space="preserve"> Article 5 countries</w:t>
      </w:r>
      <w:r w:rsidR="003405B4" w:rsidRPr="001B088E">
        <w:t xml:space="preserve">, when implementing their HPMPs, to consider </w:t>
      </w:r>
      <w:r w:rsidR="003405B4" w:rsidRPr="001B088E">
        <w:rPr>
          <w:i/>
        </w:rPr>
        <w:t>inter</w:t>
      </w:r>
      <w:r w:rsidR="008A45DA">
        <w:rPr>
          <w:i/>
        </w:rPr>
        <w:t xml:space="preserve"> </w:t>
      </w:r>
      <w:r w:rsidR="003405B4" w:rsidRPr="001B088E">
        <w:rPr>
          <w:i/>
        </w:rPr>
        <w:t>alia</w:t>
      </w:r>
      <w:r w:rsidR="003405B4" w:rsidRPr="001B088E">
        <w:t xml:space="preserve"> focusing activities in the refrigeration servicing sector on training of technicians, good practices, the safe handling of refrigerants, containment, recovery and recycling</w:t>
      </w:r>
      <w:r w:rsidR="00CA5CF8">
        <w:t>,</w:t>
      </w:r>
      <w:r w:rsidR="003405B4" w:rsidRPr="001B088E">
        <w:t xml:space="preserve"> and reuse of recovered refrigerants rather than retrofitting </w:t>
      </w:r>
      <w:r w:rsidR="00E85C1E" w:rsidRPr="001B088E">
        <w:t>(decision </w:t>
      </w:r>
      <w:r w:rsidR="00AA51F0">
        <w:t>72/41</w:t>
      </w:r>
      <w:r w:rsidR="00D52313" w:rsidRPr="001B088E">
        <w:t>(c)</w:t>
      </w:r>
      <w:r w:rsidR="00E85C1E" w:rsidRPr="001B088E">
        <w:t>(iii))</w:t>
      </w:r>
      <w:r w:rsidR="00CA5CF8">
        <w:t>.</w:t>
      </w:r>
      <w:r w:rsidR="00D52313" w:rsidRPr="001B088E">
        <w:t xml:space="preserve"> </w:t>
      </w:r>
    </w:p>
    <w:p w14:paraId="121FB3B1" w14:textId="4B87DCE3" w:rsidR="00652A35" w:rsidRPr="001B088E" w:rsidRDefault="006E6412" w:rsidP="0029767D">
      <w:pPr>
        <w:pStyle w:val="Heading1"/>
      </w:pPr>
      <w:r w:rsidRPr="001B088E">
        <w:t xml:space="preserve">During implementation of HPMPs, it has been reported that in several Article 5 countries, </w:t>
      </w:r>
      <w:r w:rsidR="006372AF">
        <w:t>R</w:t>
      </w:r>
      <w:r w:rsidRPr="001B088E">
        <w:t xml:space="preserve">-290 is being used for retrofitting, operating and/or filling HCFC-22-based equipment. It appears that market conditions may be favourable for this practice, as it is taking place </w:t>
      </w:r>
      <w:r w:rsidR="00652A35" w:rsidRPr="001B088E">
        <w:t xml:space="preserve">outside the </w:t>
      </w:r>
      <w:r w:rsidRPr="001B088E">
        <w:t>HPMPs. Major concerns were raised regarding the safe use of flammable refrigerants in systems designed for non-flammable refrigerants</w:t>
      </w:r>
      <w:r w:rsidR="00652A35" w:rsidRPr="001B088E">
        <w:t xml:space="preserve"> </w:t>
      </w:r>
      <w:r w:rsidRPr="001B088E">
        <w:t>and the associated risks for technicians and end-users</w:t>
      </w:r>
      <w:r w:rsidR="00CA5CF8">
        <w:t>.</w:t>
      </w:r>
      <w:r w:rsidRPr="001B088E">
        <w:rPr>
          <w:rStyle w:val="FootnoteReference"/>
        </w:rPr>
        <w:footnoteReference w:id="45"/>
      </w:r>
      <w:r w:rsidRPr="001B088E">
        <w:t xml:space="preserve"> In response to this practice, </w:t>
      </w:r>
      <w:r w:rsidR="00652A35" w:rsidRPr="001B088E">
        <w:t xml:space="preserve">the Executive Committee noted that, if the country </w:t>
      </w:r>
      <w:r w:rsidR="00CA5CF8" w:rsidRPr="001B088E">
        <w:t>engage</w:t>
      </w:r>
      <w:r w:rsidR="00CA5CF8">
        <w:t>d</w:t>
      </w:r>
      <w:r w:rsidR="00CA5CF8" w:rsidRPr="001B088E">
        <w:t xml:space="preserve"> </w:t>
      </w:r>
      <w:r w:rsidR="00652A35" w:rsidRPr="001B088E">
        <w:t>in retrofitting HCFC-based refrigeration and air</w:t>
      </w:r>
      <w:r w:rsidR="00AA51F0">
        <w:noBreakHyphen/>
      </w:r>
      <w:r w:rsidR="00652A35" w:rsidRPr="001B088E">
        <w:t>conditioning equipment to flammable or toxic refrigerants and associated servicing</w:t>
      </w:r>
      <w:r w:rsidR="004E6D13">
        <w:t xml:space="preserve"> </w:t>
      </w:r>
      <w:r w:rsidR="00CB6E67">
        <w:t>with assistance from the Fund</w:t>
      </w:r>
      <w:r w:rsidR="00652A35" w:rsidRPr="001B088E">
        <w:t xml:space="preserve">, </w:t>
      </w:r>
      <w:r w:rsidR="00CA5CF8">
        <w:t>the country</w:t>
      </w:r>
      <w:r w:rsidR="00CA5CF8" w:rsidRPr="001B088E">
        <w:t xml:space="preserve"> d</w:t>
      </w:r>
      <w:r w:rsidR="00CA5CF8">
        <w:t>id</w:t>
      </w:r>
      <w:r w:rsidR="00CA5CF8" w:rsidRPr="001B088E">
        <w:t xml:space="preserve"> </w:t>
      </w:r>
      <w:r w:rsidR="00652A35" w:rsidRPr="001B088E">
        <w:t xml:space="preserve">so on the understanding that </w:t>
      </w:r>
      <w:r w:rsidR="00CA5CF8">
        <w:t>it</w:t>
      </w:r>
      <w:r w:rsidR="00CA5CF8" w:rsidRPr="001B088E">
        <w:t xml:space="preserve"> </w:t>
      </w:r>
      <w:r w:rsidR="00652A35" w:rsidRPr="001B088E">
        <w:t>assume</w:t>
      </w:r>
      <w:r w:rsidR="00CA5CF8">
        <w:t>d</w:t>
      </w:r>
      <w:r w:rsidR="00652A35" w:rsidRPr="001B088E">
        <w:t xml:space="preserve"> all associated responsibilities and risks and that </w:t>
      </w:r>
      <w:r w:rsidR="00CA5CF8">
        <w:t>such retrofitting</w:t>
      </w:r>
      <w:r w:rsidR="00CA5CF8" w:rsidRPr="001B088E">
        <w:t xml:space="preserve"> </w:t>
      </w:r>
      <w:r w:rsidR="00652A35" w:rsidRPr="001B088E">
        <w:t>should be done only in accordance with the r</w:t>
      </w:r>
      <w:r w:rsidR="00CD3E4D" w:rsidRPr="001B088E">
        <w:t>elevant standards and protocols</w:t>
      </w:r>
      <w:r w:rsidR="00652A35" w:rsidRPr="001B088E">
        <w:t xml:space="preserve"> (decisions 72/17 and 73/34).</w:t>
      </w:r>
    </w:p>
    <w:p w14:paraId="653D4246" w14:textId="77777777" w:rsidR="00EC75F4" w:rsidRPr="001B088E" w:rsidRDefault="00EC75F4" w:rsidP="0029767D">
      <w:pPr>
        <w:rPr>
          <w:u w:val="single"/>
        </w:rPr>
      </w:pPr>
      <w:r w:rsidRPr="001B088E">
        <w:rPr>
          <w:u w:val="single"/>
        </w:rPr>
        <w:t>Assembly</w:t>
      </w:r>
      <w:r w:rsidR="00645F36" w:rsidRPr="001B088E">
        <w:rPr>
          <w:u w:val="single"/>
        </w:rPr>
        <w:t>, installation and charging subsector</w:t>
      </w:r>
    </w:p>
    <w:p w14:paraId="7A246160" w14:textId="77777777" w:rsidR="00EC75F4" w:rsidRPr="001B088E" w:rsidRDefault="00EC75F4" w:rsidP="0029767D"/>
    <w:p w14:paraId="60B899EE" w14:textId="77777777" w:rsidR="00603E75" w:rsidRPr="00603E75" w:rsidRDefault="00D6621E" w:rsidP="0029767D">
      <w:pPr>
        <w:pStyle w:val="Heading1"/>
        <w:rPr>
          <w:lang w:val="en-CA"/>
        </w:rPr>
      </w:pPr>
      <w:r w:rsidRPr="001B088E">
        <w:rPr>
          <w:lang w:val="en-CA"/>
        </w:rPr>
        <w:t xml:space="preserve">At </w:t>
      </w:r>
      <w:r w:rsidR="00652A35" w:rsidRPr="001B088E">
        <w:rPr>
          <w:lang w:val="en-CA"/>
        </w:rPr>
        <w:t xml:space="preserve">its </w:t>
      </w:r>
      <w:r w:rsidRPr="001B088E">
        <w:rPr>
          <w:lang w:val="en-CA"/>
        </w:rPr>
        <w:t>31</w:t>
      </w:r>
      <w:r w:rsidRPr="001B088E">
        <w:rPr>
          <w:vertAlign w:val="superscript"/>
          <w:lang w:val="en-CA"/>
        </w:rPr>
        <w:t>st</w:t>
      </w:r>
      <w:r w:rsidRPr="001B088E">
        <w:rPr>
          <w:lang w:val="en-CA"/>
        </w:rPr>
        <w:t xml:space="preserve"> meeting</w:t>
      </w:r>
      <w:r w:rsidR="0009141C" w:rsidRPr="001B088E">
        <w:rPr>
          <w:lang w:val="en-CA"/>
        </w:rPr>
        <w:t xml:space="preserve"> (July 2000)</w:t>
      </w:r>
      <w:r w:rsidRPr="001B088E">
        <w:rPr>
          <w:lang w:val="en-CA"/>
        </w:rPr>
        <w:t xml:space="preserve">, the Executive Committee defined </w:t>
      </w:r>
      <w:r w:rsidR="0009141C" w:rsidRPr="001B088E">
        <w:rPr>
          <w:lang w:val="en-CA"/>
        </w:rPr>
        <w:t>the assembly, installation</w:t>
      </w:r>
      <w:r w:rsidR="0009141C" w:rsidRPr="0009141C">
        <w:rPr>
          <w:lang w:val="en-CA"/>
        </w:rPr>
        <w:t xml:space="preserve"> and charging subsector</w:t>
      </w:r>
      <w:r w:rsidR="0009141C">
        <w:rPr>
          <w:lang w:val="en-CA"/>
        </w:rPr>
        <w:t xml:space="preserve"> </w:t>
      </w:r>
      <w:r w:rsidRPr="00D6621E">
        <w:rPr>
          <w:lang w:val="en-CA"/>
        </w:rPr>
        <w:t>and agreed on guidelines for the calculation of incremental costs (decision 31/45)</w:t>
      </w:r>
      <w:r w:rsidR="0009141C">
        <w:rPr>
          <w:lang w:val="en-CA"/>
        </w:rPr>
        <w:t>. A</w:t>
      </w:r>
      <w:r w:rsidRPr="00D6621E">
        <w:rPr>
          <w:lang w:val="en-CA"/>
        </w:rPr>
        <w:t>dditional guidance was agreed at the 62</w:t>
      </w:r>
      <w:r w:rsidRPr="00D6621E">
        <w:rPr>
          <w:vertAlign w:val="superscript"/>
          <w:lang w:val="en-CA"/>
        </w:rPr>
        <w:t>nd</w:t>
      </w:r>
      <w:r w:rsidRPr="00D6621E">
        <w:rPr>
          <w:lang w:val="en-CA"/>
        </w:rPr>
        <w:t xml:space="preserve"> meeting (decision 62/14)</w:t>
      </w:r>
      <w:r w:rsidR="00304B16">
        <w:rPr>
          <w:lang w:val="en-CA"/>
        </w:rPr>
        <w:t>.</w:t>
      </w:r>
      <w:r w:rsidRPr="00D6621E">
        <w:rPr>
          <w:rStyle w:val="FootnoteReference"/>
          <w:lang w:val="en-CA"/>
        </w:rPr>
        <w:footnoteReference w:id="46"/>
      </w:r>
      <w:r w:rsidRPr="00D6621E">
        <w:rPr>
          <w:lang w:val="en-CA"/>
        </w:rPr>
        <w:t xml:space="preserve"> Since then, activities </w:t>
      </w:r>
      <w:r w:rsidR="00CD3E4D">
        <w:rPr>
          <w:lang w:val="en-CA"/>
        </w:rPr>
        <w:t xml:space="preserve">in </w:t>
      </w:r>
      <w:r w:rsidR="00603E75">
        <w:rPr>
          <w:lang w:val="en-CA"/>
        </w:rPr>
        <w:t xml:space="preserve">this subsector </w:t>
      </w:r>
      <w:r w:rsidR="001A1163">
        <w:rPr>
          <w:lang w:val="en-CA"/>
        </w:rPr>
        <w:t>ha</w:t>
      </w:r>
      <w:r w:rsidR="00CD3E4D">
        <w:rPr>
          <w:lang w:val="en-CA"/>
        </w:rPr>
        <w:t>ve</w:t>
      </w:r>
      <w:r w:rsidR="001A1163">
        <w:rPr>
          <w:lang w:val="en-CA"/>
        </w:rPr>
        <w:t xml:space="preserve"> been approved </w:t>
      </w:r>
      <w:r w:rsidRPr="00D6621E">
        <w:rPr>
          <w:lang w:val="en-CA"/>
        </w:rPr>
        <w:t xml:space="preserve">in the context of umbrella projects or phase-out plans where the specific conditions </w:t>
      </w:r>
      <w:r w:rsidR="001A1163">
        <w:rPr>
          <w:lang w:val="en-CA"/>
        </w:rPr>
        <w:t xml:space="preserve">of the enterprises assembling </w:t>
      </w:r>
      <w:r w:rsidR="00CA5CF8">
        <w:rPr>
          <w:lang w:val="en-CA"/>
        </w:rPr>
        <w:t xml:space="preserve">the </w:t>
      </w:r>
      <w:r w:rsidR="001A1163">
        <w:rPr>
          <w:lang w:val="en-CA"/>
        </w:rPr>
        <w:t xml:space="preserve">equipment </w:t>
      </w:r>
      <w:r w:rsidRPr="00D6621E">
        <w:rPr>
          <w:lang w:val="en-CA"/>
        </w:rPr>
        <w:t>were not known in detail</w:t>
      </w:r>
      <w:r w:rsidR="00304B16">
        <w:rPr>
          <w:lang w:val="en-CA"/>
        </w:rPr>
        <w:t xml:space="preserve">. </w:t>
      </w:r>
    </w:p>
    <w:p w14:paraId="24F63B9E" w14:textId="77777777" w:rsidR="009F7C61" w:rsidRPr="00603E75" w:rsidRDefault="006372AF" w:rsidP="0029767D">
      <w:pPr>
        <w:pStyle w:val="Heading1"/>
        <w:rPr>
          <w:lang w:val="en-CA"/>
        </w:rPr>
      </w:pPr>
      <w:r>
        <w:rPr>
          <w:lang w:val="en-CA"/>
        </w:rPr>
        <w:t>T</w:t>
      </w:r>
      <w:r w:rsidRPr="006372AF">
        <w:rPr>
          <w:lang w:val="en-CA"/>
        </w:rPr>
        <w:t>h</w:t>
      </w:r>
      <w:r>
        <w:rPr>
          <w:lang w:val="en-CA"/>
        </w:rPr>
        <w:t xml:space="preserve">is subsector can potentially help facilitate the adoption of low-GWP alternatives as it assembles and install new </w:t>
      </w:r>
      <w:r w:rsidR="00930CF1">
        <w:rPr>
          <w:lang w:val="en-CA"/>
        </w:rPr>
        <w:t xml:space="preserve">refrigeration and air-conditioning </w:t>
      </w:r>
      <w:r>
        <w:rPr>
          <w:lang w:val="en-CA"/>
        </w:rPr>
        <w:t>systems</w:t>
      </w:r>
      <w:r w:rsidR="00930CF1">
        <w:rPr>
          <w:lang w:val="en-CA"/>
        </w:rPr>
        <w:t>.</w:t>
      </w:r>
      <w:r w:rsidRPr="006372AF">
        <w:rPr>
          <w:lang w:val="en-CA"/>
        </w:rPr>
        <w:t xml:space="preserve"> </w:t>
      </w:r>
      <w:r w:rsidR="009F7C61" w:rsidRPr="00603E75">
        <w:rPr>
          <w:lang w:val="en-CA"/>
        </w:rPr>
        <w:t xml:space="preserve">The </w:t>
      </w:r>
      <w:r w:rsidR="00603E75">
        <w:rPr>
          <w:lang w:val="en-CA"/>
        </w:rPr>
        <w:t>sub</w:t>
      </w:r>
      <w:r w:rsidR="009F7C61" w:rsidRPr="00603E75">
        <w:rPr>
          <w:lang w:val="en-CA"/>
        </w:rPr>
        <w:t xml:space="preserve">sector </w:t>
      </w:r>
      <w:r w:rsidR="00304B16" w:rsidRPr="00603E75">
        <w:rPr>
          <w:lang w:val="en-CA"/>
        </w:rPr>
        <w:t>comprises</w:t>
      </w:r>
      <w:r w:rsidR="009F7C61" w:rsidRPr="00603E75">
        <w:rPr>
          <w:lang w:val="en-CA"/>
        </w:rPr>
        <w:t xml:space="preserve"> several types of enterprises, inc</w:t>
      </w:r>
      <w:r w:rsidR="00BB1154" w:rsidRPr="00603E75">
        <w:rPr>
          <w:lang w:val="en-CA"/>
        </w:rPr>
        <w:t>l</w:t>
      </w:r>
      <w:r w:rsidR="009F7C61" w:rsidRPr="00603E75">
        <w:rPr>
          <w:lang w:val="en-CA"/>
        </w:rPr>
        <w:t xml:space="preserve">uding commercial refrigeration </w:t>
      </w:r>
      <w:r w:rsidR="00D6621E" w:rsidRPr="00603E75">
        <w:rPr>
          <w:lang w:val="en-CA"/>
        </w:rPr>
        <w:t xml:space="preserve">or air-conditioning </w:t>
      </w:r>
      <w:r w:rsidR="009F7C61" w:rsidRPr="00603E75">
        <w:rPr>
          <w:lang w:val="en-CA"/>
        </w:rPr>
        <w:t xml:space="preserve">manufacturers that charge the refrigerant </w:t>
      </w:r>
      <w:r w:rsidR="009F7C61" w:rsidRPr="00AC4B25">
        <w:rPr>
          <w:i/>
          <w:lang w:val="en-CA"/>
        </w:rPr>
        <w:t xml:space="preserve">in </w:t>
      </w:r>
      <w:r w:rsidR="00603E75" w:rsidRPr="00AC4B25">
        <w:rPr>
          <w:i/>
          <w:lang w:val="en-CA"/>
        </w:rPr>
        <w:t>situ</w:t>
      </w:r>
      <w:r w:rsidR="00603E75" w:rsidRPr="00603E75">
        <w:rPr>
          <w:lang w:val="en-CA"/>
        </w:rPr>
        <w:t xml:space="preserve"> </w:t>
      </w:r>
      <w:r w:rsidR="009F7C61" w:rsidRPr="00603E75">
        <w:rPr>
          <w:lang w:val="en-CA"/>
        </w:rPr>
        <w:t>(</w:t>
      </w:r>
      <w:r w:rsidR="00C460B0">
        <w:rPr>
          <w:lang w:val="en-CA"/>
        </w:rPr>
        <w:t xml:space="preserve">they </w:t>
      </w:r>
      <w:r w:rsidR="009F7C61" w:rsidRPr="00603E75">
        <w:rPr>
          <w:lang w:val="en-CA"/>
        </w:rPr>
        <w:t>generally have manufacturing plants, production lines and warehouses, and assemble sys</w:t>
      </w:r>
      <w:r w:rsidR="00D6621E" w:rsidRPr="00603E75">
        <w:rPr>
          <w:lang w:val="en-CA"/>
        </w:rPr>
        <w:t xml:space="preserve">tems tailored </w:t>
      </w:r>
      <w:r w:rsidR="00C460B0">
        <w:rPr>
          <w:lang w:val="en-CA"/>
        </w:rPr>
        <w:t>to</w:t>
      </w:r>
      <w:r w:rsidR="00C460B0" w:rsidRPr="00603E75">
        <w:rPr>
          <w:lang w:val="en-CA"/>
        </w:rPr>
        <w:t xml:space="preserve"> </w:t>
      </w:r>
      <w:r w:rsidR="00D6621E" w:rsidRPr="00603E75">
        <w:rPr>
          <w:lang w:val="en-CA"/>
        </w:rPr>
        <w:t xml:space="preserve">the client); </w:t>
      </w:r>
      <w:r w:rsidR="009F7C61" w:rsidRPr="00603E75">
        <w:rPr>
          <w:lang w:val="en-CA"/>
        </w:rPr>
        <w:t xml:space="preserve">contractors that install tailored </w:t>
      </w:r>
      <w:r w:rsidR="00BB1154" w:rsidRPr="00603E75">
        <w:rPr>
          <w:lang w:val="en-CA"/>
        </w:rPr>
        <w:t>refrigeration or air-conditioning</w:t>
      </w:r>
      <w:r w:rsidR="009F7C61" w:rsidRPr="00603E75">
        <w:rPr>
          <w:lang w:val="en-CA"/>
        </w:rPr>
        <w:t xml:space="preserve"> systems to end-users; </w:t>
      </w:r>
      <w:r w:rsidR="00D6621E" w:rsidRPr="00603E75">
        <w:rPr>
          <w:lang w:val="en-CA"/>
        </w:rPr>
        <w:t>or</w:t>
      </w:r>
      <w:r w:rsidR="009F7C61" w:rsidRPr="00603E75">
        <w:rPr>
          <w:lang w:val="en-CA"/>
        </w:rPr>
        <w:t xml:space="preserve"> end-users that install their systems with in-house technical capacity</w:t>
      </w:r>
      <w:r w:rsidR="00603E75" w:rsidRPr="00603E75">
        <w:rPr>
          <w:lang w:val="en-CA"/>
        </w:rPr>
        <w:t xml:space="preserve">. </w:t>
      </w:r>
      <w:r w:rsidR="001A7C7C" w:rsidRPr="00603E75">
        <w:rPr>
          <w:lang w:val="en-CA"/>
        </w:rPr>
        <w:t>This subsector provide</w:t>
      </w:r>
      <w:r w:rsidR="00492DD3" w:rsidRPr="00603E75">
        <w:rPr>
          <w:lang w:val="en-CA"/>
        </w:rPr>
        <w:t>s</w:t>
      </w:r>
      <w:r w:rsidR="001A7C7C" w:rsidRPr="00603E75">
        <w:rPr>
          <w:lang w:val="en-CA"/>
        </w:rPr>
        <w:t xml:space="preserve"> </w:t>
      </w:r>
      <w:r w:rsidR="00930CF1">
        <w:rPr>
          <w:lang w:val="en-CA"/>
        </w:rPr>
        <w:t>systems</w:t>
      </w:r>
      <w:r w:rsidR="00930CF1" w:rsidRPr="00603E75">
        <w:rPr>
          <w:lang w:val="en-CA"/>
        </w:rPr>
        <w:t xml:space="preserve"> </w:t>
      </w:r>
      <w:r w:rsidR="001A7C7C" w:rsidRPr="00603E75">
        <w:rPr>
          <w:lang w:val="en-CA"/>
        </w:rPr>
        <w:t xml:space="preserve">to </w:t>
      </w:r>
      <w:r w:rsidR="009F7C61" w:rsidRPr="00603E75">
        <w:rPr>
          <w:lang w:val="en-CA"/>
        </w:rPr>
        <w:t xml:space="preserve">a wide range of </w:t>
      </w:r>
      <w:r w:rsidR="001A7C7C" w:rsidRPr="00603E75">
        <w:rPr>
          <w:lang w:val="en-CA"/>
        </w:rPr>
        <w:t>industries</w:t>
      </w:r>
      <w:r w:rsidR="009F7C61" w:rsidRPr="00603E75">
        <w:rPr>
          <w:lang w:val="en-CA"/>
        </w:rPr>
        <w:t xml:space="preserve"> includi</w:t>
      </w:r>
      <w:r w:rsidR="00A50F43" w:rsidRPr="00603E75">
        <w:rPr>
          <w:lang w:val="en-CA"/>
        </w:rPr>
        <w:t>ng retail sellers such as super</w:t>
      </w:r>
      <w:r w:rsidR="009F7C61" w:rsidRPr="00603E75">
        <w:rPr>
          <w:lang w:val="en-CA"/>
        </w:rPr>
        <w:t>mark</w:t>
      </w:r>
      <w:r w:rsidR="001A7C7C" w:rsidRPr="00603E75">
        <w:rPr>
          <w:lang w:val="en-CA"/>
        </w:rPr>
        <w:t>ets, minimarkets and butcheries;</w:t>
      </w:r>
      <w:r w:rsidR="009F7C61" w:rsidRPr="00603E75">
        <w:rPr>
          <w:lang w:val="en-CA"/>
        </w:rPr>
        <w:t xml:space="preserve"> agroindustry, including flowers, food freezing warehouses, slaughter houses, milk-b</w:t>
      </w:r>
      <w:r w:rsidR="001A7C7C" w:rsidRPr="00603E75">
        <w:rPr>
          <w:lang w:val="en-CA"/>
        </w:rPr>
        <w:t xml:space="preserve">ased products; </w:t>
      </w:r>
      <w:r w:rsidR="00C460B0">
        <w:rPr>
          <w:lang w:val="en-CA"/>
        </w:rPr>
        <w:t xml:space="preserve">the </w:t>
      </w:r>
      <w:r w:rsidR="001A7C7C" w:rsidRPr="00603E75">
        <w:rPr>
          <w:lang w:val="en-CA"/>
        </w:rPr>
        <w:t>pharmaceutical sector;</w:t>
      </w:r>
      <w:r w:rsidR="009F7C61" w:rsidRPr="00603E75">
        <w:rPr>
          <w:lang w:val="en-CA"/>
        </w:rPr>
        <w:t xml:space="preserve"> catering services for the army, schools, hos</w:t>
      </w:r>
      <w:r w:rsidR="001A7C7C" w:rsidRPr="00603E75">
        <w:rPr>
          <w:lang w:val="en-CA"/>
        </w:rPr>
        <w:t xml:space="preserve">pitals; </w:t>
      </w:r>
      <w:r w:rsidR="00D6621E" w:rsidRPr="00603E75">
        <w:rPr>
          <w:lang w:val="en-CA"/>
        </w:rPr>
        <w:t>restaurant chains</w:t>
      </w:r>
      <w:r w:rsidR="001A7C7C" w:rsidRPr="00603E75">
        <w:rPr>
          <w:lang w:val="en-CA"/>
        </w:rPr>
        <w:t>;</w:t>
      </w:r>
      <w:r w:rsidR="009F7C61" w:rsidRPr="00603E75">
        <w:rPr>
          <w:lang w:val="en-CA"/>
        </w:rPr>
        <w:t xml:space="preserve"> food process plants; </w:t>
      </w:r>
      <w:r w:rsidR="00C460B0">
        <w:rPr>
          <w:lang w:val="en-CA"/>
        </w:rPr>
        <w:t xml:space="preserve">the </w:t>
      </w:r>
      <w:r w:rsidR="00C460B0" w:rsidRPr="00603E75">
        <w:rPr>
          <w:lang w:val="en-CA"/>
        </w:rPr>
        <w:t>fisher</w:t>
      </w:r>
      <w:r w:rsidR="00C460B0">
        <w:rPr>
          <w:lang w:val="en-CA"/>
        </w:rPr>
        <w:t>ies</w:t>
      </w:r>
      <w:r w:rsidR="00C460B0" w:rsidRPr="00603E75">
        <w:rPr>
          <w:lang w:val="en-CA"/>
        </w:rPr>
        <w:t xml:space="preserve"> </w:t>
      </w:r>
      <w:r w:rsidR="009F7C61" w:rsidRPr="00603E75">
        <w:rPr>
          <w:lang w:val="en-CA"/>
        </w:rPr>
        <w:t>industry</w:t>
      </w:r>
      <w:r w:rsidR="001A7C7C" w:rsidRPr="00603E75">
        <w:rPr>
          <w:lang w:val="en-CA"/>
        </w:rPr>
        <w:t xml:space="preserve">; </w:t>
      </w:r>
      <w:r w:rsidR="009F7C61" w:rsidRPr="00603E75">
        <w:rPr>
          <w:lang w:val="en-CA"/>
        </w:rPr>
        <w:t>hotels</w:t>
      </w:r>
      <w:r w:rsidR="001A7C7C" w:rsidRPr="00603E75">
        <w:rPr>
          <w:lang w:val="en-CA"/>
        </w:rPr>
        <w:t xml:space="preserve"> and</w:t>
      </w:r>
      <w:r w:rsidR="009F7C61" w:rsidRPr="00603E75">
        <w:rPr>
          <w:lang w:val="en-CA"/>
        </w:rPr>
        <w:t xml:space="preserve"> office</w:t>
      </w:r>
      <w:r w:rsidR="001A7C7C" w:rsidRPr="00603E75">
        <w:rPr>
          <w:lang w:val="en-CA"/>
        </w:rPr>
        <w:t xml:space="preserve"> building</w:t>
      </w:r>
      <w:r w:rsidR="009F7C61" w:rsidRPr="00603E75">
        <w:rPr>
          <w:lang w:val="en-CA"/>
        </w:rPr>
        <w:t>s</w:t>
      </w:r>
      <w:r w:rsidR="001A7C7C" w:rsidRPr="00603E75">
        <w:rPr>
          <w:lang w:val="en-CA"/>
        </w:rPr>
        <w:t>, among others</w:t>
      </w:r>
      <w:r w:rsidR="009F7C61" w:rsidRPr="00603E75">
        <w:rPr>
          <w:lang w:val="en-CA"/>
        </w:rPr>
        <w:t>.</w:t>
      </w:r>
    </w:p>
    <w:p w14:paraId="1559F56B" w14:textId="77777777" w:rsidR="009F7C61" w:rsidRPr="00603E75" w:rsidRDefault="00603E75" w:rsidP="0029767D">
      <w:pPr>
        <w:pStyle w:val="Heading1"/>
        <w:rPr>
          <w:sz w:val="20"/>
          <w:szCs w:val="20"/>
          <w:lang w:val="en-CA"/>
        </w:rPr>
      </w:pPr>
      <w:r w:rsidRPr="00603E75">
        <w:rPr>
          <w:lang w:val="en-CA"/>
        </w:rPr>
        <w:t>Furthermore, the actual distribution of the consumption of controlled substances between servicing and assembly, installation, and initial charging is not available.</w:t>
      </w:r>
      <w:r>
        <w:rPr>
          <w:rStyle w:val="FootnoteReference"/>
          <w:lang w:val="en-CA"/>
        </w:rPr>
        <w:footnoteReference w:id="47"/>
      </w:r>
      <w:r w:rsidRPr="00603E75">
        <w:rPr>
          <w:lang w:val="en-CA"/>
        </w:rPr>
        <w:t xml:space="preserve"> </w:t>
      </w:r>
      <w:r w:rsidR="00825BF3" w:rsidRPr="00603E75">
        <w:rPr>
          <w:lang w:val="en-CA"/>
        </w:rPr>
        <w:t>In discussi</w:t>
      </w:r>
      <w:r w:rsidR="009F7C61" w:rsidRPr="00603E75">
        <w:rPr>
          <w:lang w:val="en-CA"/>
        </w:rPr>
        <w:t>n</w:t>
      </w:r>
      <w:r w:rsidR="00825BF3" w:rsidRPr="00603E75">
        <w:rPr>
          <w:lang w:val="en-CA"/>
        </w:rPr>
        <w:t>g</w:t>
      </w:r>
      <w:r w:rsidR="009F7C61" w:rsidRPr="00603E75">
        <w:rPr>
          <w:lang w:val="en-CA"/>
        </w:rPr>
        <w:t xml:space="preserve"> the experience gained by </w:t>
      </w:r>
      <w:r w:rsidR="00906BA4">
        <w:rPr>
          <w:lang w:val="en-CA"/>
        </w:rPr>
        <w:t xml:space="preserve">bilateral and </w:t>
      </w:r>
      <w:r w:rsidR="009F7C61" w:rsidRPr="00603E75">
        <w:rPr>
          <w:lang w:val="en-CA"/>
        </w:rPr>
        <w:t xml:space="preserve">implementing agencies in the implementation of HPMPs, </w:t>
      </w:r>
      <w:r w:rsidR="00023A2A" w:rsidRPr="00603E75">
        <w:rPr>
          <w:lang w:val="en-CA"/>
        </w:rPr>
        <w:t>it was concluded that there</w:t>
      </w:r>
      <w:r w:rsidR="009F7C61" w:rsidRPr="00603E75">
        <w:rPr>
          <w:lang w:val="en-CA"/>
        </w:rPr>
        <w:t xml:space="preserve"> is need for a better understanding of this </w:t>
      </w:r>
      <w:r w:rsidR="00906BA4">
        <w:rPr>
          <w:lang w:val="en-CA"/>
        </w:rPr>
        <w:t>sub</w:t>
      </w:r>
      <w:r w:rsidR="009F7C61" w:rsidRPr="00603E75">
        <w:rPr>
          <w:lang w:val="en-CA"/>
        </w:rPr>
        <w:t xml:space="preserve">sector as it </w:t>
      </w:r>
      <w:r w:rsidR="00906BA4">
        <w:rPr>
          <w:lang w:val="en-CA"/>
        </w:rPr>
        <w:t xml:space="preserve">could </w:t>
      </w:r>
      <w:r w:rsidR="00A728B6" w:rsidRPr="00603E75">
        <w:rPr>
          <w:lang w:val="en-CA"/>
        </w:rPr>
        <w:t>facilitate</w:t>
      </w:r>
      <w:r w:rsidR="00023A2A" w:rsidRPr="00603E75">
        <w:rPr>
          <w:lang w:val="en-CA"/>
        </w:rPr>
        <w:t xml:space="preserve"> </w:t>
      </w:r>
      <w:r w:rsidR="00906BA4">
        <w:rPr>
          <w:lang w:val="en-CA"/>
        </w:rPr>
        <w:t xml:space="preserve">the </w:t>
      </w:r>
      <w:r w:rsidR="00023A2A" w:rsidRPr="00603E75">
        <w:rPr>
          <w:lang w:val="en-CA"/>
        </w:rPr>
        <w:t>HFC phase-down</w:t>
      </w:r>
      <w:r w:rsidR="00906BA4">
        <w:rPr>
          <w:lang w:val="en-CA"/>
        </w:rPr>
        <w:t>,</w:t>
      </w:r>
      <w:r w:rsidR="00A728B6" w:rsidRPr="00603E75">
        <w:rPr>
          <w:lang w:val="en-CA"/>
        </w:rPr>
        <w:t xml:space="preserve"> </w:t>
      </w:r>
      <w:r w:rsidR="00906BA4">
        <w:rPr>
          <w:lang w:val="en-CA"/>
        </w:rPr>
        <w:t xml:space="preserve">favour the </w:t>
      </w:r>
      <w:r w:rsidR="009F7C61" w:rsidRPr="00603E75">
        <w:rPr>
          <w:lang w:val="en-CA"/>
        </w:rPr>
        <w:t>introd</w:t>
      </w:r>
      <w:r w:rsidR="00023A2A" w:rsidRPr="00603E75">
        <w:rPr>
          <w:lang w:val="en-CA"/>
        </w:rPr>
        <w:t>uction of low-GWP technologies, and promote safe and energy</w:t>
      </w:r>
      <w:r w:rsidR="00C460B0">
        <w:rPr>
          <w:lang w:val="en-CA"/>
        </w:rPr>
        <w:t>-</w:t>
      </w:r>
      <w:r w:rsidR="00023A2A" w:rsidRPr="00603E75">
        <w:rPr>
          <w:lang w:val="en-CA"/>
        </w:rPr>
        <w:t>efficient installation practices</w:t>
      </w:r>
      <w:r w:rsidR="001A7C7C" w:rsidRPr="00603E75">
        <w:rPr>
          <w:lang w:val="en-CA"/>
        </w:rPr>
        <w:t>.</w:t>
      </w:r>
    </w:p>
    <w:p w14:paraId="3728B541" w14:textId="77777777" w:rsidR="004E51A2" w:rsidRPr="00FA17DF" w:rsidRDefault="004E51A2" w:rsidP="0029767D">
      <w:pPr>
        <w:pStyle w:val="Heading1"/>
        <w:numPr>
          <w:ilvl w:val="0"/>
          <w:numId w:val="0"/>
        </w:numPr>
        <w:rPr>
          <w:u w:val="single"/>
          <w:lang w:val="en-CA"/>
        </w:rPr>
      </w:pPr>
      <w:r w:rsidRPr="00D6621E">
        <w:rPr>
          <w:u w:val="single"/>
          <w:lang w:val="en-CA"/>
        </w:rPr>
        <w:t xml:space="preserve">Utilization of the </w:t>
      </w:r>
      <w:r w:rsidR="00EF0EE9">
        <w:rPr>
          <w:u w:val="single"/>
          <w:lang w:val="en-CA"/>
        </w:rPr>
        <w:t xml:space="preserve">current </w:t>
      </w:r>
      <w:r w:rsidR="00C92FB8" w:rsidRPr="00D6621E">
        <w:rPr>
          <w:u w:val="single"/>
          <w:lang w:val="en-CA"/>
        </w:rPr>
        <w:t>technical</w:t>
      </w:r>
      <w:r w:rsidR="00C92FB8">
        <w:rPr>
          <w:u w:val="single"/>
          <w:lang w:val="en-CA"/>
        </w:rPr>
        <w:t xml:space="preserve"> assistance </w:t>
      </w:r>
      <w:r>
        <w:rPr>
          <w:u w:val="single"/>
          <w:lang w:val="en-CA"/>
        </w:rPr>
        <w:t>c</w:t>
      </w:r>
      <w:r w:rsidRPr="004C1158">
        <w:rPr>
          <w:u w:val="single"/>
          <w:lang w:val="en-CA"/>
        </w:rPr>
        <w:t>apacity for</w:t>
      </w:r>
      <w:r>
        <w:rPr>
          <w:u w:val="single"/>
          <w:lang w:val="en-CA"/>
        </w:rPr>
        <w:t xml:space="preserve"> </w:t>
      </w:r>
      <w:r w:rsidRPr="004C1158">
        <w:rPr>
          <w:u w:val="single"/>
          <w:lang w:val="en-CA"/>
        </w:rPr>
        <w:t>HFC phase-down</w:t>
      </w:r>
    </w:p>
    <w:p w14:paraId="2FBE5EF9" w14:textId="77777777" w:rsidR="00DF2037" w:rsidRPr="006E24FD" w:rsidRDefault="00DF2037" w:rsidP="0029767D">
      <w:pPr>
        <w:pStyle w:val="Heading1"/>
        <w:rPr>
          <w:lang w:val="en-CA"/>
        </w:rPr>
      </w:pPr>
      <w:r>
        <w:rPr>
          <w:lang w:val="en-CA"/>
        </w:rPr>
        <w:t xml:space="preserve">Service tools for technicians should continue to be considered as an important component of the refrigeration servicing sector. Rather than </w:t>
      </w:r>
      <w:r w:rsidRPr="006E24FD">
        <w:rPr>
          <w:lang w:val="en-CA"/>
        </w:rPr>
        <w:t xml:space="preserve">defining a universal tool-kit to be provided </w:t>
      </w:r>
      <w:r>
        <w:rPr>
          <w:lang w:val="en-CA"/>
        </w:rPr>
        <w:t xml:space="preserve">to all </w:t>
      </w:r>
      <w:r w:rsidRPr="006E24FD">
        <w:rPr>
          <w:lang w:val="en-CA"/>
        </w:rPr>
        <w:t>countries</w:t>
      </w:r>
      <w:r>
        <w:rPr>
          <w:lang w:val="en-CA"/>
        </w:rPr>
        <w:t xml:space="preserve">, </w:t>
      </w:r>
      <w:r w:rsidRPr="006E24FD">
        <w:rPr>
          <w:lang w:val="en-CA"/>
        </w:rPr>
        <w:t xml:space="preserve">each Article 5 country should determine which servicing tool-kits would best address the needs of </w:t>
      </w:r>
      <w:r>
        <w:rPr>
          <w:lang w:val="en-CA"/>
        </w:rPr>
        <w:t xml:space="preserve">their </w:t>
      </w:r>
      <w:r w:rsidRPr="006E24FD">
        <w:rPr>
          <w:lang w:val="en-CA"/>
        </w:rPr>
        <w:t xml:space="preserve">technicians at different stages of project implementation. </w:t>
      </w:r>
    </w:p>
    <w:p w14:paraId="354E4090" w14:textId="21ACBBAB" w:rsidR="00C7440F" w:rsidRDefault="00DF2037" w:rsidP="0029767D">
      <w:pPr>
        <w:pStyle w:val="Heading1"/>
      </w:pPr>
      <w:r>
        <w:t xml:space="preserve">The strengthening of existing </w:t>
      </w:r>
      <w:r w:rsidR="009F78C2" w:rsidRPr="003D02C5">
        <w:rPr>
          <w:lang w:val="en-CA"/>
        </w:rPr>
        <w:t xml:space="preserve">RRR </w:t>
      </w:r>
      <w:r>
        <w:rPr>
          <w:lang w:val="en-CA"/>
        </w:rPr>
        <w:t xml:space="preserve">schemes or </w:t>
      </w:r>
      <w:r w:rsidR="00E85245">
        <w:rPr>
          <w:lang w:val="en-CA"/>
        </w:rPr>
        <w:t xml:space="preserve">the </w:t>
      </w:r>
      <w:r>
        <w:rPr>
          <w:lang w:val="en-CA"/>
        </w:rPr>
        <w:t xml:space="preserve">establishment of new ones should be based on a comprehensive </w:t>
      </w:r>
      <w:r w:rsidR="009F78C2">
        <w:t>b</w:t>
      </w:r>
      <w:r w:rsidR="009F78C2" w:rsidRPr="002B1782">
        <w:t>usiness model</w:t>
      </w:r>
      <w:r w:rsidR="009F78C2">
        <w:t xml:space="preserve"> suitable to the conditions of the country and the stakeholders </w:t>
      </w:r>
      <w:r w:rsidR="00732161">
        <w:t>involved</w:t>
      </w:r>
      <w:r w:rsidR="00722271">
        <w:t>,</w:t>
      </w:r>
      <w:r w:rsidR="00F95C54">
        <w:t xml:space="preserve"> </w:t>
      </w:r>
      <w:r w:rsidR="009F78C2">
        <w:t xml:space="preserve">taking into account </w:t>
      </w:r>
      <w:r>
        <w:rPr>
          <w:i/>
        </w:rPr>
        <w:t xml:space="preserve">inter alia </w:t>
      </w:r>
      <w:r w:rsidR="009F78C2">
        <w:t xml:space="preserve">the price of </w:t>
      </w:r>
      <w:r w:rsidR="009F78C2" w:rsidRPr="000C6C86">
        <w:t xml:space="preserve">virgin refrigerant </w:t>
      </w:r>
      <w:r w:rsidR="009F78C2">
        <w:t>and the expected amount of refrigerant to be reclaimed.</w:t>
      </w:r>
      <w:r w:rsidR="009F78C2">
        <w:rPr>
          <w:rStyle w:val="FootnoteReference"/>
          <w:lang w:val="en-CA"/>
        </w:rPr>
        <w:footnoteReference w:id="48"/>
      </w:r>
      <w:r w:rsidR="009F78C2">
        <w:t xml:space="preserve"> </w:t>
      </w:r>
      <w:r>
        <w:t>T</w:t>
      </w:r>
      <w:r w:rsidRPr="003D02C5">
        <w:rPr>
          <w:lang w:val="en-CA"/>
        </w:rPr>
        <w:t xml:space="preserve">he long-term sustainability and efficiency </w:t>
      </w:r>
      <w:r>
        <w:rPr>
          <w:lang w:val="en-CA"/>
        </w:rPr>
        <w:t xml:space="preserve">of these schemes should be supported with regulations for a mandatory </w:t>
      </w:r>
      <w:r>
        <w:t>containment of refrigerant,</w:t>
      </w:r>
      <w:r>
        <w:rPr>
          <w:rStyle w:val="FootnoteReference"/>
        </w:rPr>
        <w:footnoteReference w:id="49"/>
      </w:r>
      <w:r>
        <w:t xml:space="preserve"> and a</w:t>
      </w:r>
      <w:r w:rsidR="009F78C2">
        <w:t>wareness</w:t>
      </w:r>
      <w:r w:rsidR="00E85245">
        <w:t>-raising</w:t>
      </w:r>
      <w:r w:rsidR="009F78C2">
        <w:t xml:space="preserve"> activities for </w:t>
      </w:r>
      <w:r w:rsidR="009F78C2" w:rsidRPr="00E32A2D">
        <w:t xml:space="preserve">technicians </w:t>
      </w:r>
      <w:r w:rsidR="009F78C2">
        <w:t xml:space="preserve">and </w:t>
      </w:r>
      <w:r w:rsidR="009F78C2" w:rsidRPr="00E32A2D">
        <w:t>end-users</w:t>
      </w:r>
      <w:r w:rsidR="009F78C2">
        <w:t>,</w:t>
      </w:r>
      <w:r w:rsidR="009F78C2" w:rsidRPr="00E32A2D">
        <w:t xml:space="preserve"> </w:t>
      </w:r>
      <w:r w:rsidR="009F78C2">
        <w:t xml:space="preserve">with the </w:t>
      </w:r>
      <w:r>
        <w:t xml:space="preserve">participation </w:t>
      </w:r>
      <w:r w:rsidR="009F78C2">
        <w:t>of refrigeration associations</w:t>
      </w:r>
      <w:r w:rsidR="009F78C2" w:rsidRPr="00E32A2D">
        <w:t xml:space="preserve">. </w:t>
      </w:r>
      <w:r w:rsidR="009F78C2">
        <w:t>In cases where policies to replace low</w:t>
      </w:r>
      <w:r w:rsidR="007C7FA4">
        <w:noBreakHyphen/>
      </w:r>
      <w:r w:rsidR="009F78C2">
        <w:t>energy</w:t>
      </w:r>
      <w:r w:rsidR="00E85245">
        <w:t>-</w:t>
      </w:r>
      <w:r w:rsidR="009F78C2">
        <w:t xml:space="preserve">efficient refrigeration equipment are established, the proposal should </w:t>
      </w:r>
      <w:r w:rsidR="009F78C2" w:rsidRPr="00E32A2D">
        <w:t>includ</w:t>
      </w:r>
      <w:r w:rsidR="009F78C2">
        <w:t>e</w:t>
      </w:r>
      <w:r w:rsidR="009F78C2" w:rsidRPr="00E32A2D">
        <w:t xml:space="preserve"> strategies to recover </w:t>
      </w:r>
      <w:r w:rsidR="009F78C2" w:rsidRPr="00722271">
        <w:t xml:space="preserve">refrigerant from decommissioned equipment. </w:t>
      </w:r>
    </w:p>
    <w:p w14:paraId="160FA071" w14:textId="34EF57D6" w:rsidR="000E5DF9" w:rsidRPr="00707CB0" w:rsidRDefault="000E5DF9" w:rsidP="0029767D">
      <w:pPr>
        <w:pStyle w:val="Heading1"/>
      </w:pPr>
      <w:r>
        <w:t>Under the Kigali Amendment, t</w:t>
      </w:r>
      <w:r w:rsidRPr="000E5DF9">
        <w:t xml:space="preserve">he larger amount and variety of HCFC and HFC-based refrigerated systems in operation provides larger opportunities for recovery and reclamation of refrigerants. It would be required to consider, among others: the capability of the equipment and ancillary (e.g., cylinders, refrigerant identifiers) to recover, recycle or reclaim both HCFCs and HFCs, including blends; </w:t>
      </w:r>
      <w:r w:rsidRPr="00707CB0">
        <w:t>proper management of potentially increasing amounts of non-reusable gas recovered (due to a large amount of zeotropic blends in the market</w:t>
      </w:r>
      <w:r w:rsidR="00707CB0">
        <w:t>, which a</w:t>
      </w:r>
      <w:r w:rsidR="00707CB0" w:rsidRPr="00707CB0">
        <w:t>fter leakages could lose their original refrigerants composition</w:t>
      </w:r>
      <w:r w:rsidRPr="00707CB0">
        <w:t>); an analysis of the benefits and challenges of recovering, recycling and reclaiming</w:t>
      </w:r>
      <w:r w:rsidR="00AE356F">
        <w:t xml:space="preserve"> </w:t>
      </w:r>
      <w:r w:rsidRPr="00707CB0">
        <w:t>flammable refrigerants</w:t>
      </w:r>
      <w:r w:rsidR="00F0408A">
        <w:t xml:space="preserve"> (including regulatory certainty of safe recovery and transport capabilities)</w:t>
      </w:r>
      <w:r w:rsidRPr="00707CB0">
        <w:t>; and an assessment of the economic feasibility of reclaiming facilities, particularly for zeotropic blends and their components.</w:t>
      </w:r>
    </w:p>
    <w:p w14:paraId="708AD781" w14:textId="77777777" w:rsidR="000E5DF9" w:rsidRPr="00264B7C" w:rsidRDefault="00264B7C" w:rsidP="0029767D">
      <w:pPr>
        <w:pStyle w:val="Heading1"/>
      </w:pPr>
      <w:r>
        <w:t>E</w:t>
      </w:r>
      <w:r w:rsidRPr="00264B7C">
        <w:t>nterprises</w:t>
      </w:r>
      <w:r>
        <w:t xml:space="preserve"> in </w:t>
      </w:r>
      <w:r w:rsidRPr="00264B7C">
        <w:t>the assembly, installation and initial charge sector,</w:t>
      </w:r>
      <w:r>
        <w:t xml:space="preserve"> as well as </w:t>
      </w:r>
      <w:r w:rsidRPr="00264B7C">
        <w:t xml:space="preserve">manufacturing </w:t>
      </w:r>
      <w:r>
        <w:t xml:space="preserve">enterprises could help ensure </w:t>
      </w:r>
      <w:r w:rsidRPr="00264B7C">
        <w:t>good service practices and maintaining energy efficiency specially for larger systems, though pre-arranged periodic service contracts for the first years of operation and/or extended guarantees, which would also be helpful in cases where the offer of technicians able to provide service to newly introduced technologies is limited</w:t>
      </w:r>
      <w:r>
        <w:t>.</w:t>
      </w:r>
    </w:p>
    <w:p w14:paraId="197A6282" w14:textId="5D097E0A" w:rsidR="004C6489" w:rsidRPr="004C6489" w:rsidRDefault="004C6489" w:rsidP="0029767D">
      <w:pPr>
        <w:pStyle w:val="Heading1"/>
        <w:numPr>
          <w:ilvl w:val="0"/>
          <w:numId w:val="0"/>
        </w:numPr>
        <w:rPr>
          <w:b/>
        </w:rPr>
      </w:pPr>
      <w:r w:rsidRPr="004C6489">
        <w:rPr>
          <w:b/>
        </w:rPr>
        <w:t>Considerations on energy efficiency</w:t>
      </w:r>
      <w:r w:rsidR="003E516C">
        <w:rPr>
          <w:b/>
        </w:rPr>
        <w:t xml:space="preserve"> in the refrigeration servicing sector</w:t>
      </w:r>
      <w:r w:rsidR="00CF05FF">
        <w:rPr>
          <w:b/>
        </w:rPr>
        <w:t xml:space="preserve"> </w:t>
      </w:r>
    </w:p>
    <w:p w14:paraId="64CD0A9D" w14:textId="1D8060B6" w:rsidR="001C337F" w:rsidRDefault="00586581" w:rsidP="0029767D">
      <w:pPr>
        <w:pStyle w:val="Heading1"/>
      </w:pPr>
      <w:r w:rsidRPr="00586581">
        <w:rPr>
          <w:lang w:val="en-CA"/>
        </w:rPr>
        <w:t xml:space="preserve">Although funding for enhancing </w:t>
      </w:r>
      <w:r w:rsidR="005E2FC7" w:rsidRPr="00586581">
        <w:rPr>
          <w:lang w:val="en-CA"/>
        </w:rPr>
        <w:t xml:space="preserve">energy efficiency </w:t>
      </w:r>
      <w:r w:rsidRPr="00586581">
        <w:rPr>
          <w:lang w:val="en-CA"/>
        </w:rPr>
        <w:t xml:space="preserve">of refrigeration equipment has not been approved, </w:t>
      </w:r>
      <w:r w:rsidR="005E2FC7" w:rsidRPr="00586581">
        <w:rPr>
          <w:lang w:val="en-CA"/>
        </w:rPr>
        <w:t xml:space="preserve">energy use </w:t>
      </w:r>
      <w:r w:rsidRPr="00586581">
        <w:rPr>
          <w:lang w:val="en-CA"/>
        </w:rPr>
        <w:t xml:space="preserve">of such equipment has been </w:t>
      </w:r>
      <w:r w:rsidR="005E2FC7" w:rsidRPr="00586581">
        <w:rPr>
          <w:lang w:val="en-CA"/>
        </w:rPr>
        <w:t>considered while developing funding criteria for HCFC phase-out projects.</w:t>
      </w:r>
      <w:r w:rsidR="005E2FC7" w:rsidRPr="00CB4F81">
        <w:rPr>
          <w:rStyle w:val="FootnoteReference"/>
          <w:lang w:val="en-CA"/>
        </w:rPr>
        <w:footnoteReference w:id="50"/>
      </w:r>
      <w:r w:rsidR="005E2FC7" w:rsidRPr="00586581">
        <w:rPr>
          <w:lang w:val="en-CA"/>
        </w:rPr>
        <w:t xml:space="preserve"> </w:t>
      </w:r>
      <w:r w:rsidRPr="00586581">
        <w:rPr>
          <w:lang w:val="en-CA"/>
        </w:rPr>
        <w:t xml:space="preserve">Furthermore, </w:t>
      </w:r>
      <w:r>
        <w:rPr>
          <w:lang w:val="en-CA"/>
        </w:rPr>
        <w:t>t</w:t>
      </w:r>
      <w:r w:rsidR="005E2FC7" w:rsidRPr="00B2731E">
        <w:t xml:space="preserve">he Executive Committee </w:t>
      </w:r>
      <w:r w:rsidR="005E2FC7">
        <w:t xml:space="preserve">has </w:t>
      </w:r>
      <w:r w:rsidR="005E2FC7" w:rsidRPr="00B2731E">
        <w:t>sought opportunities to promote energy efficiency improvements</w:t>
      </w:r>
      <w:r w:rsidR="005E2FC7">
        <w:t xml:space="preserve">. With regard to the CFC phase-out, </w:t>
      </w:r>
      <w:r w:rsidR="005E2FC7" w:rsidRPr="00B2731E">
        <w:t>energy efficiency was considered in the context of chiller</w:t>
      </w:r>
      <w:r w:rsidR="005E2FC7">
        <w:t xml:space="preserve"> projects</w:t>
      </w:r>
      <w:r w:rsidR="003E516C">
        <w:t>. Two projects were approved at the 26</w:t>
      </w:r>
      <w:r w:rsidR="003E516C" w:rsidRPr="00586581">
        <w:rPr>
          <w:vertAlign w:val="superscript"/>
        </w:rPr>
        <w:t>th</w:t>
      </w:r>
      <w:r w:rsidR="003E516C">
        <w:t xml:space="preserve"> and 28</w:t>
      </w:r>
      <w:r w:rsidR="003E516C" w:rsidRPr="00586581">
        <w:rPr>
          <w:vertAlign w:val="superscript"/>
        </w:rPr>
        <w:t>th</w:t>
      </w:r>
      <w:r w:rsidR="003E516C">
        <w:t xml:space="preserve"> meetings using the concessional loan mechanisms (decisions 26/34 and 28/32) and</w:t>
      </w:r>
      <w:r w:rsidR="00571128">
        <w:t xml:space="preserve"> </w:t>
      </w:r>
      <w:r w:rsidR="003E516C">
        <w:t>a</w:t>
      </w:r>
      <w:r w:rsidR="005E2FC7">
        <w:t xml:space="preserve">t </w:t>
      </w:r>
      <w:r w:rsidR="003E516C">
        <w:t xml:space="preserve">the </w:t>
      </w:r>
      <w:r w:rsidR="005E2FC7">
        <w:t>46</w:t>
      </w:r>
      <w:r w:rsidR="005E2FC7" w:rsidRPr="00586581">
        <w:rPr>
          <w:vertAlign w:val="superscript"/>
        </w:rPr>
        <w:t>th</w:t>
      </w:r>
      <w:r w:rsidR="005E2FC7">
        <w:t xml:space="preserve"> m</w:t>
      </w:r>
      <w:r w:rsidR="005E2FC7" w:rsidRPr="00B37A3E">
        <w:t>eeting</w:t>
      </w:r>
      <w:r w:rsidR="005E2FC7">
        <w:t>,</w:t>
      </w:r>
      <w:r w:rsidR="005E2FC7" w:rsidRPr="00B37A3E">
        <w:t xml:space="preserve"> </w:t>
      </w:r>
      <w:r>
        <w:t xml:space="preserve">a </w:t>
      </w:r>
      <w:r w:rsidR="005E2FC7" w:rsidRPr="00B37A3E">
        <w:t>funding window of US</w:t>
      </w:r>
      <w:r w:rsidR="005E2FC7">
        <w:t> </w:t>
      </w:r>
      <w:r w:rsidR="005E2FC7" w:rsidRPr="00B37A3E">
        <w:t>$15.2</w:t>
      </w:r>
      <w:r w:rsidR="00BB3A47">
        <w:t> </w:t>
      </w:r>
      <w:r w:rsidR="005E2FC7" w:rsidRPr="00B37A3E">
        <w:t xml:space="preserve">million </w:t>
      </w:r>
      <w:r>
        <w:t xml:space="preserve">was approved </w:t>
      </w:r>
      <w:r w:rsidR="005E2FC7" w:rsidRPr="00B37A3E">
        <w:t>for additional demonstration projects in the chiller</w:t>
      </w:r>
      <w:r w:rsidR="00EB5F26">
        <w:t xml:space="preserve"> </w:t>
      </w:r>
      <w:r w:rsidR="005E2FC7" w:rsidRPr="00B37A3E">
        <w:t>sub</w:t>
      </w:r>
      <w:r w:rsidR="00BB3A47">
        <w:t>-</w:t>
      </w:r>
      <w:r w:rsidR="005E2FC7" w:rsidRPr="00B37A3E">
        <w:t>sector (decision</w:t>
      </w:r>
      <w:r w:rsidR="00BB3A47">
        <w:t> </w:t>
      </w:r>
      <w:r w:rsidR="005E2FC7" w:rsidRPr="00B37A3E">
        <w:t>46/33)</w:t>
      </w:r>
      <w:r>
        <w:t xml:space="preserve">. </w:t>
      </w:r>
      <w:r w:rsidR="001C337F">
        <w:t>The evaluation report on chillers submitted to the 80</w:t>
      </w:r>
      <w:r w:rsidR="001C337F" w:rsidRPr="00B36E75">
        <w:rPr>
          <w:vertAlign w:val="superscript"/>
        </w:rPr>
        <w:t>th</w:t>
      </w:r>
      <w:r w:rsidR="001C337F">
        <w:t xml:space="preserve"> meeting</w:t>
      </w:r>
      <w:r w:rsidR="00CB6E67">
        <w:t>,</w:t>
      </w:r>
      <w:r w:rsidR="001C337F">
        <w:rPr>
          <w:rStyle w:val="FootnoteReference"/>
        </w:rPr>
        <w:footnoteReference w:id="51"/>
      </w:r>
      <w:r w:rsidR="001C337F">
        <w:t xml:space="preserve"> concludes that energy efficiency and energy savings are important drivers in replacement of chillers</w:t>
      </w:r>
      <w:r w:rsidR="00CB6E67">
        <w:t xml:space="preserve">; it </w:t>
      </w:r>
      <w:r w:rsidR="001C337F">
        <w:t xml:space="preserve">also indicates that </w:t>
      </w:r>
      <w:r w:rsidR="00CB6E67">
        <w:t xml:space="preserve">the </w:t>
      </w:r>
      <w:r w:rsidR="001C337F">
        <w:t>recovery and recycling capabilities of the country would need to be considered for chiller replacement.</w:t>
      </w:r>
      <w:r w:rsidR="00CB6E67">
        <w:t xml:space="preserve"> While t</w:t>
      </w:r>
      <w:r w:rsidR="001C337F">
        <w:t xml:space="preserve">he report </w:t>
      </w:r>
      <w:r w:rsidR="00CB6E67">
        <w:t xml:space="preserve">did </w:t>
      </w:r>
      <w:r w:rsidR="001C337F">
        <w:t xml:space="preserve">not provide recommendations to interventions relating to servicing for promoting energy efficient operations; proper maintenance and servicing of </w:t>
      </w:r>
      <w:r w:rsidR="00CB6E67">
        <w:t xml:space="preserve">chillers is </w:t>
      </w:r>
      <w:r w:rsidR="001C337F">
        <w:t xml:space="preserve">essential for </w:t>
      </w:r>
      <w:r w:rsidR="00CB6E67">
        <w:t xml:space="preserve">the </w:t>
      </w:r>
      <w:r w:rsidR="001C337F">
        <w:t xml:space="preserve">efficient operation of </w:t>
      </w:r>
      <w:r w:rsidR="00CB6E67">
        <w:t xml:space="preserve">the </w:t>
      </w:r>
      <w:r w:rsidR="001C337F">
        <w:t>equipment.</w:t>
      </w:r>
      <w:r w:rsidR="00CB6E67">
        <w:t xml:space="preserve"> </w:t>
      </w:r>
    </w:p>
    <w:p w14:paraId="359EF8C1" w14:textId="77777777" w:rsidR="005E2FC7" w:rsidRPr="0051549C" w:rsidRDefault="005E2FC7" w:rsidP="0029767D">
      <w:pPr>
        <w:pStyle w:val="Heading1"/>
        <w:rPr>
          <w:lang w:val="en-CA"/>
        </w:rPr>
      </w:pPr>
      <w:r>
        <w:t xml:space="preserve">With regard to HCFCs, </w:t>
      </w:r>
      <w:r w:rsidR="00ED1C83">
        <w:t xml:space="preserve">the Executive Committee decided to approve </w:t>
      </w:r>
      <w:r w:rsidRPr="00B2731E">
        <w:t xml:space="preserve">demonstration </w:t>
      </w:r>
      <w:r>
        <w:t xml:space="preserve">of </w:t>
      </w:r>
      <w:r w:rsidRPr="00B2731E">
        <w:t xml:space="preserve">low-GWP </w:t>
      </w:r>
      <w:r w:rsidRPr="00B37A3E">
        <w:t>alternatives to HCFCs</w:t>
      </w:r>
      <w:r w:rsidR="00ED1C83">
        <w:t xml:space="preserve">; one of the </w:t>
      </w:r>
      <w:r w:rsidR="00ED1C83" w:rsidRPr="00B2731E">
        <w:t xml:space="preserve">criteria </w:t>
      </w:r>
      <w:r w:rsidR="00ED1C83">
        <w:t xml:space="preserve">for </w:t>
      </w:r>
      <w:r w:rsidR="00ED1C83" w:rsidRPr="00B2731E">
        <w:t xml:space="preserve">selecting </w:t>
      </w:r>
      <w:r w:rsidR="00ED1C83">
        <w:t xml:space="preserve">such </w:t>
      </w:r>
      <w:r w:rsidR="00ED1C83" w:rsidRPr="00B2731E">
        <w:t xml:space="preserve">projects </w:t>
      </w:r>
      <w:r w:rsidRPr="00B37A3E">
        <w:t xml:space="preserve">was </w:t>
      </w:r>
      <w:r w:rsidR="00ED1C83">
        <w:t xml:space="preserve">related to the </w:t>
      </w:r>
      <w:r w:rsidRPr="00B37A3E">
        <w:t>promot</w:t>
      </w:r>
      <w:r w:rsidR="00ED1C83">
        <w:t>ion of</w:t>
      </w:r>
      <w:r w:rsidRPr="00B37A3E">
        <w:t xml:space="preserve"> energy efficiency improvements</w:t>
      </w:r>
      <w:r>
        <w:t xml:space="preserve"> (decision 72/40(b)(i)(f))</w:t>
      </w:r>
      <w:r w:rsidRPr="00B37A3E">
        <w:t>.</w:t>
      </w:r>
      <w:r w:rsidRPr="00B37A3E">
        <w:rPr>
          <w:lang w:val="en-CA"/>
        </w:rPr>
        <w:t xml:space="preserve"> </w:t>
      </w:r>
      <w:r w:rsidR="00ED1C83">
        <w:rPr>
          <w:lang w:val="en-CA"/>
        </w:rPr>
        <w:t>Accordingly, 14</w:t>
      </w:r>
      <w:r w:rsidRPr="00B37A3E">
        <w:rPr>
          <w:lang w:val="en-CA"/>
        </w:rPr>
        <w:t xml:space="preserve"> demonstration projects relat</w:t>
      </w:r>
      <w:r>
        <w:rPr>
          <w:lang w:val="en-CA"/>
        </w:rPr>
        <w:t>ed</w:t>
      </w:r>
      <w:r w:rsidRPr="00B37A3E">
        <w:rPr>
          <w:lang w:val="en-CA"/>
        </w:rPr>
        <w:t xml:space="preserve"> to </w:t>
      </w:r>
      <w:r>
        <w:rPr>
          <w:lang w:val="en-CA"/>
        </w:rPr>
        <w:t xml:space="preserve">the refrigeration and air-conditioning </w:t>
      </w:r>
      <w:r w:rsidRPr="00B37A3E">
        <w:rPr>
          <w:lang w:val="en-CA"/>
        </w:rPr>
        <w:t>sector were approved at the 74</w:t>
      </w:r>
      <w:r w:rsidRPr="00604399">
        <w:rPr>
          <w:vertAlign w:val="superscript"/>
          <w:lang w:val="en-CA"/>
        </w:rPr>
        <w:t>th</w:t>
      </w:r>
      <w:r>
        <w:rPr>
          <w:lang w:val="en-CA"/>
        </w:rPr>
        <w:t xml:space="preserve"> (May 2015),</w:t>
      </w:r>
      <w:r w:rsidRPr="00B37A3E">
        <w:rPr>
          <w:lang w:val="en-CA"/>
        </w:rPr>
        <w:t xml:space="preserve"> 75</w:t>
      </w:r>
      <w:r w:rsidRPr="00604399">
        <w:rPr>
          <w:vertAlign w:val="superscript"/>
          <w:lang w:val="en-CA"/>
        </w:rPr>
        <w:t>th</w:t>
      </w:r>
      <w:r w:rsidRPr="00B37A3E">
        <w:rPr>
          <w:lang w:val="en-CA"/>
        </w:rPr>
        <w:t xml:space="preserve"> </w:t>
      </w:r>
      <w:r>
        <w:rPr>
          <w:lang w:val="en-CA"/>
        </w:rPr>
        <w:t xml:space="preserve">(November 2015) </w:t>
      </w:r>
      <w:r w:rsidRPr="00B37A3E">
        <w:rPr>
          <w:lang w:val="en-CA"/>
        </w:rPr>
        <w:t>and 76</w:t>
      </w:r>
      <w:r w:rsidRPr="00604399">
        <w:rPr>
          <w:vertAlign w:val="superscript"/>
          <w:lang w:val="en-CA"/>
        </w:rPr>
        <w:t>th</w:t>
      </w:r>
      <w:r w:rsidRPr="00B37A3E">
        <w:rPr>
          <w:lang w:val="en-CA"/>
        </w:rPr>
        <w:t xml:space="preserve"> </w:t>
      </w:r>
      <w:r>
        <w:rPr>
          <w:lang w:val="en-CA"/>
        </w:rPr>
        <w:t xml:space="preserve">(May 2016) </w:t>
      </w:r>
      <w:r w:rsidRPr="0051549C">
        <w:rPr>
          <w:lang w:val="en-CA"/>
        </w:rPr>
        <w:t>meetings. Energy efficiency performance was to be reported as a</w:t>
      </w:r>
      <w:r w:rsidR="00E85245">
        <w:rPr>
          <w:lang w:val="en-CA"/>
        </w:rPr>
        <w:t xml:space="preserve"> </w:t>
      </w:r>
      <w:r w:rsidRPr="0051549C">
        <w:rPr>
          <w:lang w:val="en-CA"/>
        </w:rPr>
        <w:t>par</w:t>
      </w:r>
      <w:r>
        <w:rPr>
          <w:lang w:val="en-CA"/>
        </w:rPr>
        <w:t>t of relevant project results.</w:t>
      </w:r>
      <w:r>
        <w:rPr>
          <w:rStyle w:val="FootnoteReference"/>
          <w:lang w:val="en-CA"/>
        </w:rPr>
        <w:footnoteReference w:id="52"/>
      </w:r>
      <w:r w:rsidRPr="0051549C">
        <w:rPr>
          <w:lang w:val="en-CA"/>
        </w:rPr>
        <w:t xml:space="preserve"> </w:t>
      </w:r>
    </w:p>
    <w:p w14:paraId="2EB9D304" w14:textId="0D9525F7" w:rsidR="005E2FC7" w:rsidRDefault="00ED1C83" w:rsidP="0029767D">
      <w:pPr>
        <w:pStyle w:val="Heading1"/>
        <w:rPr>
          <w:lang w:val="en-CA"/>
        </w:rPr>
      </w:pPr>
      <w:r>
        <w:rPr>
          <w:lang w:val="en-CA"/>
        </w:rPr>
        <w:t xml:space="preserve">Moreover, </w:t>
      </w:r>
      <w:r w:rsidR="005E2FC7" w:rsidRPr="00B37A3E">
        <w:rPr>
          <w:lang w:val="en-CA"/>
        </w:rPr>
        <w:t xml:space="preserve">specific conditions </w:t>
      </w:r>
      <w:r w:rsidR="00E85245">
        <w:rPr>
          <w:lang w:val="en-CA"/>
        </w:rPr>
        <w:t xml:space="preserve">linked to </w:t>
      </w:r>
      <w:r w:rsidR="005E2FC7" w:rsidRPr="00B37A3E">
        <w:rPr>
          <w:lang w:val="en-CA"/>
        </w:rPr>
        <w:t xml:space="preserve">energy efficiency </w:t>
      </w:r>
      <w:r w:rsidR="005E2FC7">
        <w:rPr>
          <w:lang w:val="en-CA"/>
        </w:rPr>
        <w:t>were</w:t>
      </w:r>
      <w:r w:rsidR="005E2FC7" w:rsidRPr="001B19CF">
        <w:rPr>
          <w:lang w:val="en-CA"/>
        </w:rPr>
        <w:t xml:space="preserve"> include</w:t>
      </w:r>
      <w:r w:rsidR="005E2FC7" w:rsidRPr="00862E45">
        <w:rPr>
          <w:lang w:val="en-CA"/>
        </w:rPr>
        <w:t xml:space="preserve">d when approving </w:t>
      </w:r>
      <w:r w:rsidR="00E85245">
        <w:rPr>
          <w:lang w:val="en-CA"/>
        </w:rPr>
        <w:t>some</w:t>
      </w:r>
      <w:r w:rsidR="00E85245" w:rsidRPr="00B37A3E">
        <w:rPr>
          <w:lang w:val="en-CA"/>
        </w:rPr>
        <w:t xml:space="preserve"> </w:t>
      </w:r>
      <w:r w:rsidR="00E85245">
        <w:rPr>
          <w:lang w:val="en-CA"/>
        </w:rPr>
        <w:t xml:space="preserve">HPMPs. </w:t>
      </w:r>
      <w:r w:rsidR="005E2FC7" w:rsidRPr="00862E45">
        <w:rPr>
          <w:lang w:val="en-CA"/>
        </w:rPr>
        <w:t>For example, the HPMP for Jordan</w:t>
      </w:r>
      <w:r w:rsidR="005E2FC7">
        <w:rPr>
          <w:rStyle w:val="FootnoteReference"/>
          <w:lang w:val="en-CA"/>
        </w:rPr>
        <w:footnoteReference w:id="53"/>
      </w:r>
      <w:r w:rsidR="005E2FC7" w:rsidRPr="00862E45">
        <w:rPr>
          <w:lang w:val="en-CA"/>
        </w:rPr>
        <w:t xml:space="preserve"> included a requirement that the air</w:t>
      </w:r>
      <w:r w:rsidR="005E2FC7">
        <w:rPr>
          <w:lang w:val="en-CA"/>
        </w:rPr>
        <w:t>-</w:t>
      </w:r>
      <w:r w:rsidR="005E2FC7" w:rsidRPr="00862E45">
        <w:rPr>
          <w:lang w:val="en-CA"/>
        </w:rPr>
        <w:t>conditioning sector plan would incorporate policy and technical approaches to improve the energy efficiency of residential air</w:t>
      </w:r>
      <w:r w:rsidR="007C7FA4">
        <w:rPr>
          <w:lang w:val="en-CA"/>
        </w:rPr>
        <w:noBreakHyphen/>
      </w:r>
      <w:r w:rsidR="005E2FC7" w:rsidRPr="00862E45">
        <w:rPr>
          <w:lang w:val="en-CA"/>
        </w:rPr>
        <w:t xml:space="preserve">conditioning equipment to offset the climate impact </w:t>
      </w:r>
      <w:r>
        <w:rPr>
          <w:lang w:val="en-CA"/>
        </w:rPr>
        <w:t xml:space="preserve">associated with the introduction of </w:t>
      </w:r>
      <w:r w:rsidR="005E2FC7" w:rsidRPr="00862E45">
        <w:rPr>
          <w:lang w:val="en-CA"/>
        </w:rPr>
        <w:t>R</w:t>
      </w:r>
      <w:r w:rsidR="00FA1FED">
        <w:rPr>
          <w:lang w:val="en-CA"/>
        </w:rPr>
        <w:noBreakHyphen/>
      </w:r>
      <w:r w:rsidR="005E2FC7" w:rsidRPr="00862E45">
        <w:rPr>
          <w:lang w:val="en-CA"/>
        </w:rPr>
        <w:t>410A</w:t>
      </w:r>
      <w:r>
        <w:rPr>
          <w:lang w:val="en-CA"/>
        </w:rPr>
        <w:t xml:space="preserve"> technology</w:t>
      </w:r>
      <w:r w:rsidR="005E2FC7" w:rsidRPr="00862E45">
        <w:rPr>
          <w:lang w:val="en-CA"/>
        </w:rPr>
        <w:t xml:space="preserve">; </w:t>
      </w:r>
      <w:r w:rsidR="005E2FC7">
        <w:rPr>
          <w:lang w:val="en-CA"/>
        </w:rPr>
        <w:t xml:space="preserve">and </w:t>
      </w:r>
      <w:r w:rsidR="005E2FC7" w:rsidRPr="00862E45">
        <w:rPr>
          <w:lang w:val="en-CA"/>
        </w:rPr>
        <w:t xml:space="preserve">a commitment by the Government to achieve energy </w:t>
      </w:r>
      <w:r w:rsidR="00FA1FED">
        <w:rPr>
          <w:lang w:val="en-CA"/>
        </w:rPr>
        <w:t>consumption for residential air</w:t>
      </w:r>
      <w:r w:rsidR="00FA1FED">
        <w:rPr>
          <w:lang w:val="en-CA"/>
        </w:rPr>
        <w:noBreakHyphen/>
      </w:r>
      <w:r w:rsidR="005E2FC7" w:rsidRPr="00862E45">
        <w:rPr>
          <w:lang w:val="en-CA"/>
        </w:rPr>
        <w:t xml:space="preserve">conditioners using R-410A at least equal to or lower than the HCFC-22 air-conditioners they replaced (decision 65/40). </w:t>
      </w:r>
      <w:r w:rsidR="005E2FC7">
        <w:rPr>
          <w:lang w:val="en-CA"/>
        </w:rPr>
        <w:t>The</w:t>
      </w:r>
      <w:r w:rsidR="005E2FC7" w:rsidRPr="00862E45">
        <w:rPr>
          <w:lang w:val="en-CA"/>
        </w:rPr>
        <w:t xml:space="preserve"> HPMP for Thailand</w:t>
      </w:r>
      <w:r w:rsidR="005E2FC7">
        <w:rPr>
          <w:rStyle w:val="FootnoteReference"/>
          <w:lang w:val="en-CA"/>
        </w:rPr>
        <w:footnoteReference w:id="54"/>
      </w:r>
      <w:r w:rsidR="005E2FC7">
        <w:rPr>
          <w:lang w:val="en-CA"/>
        </w:rPr>
        <w:t xml:space="preserve"> included technical assistance to support promoting</w:t>
      </w:r>
      <w:r w:rsidR="007D5457">
        <w:rPr>
          <w:lang w:val="en-CA"/>
        </w:rPr>
        <w:t xml:space="preserve"> the</w:t>
      </w:r>
      <w:r w:rsidR="005E2FC7">
        <w:rPr>
          <w:lang w:val="en-CA"/>
        </w:rPr>
        <w:t xml:space="preserve"> adoption of energy</w:t>
      </w:r>
      <w:r w:rsidR="00E862A6">
        <w:rPr>
          <w:lang w:val="en-CA"/>
        </w:rPr>
        <w:t>-</w:t>
      </w:r>
      <w:r w:rsidR="005E2FC7">
        <w:rPr>
          <w:lang w:val="en-CA"/>
        </w:rPr>
        <w:t xml:space="preserve">efficient products beyond those that </w:t>
      </w:r>
      <w:r w:rsidR="007D5457">
        <w:rPr>
          <w:lang w:val="en-CA"/>
        </w:rPr>
        <w:t>were</w:t>
      </w:r>
      <w:r w:rsidR="005E2FC7">
        <w:rPr>
          <w:lang w:val="en-CA"/>
        </w:rPr>
        <w:t xml:space="preserve"> part of the conversion, and </w:t>
      </w:r>
      <w:r w:rsidR="00E862A6">
        <w:rPr>
          <w:lang w:val="en-CA"/>
        </w:rPr>
        <w:t xml:space="preserve">to </w:t>
      </w:r>
      <w:r w:rsidR="005E2FC7">
        <w:rPr>
          <w:lang w:val="en-CA"/>
        </w:rPr>
        <w:t>support assisting energy efficiency initiatives in buildings.</w:t>
      </w:r>
      <w:r w:rsidR="001D4B5B">
        <w:rPr>
          <w:lang w:val="en-CA"/>
        </w:rPr>
        <w:t xml:space="preserve"> </w:t>
      </w:r>
    </w:p>
    <w:p w14:paraId="29E0FE32" w14:textId="77777777" w:rsidR="005E2FC7" w:rsidRPr="001F0E3F" w:rsidRDefault="005E2FC7" w:rsidP="0029767D">
      <w:pPr>
        <w:pStyle w:val="Heading1"/>
        <w:numPr>
          <w:ilvl w:val="0"/>
          <w:numId w:val="0"/>
        </w:numPr>
        <w:spacing w:after="0"/>
        <w:rPr>
          <w:u w:val="single"/>
          <w:lang w:val="en-CA"/>
        </w:rPr>
      </w:pPr>
      <w:r w:rsidRPr="001F0E3F">
        <w:rPr>
          <w:u w:val="single"/>
          <w:lang w:val="en-CA"/>
        </w:rPr>
        <w:t xml:space="preserve">Installation, maintenance and servicing </w:t>
      </w:r>
      <w:r>
        <w:rPr>
          <w:u w:val="single"/>
          <w:lang w:val="en-CA"/>
        </w:rPr>
        <w:t>practices</w:t>
      </w:r>
    </w:p>
    <w:p w14:paraId="3784916A" w14:textId="77777777" w:rsidR="005E2FC7" w:rsidRPr="00B2731E" w:rsidRDefault="005E2FC7" w:rsidP="0029767D">
      <w:pPr>
        <w:pStyle w:val="Heading1"/>
        <w:numPr>
          <w:ilvl w:val="0"/>
          <w:numId w:val="0"/>
        </w:numPr>
        <w:spacing w:after="0"/>
      </w:pPr>
    </w:p>
    <w:p w14:paraId="73CB73C2" w14:textId="77777777" w:rsidR="005E2FC7" w:rsidRDefault="005E2FC7" w:rsidP="0029767D">
      <w:pPr>
        <w:pStyle w:val="Heading1"/>
      </w:pPr>
      <w:r w:rsidRPr="00B2731E">
        <w:t xml:space="preserve">Installation, maintenance and servicing </w:t>
      </w:r>
      <w:r>
        <w:t xml:space="preserve">practices </w:t>
      </w:r>
      <w:r w:rsidRPr="00B2731E">
        <w:t xml:space="preserve">play a critical role in ensuring </w:t>
      </w:r>
      <w:r>
        <w:t>energy-efficient</w:t>
      </w:r>
      <w:r w:rsidRPr="00B2731E">
        <w:t xml:space="preserve"> operation of equipment over the life of equipment. </w:t>
      </w:r>
      <w:r w:rsidR="00ED1C83">
        <w:t>N</w:t>
      </w:r>
      <w:r w:rsidRPr="00B2731E">
        <w:t>ational policies and regulations that relate to servicing practices and energy efficiency, particularly minimum energy performance standards</w:t>
      </w:r>
      <w:r>
        <w:t>,</w:t>
      </w:r>
      <w:r w:rsidRPr="00B2731E">
        <w:t xml:space="preserve"> provide support for energy efficiency while using such equipment.</w:t>
      </w:r>
    </w:p>
    <w:p w14:paraId="1F33FC90" w14:textId="217B1154" w:rsidR="00E70009" w:rsidRDefault="00E70009" w:rsidP="0029767D">
      <w:pPr>
        <w:pStyle w:val="Heading1"/>
      </w:pPr>
      <w:r>
        <w:t>According to the International Institute of Refrigeration, better optimisation, monitoring and maintenance of cooling equipment has the potential to save 30 Gt of CO</w:t>
      </w:r>
      <w:r w:rsidRPr="00CB6E67">
        <w:rPr>
          <w:vertAlign w:val="subscript"/>
        </w:rPr>
        <w:t>2</w:t>
      </w:r>
      <w:r>
        <w:t xml:space="preserve"> emissions by 2050. The TEAP report prepared by the task force on issues relating to energy efficiency while phasing down HFCs indicates that appropriate maintenance and servicing practices can curtail up</w:t>
      </w:r>
      <w:r w:rsidR="00106A7C">
        <w:t xml:space="preserve"> </w:t>
      </w:r>
      <w:r>
        <w:t>to 50 per cent degradation in performance and maintain the rate performance over the lifetime of equipment.  The International Energy Agency has compiled the most common faults associated with energy efficiency degradation for air-to-air heat pump due to poor installation and maintenance (i.e., faults associated with fan (26 per cent occurrence), controls and electronics (25 per cent) and temperature sensors (16 per cent)).</w:t>
      </w:r>
    </w:p>
    <w:p w14:paraId="286CE9AC" w14:textId="1D7716E2" w:rsidR="00E70009" w:rsidRDefault="00E70009" w:rsidP="0029767D">
      <w:pPr>
        <w:pStyle w:val="Heading1"/>
      </w:pPr>
      <w:r>
        <w:t>The use of incompatible refrigerants and in particular inappropriate drop-in refrigerants, could reduce energy efficiency of existing equipment. Further, the introduction of refrigerants with temperature glides (i.e., zeotropic refrigerants) could also reduce energy efficiency of the equipment. Effective servicing of central and large air-conditioning systems, by using good servicing practices can help in more efficient operations of these systems, minimising safety risks, better thermal comfort for occupants, lowering operating costs as a result of energy efficient operations and lowering capital expenditure for replacement of equipment.</w:t>
      </w:r>
      <w:r w:rsidR="00BB30DF" w:rsidRPr="00BB30DF">
        <w:rPr>
          <w:rStyle w:val="FootnoteReference"/>
        </w:rPr>
        <w:t xml:space="preserve"> </w:t>
      </w:r>
      <w:r w:rsidR="00BB30DF">
        <w:rPr>
          <w:rStyle w:val="FootnoteReference"/>
        </w:rPr>
        <w:footnoteReference w:id="55"/>
      </w:r>
    </w:p>
    <w:p w14:paraId="5F24DB07" w14:textId="77777777" w:rsidR="005E2FC7" w:rsidRDefault="00ED1C83" w:rsidP="0029767D">
      <w:pPr>
        <w:pStyle w:val="Heading1"/>
        <w:spacing w:after="0"/>
      </w:pPr>
      <w:r>
        <w:t xml:space="preserve">Several of the good servicing practices being implemented under HPMPs will </w:t>
      </w:r>
      <w:r w:rsidR="005E2FC7" w:rsidRPr="00CB4F81">
        <w:t>maintain</w:t>
      </w:r>
      <w:r>
        <w:t xml:space="preserve"> the</w:t>
      </w:r>
      <w:r w:rsidR="005E2FC7" w:rsidRPr="00CB4F81">
        <w:t xml:space="preserve"> energy efficiency</w:t>
      </w:r>
      <w:r>
        <w:t xml:space="preserve"> of the equipment (</w:t>
      </w:r>
      <w:r w:rsidR="005E2FC7">
        <w:t>Table</w:t>
      </w:r>
      <w:r w:rsidR="00C11400">
        <w:t> 5</w:t>
      </w:r>
      <w:r>
        <w:t>)</w:t>
      </w:r>
      <w:r w:rsidR="005E2FC7">
        <w:t>.</w:t>
      </w:r>
      <w:r w:rsidR="005E2FC7">
        <w:rPr>
          <w:rStyle w:val="FootnoteReference"/>
        </w:rPr>
        <w:footnoteReference w:id="56"/>
      </w:r>
      <w:r w:rsidR="005E2FC7">
        <w:t xml:space="preserve"> </w:t>
      </w:r>
      <w:r>
        <w:t>T</w:t>
      </w:r>
      <w:r w:rsidR="005E2FC7">
        <w:t xml:space="preserve">hese measures </w:t>
      </w:r>
      <w:r>
        <w:t xml:space="preserve">should continue to be </w:t>
      </w:r>
      <w:r w:rsidR="005E2FC7">
        <w:t xml:space="preserve">an integral </w:t>
      </w:r>
      <w:r>
        <w:t xml:space="preserve">component </w:t>
      </w:r>
      <w:r w:rsidR="005E2FC7">
        <w:t xml:space="preserve">of </w:t>
      </w:r>
      <w:r>
        <w:t xml:space="preserve">the </w:t>
      </w:r>
      <w:r w:rsidR="005E2FC7">
        <w:t>HFC phase</w:t>
      </w:r>
      <w:r w:rsidR="005E2FC7">
        <w:noBreakHyphen/>
        <w:t>down</w:t>
      </w:r>
      <w:r>
        <w:t xml:space="preserve"> plans</w:t>
      </w:r>
      <w:r w:rsidR="005E2FC7">
        <w:t>.</w:t>
      </w:r>
    </w:p>
    <w:p w14:paraId="23F377A2" w14:textId="77777777" w:rsidR="005E2FC7" w:rsidRPr="00640839" w:rsidRDefault="005E2FC7" w:rsidP="0029767D"/>
    <w:p w14:paraId="4E413E65" w14:textId="77777777" w:rsidR="005E2FC7" w:rsidRPr="00640839" w:rsidRDefault="005E2FC7" w:rsidP="0029767D">
      <w:pPr>
        <w:pageBreakBefore/>
        <w:rPr>
          <w:b/>
        </w:rPr>
      </w:pPr>
      <w:r w:rsidRPr="00640839">
        <w:rPr>
          <w:b/>
        </w:rPr>
        <w:t>Table</w:t>
      </w:r>
      <w:r w:rsidR="00C11400">
        <w:rPr>
          <w:b/>
        </w:rPr>
        <w:t xml:space="preserve"> 5</w:t>
      </w:r>
      <w:r w:rsidRPr="00640839">
        <w:rPr>
          <w:b/>
        </w:rPr>
        <w:t xml:space="preserve">: Measures for </w:t>
      </w:r>
      <w:r>
        <w:rPr>
          <w:b/>
        </w:rPr>
        <w:t xml:space="preserve">maintaining </w:t>
      </w:r>
      <w:r w:rsidR="007D5457">
        <w:rPr>
          <w:b/>
        </w:rPr>
        <w:t xml:space="preserve">and </w:t>
      </w:r>
      <w:r>
        <w:rPr>
          <w:b/>
        </w:rPr>
        <w:t xml:space="preserve">monitoring </w:t>
      </w:r>
      <w:r w:rsidRPr="00640839">
        <w:rPr>
          <w:b/>
        </w:rPr>
        <w:t>energy efficiency</w:t>
      </w:r>
    </w:p>
    <w:tbl>
      <w:tblPr>
        <w:tblStyle w:val="TableGrid"/>
        <w:tblW w:w="9418" w:type="dxa"/>
        <w:tblLook w:val="04A0" w:firstRow="1" w:lastRow="0" w:firstColumn="1" w:lastColumn="0" w:noHBand="0" w:noVBand="1"/>
      </w:tblPr>
      <w:tblGrid>
        <w:gridCol w:w="1413"/>
        <w:gridCol w:w="8005"/>
      </w:tblGrid>
      <w:tr w:rsidR="005E2FC7" w:rsidRPr="009F78C2" w14:paraId="426ACEC7" w14:textId="77777777" w:rsidTr="0029767D">
        <w:trPr>
          <w:cantSplit/>
          <w:trHeight w:val="234"/>
          <w:tblHeader/>
        </w:trPr>
        <w:tc>
          <w:tcPr>
            <w:tcW w:w="1413" w:type="dxa"/>
          </w:tcPr>
          <w:p w14:paraId="3803798A" w14:textId="77777777" w:rsidR="005E2FC7" w:rsidRPr="009F78C2" w:rsidRDefault="005E2FC7" w:rsidP="00732161">
            <w:pPr>
              <w:jc w:val="center"/>
              <w:rPr>
                <w:b/>
                <w:sz w:val="20"/>
                <w:szCs w:val="20"/>
                <w:lang w:val="en-CA"/>
              </w:rPr>
            </w:pPr>
            <w:r w:rsidRPr="009F78C2">
              <w:rPr>
                <w:b/>
                <w:sz w:val="20"/>
                <w:szCs w:val="20"/>
                <w:lang w:val="en-CA"/>
              </w:rPr>
              <w:t>Particulars</w:t>
            </w:r>
          </w:p>
        </w:tc>
        <w:tc>
          <w:tcPr>
            <w:tcW w:w="8005" w:type="dxa"/>
          </w:tcPr>
          <w:p w14:paraId="785A7C98" w14:textId="77777777" w:rsidR="005E2FC7" w:rsidRPr="009F78C2" w:rsidRDefault="005E2FC7" w:rsidP="00732161">
            <w:pPr>
              <w:jc w:val="center"/>
              <w:rPr>
                <w:b/>
                <w:sz w:val="20"/>
                <w:szCs w:val="20"/>
                <w:lang w:val="en-CA"/>
              </w:rPr>
            </w:pPr>
            <w:r w:rsidRPr="009F78C2">
              <w:rPr>
                <w:b/>
                <w:sz w:val="20"/>
                <w:szCs w:val="20"/>
                <w:lang w:val="en-CA"/>
              </w:rPr>
              <w:t>Interventions</w:t>
            </w:r>
          </w:p>
        </w:tc>
      </w:tr>
      <w:tr w:rsidR="005E2FC7" w:rsidRPr="009F78C2" w14:paraId="7E548351" w14:textId="77777777" w:rsidTr="0029767D">
        <w:trPr>
          <w:cantSplit/>
          <w:trHeight w:val="234"/>
        </w:trPr>
        <w:tc>
          <w:tcPr>
            <w:tcW w:w="9418" w:type="dxa"/>
            <w:gridSpan w:val="2"/>
          </w:tcPr>
          <w:p w14:paraId="168B7001" w14:textId="77777777" w:rsidR="005E2FC7" w:rsidRPr="00BB30DF" w:rsidRDefault="005E2FC7" w:rsidP="00732161">
            <w:pPr>
              <w:jc w:val="left"/>
              <w:rPr>
                <w:b/>
                <w:sz w:val="20"/>
                <w:szCs w:val="20"/>
                <w:lang w:val="en-CA"/>
              </w:rPr>
            </w:pPr>
            <w:r w:rsidRPr="00BB30DF">
              <w:rPr>
                <w:b/>
                <w:sz w:val="20"/>
                <w:szCs w:val="20"/>
                <w:lang w:val="en-CA"/>
              </w:rPr>
              <w:t>Installation and maintenance of equipment</w:t>
            </w:r>
          </w:p>
        </w:tc>
      </w:tr>
      <w:tr w:rsidR="005E2FC7" w:rsidRPr="009F78C2" w14:paraId="5CF913CF" w14:textId="77777777" w:rsidTr="0029767D">
        <w:trPr>
          <w:cantSplit/>
          <w:trHeight w:val="1469"/>
        </w:trPr>
        <w:tc>
          <w:tcPr>
            <w:tcW w:w="1413" w:type="dxa"/>
          </w:tcPr>
          <w:p w14:paraId="0B3EBA08" w14:textId="77777777" w:rsidR="005E2FC7" w:rsidRPr="00BB30DF" w:rsidRDefault="005E2FC7" w:rsidP="00732161">
            <w:pPr>
              <w:jc w:val="left"/>
              <w:rPr>
                <w:sz w:val="20"/>
                <w:szCs w:val="20"/>
              </w:rPr>
            </w:pPr>
            <w:r w:rsidRPr="00BB30DF">
              <w:rPr>
                <w:sz w:val="20"/>
                <w:szCs w:val="20"/>
                <w:lang w:val="en-CA"/>
              </w:rPr>
              <w:t xml:space="preserve">Training and capacity building </w:t>
            </w:r>
          </w:p>
          <w:p w14:paraId="00738546" w14:textId="77777777" w:rsidR="005E2FC7" w:rsidRPr="00730D76" w:rsidRDefault="005E2FC7" w:rsidP="00732161">
            <w:pPr>
              <w:jc w:val="center"/>
              <w:rPr>
                <w:b/>
                <w:sz w:val="20"/>
                <w:szCs w:val="20"/>
                <w:lang w:val="en-CA"/>
              </w:rPr>
            </w:pPr>
          </w:p>
        </w:tc>
        <w:tc>
          <w:tcPr>
            <w:tcW w:w="8005" w:type="dxa"/>
          </w:tcPr>
          <w:p w14:paraId="6ACC8307" w14:textId="374E29C3" w:rsidR="005E2FC7" w:rsidRPr="00BB30DF" w:rsidRDefault="00395545" w:rsidP="009F78C2">
            <w:pPr>
              <w:pStyle w:val="ListParagraph"/>
              <w:numPr>
                <w:ilvl w:val="0"/>
                <w:numId w:val="18"/>
              </w:numPr>
              <w:tabs>
                <w:tab w:val="left" w:pos="288"/>
              </w:tabs>
              <w:ind w:left="357" w:hanging="357"/>
              <w:rPr>
                <w:sz w:val="20"/>
                <w:szCs w:val="20"/>
                <w:lang w:val="en-CA"/>
              </w:rPr>
            </w:pPr>
            <w:r>
              <w:rPr>
                <w:sz w:val="20"/>
                <w:szCs w:val="20"/>
                <w:lang w:val="en-CA"/>
              </w:rPr>
              <w:t>L</w:t>
            </w:r>
            <w:r w:rsidR="005E2FC7" w:rsidRPr="00BB30DF">
              <w:rPr>
                <w:sz w:val="20"/>
                <w:szCs w:val="20"/>
                <w:lang w:val="en-CA"/>
              </w:rPr>
              <w:t>eakage</w:t>
            </w:r>
            <w:r>
              <w:rPr>
                <w:sz w:val="20"/>
                <w:szCs w:val="20"/>
                <w:lang w:val="en-CA"/>
              </w:rPr>
              <w:t xml:space="preserve"> detection</w:t>
            </w:r>
            <w:r w:rsidR="0086042D">
              <w:rPr>
                <w:sz w:val="20"/>
                <w:szCs w:val="20"/>
                <w:lang w:val="en-CA"/>
              </w:rPr>
              <w:t xml:space="preserve"> equipment</w:t>
            </w:r>
            <w:r>
              <w:rPr>
                <w:sz w:val="20"/>
                <w:szCs w:val="20"/>
                <w:lang w:val="en-CA"/>
              </w:rPr>
              <w:t xml:space="preserve"> </w:t>
            </w:r>
            <w:r w:rsidR="005E2FC7" w:rsidRPr="00BB30DF">
              <w:rPr>
                <w:sz w:val="20"/>
                <w:szCs w:val="20"/>
                <w:lang w:val="en-CA"/>
              </w:rPr>
              <w:t>for larger capacity equipment</w:t>
            </w:r>
          </w:p>
          <w:p w14:paraId="42CB9104"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practices in </w:t>
            </w:r>
            <w:r w:rsidR="007D5457" w:rsidRPr="00730D76">
              <w:rPr>
                <w:sz w:val="20"/>
                <w:szCs w:val="20"/>
                <w:lang w:val="en-CA"/>
              </w:rPr>
              <w:t xml:space="preserve">the </w:t>
            </w:r>
            <w:r w:rsidRPr="00730D76">
              <w:rPr>
                <w:sz w:val="20"/>
                <w:szCs w:val="20"/>
                <w:lang w:val="en-CA"/>
              </w:rPr>
              <w:t>installation of air-conditioning equipment (e.g. tightly sealed joints, ensuring full refrigerant charge during equipment operations)</w:t>
            </w:r>
          </w:p>
          <w:p w14:paraId="16871402"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maintenance and </w:t>
            </w:r>
            <w:r w:rsidR="00797671" w:rsidRPr="00730D76">
              <w:rPr>
                <w:sz w:val="20"/>
                <w:szCs w:val="20"/>
                <w:lang w:val="en-CA"/>
              </w:rPr>
              <w:t xml:space="preserve">servicing </w:t>
            </w:r>
            <w:r w:rsidRPr="00730D76">
              <w:rPr>
                <w:sz w:val="20"/>
                <w:szCs w:val="20"/>
                <w:lang w:val="en-CA"/>
              </w:rPr>
              <w:t>practices (e.g. periodic cleaning of heat exchangers)</w:t>
            </w:r>
          </w:p>
          <w:p w14:paraId="57174420"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Periodic operations and maintenance checks</w:t>
            </w:r>
          </w:p>
          <w:p w14:paraId="329D70B1" w14:textId="77777777" w:rsidR="005E2FC7" w:rsidRPr="00730D76" w:rsidRDefault="005E2FC7" w:rsidP="001E6362">
            <w:pPr>
              <w:pStyle w:val="ListParagraph"/>
              <w:numPr>
                <w:ilvl w:val="0"/>
                <w:numId w:val="18"/>
              </w:numPr>
              <w:tabs>
                <w:tab w:val="left" w:pos="288"/>
              </w:tabs>
              <w:ind w:left="288" w:hanging="288"/>
              <w:rPr>
                <w:sz w:val="20"/>
                <w:szCs w:val="20"/>
              </w:rPr>
            </w:pPr>
            <w:r w:rsidRPr="00730D76">
              <w:rPr>
                <w:sz w:val="20"/>
                <w:szCs w:val="20"/>
                <w:lang w:val="en-CA"/>
              </w:rPr>
              <w:t>Equipment servicing through qualified and trained technicians</w:t>
            </w:r>
          </w:p>
        </w:tc>
      </w:tr>
      <w:tr w:rsidR="005E2FC7" w:rsidRPr="009F78C2" w14:paraId="10A311C9" w14:textId="77777777" w:rsidTr="0029767D">
        <w:trPr>
          <w:cantSplit/>
          <w:trHeight w:val="234"/>
        </w:trPr>
        <w:tc>
          <w:tcPr>
            <w:tcW w:w="9418" w:type="dxa"/>
            <w:gridSpan w:val="2"/>
          </w:tcPr>
          <w:p w14:paraId="5A79E069" w14:textId="77777777" w:rsidR="005E2FC7" w:rsidRPr="009F78C2" w:rsidRDefault="005E2FC7" w:rsidP="00AC4B25">
            <w:pPr>
              <w:keepNext/>
              <w:keepLines/>
              <w:tabs>
                <w:tab w:val="left" w:pos="288"/>
              </w:tabs>
              <w:jc w:val="left"/>
              <w:rPr>
                <w:b/>
                <w:sz w:val="20"/>
                <w:szCs w:val="20"/>
                <w:lang w:val="en-CA"/>
              </w:rPr>
            </w:pPr>
            <w:r w:rsidRPr="009F78C2">
              <w:rPr>
                <w:b/>
                <w:sz w:val="20"/>
                <w:szCs w:val="20"/>
                <w:lang w:val="en-CA"/>
              </w:rPr>
              <w:t>Sector and national level actions</w:t>
            </w:r>
          </w:p>
        </w:tc>
      </w:tr>
      <w:tr w:rsidR="005E2FC7" w:rsidRPr="009F78C2" w14:paraId="0A5C9577" w14:textId="77777777" w:rsidTr="0029767D">
        <w:trPr>
          <w:cantSplit/>
          <w:trHeight w:val="1436"/>
        </w:trPr>
        <w:tc>
          <w:tcPr>
            <w:tcW w:w="1413" w:type="dxa"/>
          </w:tcPr>
          <w:p w14:paraId="5AEE063D" w14:textId="77777777" w:rsidR="005E2FC7" w:rsidRPr="009F78C2" w:rsidRDefault="005E2FC7" w:rsidP="00732161">
            <w:pPr>
              <w:jc w:val="left"/>
              <w:rPr>
                <w:sz w:val="20"/>
                <w:szCs w:val="20"/>
                <w:lang w:val="en-CA"/>
              </w:rPr>
            </w:pPr>
            <w:r w:rsidRPr="009F78C2">
              <w:rPr>
                <w:sz w:val="20"/>
                <w:szCs w:val="20"/>
                <w:lang w:val="en-CA"/>
              </w:rPr>
              <w:t>Strengthening standards for operation</w:t>
            </w:r>
          </w:p>
        </w:tc>
        <w:tc>
          <w:tcPr>
            <w:tcW w:w="8005" w:type="dxa"/>
          </w:tcPr>
          <w:p w14:paraId="7872312B"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and labelling programmes for minimum energy efficiency performance</w:t>
            </w:r>
          </w:p>
          <w:p w14:paraId="4FD524BF"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Integrated energy efficiency standards for end-use applications, including installation and maintenance practices</w:t>
            </w:r>
          </w:p>
          <w:p w14:paraId="3EEFA368"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of safe and efficient use of equipment including good maintenance practices</w:t>
            </w:r>
            <w:r w:rsidRPr="009F78C2">
              <w:rPr>
                <w:rStyle w:val="FootnoteReference"/>
                <w:sz w:val="20"/>
                <w:szCs w:val="20"/>
                <w:lang w:val="en-CA"/>
              </w:rPr>
              <w:footnoteReference w:id="57"/>
            </w:r>
          </w:p>
        </w:tc>
      </w:tr>
      <w:tr w:rsidR="005E2FC7" w:rsidRPr="001E6362" w14:paraId="27D043CB" w14:textId="77777777" w:rsidTr="0029767D">
        <w:trPr>
          <w:cantSplit/>
          <w:trHeight w:val="3350"/>
        </w:trPr>
        <w:tc>
          <w:tcPr>
            <w:tcW w:w="1413" w:type="dxa"/>
          </w:tcPr>
          <w:p w14:paraId="5B1720A1" w14:textId="77777777" w:rsidR="005E2FC7" w:rsidRPr="001E6362" w:rsidRDefault="005E2FC7" w:rsidP="00732161">
            <w:pPr>
              <w:jc w:val="left"/>
              <w:rPr>
                <w:sz w:val="20"/>
                <w:szCs w:val="20"/>
                <w:lang w:val="en-CA"/>
              </w:rPr>
            </w:pPr>
            <w:r w:rsidRPr="001E6362">
              <w:rPr>
                <w:sz w:val="20"/>
                <w:szCs w:val="20"/>
                <w:lang w:val="en-CA"/>
              </w:rPr>
              <w:t>Integrated regulatory standards and policies</w:t>
            </w:r>
          </w:p>
        </w:tc>
        <w:tc>
          <w:tcPr>
            <w:tcW w:w="8005" w:type="dxa"/>
          </w:tcPr>
          <w:p w14:paraId="214B9A7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Development of policies promoting energy efficiency and climate-friendly refrigerant standards</w:t>
            </w:r>
          </w:p>
          <w:p w14:paraId="6C7219ED"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Bulk procurement programmes (government or other) for energy-efficient equipment using low/zero GWP refrigerants</w:t>
            </w:r>
          </w:p>
          <w:p w14:paraId="7059909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Prohibition of import of equipment using lower</w:t>
            </w:r>
            <w:r w:rsidR="00D93A71">
              <w:rPr>
                <w:sz w:val="20"/>
                <w:szCs w:val="20"/>
                <w:lang w:val="en-CA"/>
              </w:rPr>
              <w:t>-</w:t>
            </w:r>
            <w:r w:rsidRPr="001E6362">
              <w:rPr>
                <w:sz w:val="20"/>
                <w:szCs w:val="20"/>
                <w:lang w:val="en-CA"/>
              </w:rPr>
              <w:t>than</w:t>
            </w:r>
            <w:r w:rsidR="00D93A71">
              <w:rPr>
                <w:sz w:val="20"/>
                <w:szCs w:val="20"/>
                <w:lang w:val="en-CA"/>
              </w:rPr>
              <w:t>-</w:t>
            </w:r>
            <w:r w:rsidRPr="001E6362">
              <w:rPr>
                <w:sz w:val="20"/>
                <w:szCs w:val="20"/>
                <w:lang w:val="en-CA"/>
              </w:rPr>
              <w:t>specified energy efficiency standards (e.g., equipment using HCFCs that do not have high energy efficiency, second</w:t>
            </w:r>
            <w:r w:rsidR="00D93A71">
              <w:rPr>
                <w:sz w:val="20"/>
                <w:szCs w:val="20"/>
                <w:lang w:val="en-CA"/>
              </w:rPr>
              <w:t>-</w:t>
            </w:r>
            <w:r w:rsidRPr="001E6362">
              <w:rPr>
                <w:sz w:val="20"/>
                <w:szCs w:val="20"/>
                <w:lang w:val="en-CA"/>
              </w:rPr>
              <w:t>hand equipment)</w:t>
            </w:r>
          </w:p>
          <w:p w14:paraId="370D7FB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Integrated housing finance policies for the adoption of energy-efficient equipment for existing and new buildings</w:t>
            </w:r>
          </w:p>
          <w:p w14:paraId="1BE9A7F6"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energy-efficient and climate-friendly technologies in different industry segments (e.g., cold chain, tourism applications)</w:t>
            </w:r>
          </w:p>
          <w:p w14:paraId="6DDD5458"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 xml:space="preserve">Policies to develop incentive programmes for utility companies to encourage the use of energy-efficient equipment </w:t>
            </w:r>
          </w:p>
          <w:p w14:paraId="5EF994D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the adoption of not-in-kind technologies, wherever feasible</w:t>
            </w:r>
          </w:p>
        </w:tc>
      </w:tr>
    </w:tbl>
    <w:p w14:paraId="7BC578FE" w14:textId="77777777" w:rsidR="005E2FC7" w:rsidRDefault="005E2FC7" w:rsidP="0029767D"/>
    <w:p w14:paraId="61BF9598" w14:textId="77777777" w:rsidR="00FB2392" w:rsidRDefault="00FB2392" w:rsidP="0029767D">
      <w:pPr>
        <w:pStyle w:val="ListParagraph"/>
        <w:numPr>
          <w:ilvl w:val="0"/>
          <w:numId w:val="15"/>
        </w:numPr>
        <w:ind w:left="720"/>
        <w:rPr>
          <w:b/>
          <w:caps/>
        </w:rPr>
      </w:pPr>
      <w:r w:rsidRPr="00F32136">
        <w:rPr>
          <w:b/>
          <w:caps/>
        </w:rPr>
        <w:t>Analysis of the minimum information needed for the development of training and competency-based certification programmes and mo</w:t>
      </w:r>
      <w:r w:rsidRPr="00B94810">
        <w:rPr>
          <w:b/>
          <w:caps/>
        </w:rPr>
        <w:t>dules for service technicians and customs officers for the transition to alternatives</w:t>
      </w:r>
    </w:p>
    <w:p w14:paraId="0DDAC2A9" w14:textId="77777777" w:rsidR="00B94810" w:rsidRDefault="00B94810" w:rsidP="0029767D">
      <w:pPr>
        <w:rPr>
          <w:b/>
        </w:rPr>
      </w:pPr>
    </w:p>
    <w:p w14:paraId="1C6A8A17" w14:textId="77777777" w:rsidR="0008504A" w:rsidRDefault="007827FB" w:rsidP="0029767D">
      <w:pPr>
        <w:pStyle w:val="Heading1"/>
        <w:rPr>
          <w:lang w:val="en-US"/>
        </w:rPr>
      </w:pPr>
      <w:r>
        <w:rPr>
          <w:lang w:val="en-US"/>
        </w:rPr>
        <w:t xml:space="preserve">As </w:t>
      </w:r>
      <w:r w:rsidR="00ED1C83">
        <w:rPr>
          <w:lang w:val="en-US"/>
        </w:rPr>
        <w:t>previously mentioned</w:t>
      </w:r>
      <w:r>
        <w:rPr>
          <w:lang w:val="en-US"/>
        </w:rPr>
        <w:t>,</w:t>
      </w:r>
      <w:r w:rsidRPr="008B26C4">
        <w:rPr>
          <w:lang w:val="en-US"/>
        </w:rPr>
        <w:t xml:space="preserve"> </w:t>
      </w:r>
      <w:r>
        <w:rPr>
          <w:lang w:val="en-US"/>
        </w:rPr>
        <w:t xml:space="preserve">Article 5 </w:t>
      </w:r>
      <w:r w:rsidRPr="008B26C4">
        <w:rPr>
          <w:lang w:val="en-US"/>
        </w:rPr>
        <w:t xml:space="preserve">countries are </w:t>
      </w:r>
      <w:r w:rsidR="00ED1C83">
        <w:rPr>
          <w:lang w:val="en-US"/>
        </w:rPr>
        <w:t xml:space="preserve">currently </w:t>
      </w:r>
      <w:r w:rsidRPr="008B26C4">
        <w:rPr>
          <w:lang w:val="en-US"/>
        </w:rPr>
        <w:t xml:space="preserve">at different stages of </w:t>
      </w:r>
      <w:r>
        <w:rPr>
          <w:lang w:val="en-US"/>
        </w:rPr>
        <w:t xml:space="preserve">implementation of their </w:t>
      </w:r>
      <w:r w:rsidR="00ED1C83">
        <w:rPr>
          <w:lang w:val="en-US"/>
        </w:rPr>
        <w:t xml:space="preserve">HCFC </w:t>
      </w:r>
      <w:r>
        <w:rPr>
          <w:lang w:val="en-US"/>
        </w:rPr>
        <w:t>phase-out plans</w:t>
      </w:r>
      <w:r w:rsidR="00ED1C83">
        <w:rPr>
          <w:lang w:val="en-US"/>
        </w:rPr>
        <w:t xml:space="preserve">, </w:t>
      </w:r>
      <w:r w:rsidR="00D93A71">
        <w:rPr>
          <w:lang w:val="en-US"/>
        </w:rPr>
        <w:t xml:space="preserve">and at different </w:t>
      </w:r>
      <w:r w:rsidR="00ED1C83">
        <w:rPr>
          <w:lang w:val="en-US"/>
        </w:rPr>
        <w:t>level</w:t>
      </w:r>
      <w:r w:rsidR="00D93A71">
        <w:rPr>
          <w:lang w:val="en-US"/>
        </w:rPr>
        <w:t>s</w:t>
      </w:r>
      <w:r w:rsidR="00ED1C83">
        <w:rPr>
          <w:lang w:val="en-US"/>
        </w:rPr>
        <w:t xml:space="preserve"> of development of </w:t>
      </w:r>
      <w:r>
        <w:rPr>
          <w:lang w:val="en-US"/>
        </w:rPr>
        <w:t>the capacit</w:t>
      </w:r>
      <w:r w:rsidR="00ED1C83">
        <w:rPr>
          <w:lang w:val="en-US"/>
        </w:rPr>
        <w:t>ies</w:t>
      </w:r>
      <w:r>
        <w:rPr>
          <w:lang w:val="en-US"/>
        </w:rPr>
        <w:t xml:space="preserve"> </w:t>
      </w:r>
      <w:r w:rsidR="00ED1C83">
        <w:rPr>
          <w:lang w:val="en-US"/>
        </w:rPr>
        <w:t xml:space="preserve">already established for addressing the phase-out of controlled substances related to the refrigeration servicing sector. </w:t>
      </w:r>
    </w:p>
    <w:p w14:paraId="3E404CC7" w14:textId="77777777" w:rsidR="007827FB" w:rsidRPr="003C3C1D" w:rsidRDefault="007827FB" w:rsidP="0029767D">
      <w:pPr>
        <w:pStyle w:val="Heading1"/>
        <w:rPr>
          <w:lang w:val="en-US"/>
        </w:rPr>
      </w:pPr>
      <w:r>
        <w:rPr>
          <w:lang w:val="en-US"/>
        </w:rPr>
        <w:t xml:space="preserve">While common </w:t>
      </w:r>
      <w:r w:rsidR="0008504A">
        <w:rPr>
          <w:lang w:val="en-US"/>
        </w:rPr>
        <w:t xml:space="preserve">elements could be </w:t>
      </w:r>
      <w:r>
        <w:rPr>
          <w:lang w:val="en-US"/>
        </w:rPr>
        <w:t xml:space="preserve">used </w:t>
      </w:r>
      <w:r w:rsidR="0008504A">
        <w:rPr>
          <w:lang w:val="en-US"/>
        </w:rPr>
        <w:t xml:space="preserve">by all countries </w:t>
      </w:r>
      <w:r>
        <w:rPr>
          <w:lang w:val="en-US"/>
        </w:rPr>
        <w:t>to design training</w:t>
      </w:r>
      <w:r w:rsidR="00D93A71" w:rsidRPr="00D93A71">
        <w:rPr>
          <w:lang w:val="en-US"/>
        </w:rPr>
        <w:t xml:space="preserve"> </w:t>
      </w:r>
      <w:r w:rsidR="00D93A71">
        <w:rPr>
          <w:lang w:val="en-US"/>
        </w:rPr>
        <w:t>for technicians and customs officers</w:t>
      </w:r>
      <w:r>
        <w:rPr>
          <w:lang w:val="en-US"/>
        </w:rPr>
        <w:t xml:space="preserve">, </w:t>
      </w:r>
      <w:r w:rsidR="00D80A5D">
        <w:rPr>
          <w:lang w:val="en-US"/>
        </w:rPr>
        <w:t xml:space="preserve">bilateral and implementing agencies have pointed out that </w:t>
      </w:r>
      <w:r>
        <w:rPr>
          <w:lang w:val="en-US"/>
        </w:rPr>
        <w:t xml:space="preserve">it is important to maintain flexibility to determine priorities in each country based on </w:t>
      </w:r>
      <w:r w:rsidR="00D93A71">
        <w:rPr>
          <w:lang w:val="en-US"/>
        </w:rPr>
        <w:t xml:space="preserve">its </w:t>
      </w:r>
      <w:r>
        <w:rPr>
          <w:lang w:val="en-US"/>
        </w:rPr>
        <w:t xml:space="preserve">current status, strategic sectors, existing institutions and regulations. </w:t>
      </w:r>
      <w:r w:rsidR="0008504A">
        <w:rPr>
          <w:lang w:val="en-CA"/>
        </w:rPr>
        <w:t xml:space="preserve">Similarly, </w:t>
      </w:r>
      <w:r w:rsidR="0008504A" w:rsidRPr="003C3C1D">
        <w:rPr>
          <w:lang w:val="en-CA"/>
        </w:rPr>
        <w:t>legal framework</w:t>
      </w:r>
      <w:r w:rsidR="0008504A">
        <w:rPr>
          <w:lang w:val="en-CA"/>
        </w:rPr>
        <w:t xml:space="preserve">s and import/export </w:t>
      </w:r>
      <w:r w:rsidR="0008504A" w:rsidRPr="003C3C1D">
        <w:rPr>
          <w:lang w:val="en-CA"/>
        </w:rPr>
        <w:t>licensing requirements vary from countr</w:t>
      </w:r>
      <w:r w:rsidR="0008504A">
        <w:rPr>
          <w:lang w:val="en-CA"/>
        </w:rPr>
        <w:t>y to country</w:t>
      </w:r>
      <w:r w:rsidR="0008504A" w:rsidRPr="003C3C1D">
        <w:rPr>
          <w:lang w:val="en-CA"/>
        </w:rPr>
        <w:t>.</w:t>
      </w:r>
      <w:r w:rsidR="0008504A">
        <w:rPr>
          <w:lang w:val="en-CA"/>
        </w:rPr>
        <w:t xml:space="preserve"> </w:t>
      </w:r>
      <w:r>
        <w:rPr>
          <w:lang w:val="en-US"/>
        </w:rPr>
        <w:t>I</w:t>
      </w:r>
      <w:r w:rsidRPr="00E01A8C">
        <w:rPr>
          <w:lang w:val="en-US"/>
        </w:rPr>
        <w:t>n some countries there are specific bodies in charge of developing technical norms and certifications</w:t>
      </w:r>
      <w:r w:rsidR="00D93A71">
        <w:rPr>
          <w:lang w:val="en-US"/>
        </w:rPr>
        <w:t>,</w:t>
      </w:r>
      <w:r w:rsidR="00CF7E3B">
        <w:rPr>
          <w:lang w:val="en-US"/>
        </w:rPr>
        <w:t xml:space="preserve"> and</w:t>
      </w:r>
      <w:r w:rsidRPr="00E01A8C">
        <w:rPr>
          <w:lang w:val="en-US"/>
        </w:rPr>
        <w:t xml:space="preserve"> </w:t>
      </w:r>
      <w:r w:rsidR="00CF7E3B" w:rsidRPr="00E01A8C">
        <w:rPr>
          <w:lang w:val="en-US"/>
        </w:rPr>
        <w:t>technicians obtain a competency-based certification issued by the relevant education or labor body in the Government</w:t>
      </w:r>
      <w:r w:rsidR="00CF7E3B">
        <w:rPr>
          <w:lang w:val="en-US"/>
        </w:rPr>
        <w:t>,</w:t>
      </w:r>
      <w:r w:rsidR="00CF7E3B" w:rsidRPr="00E01A8C">
        <w:rPr>
          <w:lang w:val="en-US"/>
        </w:rPr>
        <w:t xml:space="preserve"> </w:t>
      </w:r>
      <w:r w:rsidRPr="00E01A8C">
        <w:rPr>
          <w:lang w:val="en-US"/>
        </w:rPr>
        <w:t xml:space="preserve">while in </w:t>
      </w:r>
      <w:r w:rsidR="00D93A71" w:rsidRPr="00E01A8C">
        <w:rPr>
          <w:lang w:val="en-US"/>
        </w:rPr>
        <w:t>other</w:t>
      </w:r>
      <w:r w:rsidR="00D93A71">
        <w:rPr>
          <w:lang w:val="en-US"/>
        </w:rPr>
        <w:t xml:space="preserve"> countries</w:t>
      </w:r>
      <w:r w:rsidR="00D93A71" w:rsidRPr="00E01A8C">
        <w:rPr>
          <w:lang w:val="en-US"/>
        </w:rPr>
        <w:t xml:space="preserve"> </w:t>
      </w:r>
      <w:r w:rsidRPr="00E01A8C">
        <w:rPr>
          <w:lang w:val="en-US"/>
        </w:rPr>
        <w:t>the certification</w:t>
      </w:r>
      <w:r w:rsidR="00CF7E3B">
        <w:rPr>
          <w:lang w:val="en-US"/>
        </w:rPr>
        <w:t xml:space="preserve"> can also be provided </w:t>
      </w:r>
      <w:r w:rsidR="00D93A71">
        <w:rPr>
          <w:lang w:val="en-US"/>
        </w:rPr>
        <w:t xml:space="preserve">by </w:t>
      </w:r>
      <w:r w:rsidR="00D93A71" w:rsidRPr="00E01A8C">
        <w:rPr>
          <w:lang w:val="en-US"/>
        </w:rPr>
        <w:t>refrigeration associations</w:t>
      </w:r>
      <w:r w:rsidR="00D93A71">
        <w:rPr>
          <w:lang w:val="en-US"/>
        </w:rPr>
        <w:t xml:space="preserve"> </w:t>
      </w:r>
      <w:r w:rsidR="00CF7E3B">
        <w:rPr>
          <w:lang w:val="en-US"/>
        </w:rPr>
        <w:t>or is fully implemented</w:t>
      </w:r>
      <w:r w:rsidR="00D93A71">
        <w:rPr>
          <w:lang w:val="en-US"/>
        </w:rPr>
        <w:t xml:space="preserve"> by those associations</w:t>
      </w:r>
      <w:r w:rsidRPr="00E01A8C">
        <w:rPr>
          <w:lang w:val="en-US"/>
        </w:rPr>
        <w:t>.</w:t>
      </w:r>
      <w:r w:rsidRPr="00E01A8C">
        <w:t xml:space="preserve"> </w:t>
      </w:r>
    </w:p>
    <w:p w14:paraId="43CE3F84" w14:textId="77777777" w:rsidR="003C3C1D" w:rsidRPr="00E01A8C" w:rsidRDefault="003C3C1D" w:rsidP="0029767D">
      <w:pPr>
        <w:pStyle w:val="Heading1"/>
        <w:rPr>
          <w:lang w:val="en-US"/>
        </w:rPr>
      </w:pPr>
      <w:r>
        <w:t xml:space="preserve">Therefore, whereas countries can </w:t>
      </w:r>
      <w:r w:rsidR="00497296">
        <w:t>profit</w:t>
      </w:r>
      <w:r>
        <w:t xml:space="preserve"> from common technical modules </w:t>
      </w:r>
      <w:r w:rsidR="00662306">
        <w:t xml:space="preserve">that can be used as references </w:t>
      </w:r>
      <w:r w:rsidR="000D4B60">
        <w:t>for their</w:t>
      </w:r>
      <w:r>
        <w:t xml:space="preserve"> customs </w:t>
      </w:r>
      <w:r w:rsidR="00D93A71">
        <w:t xml:space="preserve">officer </w:t>
      </w:r>
      <w:r>
        <w:t>and technician training, t</w:t>
      </w:r>
      <w:r w:rsidRPr="00E01A8C">
        <w:rPr>
          <w:lang w:val="en-US"/>
        </w:rPr>
        <w:t xml:space="preserve">here is </w:t>
      </w:r>
      <w:r>
        <w:rPr>
          <w:lang w:val="en-US"/>
        </w:rPr>
        <w:t>a</w:t>
      </w:r>
      <w:r w:rsidRPr="00E01A8C">
        <w:rPr>
          <w:lang w:val="en-US"/>
        </w:rPr>
        <w:t xml:space="preserve"> preference for </w:t>
      </w:r>
      <w:r>
        <w:rPr>
          <w:lang w:val="en-US"/>
        </w:rPr>
        <w:t xml:space="preserve">developing </w:t>
      </w:r>
      <w:r w:rsidR="00662306">
        <w:rPr>
          <w:lang w:val="en-US"/>
        </w:rPr>
        <w:t>custom</w:t>
      </w:r>
      <w:r w:rsidR="00D93A71">
        <w:rPr>
          <w:lang w:val="en-US"/>
        </w:rPr>
        <w:t>s officer</w:t>
      </w:r>
      <w:r w:rsidR="00662306">
        <w:rPr>
          <w:lang w:val="en-US"/>
        </w:rPr>
        <w:t xml:space="preserve"> and technician training programmes and certification schemes </w:t>
      </w:r>
      <w:r w:rsidRPr="00E01A8C">
        <w:rPr>
          <w:lang w:val="en-US"/>
        </w:rPr>
        <w:t xml:space="preserve">tailored to the </w:t>
      </w:r>
      <w:r w:rsidR="00662306">
        <w:rPr>
          <w:lang w:val="en-US"/>
        </w:rPr>
        <w:t xml:space="preserve">specific </w:t>
      </w:r>
      <w:r w:rsidRPr="00E01A8C">
        <w:rPr>
          <w:lang w:val="en-US"/>
        </w:rPr>
        <w:t xml:space="preserve">circumstances of each country over </w:t>
      </w:r>
      <w:r w:rsidR="0003620A">
        <w:rPr>
          <w:lang w:val="en-US"/>
        </w:rPr>
        <w:t xml:space="preserve">a </w:t>
      </w:r>
      <w:r w:rsidR="00D93A71">
        <w:rPr>
          <w:lang w:val="en-US"/>
        </w:rPr>
        <w:t xml:space="preserve">single </w:t>
      </w:r>
      <w:r w:rsidR="00497296">
        <w:rPr>
          <w:lang w:val="en-US"/>
        </w:rPr>
        <w:t>or harmonized</w:t>
      </w:r>
      <w:r>
        <w:rPr>
          <w:lang w:val="en-US"/>
        </w:rPr>
        <w:t xml:space="preserve"> </w:t>
      </w:r>
      <w:r w:rsidR="00EB5F26" w:rsidRPr="00E01A8C">
        <w:rPr>
          <w:lang w:val="en-US"/>
        </w:rPr>
        <w:t>approach</w:t>
      </w:r>
      <w:r w:rsidRPr="00E01A8C">
        <w:rPr>
          <w:lang w:val="en-US"/>
        </w:rPr>
        <w:t>.</w:t>
      </w:r>
    </w:p>
    <w:p w14:paraId="4FC8B824" w14:textId="560EF2BB" w:rsidR="006B6C45" w:rsidRDefault="009323FC" w:rsidP="0029767D">
      <w:pPr>
        <w:keepNext/>
        <w:keepLines/>
        <w:rPr>
          <w:b/>
        </w:rPr>
      </w:pPr>
      <w:r w:rsidRPr="009323FC">
        <w:rPr>
          <w:b/>
        </w:rPr>
        <w:t>P</w:t>
      </w:r>
      <w:r w:rsidR="006B6C45" w:rsidRPr="009323FC">
        <w:rPr>
          <w:b/>
        </w:rPr>
        <w:t>roducts developed to assist the refrigeration servicing sector in Article 5 countries</w:t>
      </w:r>
    </w:p>
    <w:p w14:paraId="1682E559" w14:textId="77777777" w:rsidR="00AC4B25" w:rsidRDefault="00AC4B25" w:rsidP="0029767D">
      <w:pPr>
        <w:keepNext/>
        <w:keepLines/>
      </w:pPr>
    </w:p>
    <w:p w14:paraId="3563C552" w14:textId="77777777" w:rsidR="006E3DDC" w:rsidRDefault="006E3DDC" w:rsidP="0029767D">
      <w:pPr>
        <w:pStyle w:val="Heading1"/>
      </w:pPr>
      <w:r>
        <w:t xml:space="preserve">The experience gained by bilateral and implementing agencies in the refrigeration servicing sector has been continuously introduced into the manuals used as reference for training customs officers and refrigeration technicians, and into the code of good servicing practices for technicians. This experience has also been used to select basic service tool kits for technicians, identification kits of controlled substances mainly used by customs authorities at ports of entry, and cost-effective recovery and recycling units. </w:t>
      </w:r>
    </w:p>
    <w:p w14:paraId="4F95BBBF" w14:textId="4FEFFF2E" w:rsidR="006E3DDC" w:rsidRDefault="006E3DDC" w:rsidP="0029767D">
      <w:pPr>
        <w:pStyle w:val="Heading1"/>
      </w:pPr>
      <w:r>
        <w:t>Furthermore, under UNEP CAP, the Executive Committee has approved funding for the development of tools, products and services that can be used by all Article 5 countries when implementing ac</w:t>
      </w:r>
      <w:r w:rsidRPr="003379AD">
        <w:t xml:space="preserve">tivities in the refrigeration servicing sector. A summary of these products is listed in </w:t>
      </w:r>
      <w:r w:rsidR="0029767D">
        <w:t>T</w:t>
      </w:r>
      <w:r>
        <w:t>able 6 and more detailed information is included in Annex </w:t>
      </w:r>
      <w:r w:rsidRPr="003379AD">
        <w:t>III.</w:t>
      </w:r>
      <w:r>
        <w:t xml:space="preserve"> </w:t>
      </w:r>
    </w:p>
    <w:p w14:paraId="3E5069E0" w14:textId="77777777" w:rsidR="006E3DDC" w:rsidRPr="005E0375" w:rsidRDefault="006E3DDC" w:rsidP="0029767D">
      <w:pPr>
        <w:pStyle w:val="Heading1"/>
        <w:numPr>
          <w:ilvl w:val="0"/>
          <w:numId w:val="0"/>
        </w:numPr>
        <w:spacing w:after="0"/>
        <w:rPr>
          <w:b/>
        </w:rPr>
      </w:pPr>
      <w:r w:rsidRPr="005E0375">
        <w:rPr>
          <w:b/>
        </w:rPr>
        <w:t>Table 6. Tools, products and services for the refrigeration servicing sector developed by UNEP CAP</w:t>
      </w:r>
    </w:p>
    <w:tbl>
      <w:tblPr>
        <w:tblStyle w:val="TableGrid"/>
        <w:tblW w:w="9360" w:type="dxa"/>
        <w:tblInd w:w="108" w:type="dxa"/>
        <w:tblLook w:val="04A0" w:firstRow="1" w:lastRow="0" w:firstColumn="1" w:lastColumn="0" w:noHBand="0" w:noVBand="1"/>
      </w:tblPr>
      <w:tblGrid>
        <w:gridCol w:w="4565"/>
        <w:gridCol w:w="4795"/>
      </w:tblGrid>
      <w:tr w:rsidR="006E3DDC" w:rsidRPr="00551B10" w14:paraId="47897932" w14:textId="77777777" w:rsidTr="0029767D">
        <w:trPr>
          <w:tblHeader/>
        </w:trPr>
        <w:tc>
          <w:tcPr>
            <w:tcW w:w="4565" w:type="dxa"/>
          </w:tcPr>
          <w:p w14:paraId="2DFA87E6"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Product</w:t>
            </w:r>
          </w:p>
        </w:tc>
        <w:tc>
          <w:tcPr>
            <w:tcW w:w="4795" w:type="dxa"/>
          </w:tcPr>
          <w:p w14:paraId="7F3C4E01"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Brief description</w:t>
            </w:r>
          </w:p>
        </w:tc>
      </w:tr>
      <w:tr w:rsidR="006E3DDC" w:rsidRPr="00551B10" w14:paraId="64928A62" w14:textId="77777777" w:rsidTr="0029767D">
        <w:tc>
          <w:tcPr>
            <w:tcW w:w="9360" w:type="dxa"/>
            <w:gridSpan w:val="2"/>
          </w:tcPr>
          <w:p w14:paraId="7FFB3E50" w14:textId="77777777" w:rsidR="006E3DDC" w:rsidRPr="00551B10" w:rsidRDefault="006E3DDC" w:rsidP="00045E26">
            <w:pPr>
              <w:pStyle w:val="Heading2"/>
              <w:numPr>
                <w:ilvl w:val="0"/>
                <w:numId w:val="0"/>
              </w:numPr>
              <w:spacing w:after="0"/>
              <w:jc w:val="left"/>
              <w:outlineLvl w:val="1"/>
              <w:rPr>
                <w:b/>
                <w:color w:val="000000" w:themeColor="text1"/>
                <w:sz w:val="20"/>
                <w:szCs w:val="20"/>
              </w:rPr>
            </w:pPr>
            <w:r w:rsidRPr="00551B10">
              <w:rPr>
                <w:b/>
                <w:bCs/>
                <w:noProof/>
                <w:color w:val="000000" w:themeColor="text1"/>
                <w:sz w:val="20"/>
                <w:szCs w:val="20"/>
                <w:lang w:val="en-CA" w:eastAsia="en-CA"/>
              </w:rPr>
              <w:drawing>
                <wp:anchor distT="0" distB="0" distL="114300" distR="114300" simplePos="0" relativeHeight="251666432" behindDoc="0" locked="0" layoutInCell="1" allowOverlap="1" wp14:anchorId="173FCDDA" wp14:editId="05C8E3D0">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14:sizeRelH relativeFrom="margin">
                    <wp14:pctWidth>0</wp14:pctWidth>
                  </wp14:sizeRelH>
                  <wp14:sizeRelV relativeFrom="margin">
                    <wp14:pctHeight>0</wp14:pctHeight>
                  </wp14:sizeRelV>
                </wp:anchor>
              </w:drawing>
            </w:r>
            <w:r w:rsidRPr="00551B10">
              <w:rPr>
                <w:b/>
                <w:bCs/>
                <w:noProof/>
                <w:color w:val="000000" w:themeColor="text1"/>
                <w:sz w:val="20"/>
                <w:szCs w:val="20"/>
                <w:lang w:val="en-CA" w:eastAsia="en-CA"/>
              </w:rPr>
              <w:drawing>
                <wp:anchor distT="0" distB="0" distL="114300" distR="114300" simplePos="0" relativeHeight="251667456" behindDoc="1" locked="0" layoutInCell="1" allowOverlap="1" wp14:anchorId="06D85E36" wp14:editId="35A2E136">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1B10">
              <w:rPr>
                <w:b/>
                <w:bCs/>
                <w:color w:val="000000" w:themeColor="text1"/>
                <w:sz w:val="20"/>
                <w:szCs w:val="20"/>
              </w:rPr>
              <w:t>Factsheets/Briefs</w:t>
            </w:r>
          </w:p>
        </w:tc>
      </w:tr>
      <w:tr w:rsidR="006E3DDC" w:rsidRPr="00551B10" w14:paraId="3A8182F9" w14:textId="77777777" w:rsidTr="0029767D">
        <w:tc>
          <w:tcPr>
            <w:tcW w:w="4565" w:type="dxa"/>
          </w:tcPr>
          <w:p w14:paraId="64D3AD3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Kigali kit (20 factsheets, poster, handbook)</w:t>
            </w:r>
          </w:p>
        </w:tc>
        <w:tc>
          <w:tcPr>
            <w:tcW w:w="4795" w:type="dxa"/>
            <w:vMerge w:val="restart"/>
          </w:tcPr>
          <w:p w14:paraId="27A9DC9F" w14:textId="77777777" w:rsidR="006E3DDC" w:rsidRPr="00551B10" w:rsidRDefault="006E3DDC" w:rsidP="00045E26">
            <w:pPr>
              <w:jc w:val="left"/>
              <w:rPr>
                <w:color w:val="000000" w:themeColor="text1"/>
                <w:sz w:val="20"/>
                <w:szCs w:val="20"/>
              </w:rPr>
            </w:pPr>
            <w:r w:rsidRPr="00551B10">
              <w:rPr>
                <w:bCs/>
                <w:color w:val="000000" w:themeColor="text1"/>
                <w:sz w:val="20"/>
                <w:szCs w:val="20"/>
              </w:rPr>
              <w:t>OzonAction factsheets</w:t>
            </w:r>
            <w:r w:rsidRPr="00551B10">
              <w:rPr>
                <w:color w:val="000000" w:themeColor="text1"/>
                <w:sz w:val="20"/>
                <w:szCs w:val="20"/>
              </w:rPr>
              <w:t>, h</w:t>
            </w:r>
            <w:r w:rsidRPr="00551B10">
              <w:rPr>
                <w:bCs/>
                <w:color w:val="000000" w:themeColor="text1"/>
                <w:sz w:val="20"/>
                <w:szCs w:val="20"/>
              </w:rPr>
              <w:t>andbooks, technology/policy briefs,</w:t>
            </w:r>
            <w:r w:rsidRPr="00551B10">
              <w:rPr>
                <w:color w:val="000000" w:themeColor="text1"/>
                <w:sz w:val="20"/>
                <w:szCs w:val="20"/>
              </w:rPr>
              <w:t xml:space="preserve"> to raise the awareness of different stakeholders that can be disseminated and utilized by Article 5 countries to support phase-out projects and data collection activities.</w:t>
            </w:r>
          </w:p>
        </w:tc>
      </w:tr>
      <w:tr w:rsidR="006E3DDC" w:rsidRPr="00551B10" w14:paraId="289CEE60" w14:textId="77777777" w:rsidTr="0029767D">
        <w:tc>
          <w:tcPr>
            <w:tcW w:w="4565" w:type="dxa"/>
          </w:tcPr>
          <w:p w14:paraId="158A61A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 xml:space="preserve">Safety factsheets </w:t>
            </w:r>
          </w:p>
        </w:tc>
        <w:tc>
          <w:tcPr>
            <w:tcW w:w="4795" w:type="dxa"/>
            <w:vMerge/>
          </w:tcPr>
          <w:p w14:paraId="78D1EDCE" w14:textId="77777777" w:rsidR="006E3DDC" w:rsidRPr="00551B10" w:rsidRDefault="006E3DDC" w:rsidP="00045E26">
            <w:pPr>
              <w:jc w:val="left"/>
              <w:rPr>
                <w:color w:val="000000" w:themeColor="text1"/>
                <w:sz w:val="20"/>
                <w:szCs w:val="20"/>
              </w:rPr>
            </w:pPr>
          </w:p>
        </w:tc>
      </w:tr>
      <w:tr w:rsidR="006E3DDC" w:rsidRPr="00551B10" w14:paraId="5E5C4D6B" w14:textId="77777777" w:rsidTr="0029767D">
        <w:tc>
          <w:tcPr>
            <w:tcW w:w="4565" w:type="dxa"/>
          </w:tcPr>
          <w:p w14:paraId="27719A24"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classification</w:t>
            </w:r>
            <w:r w:rsidRPr="00551B10">
              <w:rPr>
                <w:rStyle w:val="FootnoteReference"/>
                <w:color w:val="000000" w:themeColor="text1"/>
                <w:sz w:val="20"/>
                <w:szCs w:val="20"/>
              </w:rPr>
              <w:t xml:space="preserve"> </w:t>
            </w:r>
            <w:r w:rsidRPr="00551B10">
              <w:rPr>
                <w:color w:val="000000" w:themeColor="text1"/>
                <w:sz w:val="20"/>
                <w:szCs w:val="20"/>
              </w:rPr>
              <w:t>(issued every six months)</w:t>
            </w:r>
          </w:p>
        </w:tc>
        <w:tc>
          <w:tcPr>
            <w:tcW w:w="4795" w:type="dxa"/>
            <w:vMerge/>
          </w:tcPr>
          <w:p w14:paraId="4C331292" w14:textId="77777777" w:rsidR="006E3DDC" w:rsidRPr="00551B10" w:rsidRDefault="006E3DDC" w:rsidP="00045E26">
            <w:pPr>
              <w:jc w:val="left"/>
              <w:rPr>
                <w:color w:val="000000" w:themeColor="text1"/>
                <w:sz w:val="20"/>
                <w:szCs w:val="20"/>
              </w:rPr>
            </w:pPr>
          </w:p>
        </w:tc>
      </w:tr>
      <w:tr w:rsidR="006E3DDC" w:rsidRPr="00551B10" w14:paraId="0D39131D" w14:textId="77777777" w:rsidTr="0029767D">
        <w:tc>
          <w:tcPr>
            <w:tcW w:w="4565" w:type="dxa"/>
          </w:tcPr>
          <w:p w14:paraId="1612EE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Energy efficiency in RAC servicing sector</w:t>
            </w:r>
          </w:p>
        </w:tc>
        <w:tc>
          <w:tcPr>
            <w:tcW w:w="4795" w:type="dxa"/>
            <w:vMerge/>
          </w:tcPr>
          <w:p w14:paraId="6F5AE611" w14:textId="77777777" w:rsidR="006E3DDC" w:rsidRPr="00551B10" w:rsidRDefault="006E3DDC" w:rsidP="00045E26">
            <w:pPr>
              <w:jc w:val="left"/>
              <w:rPr>
                <w:color w:val="000000" w:themeColor="text1"/>
                <w:sz w:val="20"/>
                <w:szCs w:val="20"/>
              </w:rPr>
            </w:pPr>
          </w:p>
        </w:tc>
      </w:tr>
      <w:tr w:rsidR="006E3DDC" w:rsidRPr="00551B10" w14:paraId="1B7BF79C" w14:textId="77777777" w:rsidTr="0029767D">
        <w:tc>
          <w:tcPr>
            <w:tcW w:w="4565" w:type="dxa"/>
          </w:tcPr>
          <w:p w14:paraId="619EF99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Cold chain technology briefs</w:t>
            </w:r>
          </w:p>
        </w:tc>
        <w:tc>
          <w:tcPr>
            <w:tcW w:w="4795" w:type="dxa"/>
            <w:vMerge/>
          </w:tcPr>
          <w:p w14:paraId="2ADA8062" w14:textId="77777777" w:rsidR="006E3DDC" w:rsidRPr="00551B10" w:rsidRDefault="006E3DDC" w:rsidP="00045E26">
            <w:pPr>
              <w:jc w:val="left"/>
              <w:rPr>
                <w:color w:val="000000" w:themeColor="text1"/>
                <w:sz w:val="20"/>
                <w:szCs w:val="20"/>
              </w:rPr>
            </w:pPr>
          </w:p>
        </w:tc>
      </w:tr>
      <w:tr w:rsidR="006E3DDC" w:rsidRPr="00551B10" w14:paraId="3808F19F" w14:textId="77777777" w:rsidTr="0029767D">
        <w:tc>
          <w:tcPr>
            <w:tcW w:w="9360" w:type="dxa"/>
            <w:gridSpan w:val="2"/>
          </w:tcPr>
          <w:p w14:paraId="7DD6E480"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Mobile applications</w:t>
            </w:r>
          </w:p>
        </w:tc>
      </w:tr>
      <w:tr w:rsidR="006E3DDC" w:rsidRPr="00551B10" w14:paraId="2121E4C7" w14:textId="77777777" w:rsidTr="0029767D">
        <w:tc>
          <w:tcPr>
            <w:tcW w:w="4565" w:type="dxa"/>
          </w:tcPr>
          <w:p w14:paraId="4A2A22A0"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WhatGas?</w:t>
            </w:r>
          </w:p>
        </w:tc>
        <w:tc>
          <w:tcPr>
            <w:tcW w:w="4795" w:type="dxa"/>
            <w:vMerge w:val="restart"/>
          </w:tcPr>
          <w:p w14:paraId="4D7F2100" w14:textId="77777777" w:rsidR="006E3DDC" w:rsidRPr="00551B10" w:rsidRDefault="006E3DDC" w:rsidP="00045E26">
            <w:pPr>
              <w:jc w:val="left"/>
              <w:rPr>
                <w:color w:val="000000" w:themeColor="text1"/>
                <w:sz w:val="20"/>
                <w:szCs w:val="20"/>
              </w:rPr>
            </w:pPr>
            <w:r w:rsidRPr="00551B10">
              <w:rPr>
                <w:bCs/>
                <w:color w:val="000000" w:themeColor="text1"/>
                <w:sz w:val="20"/>
                <w:szCs w:val="20"/>
              </w:rPr>
              <w:t xml:space="preserve">These OzonAction mobile applications are available to Article 5 countries to </w:t>
            </w:r>
            <w:r w:rsidRPr="00551B10">
              <w:rPr>
                <w:color w:val="000000" w:themeColor="text1"/>
                <w:sz w:val="20"/>
                <w:szCs w:val="20"/>
              </w:rPr>
              <w:t xml:space="preserve">help in identifying specifications/details about controlled substances, calculating ODP/GWP values, and in supporting training of refrigeration technicians. </w:t>
            </w:r>
          </w:p>
        </w:tc>
      </w:tr>
      <w:tr w:rsidR="006E3DDC" w:rsidRPr="00551B10" w14:paraId="7855AB83" w14:textId="77777777" w:rsidTr="0029767D">
        <w:tc>
          <w:tcPr>
            <w:tcW w:w="4565" w:type="dxa"/>
          </w:tcPr>
          <w:p w14:paraId="2C526FB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GWP ODP calculator</w:t>
            </w:r>
          </w:p>
        </w:tc>
        <w:tc>
          <w:tcPr>
            <w:tcW w:w="4795" w:type="dxa"/>
            <w:vMerge/>
          </w:tcPr>
          <w:p w14:paraId="7194E658" w14:textId="77777777" w:rsidR="006E3DDC" w:rsidRPr="00551B10" w:rsidRDefault="006E3DDC" w:rsidP="00045E26">
            <w:pPr>
              <w:jc w:val="left"/>
              <w:rPr>
                <w:color w:val="000000" w:themeColor="text1"/>
                <w:sz w:val="20"/>
                <w:szCs w:val="20"/>
              </w:rPr>
            </w:pPr>
          </w:p>
        </w:tc>
      </w:tr>
      <w:tr w:rsidR="006E3DDC" w:rsidRPr="00551B10" w14:paraId="220603A0" w14:textId="77777777" w:rsidTr="0029767D">
        <w:tc>
          <w:tcPr>
            <w:tcW w:w="4565" w:type="dxa"/>
          </w:tcPr>
          <w:p w14:paraId="09A1B00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RAC videos</w:t>
            </w:r>
          </w:p>
        </w:tc>
        <w:tc>
          <w:tcPr>
            <w:tcW w:w="4795" w:type="dxa"/>
            <w:vMerge/>
          </w:tcPr>
          <w:p w14:paraId="1AEA1A77" w14:textId="77777777" w:rsidR="006E3DDC" w:rsidRPr="00551B10" w:rsidRDefault="006E3DDC" w:rsidP="00045E26">
            <w:pPr>
              <w:jc w:val="left"/>
              <w:rPr>
                <w:color w:val="000000" w:themeColor="text1"/>
                <w:sz w:val="20"/>
                <w:szCs w:val="20"/>
              </w:rPr>
            </w:pPr>
          </w:p>
        </w:tc>
      </w:tr>
      <w:tr w:rsidR="006E3DDC" w:rsidRPr="00551B10" w14:paraId="53D0D143" w14:textId="77777777" w:rsidTr="0029767D">
        <w:tc>
          <w:tcPr>
            <w:tcW w:w="4565" w:type="dxa"/>
          </w:tcPr>
          <w:p w14:paraId="5BC5D40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Quick guide (flammable good servicing guide e-book)</w:t>
            </w:r>
          </w:p>
        </w:tc>
        <w:tc>
          <w:tcPr>
            <w:tcW w:w="4795" w:type="dxa"/>
            <w:vMerge/>
          </w:tcPr>
          <w:p w14:paraId="4F643EFA" w14:textId="77777777" w:rsidR="006E3DDC" w:rsidRPr="00551B10" w:rsidRDefault="006E3DDC" w:rsidP="00045E26">
            <w:pPr>
              <w:jc w:val="left"/>
              <w:rPr>
                <w:color w:val="000000" w:themeColor="text1"/>
                <w:sz w:val="20"/>
                <w:szCs w:val="20"/>
              </w:rPr>
            </w:pPr>
          </w:p>
        </w:tc>
      </w:tr>
      <w:tr w:rsidR="006E3DDC" w:rsidRPr="00551B10" w14:paraId="0CC9E64E" w14:textId="77777777" w:rsidTr="0029767D">
        <w:tc>
          <w:tcPr>
            <w:tcW w:w="4565" w:type="dxa"/>
          </w:tcPr>
          <w:p w14:paraId="0CF8EC62"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identifier video series</w:t>
            </w:r>
          </w:p>
        </w:tc>
        <w:tc>
          <w:tcPr>
            <w:tcW w:w="4795" w:type="dxa"/>
            <w:vMerge/>
          </w:tcPr>
          <w:p w14:paraId="44911470" w14:textId="77777777" w:rsidR="006E3DDC" w:rsidRPr="00551B10" w:rsidRDefault="006E3DDC" w:rsidP="00045E26">
            <w:pPr>
              <w:jc w:val="left"/>
              <w:rPr>
                <w:color w:val="000000" w:themeColor="text1"/>
                <w:sz w:val="20"/>
                <w:szCs w:val="20"/>
              </w:rPr>
            </w:pPr>
          </w:p>
        </w:tc>
      </w:tr>
      <w:tr w:rsidR="006E3DDC" w:rsidRPr="00551B10" w14:paraId="1D9843A2" w14:textId="77777777" w:rsidTr="0029767D">
        <w:tc>
          <w:tcPr>
            <w:tcW w:w="4565" w:type="dxa"/>
          </w:tcPr>
          <w:p w14:paraId="3894FB1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Air-conditioner charge size calculator</w:t>
            </w:r>
          </w:p>
        </w:tc>
        <w:tc>
          <w:tcPr>
            <w:tcW w:w="4795" w:type="dxa"/>
            <w:vMerge/>
          </w:tcPr>
          <w:p w14:paraId="4671FA33" w14:textId="77777777" w:rsidR="006E3DDC" w:rsidRPr="00551B10" w:rsidRDefault="006E3DDC" w:rsidP="00045E26">
            <w:pPr>
              <w:jc w:val="left"/>
              <w:rPr>
                <w:color w:val="000000" w:themeColor="text1"/>
                <w:sz w:val="20"/>
                <w:szCs w:val="20"/>
              </w:rPr>
            </w:pPr>
          </w:p>
        </w:tc>
      </w:tr>
      <w:tr w:rsidR="006E3DDC" w:rsidRPr="00551B10" w14:paraId="1720BB45" w14:textId="77777777" w:rsidTr="0029767D">
        <w:tc>
          <w:tcPr>
            <w:tcW w:w="9360" w:type="dxa"/>
            <w:gridSpan w:val="2"/>
          </w:tcPr>
          <w:p w14:paraId="75674DCE"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Online tools</w:t>
            </w:r>
          </w:p>
        </w:tc>
      </w:tr>
      <w:tr w:rsidR="006E3DDC" w:rsidRPr="00551B10" w14:paraId="76A55FD2" w14:textId="77777777" w:rsidTr="0029767D">
        <w:tc>
          <w:tcPr>
            <w:tcW w:w="4565" w:type="dxa"/>
          </w:tcPr>
          <w:p w14:paraId="5DBCFB0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literacy (ASHRAE)</w:t>
            </w:r>
          </w:p>
        </w:tc>
        <w:tc>
          <w:tcPr>
            <w:tcW w:w="4795" w:type="dxa"/>
            <w:vMerge w:val="restart"/>
          </w:tcPr>
          <w:p w14:paraId="35F79895"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promote the use the </w:t>
            </w:r>
            <w:r w:rsidRPr="00551B10">
              <w:rPr>
                <w:bCs/>
                <w:color w:val="000000" w:themeColor="text1"/>
                <w:sz w:val="20"/>
                <w:szCs w:val="20"/>
              </w:rPr>
              <w:t>OzonAction-ASHRAE refrigerant e-courses</w:t>
            </w:r>
            <w:r w:rsidRPr="00551B10">
              <w:rPr>
                <w:color w:val="000000" w:themeColor="text1"/>
                <w:sz w:val="20"/>
                <w:szCs w:val="20"/>
              </w:rPr>
              <w:t xml:space="preserve"> to support training activities for NOUs, stakeholders, RAC technicians either under HPMPs training programmes and/or through different stakeholders, e.g., training institutes, local refrigeration associations.</w:t>
            </w:r>
          </w:p>
        </w:tc>
      </w:tr>
      <w:tr w:rsidR="006E3DDC" w:rsidRPr="00551B10" w14:paraId="7C0848D0" w14:textId="77777777" w:rsidTr="0029767D">
        <w:tc>
          <w:tcPr>
            <w:tcW w:w="4565" w:type="dxa"/>
          </w:tcPr>
          <w:p w14:paraId="4159F75F"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management (ASHRAE)</w:t>
            </w:r>
          </w:p>
        </w:tc>
        <w:tc>
          <w:tcPr>
            <w:tcW w:w="4795" w:type="dxa"/>
            <w:vMerge/>
          </w:tcPr>
          <w:p w14:paraId="3373C98F" w14:textId="77777777" w:rsidR="006E3DDC" w:rsidRPr="00551B10" w:rsidRDefault="006E3DDC" w:rsidP="00045E26">
            <w:pPr>
              <w:jc w:val="left"/>
              <w:rPr>
                <w:color w:val="000000" w:themeColor="text1"/>
                <w:sz w:val="20"/>
                <w:szCs w:val="20"/>
              </w:rPr>
            </w:pPr>
          </w:p>
        </w:tc>
      </w:tr>
      <w:tr w:rsidR="006E3DDC" w:rsidRPr="00551B10" w14:paraId="412C0D58" w14:textId="77777777" w:rsidTr="0029767D">
        <w:tc>
          <w:tcPr>
            <w:tcW w:w="9360" w:type="dxa"/>
            <w:gridSpan w:val="2"/>
          </w:tcPr>
          <w:p w14:paraId="64DE59E8"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RAC training tools</w:t>
            </w:r>
          </w:p>
        </w:tc>
      </w:tr>
      <w:tr w:rsidR="006E3DDC" w:rsidRPr="00551B10" w14:paraId="4ADBDA2C" w14:textId="77777777" w:rsidTr="0029767D">
        <w:tc>
          <w:tcPr>
            <w:tcW w:w="4565" w:type="dxa"/>
          </w:tcPr>
          <w:p w14:paraId="5208D0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Good practice videos (new: theory and good practice videos due 2019)</w:t>
            </w:r>
          </w:p>
        </w:tc>
        <w:tc>
          <w:tcPr>
            <w:tcW w:w="4795" w:type="dxa"/>
          </w:tcPr>
          <w:p w14:paraId="373A18F2"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w:t>
            </w:r>
            <w:r w:rsidRPr="00551B10">
              <w:rPr>
                <w:bCs/>
                <w:color w:val="000000" w:themeColor="text1"/>
                <w:sz w:val="20"/>
                <w:szCs w:val="20"/>
              </w:rPr>
              <w:t>OzonAction good practice videos</w:t>
            </w:r>
            <w:r w:rsidRPr="00551B10">
              <w:rPr>
                <w:color w:val="000000" w:themeColor="text1"/>
                <w:sz w:val="20"/>
                <w:szCs w:val="20"/>
              </w:rPr>
              <w:t xml:space="preserve"> to support training/capacity building of technicians either under HPMPs training programmes and/or through different stakeholders, e.g., training institutes, local refrigeration associations.</w:t>
            </w:r>
          </w:p>
        </w:tc>
      </w:tr>
      <w:tr w:rsidR="006E3DDC" w:rsidRPr="00551B10" w14:paraId="0820AC56" w14:textId="77777777" w:rsidTr="0029767D">
        <w:tc>
          <w:tcPr>
            <w:tcW w:w="4565" w:type="dxa"/>
          </w:tcPr>
          <w:p w14:paraId="6F4DB727"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Universal training kit</w:t>
            </w:r>
          </w:p>
        </w:tc>
        <w:tc>
          <w:tcPr>
            <w:tcW w:w="4795" w:type="dxa"/>
          </w:tcPr>
          <w:p w14:paraId="137845F6"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the </w:t>
            </w:r>
            <w:r w:rsidRPr="00551B10">
              <w:rPr>
                <w:bCs/>
                <w:color w:val="000000" w:themeColor="text1"/>
                <w:sz w:val="20"/>
                <w:szCs w:val="20"/>
              </w:rPr>
              <w:t xml:space="preserve">OzonAction global training kit </w:t>
            </w:r>
            <w:r w:rsidRPr="00551B10">
              <w:rPr>
                <w:color w:val="000000" w:themeColor="text1"/>
                <w:sz w:val="20"/>
                <w:szCs w:val="20"/>
              </w:rPr>
              <w:t>(a comprehensive modular package) to support training activities for refrigeration technicians at local training institutes/centres either under HPMPs or other programmes.</w:t>
            </w:r>
          </w:p>
        </w:tc>
      </w:tr>
      <w:tr w:rsidR="006E3DDC" w:rsidRPr="00551B10" w14:paraId="50050135" w14:textId="77777777" w:rsidTr="0029767D">
        <w:tc>
          <w:tcPr>
            <w:tcW w:w="4565" w:type="dxa"/>
          </w:tcPr>
          <w:p w14:paraId="68801B08" w14:textId="77777777" w:rsidR="006E3DDC" w:rsidRPr="00551B10" w:rsidRDefault="006E3DDC" w:rsidP="0029767D">
            <w:pPr>
              <w:keepNext/>
              <w:tabs>
                <w:tab w:val="left" w:pos="2617"/>
              </w:tabs>
              <w:jc w:val="left"/>
              <w:rPr>
                <w:color w:val="000000" w:themeColor="text1"/>
                <w:sz w:val="20"/>
                <w:szCs w:val="20"/>
              </w:rPr>
            </w:pPr>
            <w:r w:rsidRPr="00551B10">
              <w:rPr>
                <w:color w:val="000000" w:themeColor="text1"/>
                <w:sz w:val="20"/>
                <w:szCs w:val="20"/>
              </w:rPr>
              <w:t>Refrigerant driving license (RDL)</w:t>
            </w:r>
            <w:r w:rsidRPr="00551B10">
              <w:rPr>
                <w:bCs/>
                <w:color w:val="000000" w:themeColor="text1"/>
                <w:sz w:val="20"/>
                <w:szCs w:val="20"/>
              </w:rPr>
              <w:t xml:space="preserve"> (a g</w:t>
            </w:r>
            <w:r w:rsidRPr="00551B10">
              <w:rPr>
                <w:color w:val="000000" w:themeColor="text1"/>
                <w:sz w:val="20"/>
                <w:szCs w:val="20"/>
              </w:rPr>
              <w:t>lobal qualification programme on sound management of refrigerants supported by international industry associations)</w:t>
            </w:r>
          </w:p>
        </w:tc>
        <w:tc>
          <w:tcPr>
            <w:tcW w:w="4795" w:type="dxa"/>
          </w:tcPr>
          <w:p w14:paraId="159A002A" w14:textId="77777777" w:rsidR="006E3DDC" w:rsidRPr="00551B10" w:rsidRDefault="006E3DDC" w:rsidP="0029767D">
            <w:pPr>
              <w:keepNext/>
              <w:jc w:val="left"/>
              <w:rPr>
                <w:color w:val="000000" w:themeColor="text1"/>
                <w:sz w:val="20"/>
                <w:szCs w:val="20"/>
              </w:rPr>
            </w:pPr>
            <w:r w:rsidRPr="00551B10">
              <w:rPr>
                <w:color w:val="000000" w:themeColor="text1"/>
                <w:sz w:val="20"/>
                <w:szCs w:val="20"/>
              </w:rPr>
              <w:t>Article 5 countries can use of r</w:t>
            </w:r>
            <w:r w:rsidRPr="00551B10">
              <w:rPr>
                <w:bCs/>
                <w:color w:val="000000" w:themeColor="text1"/>
                <w:sz w:val="20"/>
                <w:szCs w:val="20"/>
              </w:rPr>
              <w:t xml:space="preserve">efrigerant driving license </w:t>
            </w:r>
            <w:r w:rsidRPr="00551B10">
              <w:rPr>
                <w:color w:val="000000" w:themeColor="text1"/>
                <w:sz w:val="20"/>
                <w:szCs w:val="20"/>
              </w:rPr>
              <w:t>to ensure minimum level of competencies and skills acquired by the servicing sector across the refrigerants supply chain network.</w:t>
            </w:r>
          </w:p>
        </w:tc>
      </w:tr>
      <w:tr w:rsidR="006E3DDC" w:rsidRPr="00571128" w14:paraId="7F136C1C" w14:textId="77777777" w:rsidTr="0029767D">
        <w:tc>
          <w:tcPr>
            <w:tcW w:w="4565" w:type="dxa"/>
          </w:tcPr>
          <w:p w14:paraId="6B0C1FB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management university course (elective course for mechanical engineering undergraduate students as per academic requirements)</w:t>
            </w:r>
          </w:p>
        </w:tc>
        <w:tc>
          <w:tcPr>
            <w:tcW w:w="4795" w:type="dxa"/>
          </w:tcPr>
          <w:p w14:paraId="4B2900E0" w14:textId="77777777" w:rsidR="006E3DDC" w:rsidRPr="00571128" w:rsidRDefault="006E3DDC" w:rsidP="00045E26">
            <w:pPr>
              <w:jc w:val="left"/>
              <w:rPr>
                <w:color w:val="000000" w:themeColor="text1"/>
                <w:sz w:val="20"/>
                <w:szCs w:val="20"/>
              </w:rPr>
            </w:pPr>
            <w:r w:rsidRPr="00551B10">
              <w:rPr>
                <w:color w:val="000000" w:themeColor="text1"/>
                <w:sz w:val="20"/>
                <w:szCs w:val="20"/>
              </w:rPr>
              <w:t xml:space="preserve">Article 5 countries can utilize the </w:t>
            </w:r>
            <w:r w:rsidRPr="00551B10">
              <w:rPr>
                <w:bCs/>
                <w:color w:val="000000" w:themeColor="text1"/>
                <w:sz w:val="20"/>
                <w:szCs w:val="20"/>
              </w:rPr>
              <w:t xml:space="preserve">OzonAction refrigerant management university course </w:t>
            </w:r>
            <w:r w:rsidRPr="00551B10">
              <w:rPr>
                <w:color w:val="000000" w:themeColor="text1"/>
                <w:sz w:val="20"/>
                <w:szCs w:val="20"/>
              </w:rPr>
              <w:t>by national engineering universities and technical colleges.</w:t>
            </w:r>
          </w:p>
        </w:tc>
      </w:tr>
    </w:tbl>
    <w:p w14:paraId="27276D1A" w14:textId="77777777" w:rsidR="006E3DDC" w:rsidRDefault="006E3DDC" w:rsidP="0029767D"/>
    <w:p w14:paraId="4379A63E" w14:textId="77777777" w:rsidR="00FB2392" w:rsidRPr="00571128" w:rsidRDefault="00FB2392" w:rsidP="0029767D">
      <w:pPr>
        <w:pStyle w:val="ListParagraph"/>
        <w:numPr>
          <w:ilvl w:val="0"/>
          <w:numId w:val="15"/>
        </w:numPr>
        <w:ind w:left="720"/>
        <w:rPr>
          <w:b/>
          <w:caps/>
        </w:rPr>
      </w:pPr>
      <w:r w:rsidRPr="00571128">
        <w:rPr>
          <w:b/>
          <w:caps/>
        </w:rPr>
        <w:t>Considerations for funding HFC phase-down</w:t>
      </w:r>
    </w:p>
    <w:p w14:paraId="2CEB61CE" w14:textId="77777777" w:rsidR="00FB2392" w:rsidRDefault="00FB2392" w:rsidP="0029767D"/>
    <w:p w14:paraId="5D13E809" w14:textId="77777777" w:rsidR="00F42B5C" w:rsidRDefault="00F42B5C" w:rsidP="0029767D">
      <w:pPr>
        <w:pStyle w:val="Heading1"/>
      </w:pPr>
      <w:r>
        <w:t xml:space="preserve">Given the steep increase in </w:t>
      </w:r>
      <w:r w:rsidRPr="00735EED">
        <w:t>refrigeration and air-conditioning equipment</w:t>
      </w:r>
      <w:r>
        <w:t xml:space="preserve"> due to </w:t>
      </w:r>
      <w:r w:rsidRPr="00124771">
        <w:t xml:space="preserve">the </w:t>
      </w:r>
      <w:r w:rsidRPr="00EC2DEE">
        <w:rPr>
          <w:rFonts w:eastAsia="MS PGothic"/>
          <w:lang w:val="en-CA"/>
        </w:rPr>
        <w:t xml:space="preserve">continuous rise in </w:t>
      </w:r>
      <w:r w:rsidR="0003620A">
        <w:rPr>
          <w:rFonts w:eastAsia="MS PGothic"/>
          <w:lang w:val="en-CA"/>
        </w:rPr>
        <w:t xml:space="preserve">the </w:t>
      </w:r>
      <w:r w:rsidRPr="00EC2DEE">
        <w:rPr>
          <w:rFonts w:eastAsia="MS PGothic"/>
          <w:lang w:val="en-CA"/>
        </w:rPr>
        <w:t>global population</w:t>
      </w:r>
      <w:r>
        <w:rPr>
          <w:rFonts w:eastAsia="MS PGothic"/>
          <w:lang w:val="en-CA"/>
        </w:rPr>
        <w:t xml:space="preserve"> and</w:t>
      </w:r>
      <w:r>
        <w:t xml:space="preserve"> the </w:t>
      </w:r>
      <w:r w:rsidRPr="00124771">
        <w:t>expansion of the food cold chain</w:t>
      </w:r>
      <w:r>
        <w:t>,</w:t>
      </w:r>
      <w:r w:rsidRPr="00735EED">
        <w:t xml:space="preserve"> </w:t>
      </w:r>
      <w:r w:rsidRPr="00040792">
        <w:t>the refrigeration servicing sector will become increasingly relevant in all Article 5 countries until the phase-down compliance targets under the Kigali Amendment are achieved.</w:t>
      </w:r>
    </w:p>
    <w:p w14:paraId="5FB9970E" w14:textId="77777777" w:rsidR="003379AD" w:rsidRPr="006E24FD" w:rsidRDefault="003379AD" w:rsidP="0029767D">
      <w:pPr>
        <w:rPr>
          <w:b/>
        </w:rPr>
      </w:pPr>
      <w:r w:rsidRPr="006E24FD">
        <w:rPr>
          <w:b/>
        </w:rPr>
        <w:t>Joint implementation of decisions XIX/6 and XXVIII/2 in regard to the refrigeration servicing sector</w:t>
      </w:r>
      <w:r w:rsidRPr="00960F21">
        <w:rPr>
          <w:b/>
        </w:rPr>
        <w:t>: overlapping schedule of HCFC phase-out and HFC phase-down</w:t>
      </w:r>
    </w:p>
    <w:p w14:paraId="6DE4E29A" w14:textId="77777777" w:rsidR="003379AD" w:rsidRPr="003379AD" w:rsidRDefault="003379AD" w:rsidP="0029767D"/>
    <w:p w14:paraId="00D62B14" w14:textId="732837BB" w:rsidR="00F42B5C" w:rsidRDefault="00F42B5C" w:rsidP="0029767D">
      <w:pPr>
        <w:pStyle w:val="Heading1"/>
      </w:pPr>
      <w:r>
        <w:t>T</w:t>
      </w:r>
      <w:r w:rsidRPr="0034659D">
        <w:t xml:space="preserve">he initial years of the phase-down of HFCs will overlap with the phase-out of the remaining consumption of </w:t>
      </w:r>
      <w:r w:rsidR="00EB5F26" w:rsidRPr="0034659D">
        <w:t>HCFCs</w:t>
      </w:r>
      <w:r w:rsidR="00EB5F26">
        <w:t>, which</w:t>
      </w:r>
      <w:r w:rsidR="00A42A9C">
        <w:t>,</w:t>
      </w:r>
      <w:r w:rsidRPr="0034659D">
        <w:t xml:space="preserve"> for the majority of Article 5 countries</w:t>
      </w:r>
      <w:r w:rsidR="00A42A9C">
        <w:t xml:space="preserve">, </w:t>
      </w:r>
      <w:r w:rsidRPr="0034659D">
        <w:t xml:space="preserve">would be mainly used in the </w:t>
      </w:r>
      <w:r>
        <w:t xml:space="preserve">refrigeration servicing sector. Moreover, based on the survey of </w:t>
      </w:r>
      <w:r w:rsidR="0003620A">
        <w:t xml:space="preserve">ODS </w:t>
      </w:r>
      <w:r>
        <w:t>alternatives submitted by 119</w:t>
      </w:r>
      <w:r w:rsidR="0029767D">
        <w:t> </w:t>
      </w:r>
      <w:r>
        <w:t>Article</w:t>
      </w:r>
      <w:r w:rsidR="0029767D">
        <w:t> </w:t>
      </w:r>
      <w:r>
        <w:t xml:space="preserve">5 countries, it </w:t>
      </w:r>
      <w:r w:rsidR="0003620A">
        <w:t>is</w:t>
      </w:r>
      <w:r>
        <w:t xml:space="preserve"> expected that over 70 per cent of the consumption of HFCs in non-LVC countries and over 95 per cent </w:t>
      </w:r>
      <w:r w:rsidR="0003620A">
        <w:t xml:space="preserve">of consumption </w:t>
      </w:r>
      <w:r>
        <w:t xml:space="preserve">in LVC countries </w:t>
      </w:r>
      <w:r w:rsidR="0003620A">
        <w:t xml:space="preserve">will </w:t>
      </w:r>
      <w:r>
        <w:t>be used in the refrigeration servicing sector.</w:t>
      </w:r>
      <w:r>
        <w:rPr>
          <w:rStyle w:val="FootnoteReference"/>
        </w:rPr>
        <w:footnoteReference w:id="58"/>
      </w:r>
    </w:p>
    <w:p w14:paraId="333F5EEE" w14:textId="412B4E07" w:rsidR="00A42A9C" w:rsidRDefault="00F42B5C" w:rsidP="00DB0036">
      <w:pPr>
        <w:pStyle w:val="Heading1"/>
      </w:pPr>
      <w:r>
        <w:t>Therefore, the overlapping schedule of HCFC phase-out and HFC phase-down could represent an opportunity for Article 5 countries to plan comprehensive, cost-effective and longer-term strategies for their refrigeration servicing sector</w:t>
      </w:r>
      <w:r w:rsidR="00A568DB">
        <w:t>, taking into account the proper management of all the refrigerants being used</w:t>
      </w:r>
      <w:r w:rsidR="00DB0036">
        <w:t xml:space="preserve"> (</w:t>
      </w:r>
      <w:r w:rsidR="00DB0036" w:rsidRPr="00DB0036">
        <w:t>including both controlled and non-controlled alternatives</w:t>
      </w:r>
      <w:r w:rsidR="00DB0036">
        <w:t>)</w:t>
      </w:r>
      <w:r w:rsidR="00A568DB">
        <w:t xml:space="preserve">, and the need to </w:t>
      </w:r>
      <w:r>
        <w:t>strengthen relevant institutions and stakeholders</w:t>
      </w:r>
      <w:r w:rsidR="00A568DB">
        <w:t>,</w:t>
      </w:r>
      <w:r>
        <w:t xml:space="preserve"> ensur</w:t>
      </w:r>
      <w:r w:rsidR="00A568DB">
        <w:t>ing</w:t>
      </w:r>
      <w:r>
        <w:t xml:space="preserve"> a proper and sustained </w:t>
      </w:r>
      <w:r w:rsidR="00A568DB">
        <w:t xml:space="preserve">replacement of ozone depleting and/or high-GWP refrigerants by </w:t>
      </w:r>
      <w:r>
        <w:t xml:space="preserve">low-GWP </w:t>
      </w:r>
      <w:r w:rsidR="00A568DB">
        <w:t>refrigerants</w:t>
      </w:r>
      <w:r>
        <w:t xml:space="preserve">. This would entail a unique holistic overarching refrigerant management strategy for the servicing sector, </w:t>
      </w:r>
      <w:r w:rsidR="00A568DB">
        <w:t xml:space="preserve">strengthening and enhancing the infrastructure </w:t>
      </w:r>
      <w:r>
        <w:t>and institutions</w:t>
      </w:r>
      <w:r w:rsidR="00A568DB">
        <w:t xml:space="preserve"> in place</w:t>
      </w:r>
      <w:r w:rsidR="000054BD">
        <w:t xml:space="preserve">, as </w:t>
      </w:r>
      <w:r w:rsidR="00A568DB">
        <w:t xml:space="preserve">formalizing the </w:t>
      </w:r>
      <w:r>
        <w:t xml:space="preserve">refrigeration servicing sectors. </w:t>
      </w:r>
    </w:p>
    <w:p w14:paraId="2129A0F0" w14:textId="77777777" w:rsidR="00F42B5C" w:rsidRDefault="00F42B5C" w:rsidP="00CD1F0A">
      <w:pPr>
        <w:pStyle w:val="Heading1"/>
      </w:pPr>
      <w:r>
        <w:t>Specifically</w:t>
      </w:r>
      <w:r w:rsidR="000054BD">
        <w:t>:</w:t>
      </w:r>
    </w:p>
    <w:p w14:paraId="550FD950" w14:textId="35D0B483" w:rsidR="00F42B5C" w:rsidRDefault="00F42B5C" w:rsidP="00CD1F0A">
      <w:pPr>
        <w:pStyle w:val="Heading2"/>
      </w:pPr>
      <w:r>
        <w:t>Developing an overarching strategy for early staged introduction, adoption and/or optimization of low-GWP alternative technologies in the refrigeration sector in local markets prevailing in Article 5 countries, avoiding</w:t>
      </w:r>
      <w:r w:rsidR="007B337C">
        <w:t>, as feasible,</w:t>
      </w:r>
      <w:r>
        <w:t xml:space="preserve"> replacement of HCFC</w:t>
      </w:r>
      <w:r w:rsidR="0029767D">
        <w:noBreakHyphen/>
      </w:r>
      <w:r>
        <w:t xml:space="preserve">based technologies with high-GWP HFC-based technologies, thus reducing the </w:t>
      </w:r>
      <w:r w:rsidR="007B337C">
        <w:t>servic</w:t>
      </w:r>
      <w:r w:rsidR="00C357A0">
        <w:t>ing</w:t>
      </w:r>
      <w:r w:rsidR="007B337C">
        <w:t xml:space="preserve"> needs of high-GWP HFCs</w:t>
      </w:r>
      <w:r w:rsidR="00CD3E4D">
        <w:t>;</w:t>
      </w:r>
    </w:p>
    <w:p w14:paraId="47D37188" w14:textId="2B5FFA58" w:rsidR="007B337C" w:rsidRDefault="007B337C" w:rsidP="007B337C">
      <w:pPr>
        <w:pStyle w:val="Heading2"/>
      </w:pPr>
      <w:r>
        <w:t xml:space="preserve">Strengthening the introduction of relevant standards, codes and norms that facilitate the </w:t>
      </w:r>
      <w:r w:rsidR="00824F74">
        <w:t xml:space="preserve">safe </w:t>
      </w:r>
      <w:r w:rsidR="005B4D21">
        <w:t>adoption</w:t>
      </w:r>
      <w:r>
        <w:t>, operation and servicing of low-GWP based technologies/refrigerants;</w:t>
      </w:r>
    </w:p>
    <w:p w14:paraId="15B75AFB" w14:textId="26C53166" w:rsidR="007B337C" w:rsidRDefault="007B337C" w:rsidP="007B337C">
      <w:pPr>
        <w:pStyle w:val="Heading2"/>
      </w:pPr>
      <w:r>
        <w:t xml:space="preserve">Supporting the development of comprehensive regulatory frameworks for refrigerants management including, </w:t>
      </w:r>
      <w:r w:rsidR="00824F74">
        <w:t>among others,</w:t>
      </w:r>
      <w:r>
        <w:t xml:space="preserve"> certification of technicians, licensing of enterprises/workshops, labelling, record keeping, reporting, accessibility to sell/buy refrigerants, enforcement and monitoring tools</w:t>
      </w:r>
      <w:r w:rsidR="00C357A0">
        <w:t>,</w:t>
      </w:r>
      <w:r>
        <w:t xml:space="preserve"> </w:t>
      </w:r>
      <w:r w:rsidR="00C357A0">
        <w:t xml:space="preserve">and </w:t>
      </w:r>
      <w:r>
        <w:t>capacity building program</w:t>
      </w:r>
      <w:r w:rsidR="00C357A0">
        <w:t>me</w:t>
      </w:r>
      <w:r>
        <w:t>s for authorities and stakeholders;</w:t>
      </w:r>
      <w:r w:rsidR="00C357A0">
        <w:t xml:space="preserve"> and assess emerging needs and support enforcement mechanisms;</w:t>
      </w:r>
    </w:p>
    <w:p w14:paraId="05760BF1" w14:textId="63ECD2F5" w:rsidR="00F42B5C" w:rsidRDefault="00F42B5C" w:rsidP="00DB0036">
      <w:pPr>
        <w:pStyle w:val="Heading2"/>
      </w:pPr>
      <w:r>
        <w:t>Reviewing the curricula of the training programmes for customs and enforcement officers addressing the obligations under the Montreal Protocol including its Kigali Amendment;</w:t>
      </w:r>
      <w:r w:rsidR="00DB0036">
        <w:t xml:space="preserve"> </w:t>
      </w:r>
      <w:r w:rsidR="00DB0036" w:rsidRPr="00DB0036">
        <w:t xml:space="preserve">developing a core common curriculum </w:t>
      </w:r>
      <w:r w:rsidR="00DB0036">
        <w:t xml:space="preserve">and training programmes </w:t>
      </w:r>
      <w:r w:rsidR="00DB0036" w:rsidRPr="00DB0036">
        <w:t xml:space="preserve">that </w:t>
      </w:r>
      <w:r w:rsidR="00DB0036">
        <w:t xml:space="preserve">could be </w:t>
      </w:r>
      <w:r w:rsidR="00DB0036" w:rsidRPr="00DB0036">
        <w:t xml:space="preserve">used by all bilateral </w:t>
      </w:r>
      <w:r w:rsidR="00DB0036">
        <w:t>and implementing a</w:t>
      </w:r>
      <w:r w:rsidR="00DB0036" w:rsidRPr="00DB0036">
        <w:t>gencies</w:t>
      </w:r>
      <w:r w:rsidR="00DB0036">
        <w:t xml:space="preserve">, with </w:t>
      </w:r>
      <w:r w:rsidR="00DB0036" w:rsidRPr="00DB0036">
        <w:t>updat</w:t>
      </w:r>
      <w:r w:rsidR="00DB0036">
        <w:t xml:space="preserve">es </w:t>
      </w:r>
      <w:r w:rsidR="00DB0036" w:rsidRPr="00DB0036">
        <w:t xml:space="preserve">every </w:t>
      </w:r>
      <w:r w:rsidR="00DB0036">
        <w:t xml:space="preserve">two </w:t>
      </w:r>
      <w:r w:rsidR="00DB0036" w:rsidRPr="00DB0036">
        <w:t>years to reflect technology developments</w:t>
      </w:r>
      <w:r w:rsidR="00DB0036">
        <w:t>;</w:t>
      </w:r>
    </w:p>
    <w:p w14:paraId="1CB4D0A1" w14:textId="09FB7C62" w:rsidR="00F42B5C" w:rsidRDefault="00F42B5C" w:rsidP="00D243A0">
      <w:pPr>
        <w:pStyle w:val="Heading2"/>
      </w:pPr>
      <w:r>
        <w:t>Strengthening the capacity of the national vocational training system</w:t>
      </w:r>
      <w:r w:rsidR="007B30D3">
        <w:t xml:space="preserve"> and</w:t>
      </w:r>
      <w:r>
        <w:t xml:space="preserve"> national certification bodies</w:t>
      </w:r>
      <w:r w:rsidR="007B30D3">
        <w:t xml:space="preserve"> </w:t>
      </w:r>
      <w:r>
        <w:t xml:space="preserve">by reviewing the curricula of the training programmes for refrigeration technicians to address issues related to reducing the emission of refrigerants into the atmosphere, reducing energy consumption based on well-maintained and well-serviced equipment, and addressing </w:t>
      </w:r>
      <w:r w:rsidR="005B4D21">
        <w:t xml:space="preserve">safety </w:t>
      </w:r>
      <w:r>
        <w:t xml:space="preserve">issues related to flammability and/or toxicity of refrigerants being phased in; </w:t>
      </w:r>
    </w:p>
    <w:p w14:paraId="5FB46D2E" w14:textId="77777777" w:rsidR="00F42B5C" w:rsidRDefault="00F42B5C" w:rsidP="00E27275">
      <w:pPr>
        <w:pStyle w:val="Heading2"/>
      </w:pPr>
      <w:r>
        <w:t>Developing (or strengthening if in place) a robust self-sustained refrigerant containment strategy to ensure that currently installed equipment can continue operating until end</w:t>
      </w:r>
      <w:r w:rsidR="000054BD">
        <w:t>-</w:t>
      </w:r>
      <w:r>
        <w:t>of</w:t>
      </w:r>
      <w:r w:rsidR="000054BD">
        <w:t>-</w:t>
      </w:r>
      <w:r>
        <w:t>life</w:t>
      </w:r>
      <w:r w:rsidR="000E2E64">
        <w:t xml:space="preserve">, and considering </w:t>
      </w:r>
      <w:r>
        <w:t xml:space="preserve">, </w:t>
      </w:r>
      <w:r w:rsidR="000054BD">
        <w:rPr>
          <w:i/>
        </w:rPr>
        <w:t>inter alia</w:t>
      </w:r>
      <w:r>
        <w:t xml:space="preserve">: the capability of the equipment and ancillary </w:t>
      </w:r>
      <w:r w:rsidR="000054BD">
        <w:t xml:space="preserve">components </w:t>
      </w:r>
      <w:r>
        <w:t>(e.g., cylinders, refrigerant identifiers) to recover, recycle or reclaim both HCFCs and HFCs, including blends; the potential reuse of zeotropic blends</w:t>
      </w:r>
      <w:r w:rsidR="00202301">
        <w:t>,</w:t>
      </w:r>
      <w:r>
        <w:t xml:space="preserve"> as after leakages th</w:t>
      </w:r>
      <w:r w:rsidR="00202301">
        <w:t>o</w:t>
      </w:r>
      <w:r>
        <w:t>se blends could lose their original refrigerant composition; proper management of potential</w:t>
      </w:r>
      <w:r w:rsidR="00202301">
        <w:t>ly</w:t>
      </w:r>
      <w:r>
        <w:t xml:space="preserve"> increasing amounts of non-reusable gas </w:t>
      </w:r>
      <w:r w:rsidRPr="00B5592A">
        <w:t xml:space="preserve">recovered (due to a large amount of zeotropic blends in the market); an analysis of the benefits and challenges of recovering, recycling and reclaiming flammable refrigerants; and an assessment of the economic feasibility of </w:t>
      </w:r>
      <w:r w:rsidR="000054BD" w:rsidRPr="00B5592A">
        <w:t>recla</w:t>
      </w:r>
      <w:r w:rsidR="000054BD">
        <w:t>mation</w:t>
      </w:r>
      <w:r w:rsidR="000054BD" w:rsidRPr="00B5592A">
        <w:t xml:space="preserve"> </w:t>
      </w:r>
      <w:r w:rsidRPr="00B5592A">
        <w:t>facilities</w:t>
      </w:r>
      <w:r w:rsidR="00202301" w:rsidRPr="00B5592A">
        <w:t>, particularly for zeotropic blends and their components</w:t>
      </w:r>
      <w:r w:rsidRPr="00B5592A">
        <w:t>;</w:t>
      </w:r>
    </w:p>
    <w:p w14:paraId="27CD5C7F" w14:textId="77777777" w:rsidR="00264B7C" w:rsidRDefault="00F42B5C" w:rsidP="00820EE1">
      <w:pPr>
        <w:pStyle w:val="Heading2"/>
      </w:pPr>
      <w:r>
        <w:t>Strengthening the technical support to the assembly, installation and initial-charge subsector as it could influence the introduction of refrigeration technologies in Article 5 count</w:t>
      </w:r>
      <w:r w:rsidR="000054BD">
        <w:t>r</w:t>
      </w:r>
      <w:r>
        <w:t>ies;</w:t>
      </w:r>
      <w:r w:rsidR="000054BD">
        <w:t xml:space="preserve"> </w:t>
      </w:r>
    </w:p>
    <w:p w14:paraId="670BA3B5" w14:textId="618D99F2" w:rsidR="005B4D21" w:rsidRDefault="005B4D21" w:rsidP="005B4D21">
      <w:pPr>
        <w:pStyle w:val="Heading2"/>
      </w:pPr>
      <w:r>
        <w:t>Introduc</w:t>
      </w:r>
      <w:r w:rsidR="00C357A0">
        <w:t xml:space="preserve">ing </w:t>
      </w:r>
      <w:r>
        <w:t>monitoring and reporting tools that can measure impacts of activities and program</w:t>
      </w:r>
      <w:r w:rsidR="00C357A0">
        <w:t>me</w:t>
      </w:r>
      <w:r>
        <w:t>s in</w:t>
      </w:r>
      <w:r w:rsidR="00A33821">
        <w:t xml:space="preserve"> the servicing</w:t>
      </w:r>
      <w:r>
        <w:t xml:space="preserve"> sector; </w:t>
      </w:r>
    </w:p>
    <w:p w14:paraId="748165A7" w14:textId="5A595DC1" w:rsidR="005B4D21" w:rsidRDefault="00C357A0" w:rsidP="005B4D21">
      <w:pPr>
        <w:pStyle w:val="Heading2"/>
      </w:pPr>
      <w:r>
        <w:t xml:space="preserve">Assessing </w:t>
      </w:r>
      <w:r w:rsidR="005B4D21">
        <w:t xml:space="preserve">the long-term sustainability of activities </w:t>
      </w:r>
      <w:r w:rsidR="00974485">
        <w:t xml:space="preserve">implemented in the </w:t>
      </w:r>
      <w:r>
        <w:t xml:space="preserve">refrigeration servicing </w:t>
      </w:r>
      <w:r w:rsidR="00974485">
        <w:t xml:space="preserve">sector </w:t>
      </w:r>
      <w:r w:rsidR="005B4D21">
        <w:t>through business models and/or additional resources;</w:t>
      </w:r>
    </w:p>
    <w:p w14:paraId="0C62455D" w14:textId="4A8835F3" w:rsidR="00F42B5C" w:rsidRDefault="00C357A0" w:rsidP="00264B7C">
      <w:pPr>
        <w:pStyle w:val="Heading2"/>
      </w:pPr>
      <w:r>
        <w:t>S</w:t>
      </w:r>
      <w:r w:rsidR="00A40134">
        <w:t>trengthening refrigeration and air-conditioning associations</w:t>
      </w:r>
      <w:r>
        <w:t>,</w:t>
      </w:r>
      <w:r w:rsidR="00974485">
        <w:t xml:space="preserve"> </w:t>
      </w:r>
      <w:r w:rsidR="005B4D21" w:rsidRPr="005B4D21">
        <w:t>ensur</w:t>
      </w:r>
      <w:r>
        <w:t>ing</w:t>
      </w:r>
      <w:r w:rsidR="00974485">
        <w:t xml:space="preserve"> </w:t>
      </w:r>
      <w:r w:rsidR="005B4D21" w:rsidRPr="005B4D21">
        <w:t xml:space="preserve">their engagement in </w:t>
      </w:r>
      <w:r w:rsidR="00974485">
        <w:t xml:space="preserve">the </w:t>
      </w:r>
      <w:r w:rsidR="005B4D21" w:rsidRPr="005B4D21">
        <w:t>implementation of activities</w:t>
      </w:r>
      <w:r w:rsidR="00974485">
        <w:t xml:space="preserve"> and in </w:t>
      </w:r>
      <w:r w:rsidR="005B4D21" w:rsidRPr="005B4D21">
        <w:t>promoting sound practices in local markets</w:t>
      </w:r>
      <w:r w:rsidR="00A40134">
        <w:t xml:space="preserve">; </w:t>
      </w:r>
    </w:p>
    <w:p w14:paraId="526E818E" w14:textId="6B3958B9" w:rsidR="00824F74" w:rsidRDefault="00C357A0" w:rsidP="00824F74">
      <w:pPr>
        <w:pStyle w:val="Heading2"/>
      </w:pPr>
      <w:r>
        <w:t>D</w:t>
      </w:r>
      <w:r w:rsidR="00824F74">
        <w:t>evelop</w:t>
      </w:r>
      <w:r>
        <w:t xml:space="preserve">ing </w:t>
      </w:r>
      <w:r w:rsidR="00824F74">
        <w:t xml:space="preserve">database/directory for the servicing sector that include licensed and certified technicians, enterprises, training </w:t>
      </w:r>
      <w:r>
        <w:t>centres</w:t>
      </w:r>
      <w:r w:rsidR="00824F74">
        <w:t xml:space="preserve">, </w:t>
      </w:r>
      <w:r>
        <w:t xml:space="preserve">and </w:t>
      </w:r>
      <w:r w:rsidR="00824F74">
        <w:t>distributors of refrigerant and equipment;</w:t>
      </w:r>
      <w:r w:rsidR="00974485" w:rsidRPr="00974485">
        <w:t xml:space="preserve"> </w:t>
      </w:r>
      <w:r w:rsidR="00974485">
        <w:t>and</w:t>
      </w:r>
    </w:p>
    <w:p w14:paraId="310BB05E" w14:textId="772CC734" w:rsidR="00F42B5C" w:rsidRDefault="00C357A0" w:rsidP="008102F3">
      <w:pPr>
        <w:pStyle w:val="Heading2"/>
      </w:pPr>
      <w:r>
        <w:t xml:space="preserve">Utilizing </w:t>
      </w:r>
      <w:r w:rsidR="00F42B5C">
        <w:t xml:space="preserve">the global products developed by UNEP CAP and other international </w:t>
      </w:r>
      <w:r w:rsidR="00B5592A">
        <w:t>organizations listed in Annex III</w:t>
      </w:r>
      <w:r w:rsidR="00F42B5C">
        <w:t xml:space="preserve"> to assist the refrigeration servicing sector. </w:t>
      </w:r>
    </w:p>
    <w:p w14:paraId="2879C6BD" w14:textId="77777777" w:rsidR="00FB2392" w:rsidRPr="00FB2392" w:rsidRDefault="00FB2392" w:rsidP="00751285">
      <w:pPr>
        <w:rPr>
          <w:b/>
        </w:rPr>
      </w:pPr>
      <w:r w:rsidRPr="00FB2392">
        <w:rPr>
          <w:b/>
        </w:rPr>
        <w:t>Consideration</w:t>
      </w:r>
      <w:r w:rsidR="000054BD">
        <w:rPr>
          <w:b/>
        </w:rPr>
        <w:t>s</w:t>
      </w:r>
      <w:r w:rsidRPr="00FB2392">
        <w:rPr>
          <w:b/>
        </w:rPr>
        <w:t xml:space="preserve"> for funding HFC phase-down</w:t>
      </w:r>
    </w:p>
    <w:p w14:paraId="62CA0A2A" w14:textId="77777777" w:rsidR="00FB2392" w:rsidRPr="00751285" w:rsidRDefault="00FB2392" w:rsidP="00751285">
      <w:pPr>
        <w:rPr>
          <w:u w:val="single"/>
        </w:rPr>
      </w:pPr>
    </w:p>
    <w:p w14:paraId="7BF4CE5D" w14:textId="77777777" w:rsidR="00C54F6D" w:rsidRDefault="00C54F6D" w:rsidP="00CD1F0A">
      <w:pPr>
        <w:pStyle w:val="Heading1"/>
      </w:pPr>
      <w:r>
        <w:t>Up to the approval of the guidelines for the preparation of RMPs and the first group of RMP proposals at the 23</w:t>
      </w:r>
      <w:r w:rsidRPr="00DE788D">
        <w:rPr>
          <w:vertAlign w:val="superscript"/>
        </w:rPr>
        <w:t>rd</w:t>
      </w:r>
      <w:r>
        <w:t xml:space="preserve"> meeting, activities in the refrigeration servicing sector were approved as stand-alone projects and funded on a case-by-case basis taking into consideration </w:t>
      </w:r>
      <w:r w:rsidRPr="007D3885">
        <w:t>the prevailing circumstances at the country level, such as population size</w:t>
      </w:r>
      <w:r>
        <w:t xml:space="preserve"> and </w:t>
      </w:r>
      <w:r w:rsidRPr="007D3885">
        <w:t xml:space="preserve">geographical distribution of economic activities; </w:t>
      </w:r>
      <w:r>
        <w:t xml:space="preserve">level of </w:t>
      </w:r>
      <w:r w:rsidRPr="007D3885">
        <w:t xml:space="preserve">consumption </w:t>
      </w:r>
      <w:r>
        <w:t xml:space="preserve">of controlled substances in </w:t>
      </w:r>
      <w:r w:rsidRPr="007D3885">
        <w:t>refrigeration and air-conditioning systems in operation; the characteristics of the service workshops; and the technical skills of servicing technicians</w:t>
      </w:r>
      <w:r>
        <w:t xml:space="preserve">. </w:t>
      </w:r>
    </w:p>
    <w:p w14:paraId="799DAF35" w14:textId="77777777" w:rsidR="00C54F6D" w:rsidRPr="00162E04" w:rsidRDefault="00C54F6D" w:rsidP="00CD1F0A">
      <w:pPr>
        <w:pStyle w:val="Heading1"/>
      </w:pPr>
      <w:r>
        <w:t>RMP</w:t>
      </w:r>
      <w:r w:rsidR="00A13666">
        <w:t>s</w:t>
      </w:r>
      <w:r>
        <w:t xml:space="preserve"> constituted a multi-year phase-out plan </w:t>
      </w:r>
      <w:r w:rsidR="00A13666">
        <w:t xml:space="preserve">in which </w:t>
      </w:r>
      <w:r>
        <w:t xml:space="preserve">LVC countries committed to </w:t>
      </w:r>
      <w:r w:rsidR="00A13666">
        <w:t xml:space="preserve">achieving a </w:t>
      </w:r>
      <w:r>
        <w:t>50 per cent reduction of their CFC baseline for compliance by 2005, with the funding approved for them. At its 35</w:t>
      </w:r>
      <w:r w:rsidRPr="00A42A9C">
        <w:rPr>
          <w:vertAlign w:val="superscript"/>
        </w:rPr>
        <w:t>th</w:t>
      </w:r>
      <w:r>
        <w:t xml:space="preserve"> meeting (December 2001), the Executive Committee decided to provide LVC countries with additional funding to develop their RMP updates, calculated at 50 per cent of the funding provided for their RMPs </w:t>
      </w:r>
      <w:r w:rsidRPr="00A42A9C">
        <w:rPr>
          <w:lang w:val="en-CA"/>
        </w:rPr>
        <w:t>(decision 35/57</w:t>
      </w:r>
      <w:r>
        <w:t xml:space="preserve">), </w:t>
      </w:r>
      <w:r w:rsidR="00A13666">
        <w:t xml:space="preserve">for those LVC countries that committed </w:t>
      </w:r>
      <w:r>
        <w:t xml:space="preserve">to </w:t>
      </w:r>
      <w:r w:rsidR="00CF61D0">
        <w:t>achieving</w:t>
      </w:r>
      <w:r w:rsidR="00A13666">
        <w:t xml:space="preserve"> an </w:t>
      </w:r>
      <w:r>
        <w:t>85 per cent reduction of their CFC baseline for compliance by 2007. Subsequently, at the 45</w:t>
      </w:r>
      <w:r w:rsidRPr="00A42A9C">
        <w:rPr>
          <w:vertAlign w:val="superscript"/>
        </w:rPr>
        <w:t>th</w:t>
      </w:r>
      <w:r>
        <w:t xml:space="preserve"> meeting (April 2005), f</w:t>
      </w:r>
      <w:r w:rsidRPr="00A8366F">
        <w:t xml:space="preserve">urther assistance </w:t>
      </w:r>
      <w:r>
        <w:t xml:space="preserve">was provided for </w:t>
      </w:r>
      <w:r w:rsidRPr="00A8366F">
        <w:t>LVC countries</w:t>
      </w:r>
      <w:r>
        <w:t xml:space="preserve"> </w:t>
      </w:r>
      <w:r w:rsidRPr="00A8366F">
        <w:t xml:space="preserve">for the post-2007 period </w:t>
      </w:r>
      <w:r>
        <w:t xml:space="preserve">to achieve complete phase-out of CFCs through TPMP proposals. Funding for TPMPs was subject to the level of CFC consumption baseline </w:t>
      </w:r>
      <w:r w:rsidR="00A13666">
        <w:t>set out in</w:t>
      </w:r>
      <w:r>
        <w:t xml:space="preserve"> an agreed table.</w:t>
      </w:r>
      <w:r>
        <w:rPr>
          <w:rStyle w:val="FootnoteReference"/>
        </w:rPr>
        <w:footnoteReference w:id="59"/>
      </w:r>
      <w:r w:rsidR="00A42A9C">
        <w:t xml:space="preserve"> </w:t>
      </w:r>
      <w:r>
        <w:t xml:space="preserve">For the reduction in the CFC consumption in the refrigeration servicing sector, non-LVC </w:t>
      </w:r>
      <w:r w:rsidRPr="00162E04">
        <w:t xml:space="preserve">countries received assistance as part of their NPPs, based on a cost-effectiveness of US $5.00/kg. </w:t>
      </w:r>
    </w:p>
    <w:p w14:paraId="315773F9" w14:textId="77777777" w:rsidR="00C54F6D" w:rsidRPr="00162E04" w:rsidRDefault="00C54F6D" w:rsidP="00CD1F0A">
      <w:pPr>
        <w:pStyle w:val="Heading1"/>
      </w:pPr>
      <w:r w:rsidRPr="00162E04">
        <w:t xml:space="preserve">For the phase-out of HCFCs, activities in the refrigeration servicing sector were included in the HPMPs for both LVCs and non-LVCs. Funding for those activities were based on the experience gained during the implementation of RMPs, TPMPs and NPPs. For non-LVC countries, funding was approved at US $4.50/kg for stage I of HPMPs and US $4.80/kg for stage II of HPMPs, while for LVC countries funding was based on the level of HCFC consumption in the servicing sector as </w:t>
      </w:r>
      <w:r w:rsidR="00A42A9C" w:rsidRPr="00162E04">
        <w:t xml:space="preserve">shown in </w:t>
      </w:r>
      <w:r w:rsidRPr="00162E04">
        <w:t xml:space="preserve">Table </w:t>
      </w:r>
      <w:r w:rsidR="00A42A9C" w:rsidRPr="00162E04">
        <w:t>7</w:t>
      </w:r>
      <w:r w:rsidRPr="00162E04">
        <w:t>.</w:t>
      </w:r>
    </w:p>
    <w:p w14:paraId="0308EAB5" w14:textId="1B8406CE" w:rsidR="00C54F6D" w:rsidRPr="00FB234F" w:rsidRDefault="00C54F6D" w:rsidP="00C54F6D">
      <w:pPr>
        <w:rPr>
          <w:b/>
        </w:rPr>
      </w:pPr>
      <w:r w:rsidRPr="00FB234F">
        <w:rPr>
          <w:b/>
        </w:rPr>
        <w:t xml:space="preserve">Table </w:t>
      </w:r>
      <w:r w:rsidR="00A42A9C">
        <w:rPr>
          <w:b/>
        </w:rPr>
        <w:t>7</w:t>
      </w:r>
      <w:r w:rsidRPr="00FB234F">
        <w:rPr>
          <w:b/>
        </w:rPr>
        <w:t>. Level of funds approved to LVCs under HPMPs (stage II) (decision 74/50</w:t>
      </w:r>
      <w:r>
        <w:rPr>
          <w:b/>
        </w:rPr>
        <w:t>(c)(xii)</w:t>
      </w:r>
      <w:r w:rsidRPr="00FB234F">
        <w:rPr>
          <w:b/>
        </w:rPr>
        <w:t>)</w:t>
      </w:r>
    </w:p>
    <w:tbl>
      <w:tblPr>
        <w:tblW w:w="5000" w:type="pct"/>
        <w:tblInd w:w="-5" w:type="dxa"/>
        <w:tblLayout w:type="fixed"/>
        <w:tblLook w:val="04A0" w:firstRow="1" w:lastRow="0" w:firstColumn="1" w:lastColumn="0" w:noHBand="0" w:noVBand="1"/>
      </w:tblPr>
      <w:tblGrid>
        <w:gridCol w:w="2968"/>
        <w:gridCol w:w="2126"/>
        <w:gridCol w:w="2128"/>
        <w:gridCol w:w="2128"/>
      </w:tblGrid>
      <w:tr w:rsidR="00C54F6D" w:rsidRPr="00F91329" w14:paraId="3145D73C" w14:textId="77777777" w:rsidTr="00CD3E4D">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14:paraId="0820CDAA" w14:textId="77777777" w:rsidR="00C54F6D" w:rsidRPr="00CD3E4D" w:rsidRDefault="00C54F6D" w:rsidP="00CD3E4D">
            <w:pPr>
              <w:widowControl w:val="0"/>
              <w:jc w:val="center"/>
              <w:rPr>
                <w:b/>
                <w:color w:val="000000" w:themeColor="text1"/>
                <w:sz w:val="21"/>
                <w:szCs w:val="21"/>
              </w:rPr>
            </w:pPr>
            <w:r w:rsidRPr="00CD3E4D">
              <w:rPr>
                <w:b/>
                <w:color w:val="000000" w:themeColor="text1"/>
                <w:sz w:val="21"/>
                <w:szCs w:val="21"/>
              </w:rPr>
              <w:t>Consumption in the servicing sector</w:t>
            </w:r>
            <w:r w:rsidR="00CD3E4D" w:rsidRPr="00CD3E4D">
              <w:rPr>
                <w:b/>
                <w:color w:val="000000" w:themeColor="text1"/>
                <w:sz w:val="21"/>
                <w:szCs w:val="21"/>
              </w:rPr>
              <w:t xml:space="preserve"> </w:t>
            </w:r>
            <w:r w:rsidRPr="00CD3E4D">
              <w:rPr>
                <w:b/>
                <w:color w:val="000000" w:themeColor="text1"/>
                <w:sz w:val="21"/>
                <w:szCs w:val="21"/>
              </w:rPr>
              <w:t>(mt)</w:t>
            </w:r>
          </w:p>
        </w:tc>
        <w:tc>
          <w:tcPr>
            <w:tcW w:w="3413" w:type="pct"/>
            <w:gridSpan w:val="3"/>
            <w:tcBorders>
              <w:top w:val="single" w:sz="4" w:space="0" w:color="auto"/>
              <w:left w:val="nil"/>
              <w:bottom w:val="single" w:sz="4" w:space="0" w:color="auto"/>
              <w:right w:val="single" w:sz="4" w:space="0" w:color="auto"/>
            </w:tcBorders>
            <w:noWrap/>
            <w:vAlign w:val="center"/>
            <w:hideMark/>
          </w:tcPr>
          <w:p w14:paraId="6D7EB72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Maximum funding eligible (US $)</w:t>
            </w:r>
          </w:p>
        </w:tc>
      </w:tr>
      <w:tr w:rsidR="00C54F6D" w:rsidRPr="00F91329" w14:paraId="2779A189" w14:textId="77777777" w:rsidTr="00CD3E4D">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14:paraId="5F5EF5A2" w14:textId="77777777" w:rsidR="00C54F6D" w:rsidRPr="00CD3E4D" w:rsidRDefault="00C54F6D" w:rsidP="001A63FB">
            <w:pPr>
              <w:widowControl w:val="0"/>
              <w:jc w:val="left"/>
              <w:rPr>
                <w:b/>
                <w:color w:val="000000" w:themeColor="text1"/>
                <w:sz w:val="21"/>
                <w:szCs w:val="21"/>
              </w:rPr>
            </w:pPr>
          </w:p>
        </w:tc>
        <w:tc>
          <w:tcPr>
            <w:tcW w:w="1137" w:type="pct"/>
            <w:tcBorders>
              <w:top w:val="single" w:sz="4" w:space="0" w:color="auto"/>
              <w:left w:val="nil"/>
              <w:bottom w:val="single" w:sz="4" w:space="0" w:color="auto"/>
              <w:right w:val="single" w:sz="4" w:space="0" w:color="auto"/>
            </w:tcBorders>
            <w:noWrap/>
            <w:vAlign w:val="center"/>
            <w:hideMark/>
          </w:tcPr>
          <w:p w14:paraId="590223B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2020</w:t>
            </w:r>
          </w:p>
        </w:tc>
        <w:tc>
          <w:tcPr>
            <w:tcW w:w="1138" w:type="pct"/>
            <w:tcBorders>
              <w:top w:val="single" w:sz="4" w:space="0" w:color="auto"/>
              <w:left w:val="nil"/>
              <w:bottom w:val="single" w:sz="4" w:space="0" w:color="auto"/>
              <w:right w:val="single" w:sz="4" w:space="0" w:color="auto"/>
            </w:tcBorders>
            <w:noWrap/>
            <w:vAlign w:val="center"/>
            <w:hideMark/>
          </w:tcPr>
          <w:p w14:paraId="4220F17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2025</w:t>
            </w:r>
          </w:p>
        </w:tc>
        <w:tc>
          <w:tcPr>
            <w:tcW w:w="1138" w:type="pct"/>
            <w:tcBorders>
              <w:top w:val="single" w:sz="4" w:space="0" w:color="auto"/>
              <w:left w:val="nil"/>
              <w:bottom w:val="single" w:sz="4" w:space="0" w:color="auto"/>
              <w:right w:val="single" w:sz="4" w:space="0" w:color="auto"/>
            </w:tcBorders>
            <w:noWrap/>
            <w:vAlign w:val="center"/>
            <w:hideMark/>
          </w:tcPr>
          <w:p w14:paraId="04DCD8E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 xml:space="preserve">Total phase-out </w:t>
            </w:r>
          </w:p>
        </w:tc>
      </w:tr>
      <w:tr w:rsidR="00C54F6D" w:rsidRPr="00F91329" w14:paraId="6E4C7073"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036BE2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&gt;0 &lt;15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F2A3057"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205,625(*)</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08D66B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396,500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BA9DB3C"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587,500</w:t>
            </w:r>
          </w:p>
        </w:tc>
      </w:tr>
      <w:tr w:rsidR="00C54F6D" w:rsidRPr="00F91329" w14:paraId="5822E9AA"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582DC1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15 &lt;40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842695A"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262,500(**)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6D052FF"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506,250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10CEE6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750,000</w:t>
            </w:r>
          </w:p>
        </w:tc>
      </w:tr>
      <w:tr w:rsidR="00C54F6D" w:rsidRPr="00F91329" w14:paraId="4CF529E4"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E6B0F73"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40 &lt;80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3C8FCE"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A65DAA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540,000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822C9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800,000</w:t>
            </w:r>
          </w:p>
        </w:tc>
      </w:tr>
      <w:tr w:rsidR="00C54F6D" w:rsidRPr="00F91329" w14:paraId="47210F2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7455010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80 &lt;120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15EE71"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69512B"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607,500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135BE306"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900,000</w:t>
            </w:r>
          </w:p>
        </w:tc>
      </w:tr>
      <w:tr w:rsidR="00C54F6D" w:rsidRPr="00F91329" w14:paraId="5166866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5A4F514A"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120 &lt;160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FEE62F8"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332,500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7578AD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641,250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475AC7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950,000</w:t>
            </w:r>
          </w:p>
        </w:tc>
      </w:tr>
      <w:tr w:rsidR="00C54F6D" w:rsidRPr="00F91329" w14:paraId="57BFA39E"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53F2590"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160 &lt;200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290E0B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350,000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B0A0A20"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675,000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B333D3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1,000,000</w:t>
            </w:r>
          </w:p>
        </w:tc>
      </w:tr>
      <w:tr w:rsidR="00C54F6D" w:rsidRPr="00F91329" w14:paraId="42E447BF"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DF4D94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200 &lt;320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540AD25"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560,000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D3F465F"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F7B93DB"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1,600,000</w:t>
            </w:r>
          </w:p>
        </w:tc>
      </w:tr>
      <w:tr w:rsidR="00C54F6D" w:rsidRPr="00F91329" w14:paraId="1262D231"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AA148B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320 &lt;360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86FAEFC"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630,000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F98C1D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1,215,000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251ACE7"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1,800,000</w:t>
            </w:r>
          </w:p>
        </w:tc>
      </w:tr>
    </w:tbl>
    <w:p w14:paraId="74266516" w14:textId="77777777" w:rsidR="00C54F6D" w:rsidRDefault="00C54F6D" w:rsidP="00C54F6D">
      <w:pPr>
        <w:widowControl w:val="0"/>
        <w:rPr>
          <w:sz w:val="20"/>
        </w:rPr>
      </w:pPr>
      <w:r>
        <w:rPr>
          <w:sz w:val="20"/>
        </w:rPr>
        <w:t>(*) US $164,500 for stage I (decision 60/44) and increased for stage II in decision 74/50.</w:t>
      </w:r>
    </w:p>
    <w:p w14:paraId="0000F22F" w14:textId="77777777" w:rsidR="00C54F6D" w:rsidRDefault="00C54F6D" w:rsidP="00C54F6D">
      <w:pPr>
        <w:widowControl w:val="0"/>
        <w:rPr>
          <w:sz w:val="20"/>
        </w:rPr>
      </w:pPr>
      <w:r>
        <w:rPr>
          <w:sz w:val="20"/>
        </w:rPr>
        <w:t>(**)</w:t>
      </w:r>
      <w:r w:rsidR="00A477A5">
        <w:rPr>
          <w:sz w:val="20"/>
        </w:rPr>
        <w:t xml:space="preserve"> </w:t>
      </w:r>
      <w:r>
        <w:rPr>
          <w:sz w:val="20"/>
        </w:rPr>
        <w:t>US $210,000 for stage I (decision 60/44) and increased for stage II in decision 74/50.</w:t>
      </w:r>
    </w:p>
    <w:p w14:paraId="3F57ABD9" w14:textId="77777777" w:rsidR="00C54F6D" w:rsidRPr="008F3B6D" w:rsidRDefault="00C54F6D" w:rsidP="00C54F6D">
      <w:pPr>
        <w:widowControl w:val="0"/>
        <w:rPr>
          <w:sz w:val="20"/>
        </w:rPr>
      </w:pPr>
    </w:p>
    <w:p w14:paraId="21687535" w14:textId="77777777" w:rsidR="00C54F6D" w:rsidRPr="000E3B3A" w:rsidRDefault="00C54F6D" w:rsidP="00C54F6D">
      <w:pPr>
        <w:rPr>
          <w:u w:val="single"/>
        </w:rPr>
      </w:pPr>
      <w:r w:rsidRPr="000E3B3A">
        <w:rPr>
          <w:u w:val="single"/>
        </w:rPr>
        <w:t>Considerations to determine assistance for HFC phase-down</w:t>
      </w:r>
    </w:p>
    <w:p w14:paraId="3F653D8F" w14:textId="77777777" w:rsidR="00C54F6D" w:rsidRDefault="00C54F6D" w:rsidP="00C54F6D"/>
    <w:p w14:paraId="1216C4EF" w14:textId="054F32AF" w:rsidR="005B64DC" w:rsidRDefault="005B64DC" w:rsidP="00CD1F0A">
      <w:pPr>
        <w:pStyle w:val="Heading1"/>
      </w:pPr>
      <w:r>
        <w:t>As discussed in this document, a</w:t>
      </w:r>
      <w:r w:rsidRPr="007C7BBD">
        <w:t xml:space="preserve">ll the </w:t>
      </w:r>
      <w:r w:rsidRPr="00605665">
        <w:t>categories of costs eligible</w:t>
      </w:r>
      <w:r>
        <w:t xml:space="preserve"> for the servicing sector agreed by the Executive Committee </w:t>
      </w:r>
      <w:r w:rsidRPr="00605665">
        <w:t>and to</w:t>
      </w:r>
      <w:r>
        <w:t xml:space="preserve"> be </w:t>
      </w:r>
      <w:r w:rsidRPr="00605665">
        <w:t>include</w:t>
      </w:r>
      <w:r>
        <w:t>d</w:t>
      </w:r>
      <w:r w:rsidRPr="00605665">
        <w:t xml:space="preserve"> </w:t>
      </w:r>
      <w:r>
        <w:t>i</w:t>
      </w:r>
      <w:r w:rsidRPr="00605665">
        <w:t>n the cost calculation</w:t>
      </w:r>
      <w:r>
        <w:t xml:space="preserve"> for HFC phase</w:t>
      </w:r>
      <w:r w:rsidR="007D6EE7">
        <w:t>-</w:t>
      </w:r>
      <w:r>
        <w:t xml:space="preserve">down </w:t>
      </w:r>
      <w:r w:rsidRPr="007C7BBD">
        <w:t xml:space="preserve">have already been funded in the past as part of </w:t>
      </w:r>
      <w:r w:rsidR="007D6EE7">
        <w:t xml:space="preserve">assistance for </w:t>
      </w:r>
      <w:r w:rsidRPr="007C7BBD">
        <w:t>the refrigeration servicing sector</w:t>
      </w:r>
      <w:r>
        <w:t>. These categories are public</w:t>
      </w:r>
      <w:r w:rsidR="00C35527">
        <w:noBreakHyphen/>
      </w:r>
      <w:r>
        <w:t>awareness activities; policy development and implementation; certification programmes and training of technicians on safe handling, good practice</w:t>
      </w:r>
      <w:r w:rsidR="007D6EE7">
        <w:t>s</w:t>
      </w:r>
      <w:r>
        <w:t xml:space="preserve"> and safety in respect of alternatives, including training equipment; training of customs officers; prevention of illegal trade of HFCs; servicing tools; refrigerant testing equipment for the refrigeration and air-conditioning sector; and recycling and recovery of HFCs.</w:t>
      </w:r>
    </w:p>
    <w:p w14:paraId="0E8DB0BC" w14:textId="189C5018" w:rsidR="005B64DC" w:rsidRDefault="00AC3866" w:rsidP="00CD1F0A">
      <w:pPr>
        <w:pStyle w:val="Heading1"/>
      </w:pPr>
      <w:r>
        <w:t>Pr</w:t>
      </w:r>
      <w:r w:rsidR="005B64DC">
        <w:t>eliminary considerations to</w:t>
      </w:r>
      <w:r w:rsidR="005B64DC" w:rsidRPr="0013495B">
        <w:t xml:space="preserve"> determin</w:t>
      </w:r>
      <w:r w:rsidR="005B64DC">
        <w:t>e</w:t>
      </w:r>
      <w:r w:rsidR="005B64DC" w:rsidRPr="0013495B">
        <w:t xml:space="preserve"> the level </w:t>
      </w:r>
      <w:r w:rsidR="005B64DC">
        <w:t xml:space="preserve">and modality of </w:t>
      </w:r>
      <w:r w:rsidR="005B64DC" w:rsidRPr="0013495B">
        <w:t>funding required for HFC phase</w:t>
      </w:r>
      <w:r w:rsidR="00C35527">
        <w:noBreakHyphen/>
      </w:r>
      <w:r w:rsidR="005B64DC" w:rsidRPr="0013495B">
        <w:t>down in the refrigeration servicing sector</w:t>
      </w:r>
      <w:r w:rsidR="005B64DC">
        <w:t xml:space="preserve"> include:</w:t>
      </w:r>
    </w:p>
    <w:p w14:paraId="6CC1E0B4" w14:textId="37B598FD" w:rsidR="00AC3866" w:rsidRPr="00AC3866" w:rsidRDefault="00962935" w:rsidP="00CD1F0A">
      <w:pPr>
        <w:pStyle w:val="Heading2"/>
        <w:rPr>
          <w:lang w:val="en-CA"/>
        </w:rPr>
      </w:pPr>
      <w:r>
        <w:rPr>
          <w:lang w:val="en-CA"/>
        </w:rPr>
        <w:t xml:space="preserve">In line with paragraph 16 of decision XXVIII/2, </w:t>
      </w:r>
      <w:r w:rsidR="00AC3866">
        <w:rPr>
          <w:lang w:val="en-CA"/>
        </w:rPr>
        <w:t xml:space="preserve">whether to </w:t>
      </w:r>
      <w:r w:rsidR="00AC3866" w:rsidRPr="00AC3866">
        <w:rPr>
          <w:lang w:val="en-CA"/>
        </w:rPr>
        <w:t xml:space="preserve">increase in relation to the servicing sector the funding available under decision 74/50 </w:t>
      </w:r>
      <w:r w:rsidR="00A42A9C">
        <w:rPr>
          <w:lang w:val="en-CA"/>
        </w:rPr>
        <w:t xml:space="preserve">for LVC countries </w:t>
      </w:r>
      <w:r w:rsidR="00437A4C">
        <w:rPr>
          <w:lang w:val="en-CA"/>
        </w:rPr>
        <w:t xml:space="preserve">(Table 7) </w:t>
      </w:r>
      <w:r w:rsidR="00AC3866" w:rsidRPr="00AC3866">
        <w:rPr>
          <w:lang w:val="en-CA"/>
        </w:rPr>
        <w:t>when needed for the introduction of alternatives to HCFCs with low-</w:t>
      </w:r>
      <w:r w:rsidR="00A42A9C" w:rsidRPr="00AC3866">
        <w:rPr>
          <w:lang w:val="en-CA"/>
        </w:rPr>
        <w:t xml:space="preserve"> </w:t>
      </w:r>
      <w:r w:rsidR="00A42A9C">
        <w:rPr>
          <w:lang w:val="en-CA"/>
        </w:rPr>
        <w:t xml:space="preserve">and/or </w:t>
      </w:r>
      <w:r w:rsidR="00AC3866" w:rsidRPr="00AC3866">
        <w:rPr>
          <w:lang w:val="en-CA"/>
        </w:rPr>
        <w:t xml:space="preserve">zero-GWP </w:t>
      </w:r>
      <w:r w:rsidR="00A42A9C">
        <w:rPr>
          <w:lang w:val="en-CA"/>
        </w:rPr>
        <w:t xml:space="preserve">refrigerants </w:t>
      </w:r>
      <w:r w:rsidR="00AC3866" w:rsidRPr="00AC3866">
        <w:rPr>
          <w:lang w:val="en-CA"/>
        </w:rPr>
        <w:t>and maintaining energy efficiency in the servicin</w:t>
      </w:r>
      <w:r w:rsidR="00AC3866">
        <w:rPr>
          <w:lang w:val="en-CA"/>
        </w:rPr>
        <w:t>g/end-user sector</w:t>
      </w:r>
      <w:r w:rsidR="00AC3866" w:rsidRPr="00AC3866">
        <w:rPr>
          <w:lang w:val="en-CA"/>
        </w:rPr>
        <w:t xml:space="preserve">; </w:t>
      </w:r>
    </w:p>
    <w:p w14:paraId="64D6535F" w14:textId="77777777" w:rsidR="005B64DC" w:rsidRPr="0013495B" w:rsidRDefault="00962935" w:rsidP="00CD1F0A">
      <w:pPr>
        <w:pStyle w:val="Heading2"/>
        <w:rPr>
          <w:lang w:val="en-CA"/>
        </w:rPr>
      </w:pPr>
      <w:r>
        <w:rPr>
          <w:lang w:val="en-CA"/>
        </w:rPr>
        <w:t>In line with paragraph 23 of decision XXVIII/</w:t>
      </w:r>
      <w:r w:rsidR="00A42A9C">
        <w:rPr>
          <w:lang w:val="en-CA"/>
        </w:rPr>
        <w:t>2</w:t>
      </w:r>
      <w:r>
        <w:rPr>
          <w:lang w:val="en-CA"/>
        </w:rPr>
        <w:t xml:space="preserve">, </w:t>
      </w:r>
      <w:r w:rsidR="00A42A9C">
        <w:rPr>
          <w:lang w:val="en-CA"/>
        </w:rPr>
        <w:t xml:space="preserve">whether to consider </w:t>
      </w:r>
      <w:r>
        <w:rPr>
          <w:lang w:val="en-CA"/>
        </w:rPr>
        <w:t xml:space="preserve">early </w:t>
      </w:r>
      <w:r w:rsidR="00A42A9C">
        <w:rPr>
          <w:lang w:val="en-CA"/>
        </w:rPr>
        <w:t xml:space="preserve">approval of </w:t>
      </w:r>
      <w:r>
        <w:rPr>
          <w:lang w:val="en-CA"/>
        </w:rPr>
        <w:t>t</w:t>
      </w:r>
      <w:r w:rsidR="005B64DC" w:rsidRPr="0013495B">
        <w:rPr>
          <w:lang w:val="en-CA"/>
        </w:rPr>
        <w:t xml:space="preserve">echnical assistance and capacity building </w:t>
      </w:r>
      <w:r w:rsidR="00A42A9C">
        <w:rPr>
          <w:lang w:val="en-CA"/>
        </w:rPr>
        <w:t xml:space="preserve">to facilitate </w:t>
      </w:r>
      <w:r w:rsidR="005B64DC" w:rsidRPr="0013495B">
        <w:rPr>
          <w:lang w:val="en-CA"/>
        </w:rPr>
        <w:t xml:space="preserve">the </w:t>
      </w:r>
      <w:r w:rsidR="00AC3866">
        <w:rPr>
          <w:lang w:val="en-CA"/>
        </w:rPr>
        <w:t>safe adoption of low</w:t>
      </w:r>
      <w:r w:rsidR="00A42A9C">
        <w:rPr>
          <w:lang w:val="en-CA"/>
        </w:rPr>
        <w:t>-</w:t>
      </w:r>
      <w:r w:rsidR="00AC3866">
        <w:rPr>
          <w:lang w:val="en-CA"/>
        </w:rPr>
        <w:t xml:space="preserve"> and</w:t>
      </w:r>
      <w:r w:rsidR="00A42A9C">
        <w:rPr>
          <w:lang w:val="en-CA"/>
        </w:rPr>
        <w:t>/or</w:t>
      </w:r>
      <w:r w:rsidR="00AC3866">
        <w:rPr>
          <w:lang w:val="en-CA"/>
        </w:rPr>
        <w:t xml:space="preserve"> zero-</w:t>
      </w:r>
      <w:r w:rsidR="005B64DC" w:rsidRPr="0013495B">
        <w:rPr>
          <w:lang w:val="en-CA"/>
        </w:rPr>
        <w:t xml:space="preserve">GWP </w:t>
      </w:r>
      <w:r w:rsidR="00AC3866">
        <w:rPr>
          <w:lang w:val="en-CA"/>
        </w:rPr>
        <w:t>alternatives</w:t>
      </w:r>
      <w:r w:rsidR="00A42A9C">
        <w:rPr>
          <w:lang w:val="en-CA"/>
        </w:rPr>
        <w:t xml:space="preserve">; </w:t>
      </w:r>
    </w:p>
    <w:p w14:paraId="0D4958A1" w14:textId="77777777" w:rsidR="005B64DC" w:rsidRPr="006D7F4C" w:rsidRDefault="007E7758" w:rsidP="00CD1F0A">
      <w:pPr>
        <w:pStyle w:val="Heading2"/>
      </w:pPr>
      <w:r w:rsidRPr="006D7F4C">
        <w:t>The a</w:t>
      </w:r>
      <w:r w:rsidR="005B64DC" w:rsidRPr="006D7F4C">
        <w:t xml:space="preserve">dditional challenges </w:t>
      </w:r>
      <w:r w:rsidRPr="006D7F4C">
        <w:t xml:space="preserve">that have been summarized </w:t>
      </w:r>
      <w:r w:rsidR="005B64DC" w:rsidRPr="006D7F4C">
        <w:t>in th</w:t>
      </w:r>
      <w:r w:rsidRPr="006D7F4C">
        <w:t>e present</w:t>
      </w:r>
      <w:r w:rsidR="005B64DC" w:rsidRPr="006D7F4C">
        <w:t xml:space="preserve"> document</w:t>
      </w:r>
      <w:r w:rsidR="0064419B" w:rsidRPr="006D7F4C">
        <w:t>,</w:t>
      </w:r>
      <w:r w:rsidR="005B64DC" w:rsidRPr="006D7F4C">
        <w:t xml:space="preserve"> as well as the synergies from implementing activities that benefit both HCFC </w:t>
      </w:r>
      <w:r w:rsidR="0064419B" w:rsidRPr="006D7F4C">
        <w:t>phase-</w:t>
      </w:r>
      <w:r w:rsidR="005B64DC" w:rsidRPr="006D7F4C">
        <w:t xml:space="preserve">out and HFC </w:t>
      </w:r>
      <w:r w:rsidR="0064419B" w:rsidRPr="006D7F4C">
        <w:t>phase-</w:t>
      </w:r>
      <w:r w:rsidR="005B64DC" w:rsidRPr="006D7F4C">
        <w:t xml:space="preserve">down, </w:t>
      </w:r>
      <w:r w:rsidRPr="006D7F4C">
        <w:t xml:space="preserve">taking into consideration the </w:t>
      </w:r>
      <w:r w:rsidR="005B64DC" w:rsidRPr="006D7F4C">
        <w:t xml:space="preserve">funding </w:t>
      </w:r>
      <w:r w:rsidRPr="006D7F4C">
        <w:t xml:space="preserve">levels </w:t>
      </w:r>
      <w:r w:rsidR="005B64DC" w:rsidRPr="006D7F4C">
        <w:t>to ensure compliance with the phase-down steps, rather than a spec</w:t>
      </w:r>
      <w:r w:rsidR="00DC4210" w:rsidRPr="006D7F4C">
        <w:t>ific tonnage to be phased out. Such an approach would allow Article 5 countries flexibility to allocate funding to strategic priorities based on their consumption (e.g., support introduction of specific technologies in specific sectors, address assemblers, prioritize speci</w:t>
      </w:r>
      <w:r w:rsidR="008640AA" w:rsidRPr="006D7F4C">
        <w:t>fic refrigerants to phase</w:t>
      </w:r>
      <w:r w:rsidR="00EC504C">
        <w:t xml:space="preserve"> </w:t>
      </w:r>
      <w:r w:rsidR="008640AA" w:rsidRPr="006D7F4C">
        <w:t>down); and</w:t>
      </w:r>
      <w:r w:rsidR="00DC4210" w:rsidRPr="006D7F4C">
        <w:t xml:space="preserve"> </w:t>
      </w:r>
    </w:p>
    <w:p w14:paraId="51D9C84B" w14:textId="77777777" w:rsidR="005B64DC" w:rsidRDefault="007E7758" w:rsidP="00CD1F0A">
      <w:pPr>
        <w:pStyle w:val="Heading2"/>
      </w:pPr>
      <w:r w:rsidRPr="006D7F4C">
        <w:t xml:space="preserve">Whether to consider </w:t>
      </w:r>
      <w:r w:rsidR="005B64DC" w:rsidRPr="006D7F4C">
        <w:t xml:space="preserve">energy efficiency and </w:t>
      </w:r>
      <w:r w:rsidR="00EC504C">
        <w:t xml:space="preserve">the </w:t>
      </w:r>
      <w:r w:rsidR="005B64DC" w:rsidRPr="006D7F4C">
        <w:t>disposal of unwanted refrigerants</w:t>
      </w:r>
      <w:r w:rsidR="005B64DC">
        <w:t xml:space="preserve"> separately under the HFC cost guidelines.</w:t>
      </w:r>
    </w:p>
    <w:p w14:paraId="2AE5BABE" w14:textId="77777777" w:rsidR="005B64DC" w:rsidRPr="008640AA" w:rsidRDefault="00246DEE" w:rsidP="007C1AAC">
      <w:pPr>
        <w:rPr>
          <w:b/>
          <w:lang w:val="en-CA"/>
        </w:rPr>
      </w:pPr>
      <w:r w:rsidRPr="008640AA">
        <w:rPr>
          <w:b/>
          <w:lang w:val="en-CA"/>
        </w:rPr>
        <w:t xml:space="preserve">V. </w:t>
      </w:r>
      <w:r w:rsidR="008640AA">
        <w:rPr>
          <w:b/>
          <w:lang w:val="en-CA"/>
        </w:rPr>
        <w:tab/>
      </w:r>
      <w:r w:rsidRPr="008640AA">
        <w:rPr>
          <w:b/>
          <w:lang w:val="en-CA"/>
        </w:rPr>
        <w:t>RECOMMENDATION</w:t>
      </w:r>
    </w:p>
    <w:p w14:paraId="4A39C82A" w14:textId="77777777" w:rsidR="005B64DC" w:rsidRPr="00CA3991" w:rsidRDefault="005B64DC" w:rsidP="005B64DC">
      <w:pPr>
        <w:rPr>
          <w:lang w:val="en-CA"/>
        </w:rPr>
      </w:pPr>
    </w:p>
    <w:p w14:paraId="25C0D57E" w14:textId="77777777" w:rsidR="005B64DC" w:rsidRDefault="005B64DC" w:rsidP="00CD1F0A">
      <w:pPr>
        <w:pStyle w:val="Heading1"/>
        <w:rPr>
          <w:lang w:val="en-CA"/>
        </w:rPr>
      </w:pPr>
      <w:r>
        <w:rPr>
          <w:lang w:val="en-CA"/>
        </w:rPr>
        <w:t>The Executive Committee may wish:</w:t>
      </w:r>
    </w:p>
    <w:p w14:paraId="71CAFB44" w14:textId="34F49294" w:rsidR="005B64DC" w:rsidRDefault="005B64DC" w:rsidP="00CD1F0A">
      <w:pPr>
        <w:pStyle w:val="Heading2"/>
        <w:rPr>
          <w:lang w:val="en-CA"/>
        </w:rPr>
      </w:pPr>
      <w:r>
        <w:rPr>
          <w:lang w:val="en-CA"/>
        </w:rPr>
        <w:t xml:space="preserve">To note the </w:t>
      </w:r>
      <w:r w:rsidRPr="00D73EA7">
        <w:rPr>
          <w:lang w:val="en-CA"/>
        </w:rPr>
        <w:t xml:space="preserve">preliminary document </w:t>
      </w:r>
      <w:r>
        <w:rPr>
          <w:lang w:val="en-CA"/>
        </w:rPr>
        <w:t>UNEP/OzL.Pro/ExCom/82/</w:t>
      </w:r>
      <w:r w:rsidR="0029767D">
        <w:rPr>
          <w:lang w:val="en-CA"/>
        </w:rPr>
        <w:t>64</w:t>
      </w:r>
      <w:r>
        <w:rPr>
          <w:lang w:val="en-CA"/>
        </w:rPr>
        <w:t xml:space="preserve"> </w:t>
      </w:r>
      <w:r w:rsidRPr="00D73EA7">
        <w:rPr>
          <w:lang w:val="en-CA"/>
        </w:rPr>
        <w:t xml:space="preserve">on all aspects related to the refrigeration servicing sector </w:t>
      </w:r>
      <w:r>
        <w:rPr>
          <w:lang w:val="en-CA"/>
        </w:rPr>
        <w:t>that support the HFC phase-down;</w:t>
      </w:r>
      <w:r w:rsidR="00EC504C">
        <w:rPr>
          <w:lang w:val="en-CA"/>
        </w:rPr>
        <w:t xml:space="preserve"> and</w:t>
      </w:r>
    </w:p>
    <w:p w14:paraId="13165E43" w14:textId="77777777" w:rsidR="005B64DC" w:rsidRPr="00CA3991" w:rsidRDefault="005B64DC" w:rsidP="00CD1F0A">
      <w:pPr>
        <w:pStyle w:val="Heading2"/>
        <w:rPr>
          <w:lang w:val="en-CA"/>
        </w:rPr>
      </w:pPr>
      <w:r>
        <w:rPr>
          <w:lang w:val="en-CA"/>
        </w:rPr>
        <w:t>T</w:t>
      </w:r>
      <w:r w:rsidR="00A65434">
        <w:rPr>
          <w:lang w:val="en-CA"/>
        </w:rPr>
        <w:t>o t</w:t>
      </w:r>
      <w:r>
        <w:rPr>
          <w:lang w:val="en-CA"/>
        </w:rPr>
        <w:t>ake into consideration the document in determining the level and modality of assistance required to phase down HFC in the refrigeration servicing sector.</w:t>
      </w:r>
    </w:p>
    <w:p w14:paraId="5C2ADBDF" w14:textId="77777777" w:rsidR="00F46115" w:rsidRDefault="001C3BF4">
      <w:pPr>
        <w:jc w:val="left"/>
        <w:sectPr w:rsidR="00F46115" w:rsidSect="00160F9F">
          <w:headerReference w:type="even" r:id="rId12"/>
          <w:headerReference w:type="default" r:id="rId13"/>
          <w:footerReference w:type="even" r:id="rId14"/>
          <w:footerReference w:type="default" r:id="rId15"/>
          <w:footerReference w:type="first" r:id="rId16"/>
          <w:pgSz w:w="12240" w:h="15840" w:code="1"/>
          <w:pgMar w:top="568" w:right="1440" w:bottom="1276" w:left="1440" w:header="720" w:footer="475" w:gutter="0"/>
          <w:cols w:space="720"/>
          <w:titlePg/>
        </w:sectPr>
      </w:pPr>
      <w:r>
        <w:br w:type="page"/>
      </w:r>
    </w:p>
    <w:p w14:paraId="7E099234" w14:textId="09C6C6BB" w:rsidR="00192E3D" w:rsidRDefault="00192E3D" w:rsidP="00B44FB0">
      <w:pPr>
        <w:jc w:val="center"/>
        <w:rPr>
          <w:b/>
        </w:rPr>
      </w:pPr>
      <w:r w:rsidRPr="000B0E6A">
        <w:rPr>
          <w:b/>
        </w:rPr>
        <w:t>A</w:t>
      </w:r>
      <w:r>
        <w:rPr>
          <w:b/>
        </w:rPr>
        <w:t>nnex</w:t>
      </w:r>
      <w:r w:rsidRPr="000B0E6A">
        <w:rPr>
          <w:b/>
        </w:rPr>
        <w:t xml:space="preserve"> I</w:t>
      </w:r>
    </w:p>
    <w:p w14:paraId="29C2BCB1" w14:textId="77777777" w:rsidR="00603C4E" w:rsidRPr="000B0E6A" w:rsidRDefault="00603C4E" w:rsidP="00B44FB0">
      <w:pPr>
        <w:jc w:val="center"/>
        <w:rPr>
          <w:b/>
        </w:rPr>
      </w:pPr>
    </w:p>
    <w:p w14:paraId="503ADF5C" w14:textId="77777777" w:rsidR="00192E3D" w:rsidRPr="000B0E6A" w:rsidRDefault="00192E3D" w:rsidP="00B44FB0">
      <w:pPr>
        <w:spacing w:after="240"/>
        <w:jc w:val="center"/>
        <w:rPr>
          <w:b/>
        </w:rPr>
      </w:pPr>
      <w:r>
        <w:rPr>
          <w:b/>
        </w:rPr>
        <w:t>RELEVANT D</w:t>
      </w:r>
      <w:r w:rsidRPr="000B0E6A">
        <w:rPr>
          <w:b/>
        </w:rPr>
        <w:t xml:space="preserve">ECISIONS </w:t>
      </w:r>
      <w:r>
        <w:rPr>
          <w:b/>
        </w:rPr>
        <w:t>RELATED TO THE REFRIGERATION SERVICING SECTOR ADOPTED BY THE E</w:t>
      </w:r>
      <w:r w:rsidRPr="000B0E6A">
        <w:rPr>
          <w:b/>
        </w:rPr>
        <w:t xml:space="preserve">XECUTIVE COMMITTEE AND </w:t>
      </w:r>
      <w:r>
        <w:rPr>
          <w:b/>
        </w:rPr>
        <w:t>T</w:t>
      </w:r>
      <w:r w:rsidRPr="000B0E6A">
        <w:rPr>
          <w:b/>
        </w:rPr>
        <w:t>HE PARTIES</w:t>
      </w:r>
      <w:r>
        <w:rPr>
          <w:b/>
        </w:rPr>
        <w:t xml:space="preserve"> TO THE MONTREAL PROTOCOL</w:t>
      </w:r>
    </w:p>
    <w:tbl>
      <w:tblPr>
        <w:tblW w:w="5033" w:type="pct"/>
        <w:tblLayout w:type="fixed"/>
        <w:tblLook w:val="06A0" w:firstRow="1" w:lastRow="0" w:firstColumn="1" w:lastColumn="0" w:noHBand="1" w:noVBand="1"/>
      </w:tblPr>
      <w:tblGrid>
        <w:gridCol w:w="1317"/>
        <w:gridCol w:w="1795"/>
        <w:gridCol w:w="11228"/>
      </w:tblGrid>
      <w:tr w:rsidR="00192E3D" w:rsidRPr="00B22ECC" w14:paraId="61E77E2F" w14:textId="77777777" w:rsidTr="00B44FB0">
        <w:trPr>
          <w:tblHeader/>
        </w:trPr>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799AB" w14:textId="77777777" w:rsidR="00192E3D" w:rsidRPr="002A5DA8" w:rsidRDefault="00192E3D" w:rsidP="00E8096F">
            <w:pPr>
              <w:contextualSpacing/>
              <w:jc w:val="center"/>
              <w:rPr>
                <w:b/>
                <w:bCs/>
                <w:color w:val="000000"/>
                <w:sz w:val="18"/>
                <w:szCs w:val="18"/>
                <w:lang w:eastAsia="en-CA"/>
              </w:rPr>
            </w:pPr>
            <w:r w:rsidRPr="002A5DA8">
              <w:rPr>
                <w:b/>
                <w:bCs/>
                <w:color w:val="000000"/>
                <w:sz w:val="18"/>
                <w:szCs w:val="18"/>
                <w:lang w:eastAsia="en-CA"/>
              </w:rPr>
              <w:t xml:space="preserve">Decision </w:t>
            </w:r>
            <w:r>
              <w:rPr>
                <w:b/>
                <w:bCs/>
                <w:color w:val="000000"/>
                <w:sz w:val="18"/>
                <w:szCs w:val="18"/>
                <w:lang w:eastAsia="en-CA"/>
              </w:rPr>
              <w:t>N</w:t>
            </w:r>
            <w:r w:rsidRPr="002A5DA8">
              <w:rPr>
                <w:b/>
                <w:bCs/>
                <w:color w:val="000000"/>
                <w:sz w:val="18"/>
                <w:szCs w:val="18"/>
                <w:lang w:eastAsia="en-CA"/>
              </w:rPr>
              <w:t>umber</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3BEF3FBD" w14:textId="77777777" w:rsidR="00192E3D" w:rsidRDefault="00192E3D" w:rsidP="00E8096F">
            <w:pPr>
              <w:contextualSpacing/>
              <w:jc w:val="center"/>
              <w:rPr>
                <w:b/>
                <w:bCs/>
                <w:color w:val="000000"/>
                <w:sz w:val="18"/>
                <w:szCs w:val="18"/>
                <w:lang w:eastAsia="en-CA"/>
              </w:rPr>
            </w:pPr>
            <w:r w:rsidRPr="002A5DA8">
              <w:rPr>
                <w:b/>
                <w:bCs/>
                <w:color w:val="000000"/>
                <w:sz w:val="18"/>
                <w:szCs w:val="18"/>
                <w:lang w:eastAsia="en-CA"/>
              </w:rPr>
              <w:t>Sector/</w:t>
            </w:r>
          </w:p>
          <w:p w14:paraId="646D10FF" w14:textId="77777777" w:rsidR="00192E3D" w:rsidRPr="002A5DA8" w:rsidRDefault="00192E3D" w:rsidP="00E8096F">
            <w:pPr>
              <w:contextualSpacing/>
              <w:jc w:val="center"/>
              <w:rPr>
                <w:b/>
                <w:bCs/>
                <w:color w:val="000000"/>
                <w:sz w:val="18"/>
                <w:szCs w:val="18"/>
                <w:lang w:eastAsia="en-CA"/>
              </w:rPr>
            </w:pPr>
            <w:r>
              <w:rPr>
                <w:b/>
                <w:bCs/>
                <w:color w:val="000000"/>
                <w:sz w:val="18"/>
                <w:szCs w:val="18"/>
                <w:lang w:eastAsia="en-CA"/>
              </w:rPr>
              <w:t>Sub-sector/T</w:t>
            </w:r>
            <w:r w:rsidRPr="002A5DA8">
              <w:rPr>
                <w:b/>
                <w:bCs/>
                <w:color w:val="000000"/>
                <w:sz w:val="18"/>
                <w:szCs w:val="18"/>
                <w:lang w:eastAsia="en-CA"/>
              </w:rPr>
              <w:t>itle</w:t>
            </w:r>
          </w:p>
        </w:tc>
        <w:tc>
          <w:tcPr>
            <w:tcW w:w="3915" w:type="pct"/>
            <w:tcBorders>
              <w:top w:val="single" w:sz="4" w:space="0" w:color="auto"/>
              <w:left w:val="nil"/>
              <w:bottom w:val="single" w:sz="4" w:space="0" w:color="auto"/>
              <w:right w:val="single" w:sz="4" w:space="0" w:color="auto"/>
            </w:tcBorders>
            <w:shd w:val="clear" w:color="auto" w:fill="auto"/>
            <w:vAlign w:val="center"/>
            <w:hideMark/>
          </w:tcPr>
          <w:p w14:paraId="4731F096" w14:textId="77777777" w:rsidR="00192E3D" w:rsidRPr="00B22ECC" w:rsidRDefault="00192E3D" w:rsidP="00B44FB0">
            <w:pPr>
              <w:contextualSpacing/>
              <w:jc w:val="center"/>
              <w:rPr>
                <w:b/>
                <w:bCs/>
                <w:color w:val="000000"/>
                <w:sz w:val="18"/>
                <w:szCs w:val="18"/>
                <w:lang w:eastAsia="en-CA"/>
              </w:rPr>
            </w:pPr>
            <w:r w:rsidRPr="00B22ECC">
              <w:rPr>
                <w:b/>
                <w:bCs/>
                <w:color w:val="000000"/>
                <w:sz w:val="18"/>
                <w:szCs w:val="18"/>
                <w:lang w:eastAsia="en-CA"/>
              </w:rPr>
              <w:t xml:space="preserve">Decision </w:t>
            </w:r>
            <w:r>
              <w:rPr>
                <w:b/>
                <w:bCs/>
                <w:color w:val="000000"/>
                <w:sz w:val="18"/>
                <w:szCs w:val="18"/>
                <w:lang w:eastAsia="en-CA"/>
              </w:rPr>
              <w:t>T</w:t>
            </w:r>
            <w:r w:rsidRPr="00B22ECC">
              <w:rPr>
                <w:b/>
                <w:bCs/>
                <w:color w:val="000000"/>
                <w:sz w:val="18"/>
                <w:szCs w:val="18"/>
                <w:lang w:eastAsia="en-CA"/>
              </w:rPr>
              <w:t>ext</w:t>
            </w:r>
          </w:p>
        </w:tc>
      </w:tr>
      <w:tr w:rsidR="00192E3D" w:rsidRPr="00B22ECC" w14:paraId="42308ED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E0CD2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(Annex v)</w:t>
            </w:r>
          </w:p>
        </w:tc>
        <w:tc>
          <w:tcPr>
            <w:tcW w:w="626" w:type="pct"/>
            <w:tcBorders>
              <w:top w:val="nil"/>
              <w:left w:val="nil"/>
              <w:bottom w:val="single" w:sz="4" w:space="0" w:color="auto"/>
              <w:right w:val="single" w:sz="4" w:space="0" w:color="auto"/>
            </w:tcBorders>
            <w:shd w:val="clear" w:color="auto" w:fill="auto"/>
            <w:vAlign w:val="center"/>
            <w:hideMark/>
          </w:tcPr>
          <w:p w14:paraId="332B49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EB288A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7181A7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BE475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667777E1" w14:textId="222D0822" w:rsidR="00192E3D" w:rsidRPr="002A5DA8" w:rsidRDefault="00192E3D" w:rsidP="00192E3D">
            <w:pPr>
              <w:contextualSpacing/>
              <w:jc w:val="left"/>
              <w:rPr>
                <w:color w:val="000000"/>
                <w:sz w:val="18"/>
                <w:szCs w:val="18"/>
                <w:lang w:eastAsia="en-CA"/>
              </w:rPr>
            </w:pPr>
            <w:r>
              <w:rPr>
                <w:color w:val="000000"/>
                <w:sz w:val="18"/>
                <w:szCs w:val="18"/>
                <w:lang w:eastAsia="en-CA"/>
              </w:rPr>
              <w:t>Mobile air</w:t>
            </w:r>
            <w:r>
              <w:rPr>
                <w:color w:val="000000"/>
                <w:sz w:val="18"/>
                <w:szCs w:val="18"/>
                <w:lang w:eastAsia="en-CA"/>
              </w:rPr>
              <w:noBreakHyphen/>
            </w:r>
            <w:r w:rsidRPr="002A5DA8">
              <w:rPr>
                <w:color w:val="000000"/>
                <w:sz w:val="18"/>
                <w:szCs w:val="18"/>
                <w:lang w:eastAsia="en-CA"/>
              </w:rPr>
              <w:t>conditioning (MAC)</w:t>
            </w:r>
          </w:p>
        </w:tc>
        <w:tc>
          <w:tcPr>
            <w:tcW w:w="3915" w:type="pct"/>
            <w:tcBorders>
              <w:top w:val="nil"/>
              <w:left w:val="nil"/>
              <w:bottom w:val="single" w:sz="4" w:space="0" w:color="auto"/>
              <w:right w:val="single" w:sz="4" w:space="0" w:color="auto"/>
            </w:tcBorders>
            <w:shd w:val="clear" w:color="auto" w:fill="auto"/>
            <w:vAlign w:val="center"/>
            <w:hideMark/>
          </w:tcPr>
          <w:p w14:paraId="103EDFB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mobile air conditioners (MAC) project proposals: (a) that Article 5 countries be encouraged to pursue a more aggressive recycling and reclamation programme in the MAC sector, and to convert their CFC-12 MAC production plants to HFC-134a technology for new vehicles. Implementing agencies should be requested to intensify their efforts in the implementation of investment projects and technical assistance activities already approved by the Executive Committee and to prepare new investment projects in those areas. (b) that Article 5 countries be encouraged to develop and adopt regulatory measures for better containment and recycling and conversion of MAC manufacturing to HFC-134a technology. Implementing agencies should provide the necessary assistance in transferring the available knowledge and experience for this particular area within their technical assistance activities. (c) that approval of projects in MAC retrofitting be delayed until the retrofitting technology is proven cost-effective and is adequately mature to be transferred to Article 5 countries. The Executive Committee may wish to request the Secretariat to follow closely the progress in the development of retrofitting technology in the developed countries and to report to the Executive Committee on the state-of-the-art situation. (d) that the Executive Committee should encourage Article 5 countries to adopt necessary measures to regulate import of vehicles with CFC-12 based MACs. The Executive Committee further recommended that in countries where specific data were not available, appropriate pilot studies should be supported by the Fund when presented to facilitate making a cost-effective choice. Such studies should only be undertaken if they were cost-effective. </w:t>
            </w:r>
          </w:p>
        </w:tc>
      </w:tr>
      <w:tr w:rsidR="00192E3D" w:rsidRPr="00B22ECC" w14:paraId="4430AF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2BBEB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12th 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0E3ABE3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Chillers</w:t>
            </w:r>
          </w:p>
        </w:tc>
        <w:tc>
          <w:tcPr>
            <w:tcW w:w="3915" w:type="pct"/>
            <w:tcBorders>
              <w:top w:val="nil"/>
              <w:left w:val="nil"/>
              <w:bottom w:val="single" w:sz="4" w:space="0" w:color="auto"/>
              <w:right w:val="single" w:sz="4" w:space="0" w:color="auto"/>
            </w:tcBorders>
            <w:shd w:val="clear" w:color="auto" w:fill="auto"/>
            <w:vAlign w:val="center"/>
            <w:hideMark/>
          </w:tcPr>
          <w:p w14:paraId="7E9F66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chiller project proposals: (a) that consideration be given to the Total Equivalent Warming Impact (TEWI) in selecting alternative technology in the chiller sector, which would include both direct effects (refrigerant global warming potential) and indirect effects (system energy efficiency), and to human health and safety aspects. (b) that the Executive Committee approves refrigerant containment and better operation and maintenance practices, including recovery/recycling/reclamation as a strategic option in ODS phase-out in the chiller sector in Article 5 countries. Article 5 countries should be encouraged to pursue a more aggressive refrigerant containment programme, including recovery/recycling/reclamation. The Implementing Agencies should be requested to intensify their efforts in formulation of new investment projects in this area. </w:t>
            </w:r>
            <w:r w:rsidRPr="00B22ECC">
              <w:rPr>
                <w:b/>
                <w:bCs/>
                <w:color w:val="000000"/>
                <w:sz w:val="18"/>
                <w:szCs w:val="18"/>
                <w:lang w:eastAsia="en-CA"/>
              </w:rPr>
              <w:t>(c)</w:t>
            </w:r>
            <w:r w:rsidRPr="00B22ECC">
              <w:rPr>
                <w:color w:val="000000"/>
                <w:sz w:val="18"/>
                <w:szCs w:val="18"/>
                <w:lang w:eastAsia="en-CA"/>
              </w:rPr>
              <w:t xml:space="preserve"> that the Executive Committee approves conversion of CFC-based chiller manufacturing facilities as a strategic option of ODS phase-out in the chiller sector. The Implementing Agencies should be requested to increase their activities in identifying and preparing project proposals in this area. (d) that the Executive Committee approves the replacement of CFC chillers as a first priority of strategic options in ODS phase-out in the chiller sector. Implementing agencies should be requested to focus their activities on the replacement options in addressing ODS phase-out in the chiller sector. Energy savings should be taken into consideration when calculating the incremental costs of replacement. (e) that the Executive Committee defer consideration of projects to retrofit chillers, except in special cases and when definite substitutes are used. (f) that the Executive Committee encourages the governments in Article 5 countries to give full consideration to appropriate regulatory and legislative action facilitating the implementation of CFC phase-out projects in the chiller sector. These should include an immediate cessation in the installation of new CFC chillers.</w:t>
            </w:r>
          </w:p>
        </w:tc>
      </w:tr>
      <w:tr w:rsidR="00192E3D" w:rsidRPr="00B22ECC" w14:paraId="4ED9166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BCAA2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17/12</w:t>
            </w:r>
          </w:p>
        </w:tc>
        <w:tc>
          <w:tcPr>
            <w:tcW w:w="626" w:type="pct"/>
            <w:tcBorders>
              <w:top w:val="nil"/>
              <w:left w:val="nil"/>
              <w:bottom w:val="single" w:sz="4" w:space="0" w:color="auto"/>
              <w:right w:val="single" w:sz="4" w:space="0" w:color="auto"/>
            </w:tcBorders>
            <w:shd w:val="clear" w:color="auto" w:fill="auto"/>
            <w:vAlign w:val="center"/>
            <w:hideMark/>
          </w:tcPr>
          <w:p w14:paraId="52D8C0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and recycling of refrigerants</w:t>
            </w:r>
          </w:p>
        </w:tc>
        <w:tc>
          <w:tcPr>
            <w:tcW w:w="3915" w:type="pct"/>
            <w:tcBorders>
              <w:top w:val="nil"/>
              <w:left w:val="nil"/>
              <w:bottom w:val="single" w:sz="4" w:space="0" w:color="auto"/>
              <w:right w:val="single" w:sz="4" w:space="0" w:color="auto"/>
            </w:tcBorders>
            <w:shd w:val="clear" w:color="auto" w:fill="auto"/>
            <w:vAlign w:val="center"/>
            <w:hideMark/>
          </w:tcPr>
          <w:p w14:paraId="60699D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Executive Committee decided that there should be an investigation of the practicality and implications of taking operating savings resulting from recovery and recycling into account and adjusting at a subsequent meeting of the Executive Committee institutional-strengthening grants or any other Fund-supported activity related to ozone layer protection for the country concerned on the basis of reported quantities of recovered ozone-depleting substances. This would not apply to small demonstration projects, and requested the Secretariat to prepare a paper on the subject for submission to the Committee at its Eighteenth Meeting.</w:t>
            </w:r>
          </w:p>
        </w:tc>
      </w:tr>
      <w:tr w:rsidR="00192E3D" w:rsidRPr="00B22ECC" w14:paraId="4E41AD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3C2F7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14F6238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20/4</w:t>
            </w:r>
          </w:p>
        </w:tc>
        <w:tc>
          <w:tcPr>
            <w:tcW w:w="626" w:type="pct"/>
            <w:tcBorders>
              <w:top w:val="nil"/>
              <w:left w:val="nil"/>
              <w:bottom w:val="single" w:sz="4" w:space="0" w:color="auto"/>
              <w:right w:val="single" w:sz="4" w:space="0" w:color="auto"/>
            </w:tcBorders>
            <w:shd w:val="clear" w:color="auto" w:fill="auto"/>
            <w:vAlign w:val="center"/>
            <w:hideMark/>
          </w:tcPr>
          <w:p w14:paraId="41BEB5F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Refrigerant management plans (RMPs)</w:t>
            </w:r>
          </w:p>
        </w:tc>
        <w:tc>
          <w:tcPr>
            <w:tcW w:w="3915" w:type="pct"/>
            <w:tcBorders>
              <w:top w:val="nil"/>
              <w:left w:val="nil"/>
              <w:bottom w:val="single" w:sz="4" w:space="0" w:color="auto"/>
              <w:right w:val="single" w:sz="4" w:space="0" w:color="auto"/>
            </w:tcBorders>
            <w:shd w:val="clear" w:color="auto" w:fill="auto"/>
            <w:vAlign w:val="center"/>
            <w:hideMark/>
          </w:tcPr>
          <w:p w14:paraId="4C575AC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Executive Committee decided: (a) to request Implementing Agencies, when preparing institutional-strengthening projects for low-volume ODS consuming countries, to give due consideration to the need for formulating a refrigerant management plan, including a recovery and recycling project in the refrigeration sector; (b) that, while the Implementing Agencies could proceed immediately with the disbursement of the first one-year tranche of the funds approved for institutional strengthening in low-volume ODS consuming countries, subsequent disbursements would be contingent on the submission of a report to the Executive Committee on the status of development of a refrigerant management plan, including a recovery and recycling project, for the country concerned.</w:t>
            </w:r>
          </w:p>
        </w:tc>
      </w:tr>
      <w:tr w:rsidR="00192E3D" w:rsidRPr="00B22ECC" w14:paraId="4AA673D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B3807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21/40</w:t>
            </w:r>
          </w:p>
        </w:tc>
        <w:tc>
          <w:tcPr>
            <w:tcW w:w="626" w:type="pct"/>
            <w:tcBorders>
              <w:top w:val="nil"/>
              <w:left w:val="nil"/>
              <w:bottom w:val="single" w:sz="4" w:space="0" w:color="auto"/>
              <w:right w:val="single" w:sz="4" w:space="0" w:color="auto"/>
            </w:tcBorders>
            <w:shd w:val="clear" w:color="auto" w:fill="auto"/>
            <w:vAlign w:val="center"/>
            <w:hideMark/>
          </w:tcPr>
          <w:p w14:paraId="2953DCF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115024F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discussion paper for the establishment of training guidelines for identification of needs and coordination of activities (UNEP/OzL.Pro/ExCom/21/35), as introduced by the representative of UNEP; (b) to note that, at the Twenty-first Meeting of the Executive Committee, there was insufficient time to have a full discussion of the paper; (c) to invite members of the Committee who wished to do so to submit written comments on the paper to the Secretariat and UNEP; (d) to request UNEP, in consultation with the Secretariat and the other Implementing Agencies, to proceed with the development of the training guidelines in line with the framework proposed in the discussion paper, taking into account the comments received in writing from members of the Committee.</w:t>
            </w:r>
          </w:p>
        </w:tc>
      </w:tr>
      <w:tr w:rsidR="00192E3D" w:rsidRPr="00B22ECC" w14:paraId="368B8DE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EB6D8B8"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77A4EDF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21/5</w:t>
            </w:r>
          </w:p>
        </w:tc>
        <w:tc>
          <w:tcPr>
            <w:tcW w:w="626" w:type="pct"/>
            <w:tcBorders>
              <w:top w:val="nil"/>
              <w:left w:val="nil"/>
              <w:bottom w:val="single" w:sz="4" w:space="0" w:color="auto"/>
              <w:right w:val="single" w:sz="4" w:space="0" w:color="auto"/>
            </w:tcBorders>
            <w:shd w:val="clear" w:color="auto" w:fill="auto"/>
            <w:vAlign w:val="center"/>
            <w:hideMark/>
          </w:tcPr>
          <w:p w14:paraId="0D4A4F4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76D077A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 (b)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13456B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2D0769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22/22</w:t>
            </w:r>
          </w:p>
        </w:tc>
        <w:tc>
          <w:tcPr>
            <w:tcW w:w="626" w:type="pct"/>
            <w:tcBorders>
              <w:top w:val="nil"/>
              <w:left w:val="nil"/>
              <w:bottom w:val="single" w:sz="4" w:space="0" w:color="auto"/>
              <w:right w:val="single" w:sz="4" w:space="0" w:color="auto"/>
            </w:tcBorders>
            <w:shd w:val="clear" w:color="auto" w:fill="auto"/>
            <w:vAlign w:val="center"/>
            <w:hideMark/>
          </w:tcPr>
          <w:p w14:paraId="32617EB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Recycling projects in CFC-producing countries</w:t>
            </w:r>
          </w:p>
        </w:tc>
        <w:tc>
          <w:tcPr>
            <w:tcW w:w="3915" w:type="pct"/>
            <w:tcBorders>
              <w:top w:val="nil"/>
              <w:left w:val="nil"/>
              <w:bottom w:val="single" w:sz="4" w:space="0" w:color="auto"/>
              <w:right w:val="single" w:sz="4" w:space="0" w:color="auto"/>
            </w:tcBorders>
            <w:shd w:val="clear" w:color="auto" w:fill="auto"/>
            <w:vAlign w:val="center"/>
            <w:hideMark/>
          </w:tcPr>
          <w:p w14:paraId="61478E8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note the potential usefulness of demonstration projects for refrigeration recovery and recycling in other ODS-producing countries; (b) to note that, while in many cases there may be financial benefits in recycling projects, there could be cases in which the operational costs of refrigerant recovery and reclamation projects could exceed their benefits; (c) to note that measures needed to support recovery and recycling projects needed to be appropriate to local circumstances and could involve, for example, incentives affecting the operational level or regulatory measures.</w:t>
            </w:r>
          </w:p>
        </w:tc>
      </w:tr>
      <w:tr w:rsidR="00192E3D" w:rsidRPr="00B22ECC" w14:paraId="512CD05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EEA93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22/23</w:t>
            </w:r>
          </w:p>
        </w:tc>
        <w:tc>
          <w:tcPr>
            <w:tcW w:w="626" w:type="pct"/>
            <w:tcBorders>
              <w:top w:val="nil"/>
              <w:left w:val="nil"/>
              <w:bottom w:val="single" w:sz="4" w:space="0" w:color="auto"/>
              <w:right w:val="single" w:sz="4" w:space="0" w:color="auto"/>
            </w:tcBorders>
            <w:shd w:val="clear" w:color="auto" w:fill="auto"/>
            <w:vAlign w:val="center"/>
            <w:hideMark/>
          </w:tcPr>
          <w:p w14:paraId="21DF099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048082F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that future refrigerant recovery and recycling projects should be prepared within the context of the refrigerant management plan/strategy of the country concerned; but that small demonstration projects designed to inform a larger country could be considered; (Note: as amended by Decision 23/16). (b) to urge the Implementing Agencies to work with the countries concerned to ensure that the prerequisites for success were put in place before refrigerant recovery and recycling projects were implemented; (c) to request the Implementing Agencies to make available to the consultants responsible for implementation of the proposed Multilateral Fund monitoring and evaluation exercise information on, inter alia, the extent to which refrigerant recovery and recycling projects had succeeded in reducing consumption of ODS and on the lessons learned from their implementation, bearing in mind that the majority of consumption was the result of poor servicing practices; (d) to request UNDP to make available to the Executive Committee, when completed, some of the evaluations that were being carried out by the United Nations Office for Project Services (UNOPS) on ongoing refrigerant recovery and recycling projects. Other Implementing Agencies that had completed recycling projects should also be requested to submit information on the results of those projects; (e) to take note of the view that it was necessary to take account of the costs involved in undertaking the necessary support measures for refrigerant recovery and recycling projects, such as training and efforts to reduce CFC emissions resulting from leakages; (f) to urge the Implementing Agencies to take time at the forthcoming fifteenth meeting of the Open-Ended Working Group of the Parties to the Montreal Protocol to reach out to, and develop appropriate assistance requests for, all Parties that had not yet received Fund assistance and might be in danger of not meeting the freeze; (g) to request the Secretariat, the Implementing Agencies, Parties involved in bilateral co-operation activities and other interested members of the Executive Committee to meet before the next meeting of the Committee to elaborate draft guidelines for refrigerant management plan projects for the consideration of the Sub-Committee on Project Review and the Executive Committee at its Twenty-third Meeting.</w:t>
            </w:r>
          </w:p>
        </w:tc>
      </w:tr>
      <w:tr w:rsidR="00192E3D" w:rsidRPr="00B22ECC" w14:paraId="56603AF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4068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22/24</w:t>
            </w:r>
          </w:p>
        </w:tc>
        <w:tc>
          <w:tcPr>
            <w:tcW w:w="626" w:type="pct"/>
            <w:tcBorders>
              <w:top w:val="nil"/>
              <w:left w:val="nil"/>
              <w:bottom w:val="single" w:sz="4" w:space="0" w:color="auto"/>
              <w:right w:val="single" w:sz="4" w:space="0" w:color="auto"/>
            </w:tcBorders>
            <w:shd w:val="clear" w:color="auto" w:fill="auto"/>
            <w:vAlign w:val="center"/>
            <w:hideMark/>
          </w:tcPr>
          <w:p w14:paraId="24FD7A7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Development of RMPs</w:t>
            </w:r>
          </w:p>
        </w:tc>
        <w:tc>
          <w:tcPr>
            <w:tcW w:w="3915" w:type="pct"/>
            <w:tcBorders>
              <w:top w:val="nil"/>
              <w:left w:val="nil"/>
              <w:bottom w:val="single" w:sz="4" w:space="0" w:color="auto"/>
              <w:right w:val="single" w:sz="4" w:space="0" w:color="auto"/>
            </w:tcBorders>
            <w:shd w:val="clear" w:color="auto" w:fill="auto"/>
            <w:vAlign w:val="center"/>
            <w:hideMark/>
          </w:tcPr>
          <w:p w14:paraId="2B50D09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request UNEP, in consultation with the Secretariat, the Implementing Agencies and members of the Executive Committee, to review the proposed guidelines for refrigeration management plans and bring forward a revised proposal to the September 1997 meeting of the Sub-Committee on Project Review, with comments from members of the Executive Committee to be provided by the end of June 1997; (b) to authorize low-volume-consuming countries that have approved country programmes and now need to take near-term action in this area to meet the freeze, to submit refrigeration management plans based on the draft guidelines recommended by the Sub-Committee on Project Review (with the input coming from the consultations noted in subparagraph (a) above) along with any associated projects, to the next meeting of the Executive Committee and, in this respect, to approve US $140,000 for UNDP and US $60,000 for UNIDO for this purpose; (c) to urge the Implementing Agencies not to view this discussion as an opportunity to develop recycling programmes, but rather as an opportunity to help countries think through the measures they need to take to facilitate compliance with the Protocol. In this regard, recycling projects should not be proposed unless there are incentives or regulatory measures that will be in place prior to proposed implementation of any proposed recycling projects to ensure that such projects will be sustainable; (d) to request UNEP to adjust country programmes presently under preparation to accommodate the requirements of the draft guidelines for refrigeration management plans as recommended by the Sub-Committee on Project Review and to urgently finish that work; (e) in cases where no country programmes for very-low-/low-volume-consuming Parties have yet to be started, to request UNEP to reach out to those countries to develop refrigeration management plan/country programme combination documents based on the draft guidelines, authorizing US $200,000 for this initial UNEP work and requesting UNEP to report on the status of related activities at the Twenty-third Meeting of the Executive Committee.</w:t>
            </w:r>
          </w:p>
        </w:tc>
      </w:tr>
      <w:tr w:rsidR="00192E3D" w:rsidRPr="00B22ECC" w14:paraId="65F21D8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C3732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23/15</w:t>
            </w:r>
          </w:p>
        </w:tc>
        <w:tc>
          <w:tcPr>
            <w:tcW w:w="626" w:type="pct"/>
            <w:tcBorders>
              <w:top w:val="nil"/>
              <w:left w:val="nil"/>
              <w:bottom w:val="single" w:sz="4" w:space="0" w:color="auto"/>
              <w:right w:val="single" w:sz="4" w:space="0" w:color="auto"/>
            </w:tcBorders>
            <w:shd w:val="clear" w:color="auto" w:fill="auto"/>
            <w:vAlign w:val="center"/>
            <w:hideMark/>
          </w:tcPr>
          <w:p w14:paraId="1925229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40ADC883" w14:textId="77777777" w:rsidR="00192E3D" w:rsidRPr="00B22ECC" w:rsidRDefault="00192E3D" w:rsidP="00B44FB0">
            <w:pPr>
              <w:contextualSpacing/>
              <w:rPr>
                <w:color w:val="000000"/>
                <w:sz w:val="18"/>
                <w:szCs w:val="18"/>
                <w:lang w:eastAsia="en-CA"/>
              </w:rPr>
            </w:pPr>
            <w:r>
              <w:rPr>
                <w:color w:val="000000"/>
                <w:sz w:val="18"/>
                <w:szCs w:val="18"/>
                <w:lang w:eastAsia="en-CA"/>
              </w:rPr>
              <w:t>T</w:t>
            </w:r>
            <w:r w:rsidRPr="00B22ECC">
              <w:rPr>
                <w:color w:val="000000"/>
                <w:sz w:val="18"/>
                <w:szCs w:val="18"/>
                <w:lang w:eastAsia="en-CA"/>
              </w:rPr>
              <w:t>he Executive Committee decided that the Guidelines for the Preparation of Refrigerant Management Plans be approved, subject to the insertion of the following new section before Section 3 - Principles and Steps in Formulating RMPs: “SECTION 2 OVERALL OBJECTIVE. The overall objective of a Refrigerant Management Plan is to develop and plan a strategy that will manage the use and phase-out of virgin CFC refrigerants for servicing refrigeration and air-conditioning equipment.”</w:t>
            </w:r>
          </w:p>
        </w:tc>
      </w:tr>
      <w:tr w:rsidR="00192E3D" w:rsidRPr="00B22ECC" w14:paraId="3062075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462EED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23/48</w:t>
            </w:r>
          </w:p>
        </w:tc>
        <w:tc>
          <w:tcPr>
            <w:tcW w:w="626" w:type="pct"/>
            <w:tcBorders>
              <w:top w:val="nil"/>
              <w:left w:val="nil"/>
              <w:bottom w:val="single" w:sz="4" w:space="0" w:color="auto"/>
              <w:right w:val="single" w:sz="4" w:space="0" w:color="auto"/>
            </w:tcBorders>
            <w:shd w:val="clear" w:color="auto" w:fill="auto"/>
            <w:vAlign w:val="center"/>
            <w:hideMark/>
          </w:tcPr>
          <w:p w14:paraId="3271E6E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56B31CB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Twenty-third Meeting of the Executive Committee decided: (a) to note the Training Guidelines for Identification of Needs and Coordination of Activities contained in UNEP/OzL.Pro/ExCom/23/Inf.4; (b) to authorize UNEP/IE to proceed with their implementation.</w:t>
            </w:r>
          </w:p>
        </w:tc>
      </w:tr>
      <w:tr w:rsidR="00192E3D" w:rsidRPr="00B22ECC" w14:paraId="77CAF2A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BC0E43B"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25/32 (para 64(c)</w:t>
            </w:r>
            <w:r w:rsidRPr="002A5DA8">
              <w:rPr>
                <w:color w:val="000000"/>
                <w:sz w:val="18"/>
                <w:szCs w:val="18"/>
                <w:lang w:eastAsia="en-CA"/>
              </w:rPr>
              <w:t>(d))</w:t>
            </w:r>
          </w:p>
        </w:tc>
        <w:tc>
          <w:tcPr>
            <w:tcW w:w="626" w:type="pct"/>
            <w:tcBorders>
              <w:top w:val="nil"/>
              <w:left w:val="nil"/>
              <w:bottom w:val="single" w:sz="4" w:space="0" w:color="auto"/>
              <w:right w:val="single" w:sz="4" w:space="0" w:color="auto"/>
            </w:tcBorders>
            <w:shd w:val="clear" w:color="auto" w:fill="auto"/>
            <w:vAlign w:val="center"/>
            <w:hideMark/>
          </w:tcPr>
          <w:p w14:paraId="720091C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w:t>
            </w:r>
          </w:p>
        </w:tc>
        <w:tc>
          <w:tcPr>
            <w:tcW w:w="3915" w:type="pct"/>
            <w:tcBorders>
              <w:top w:val="nil"/>
              <w:left w:val="nil"/>
              <w:bottom w:val="single" w:sz="4" w:space="0" w:color="auto"/>
              <w:right w:val="single" w:sz="4" w:space="0" w:color="auto"/>
            </w:tcBorders>
            <w:shd w:val="clear" w:color="auto" w:fill="auto"/>
            <w:vAlign w:val="center"/>
            <w:hideMark/>
          </w:tcPr>
          <w:p w14:paraId="1AE5AA8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Executive Committee, having noted the comments and recommendations of the Sub-Committee on Project Review (UNEP/OzL.Pro/ExCom/25/17, paragraphs 46 to 50), decided: (c)To request that the possibility of carrying out more cost-effective regional training be considered in future projects. (d) to request the Secretariat to undertake further study on the question of the gains arising from recovered and recycled ozone-depleting refrigerants, which would lead to a renewed discussion within the Sub-Committee on the issue of offsetting benefits in large recycling efforts. </w:t>
            </w:r>
          </w:p>
        </w:tc>
      </w:tr>
      <w:tr w:rsidR="00192E3D" w:rsidRPr="00B22ECC" w14:paraId="10B11D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CBB7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26/33</w:t>
            </w:r>
          </w:p>
        </w:tc>
        <w:tc>
          <w:tcPr>
            <w:tcW w:w="626" w:type="pct"/>
            <w:tcBorders>
              <w:top w:val="nil"/>
              <w:left w:val="nil"/>
              <w:bottom w:val="single" w:sz="4" w:space="0" w:color="auto"/>
              <w:right w:val="single" w:sz="4" w:space="0" w:color="auto"/>
            </w:tcBorders>
            <w:shd w:val="clear" w:color="auto" w:fill="auto"/>
            <w:vAlign w:val="center"/>
            <w:hideMark/>
          </w:tcPr>
          <w:p w14:paraId="05532F5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4CB46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Twenty-sixth Meeting of the Executive Committee also decided: (b) to stress the need for each country to obtain and ensure reliable data on imports of ODS, particularly through a system of import licensing and control, and in that context customs training was of special importance; (c) to request the Fund Secretariat to notify the Implementation Committee of the Montreal Protocol of this problem at its next meeting in Cairo and suggest that the Implementation Committee might send letters to the Governments of Malawi and of the United Republic of Tanzania requesting them to provide updated data on ODS consumption.</w:t>
            </w:r>
          </w:p>
        </w:tc>
      </w:tr>
      <w:tr w:rsidR="00192E3D" w:rsidRPr="00B22ECC" w14:paraId="73CA3C3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75BBC73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w:t>
            </w:r>
            <w:r>
              <w:rPr>
                <w:color w:val="000000"/>
                <w:sz w:val="18"/>
                <w:szCs w:val="18"/>
                <w:lang w:eastAsia="en-CA"/>
              </w:rPr>
              <w:t>26/34</w:t>
            </w:r>
          </w:p>
        </w:tc>
        <w:tc>
          <w:tcPr>
            <w:tcW w:w="626" w:type="pct"/>
            <w:tcBorders>
              <w:top w:val="nil"/>
              <w:left w:val="nil"/>
              <w:bottom w:val="single" w:sz="4" w:space="0" w:color="auto"/>
              <w:right w:val="single" w:sz="4" w:space="0" w:color="auto"/>
            </w:tcBorders>
            <w:shd w:val="clear" w:color="auto" w:fill="auto"/>
            <w:vAlign w:val="center"/>
          </w:tcPr>
          <w:p w14:paraId="3FD64DD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Installation, assembly and charging subsector</w:t>
            </w:r>
          </w:p>
        </w:tc>
        <w:tc>
          <w:tcPr>
            <w:tcW w:w="3915" w:type="pct"/>
            <w:tcBorders>
              <w:top w:val="nil"/>
              <w:left w:val="nil"/>
              <w:bottom w:val="single" w:sz="4" w:space="0" w:color="auto"/>
              <w:right w:val="single" w:sz="4" w:space="0" w:color="auto"/>
            </w:tcBorders>
            <w:shd w:val="clear" w:color="auto" w:fill="auto"/>
            <w:vAlign w:val="center"/>
          </w:tcPr>
          <w:p w14:paraId="1B75084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Sixty-second Meeting of the Executive Committee decided:(a) To request bilateral and implementing agencies, when submitting projects related to the installation, assembly and charging sub-sector, to demonstrate that each of those enterprises participating in the project had invested in equipment, development of products, or training of personnel specific to HCFC technology significantly exceeding the level of such investments prevalent in the service sector; and (b) That the activities foreseen for those enterprises represented incremental costs.</w:t>
            </w:r>
          </w:p>
        </w:tc>
      </w:tr>
      <w:tr w:rsidR="00192E3D" w:rsidRPr="00B22ECC" w14:paraId="5F21D04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075EA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27/19</w:t>
            </w:r>
          </w:p>
        </w:tc>
        <w:tc>
          <w:tcPr>
            <w:tcW w:w="626" w:type="pct"/>
            <w:tcBorders>
              <w:top w:val="nil"/>
              <w:left w:val="nil"/>
              <w:bottom w:val="single" w:sz="4" w:space="0" w:color="auto"/>
              <w:right w:val="single" w:sz="4" w:space="0" w:color="auto"/>
            </w:tcBorders>
            <w:shd w:val="clear" w:color="auto" w:fill="auto"/>
            <w:vAlign w:val="center"/>
            <w:hideMark/>
          </w:tcPr>
          <w:p w14:paraId="36BE3B1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3AEE32D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Twenty-seventh Meeting of the Executive Committee decided: (a) that no funds should be expended on customs-training projects until either the relevant legislation was already in place or substantial progress had been made towards promulgating such legislation; (b) to request Implementing Agencies to transfer to countries that were in the process of preparing legislation information on ODS issues of relevance to customs authorities so that, as stakeholders, they would be able to provide informed inputs into the legislation preparation process; (c) to examine, mindful of its decision 25/32, customs-training projects on a case-by-case basis in order to determine whether or not chemical-identification equipment should be included in them.</w:t>
            </w:r>
          </w:p>
        </w:tc>
      </w:tr>
      <w:tr w:rsidR="00192E3D" w:rsidRPr="00B22ECC" w14:paraId="14D65BE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F41048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27/35</w:t>
            </w:r>
          </w:p>
        </w:tc>
        <w:tc>
          <w:tcPr>
            <w:tcW w:w="626" w:type="pct"/>
            <w:tcBorders>
              <w:top w:val="nil"/>
              <w:left w:val="nil"/>
              <w:bottom w:val="single" w:sz="4" w:space="0" w:color="auto"/>
              <w:right w:val="single" w:sz="4" w:space="0" w:color="auto"/>
            </w:tcBorders>
            <w:shd w:val="clear" w:color="auto" w:fill="auto"/>
            <w:vAlign w:val="center"/>
            <w:hideMark/>
          </w:tcPr>
          <w:p w14:paraId="6C57476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6B5AC8C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also decided: (a) no funds should be expended on customs-training projects until either the relevant legislation was already in place or substantial progress had been made towards promulgating such legislation; (b) UNEP is requested to transfer to countries in the process of preparing legislation, information on ODS issues of relevance to customs authorities so that, as stakeholders, they would be able to provide informal inputs into the legislation-preparation process.</w:t>
            </w:r>
          </w:p>
        </w:tc>
      </w:tr>
      <w:tr w:rsidR="00192E3D" w:rsidRPr="00B22ECC" w14:paraId="637B0F4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8FA6D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28/10</w:t>
            </w:r>
          </w:p>
        </w:tc>
        <w:tc>
          <w:tcPr>
            <w:tcW w:w="626" w:type="pct"/>
            <w:tcBorders>
              <w:top w:val="nil"/>
              <w:left w:val="nil"/>
              <w:bottom w:val="single" w:sz="4" w:space="0" w:color="auto"/>
              <w:right w:val="single" w:sz="4" w:space="0" w:color="auto"/>
            </w:tcBorders>
            <w:shd w:val="clear" w:color="auto" w:fill="auto"/>
            <w:vAlign w:val="center"/>
            <w:hideMark/>
          </w:tcPr>
          <w:p w14:paraId="68019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1FADA40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Twenty-eighth Meeting of the Executive Committee decided to request those Implementing Agencies to report to its Twenty-ninth Meeting on the steps taken at the national level to expedite the provision of the necessary regulatory and legislative measures required for successful recovery and recycling projects.</w:t>
            </w:r>
          </w:p>
        </w:tc>
      </w:tr>
      <w:tr w:rsidR="00192E3D" w:rsidRPr="00B22ECC" w14:paraId="3E375FE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05724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28/44</w:t>
            </w:r>
          </w:p>
        </w:tc>
        <w:tc>
          <w:tcPr>
            <w:tcW w:w="626" w:type="pct"/>
            <w:tcBorders>
              <w:top w:val="nil"/>
              <w:left w:val="nil"/>
              <w:bottom w:val="single" w:sz="4" w:space="0" w:color="auto"/>
              <w:right w:val="single" w:sz="4" w:space="0" w:color="auto"/>
            </w:tcBorders>
            <w:shd w:val="clear" w:color="auto" w:fill="auto"/>
            <w:vAlign w:val="center"/>
            <w:hideMark/>
          </w:tcPr>
          <w:p w14:paraId="02FEE2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End-user conversion in commercial refrigeration</w:t>
            </w:r>
          </w:p>
        </w:tc>
        <w:tc>
          <w:tcPr>
            <w:tcW w:w="3915" w:type="pct"/>
            <w:tcBorders>
              <w:top w:val="nil"/>
              <w:left w:val="nil"/>
              <w:bottom w:val="single" w:sz="4" w:space="0" w:color="auto"/>
              <w:right w:val="single" w:sz="4" w:space="0" w:color="auto"/>
            </w:tcBorders>
            <w:shd w:val="clear" w:color="auto" w:fill="auto"/>
            <w:vAlign w:val="center"/>
            <w:hideMark/>
          </w:tcPr>
          <w:p w14:paraId="0746B26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Twenty-eighth Meeting of the Executive Committee decided to adopt the following guidelines for end-user conversion in the commercial refrigeration sector: For an initial period of 18 months, the relevant circumstances which must prevail before priority will be accorded to end-user conversion activities are: · that the country has production and import controls on CFCs and CFC-based equipment in place and effectively enforced, and restricts the deployment of new CFC components; training of refrigeration technicians should be recognized as part of end-user conversion activity in the refrigeration sector; retrofitting of commercial refrigeration equipment would be considered for funding based on the experience gained from implementation of the relevant parts of a refrigerant management plan; for the initial period, pending review, priority should be given to projects for the conversion of cold stores in the agricultural, fisheries or other food-chain industries which are important for the economies of the countries concerned; for the initial period, the costs associated with replacement of the refrigerant, replacement of the oil and minor capital items where necessary, and labour at the local labour rate, will be eligible as incremental costs. More extensive conversions including reconditioning or replacement of compressors and major overhaul of refrigeration systems will not be considered under the initial guidelines. Incremental operating costs and savings should be calculated as for other commercial refrigeration projects for a two-year period; enterprise consumption will be the average annual quantity of CFC refrigerant which can be established as having been added to the refrigeration system as per existing Executive Committee guidelines; no cost-effectiveness threshold needs to be established for this initial period but all existing baseline conditions and eligibility criteria will be applied. The funding for the initial period of 18 months will be limited to US $10 million; these guidelines should be reviewed after being in operation for 18 months. that, at the time of seeking compensation in the form of grants for end-user conversions, the country can establish that its major remaining consumption is for the servicing of refrigeration and air-conditioning equipment; to establish the above, that comprehensive data on the profile of all remaining consumption has been determined and made available to the Executive Committee; that either no other possible activities would allow the country to meet its CFC control obligations, or the comparative consumer price of CFCs, relative to substitute refrigerants, has been high for at least 9 months and is predicted to continue to increase. The guidelines for the initial period of 18 months are: retrofitting of commercial refrigeration equipment should continue to be assessed on a case-by-case basis. </w:t>
            </w:r>
          </w:p>
        </w:tc>
      </w:tr>
      <w:tr w:rsidR="00192E3D" w:rsidRPr="00B22ECC" w14:paraId="678D6FB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6D32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31/15</w:t>
            </w:r>
          </w:p>
        </w:tc>
        <w:tc>
          <w:tcPr>
            <w:tcW w:w="626" w:type="pct"/>
            <w:tcBorders>
              <w:top w:val="nil"/>
              <w:left w:val="nil"/>
              <w:bottom w:val="single" w:sz="4" w:space="0" w:color="auto"/>
              <w:right w:val="single" w:sz="4" w:space="0" w:color="auto"/>
            </w:tcBorders>
            <w:shd w:val="clear" w:color="auto" w:fill="auto"/>
            <w:vAlign w:val="center"/>
            <w:hideMark/>
          </w:tcPr>
          <w:p w14:paraId="1CBED28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Desk study on recovery and recycling projects</w:t>
            </w:r>
          </w:p>
        </w:tc>
        <w:tc>
          <w:tcPr>
            <w:tcW w:w="3915" w:type="pct"/>
            <w:tcBorders>
              <w:top w:val="nil"/>
              <w:left w:val="nil"/>
              <w:bottom w:val="single" w:sz="4" w:space="0" w:color="auto"/>
              <w:right w:val="single" w:sz="4" w:space="0" w:color="auto"/>
            </w:tcBorders>
            <w:shd w:val="clear" w:color="auto" w:fill="auto"/>
            <w:vAlign w:val="center"/>
            <w:hideMark/>
          </w:tcPr>
          <w:p w14:paraId="5F9EBB8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the Implementing Agencies should seek information from governments and/or national ozone units on the status of all the recovery and recycling projects they have implemented so as to ascertain whether they are in operation. The reports should be based on a standardized format for data collection, both at the individual equipment user level and as summarized information at the project level. This format should be developed by the Senior Monitoring and Evaluation Officer in consultation with the Implementing Agencies and interested national ozone units, and should be presented to the Executive Committee at its 32nd meeting; (b) an evaluation of recovery and recycling projects should be undertaken, particularly for those projects implemented as a component of a refrigerant management plan, as soon as they had been monitored for a reasonable period and data had been collected by the national ozone units and the Implementing Agencies and forwarded to the Multilateral Fund Secretariat. Depending on the information received from the national ozone units and the Implementing Agencies, as well as that contained in the project completion reports, the evaluation could be undertaken under the 2001 or 2002 work programme for monitoring and evaluation. The terms of reference for the evaluation would be presented to the Executive Committee for consideration. The draft terms of reference would take account of comments made by members of the Sub-Committee on Monitoring, Evaluation and Finance at its 11th meeting; (c) the national ozone units together with the Implementing Agencies should also be requested to obtain costing data for recovery and recycling which should include the operating cost of equipment, to arrive at the cost of recovery and recycling, as well as the price trends in refrigerants. The data would permit the conditions for economically viable recycling and recovery operations to be determined, and they should be made available to the Implementing Agency, with a copy to the Multilateral Fund Secretariat.</w:t>
            </w:r>
          </w:p>
        </w:tc>
      </w:tr>
      <w:tr w:rsidR="00192E3D" w:rsidRPr="00B22ECC" w14:paraId="465F044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8032CA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31/17</w:t>
            </w:r>
          </w:p>
        </w:tc>
        <w:tc>
          <w:tcPr>
            <w:tcW w:w="626" w:type="pct"/>
            <w:tcBorders>
              <w:top w:val="nil"/>
              <w:left w:val="nil"/>
              <w:bottom w:val="single" w:sz="4" w:space="0" w:color="auto"/>
              <w:right w:val="single" w:sz="4" w:space="0" w:color="auto"/>
            </w:tcBorders>
            <w:shd w:val="clear" w:color="auto" w:fill="auto"/>
            <w:vAlign w:val="center"/>
            <w:hideMark/>
          </w:tcPr>
          <w:p w14:paraId="6CD5ABF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5C33B2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to take note of the findings and recommendations in the report on the evaluation of training projects prepared by the Senior Monitoring and Evaluation Officer (UNEP/OzL.Pro/ExCom/31/20); (b) to request the members of the Executive Committee to submit their comments on the report within 60 days of the adoption of its decision; (c) to request the Senior Monitoring and Evaluation Officer to circulate the reports on the countries evaluated for their comments; (d) to further request the Senior Monitoring and Evaluation Officer to prepare a recommendation on the matter for the 32nd meeting of the Executive Committee, taking into account the comments made by the members of the Executive Committee, the observations made during the 11th meeting of the Sub-Committee, and the views of the countries covered by the evaluations, as well as any further observations submitted by the Implementing Agencies.</w:t>
            </w:r>
          </w:p>
        </w:tc>
      </w:tr>
      <w:tr w:rsidR="00192E3D" w:rsidRPr="00B22ECC" w14:paraId="3963740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46337B78"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31/45</w:t>
            </w:r>
          </w:p>
        </w:tc>
        <w:tc>
          <w:tcPr>
            <w:tcW w:w="626" w:type="pct"/>
            <w:tcBorders>
              <w:top w:val="nil"/>
              <w:left w:val="nil"/>
              <w:bottom w:val="single" w:sz="4" w:space="0" w:color="auto"/>
              <w:right w:val="single" w:sz="4" w:space="0" w:color="auto"/>
            </w:tcBorders>
            <w:shd w:val="clear" w:color="auto" w:fill="auto"/>
            <w:vAlign w:val="center"/>
          </w:tcPr>
          <w:p w14:paraId="4014917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A</w:t>
            </w:r>
            <w:r w:rsidRPr="00D370E6">
              <w:rPr>
                <w:color w:val="000000"/>
                <w:sz w:val="18"/>
                <w:szCs w:val="18"/>
                <w:lang w:eastAsia="en-CA"/>
              </w:rPr>
              <w:t>ssembly, installation and servicing of refrigeration equipment</w:t>
            </w:r>
          </w:p>
        </w:tc>
        <w:tc>
          <w:tcPr>
            <w:tcW w:w="3915" w:type="pct"/>
            <w:tcBorders>
              <w:top w:val="nil"/>
              <w:left w:val="nil"/>
              <w:bottom w:val="single" w:sz="4" w:space="0" w:color="auto"/>
              <w:right w:val="single" w:sz="4" w:space="0" w:color="auto"/>
            </w:tcBorders>
            <w:shd w:val="clear" w:color="auto" w:fill="auto"/>
            <w:vAlign w:val="center"/>
          </w:tcPr>
          <w:p w14:paraId="701D917E" w14:textId="77777777" w:rsidR="00192E3D" w:rsidRPr="00B22ECC" w:rsidRDefault="00192E3D" w:rsidP="00B44FB0">
            <w:pPr>
              <w:rPr>
                <w:color w:val="000000"/>
                <w:sz w:val="18"/>
                <w:szCs w:val="18"/>
                <w:lang w:eastAsia="en-CA"/>
              </w:rPr>
            </w:pPr>
            <w:r w:rsidRPr="00D370E6">
              <w:rPr>
                <w:color w:val="000000"/>
                <w:sz w:val="18"/>
                <w:szCs w:val="18"/>
                <w:lang w:eastAsia="en-CA"/>
              </w:rPr>
              <w:t>The Executive Committee decided: (a) to adopt, for a period of 18 months, the guidelines for the subsector for assembly, installation and charging of refrigeration equipment contained in Annex IX.23; (b) to pay attention to projects submitted under guidelines 3 and 4, in particular to determine whether there is any eligible incremental cost; (c) to consider projects on a case-by-case basis in order to gain experience.</w:t>
            </w:r>
          </w:p>
        </w:tc>
      </w:tr>
      <w:tr w:rsidR="00192E3D" w:rsidRPr="00B22ECC" w14:paraId="0680122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660D2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31/48</w:t>
            </w:r>
          </w:p>
        </w:tc>
        <w:tc>
          <w:tcPr>
            <w:tcW w:w="626" w:type="pct"/>
            <w:tcBorders>
              <w:top w:val="nil"/>
              <w:left w:val="nil"/>
              <w:bottom w:val="single" w:sz="4" w:space="0" w:color="auto"/>
              <w:right w:val="single" w:sz="4" w:space="0" w:color="auto"/>
            </w:tcBorders>
            <w:shd w:val="clear" w:color="auto" w:fill="auto"/>
            <w:vAlign w:val="center"/>
            <w:hideMark/>
          </w:tcPr>
          <w:p w14:paraId="611258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17D5F76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w:t>
            </w:r>
            <w:r w:rsidRPr="00B22ECC">
              <w:rPr>
                <w:b/>
                <w:color w:val="000000"/>
                <w:sz w:val="18"/>
                <w:szCs w:val="18"/>
                <w:lang w:eastAsia="en-CA"/>
              </w:rPr>
              <w:t xml:space="preserve">: </w:t>
            </w:r>
            <w:r w:rsidRPr="00B22ECC">
              <w:rPr>
                <w:b/>
                <w:bCs/>
                <w:color w:val="000000"/>
                <w:sz w:val="18"/>
                <w:szCs w:val="18"/>
                <w:lang w:eastAsia="en-CA"/>
              </w:rPr>
              <w:t xml:space="preserve">A. Already approved refrigerant management plans (RMPs) for low-volume-consuming countries (LVCs) </w:t>
            </w:r>
            <w:r w:rsidRPr="00B22ECC">
              <w:rPr>
                <w:color w:val="000000"/>
                <w:sz w:val="18"/>
                <w:szCs w:val="18"/>
                <w:lang w:eastAsia="en-CA"/>
              </w:rPr>
              <w:t xml:space="preserve">(a) To request national ozone officers, with the assistance of the implementing agency concerned, to review and assess the content, implementation to date and expected outcomes of their RMPs against their objective to phase out all consumption in the refrigeration sector according to the Montreal Protocol timetable. In undertaking this review, national ozone officers should: (i) Calculate current and forecast future consumption in relation to the freeze, 50% cut in 2005, 85% cut in 2007 and phase-out in 2010 and calculate the size of consumption cuts in the refrigeration sector required to meet these targets; (ii) Include forecast cuts in consumption attributable to the activities already approved under the RMP, including training activities and recovery/recycling; (iii) Ensure that the current and expected future consumption of all subsectors, including the informal sector, small and medium-sized enterprises and mobile air conditioners, are included in the review; (iv) For each activity identified, consider the cost and means of funding, including national financing; (v) Ensure that the RMP and government strategy for delivering phase-out includes adequate provision for monitoring and reporting on progress; (b) That LVCs (or groups of LVCs) with already approved RMPs may submit to the Executive Committee requests for funding additional activities necessary to reduce consumption and thereby ensure compliance with the Protocol. Such additional activities should be essential parts of their comprehensive strategy for phase-out in the refrigeration sector.  Additional funding shall not exceed 50% of the funds approved for the original RMP or, where relevant, RMP components.  With the possible exception of the post-2007 period noted in subparagraph (d) below, no further funding beyond this level, including funding related to retrofits, would be considered for activities in this sector; (c) That requests for additional funding consistent with subparagraph (b) above should be accompanied by: (i) A justification for the additional activities to be funded in the context of the country’s national phase-out strategy; (ii) A clear explanation of how this funding, together with the initial RMP funding and steps to be taken by the government, will ensure compliance with the Protocol’s reduction steps and phase-out; (iii) A commitment to achieve, without further requests for funding for the RMP, at least the 50% reduction step in 2005 and the 85% reduction step in 2007. This shall include a commitment by the country to restrict imports if necessary to achieve compliance with the reduction steps and to support RMP activities; (iv) A commitment to annual reporting of progress in implementing the RMP and meeting the reduction steps; (d) That it will review in 2005 whether further assistance is needed for the post-2007 period, and what assistance the Fund might consider at that time to enable full compliance with the Protocol’s phase-out requirements; </w:t>
            </w:r>
            <w:r w:rsidRPr="00B22ECC">
              <w:rPr>
                <w:b/>
                <w:bCs/>
                <w:color w:val="000000"/>
                <w:sz w:val="18"/>
                <w:szCs w:val="18"/>
                <w:lang w:eastAsia="en-CA"/>
              </w:rPr>
              <w:t xml:space="preserve">B. Preparation and approval of new RMPs for LVCs </w:t>
            </w:r>
            <w:r w:rsidRPr="00B22ECC">
              <w:rPr>
                <w:color w:val="000000"/>
                <w:sz w:val="18"/>
                <w:szCs w:val="18"/>
                <w:lang w:eastAsia="en-CA"/>
              </w:rPr>
              <w:t xml:space="preserve">(e) That the project preparation phase for RMPs should, as intended by the existing guidelines, include a full survey of CFC consumption in all subsectors, the development of a comprehensive government phase-out strategy and a commitment by the government to enact regulations and legislation required for the effective implementation of activities to phase out the use of CFC refrigerants.  To enable these preparatory activities, including the development of legislation and regulations, to be completed in full, the funding provided for the project preparation phase should be double the level traditionally provided; (f) That the provisions relating to existing RMPs in section A, subparagraphs (a), (c) and (d) above shall also apply to new RMPs submitted pursuant to this decision; (g) That in lieu of the ability given to already approved RMPs to request additional funds, the total level of funding for the implementation of new RMPs could be increased by up to 50% compared to the level of RMP funding typically approved to date, with flexibility for the country in selecting and implementing the RMP components which it deems most relevant in order to meet its phase-out commitments. With the exception of the post-2007 phase noted in section A, subparagraph (d) above, no further funding beyond this level, including funding for retrofits, would be considered for activities in this sector; (h) That the following text should be added to the RMP guidelines (decision 23/15) after the last bullet in section 3.1: “The elements and activities proposed for an RMP, whether they are to be funded by the Multilateral Fund or the country itself, should reflect the country’s particular circumstances and address all relevant sectors including the informal sector.  They should be sufficient to ensure fulfilment of the countries’ control obligations at least up to and including the 85% reduction in 2007, and should include mechanisms for reporting progress.” </w:t>
            </w:r>
            <w:r w:rsidRPr="00B22ECC">
              <w:rPr>
                <w:b/>
                <w:bCs/>
                <w:color w:val="000000"/>
                <w:sz w:val="18"/>
                <w:szCs w:val="18"/>
                <w:lang w:eastAsia="en-CA"/>
              </w:rPr>
              <w:t xml:space="preserve">C. RMPs for higher-volume-consuming countries </w:t>
            </w:r>
            <w:r w:rsidRPr="00B22ECC">
              <w:rPr>
                <w:color w:val="000000"/>
                <w:sz w:val="18"/>
                <w:szCs w:val="18"/>
                <w:lang w:eastAsia="en-CA"/>
              </w:rPr>
              <w:t>(i) That, taking into account the need for large consuming countries to initiate planning for dealing with this large and complex sector, as well as the related decision of the Meeting of the Parties, it will consider requests for funding the development of long-term strategies for the refrigeration sector for high-volume-consuming countries.  High-volume-consuming countries that have not yet undertaken country programme updates should undertake this strategic RMP development in the context of such updates, consistent with any Executive Committee guidance on country programme updates; (j) That future Executive Committee decisions on funding the implementation of the elements of such RMP strategies should take into account the relative priority in national government planning of CFC reductions in the refrigeration sector and the availability of other reduction opportunities in meeting the country’s control obligations; (k) That, in that context, the Executive Committee may consider whether certain activities often considered to be part of an RMP (such as training of customs officers) could be initiated before an RMP was developed.</w:t>
            </w:r>
          </w:p>
        </w:tc>
      </w:tr>
      <w:tr w:rsidR="00192E3D" w:rsidRPr="00B22ECC" w14:paraId="09A6E51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A45AB7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32/10 (para.21 (b))</w:t>
            </w:r>
          </w:p>
        </w:tc>
        <w:tc>
          <w:tcPr>
            <w:tcW w:w="626" w:type="pct"/>
            <w:tcBorders>
              <w:top w:val="nil"/>
              <w:left w:val="nil"/>
              <w:bottom w:val="single" w:sz="4" w:space="0" w:color="auto"/>
              <w:right w:val="single" w:sz="4" w:space="0" w:color="auto"/>
            </w:tcBorders>
            <w:shd w:val="clear" w:color="auto" w:fill="auto"/>
            <w:vAlign w:val="center"/>
            <w:hideMark/>
          </w:tcPr>
          <w:p w14:paraId="5DD129F6"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C43A1E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UNDP to comply with Decision 31/48 for countries which apply for the 50 per cent increase to their current RMP funding level. Funding requests should be accompanied by a justification for the proposed additional activities based on a full assessment as described in Decision 31/48, para. (a), and a clear explanation of how this funding will ensure compliance with the Montreal Protocol phase-out schedule to January 2007.</w:t>
            </w:r>
          </w:p>
        </w:tc>
      </w:tr>
      <w:tr w:rsidR="00192E3D" w:rsidRPr="00B22ECC" w14:paraId="6E0C5AF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2AFC32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32/16</w:t>
            </w:r>
          </w:p>
        </w:tc>
        <w:tc>
          <w:tcPr>
            <w:tcW w:w="626" w:type="pct"/>
            <w:tcBorders>
              <w:top w:val="nil"/>
              <w:left w:val="nil"/>
              <w:bottom w:val="single" w:sz="4" w:space="0" w:color="auto"/>
              <w:right w:val="single" w:sz="4" w:space="0" w:color="auto"/>
            </w:tcBorders>
            <w:shd w:val="clear" w:color="auto" w:fill="auto"/>
            <w:vAlign w:val="center"/>
            <w:hideMark/>
          </w:tcPr>
          <w:p w14:paraId="0BDF800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840190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the Senior Monitoring and Evaluation Officer to review the objectives of the evaluation exercise with a view to improving the exercise and lightening the burden on respondents. That did not imply that the same procedures would apply to all recovery and recycling projects in the future.</w:t>
            </w:r>
          </w:p>
        </w:tc>
      </w:tr>
      <w:tr w:rsidR="00192E3D" w:rsidRPr="00B22ECC" w14:paraId="7E72107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B0A652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32/19</w:t>
            </w:r>
          </w:p>
        </w:tc>
        <w:tc>
          <w:tcPr>
            <w:tcW w:w="626" w:type="pct"/>
            <w:tcBorders>
              <w:top w:val="nil"/>
              <w:left w:val="nil"/>
              <w:bottom w:val="single" w:sz="4" w:space="0" w:color="auto"/>
              <w:right w:val="single" w:sz="4" w:space="0" w:color="auto"/>
            </w:tcBorders>
            <w:shd w:val="clear" w:color="auto" w:fill="auto"/>
            <w:vAlign w:val="center"/>
            <w:hideMark/>
          </w:tcPr>
          <w:p w14:paraId="08D7AEF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evaluation</w:t>
            </w:r>
          </w:p>
        </w:tc>
        <w:tc>
          <w:tcPr>
            <w:tcW w:w="3915" w:type="pct"/>
            <w:tcBorders>
              <w:top w:val="nil"/>
              <w:left w:val="nil"/>
              <w:bottom w:val="single" w:sz="4" w:space="0" w:color="auto"/>
              <w:right w:val="single" w:sz="4" w:space="0" w:color="auto"/>
            </w:tcBorders>
            <w:shd w:val="clear" w:color="auto" w:fill="auto"/>
            <w:vAlign w:val="center"/>
            <w:hideMark/>
          </w:tcPr>
          <w:p w14:paraId="5560D25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It is recommended: 1. that all future non-investment activities related to the refrigeration servicing sector in low-volume countries (such as training of technicians in good services practices and customs training) should continue to be part of the Refrigerant Management Plan in order to place them in the context of a comprehensive plan for sector phase-out. For non low-volume countries, projects such as training of technicians and training of customs officers would be prepared in the framework of a national long-term strategy for the refrigeration sector and considered in accordance with Decision 31/48, part C. When preparing new RMPs, as well as during implementation of approved RMPs, training activities related to the refrigeration servicing sector and customs officers should build on the results of any earlier training activities. Consideration should be also given to strengthen the relevant industry associations and to involve them more closely in project preparation and implementation. 2. that during the compliance period, the capacity of NOUs for development of national policies and regulations regarding monitoring and controlling consumption and trade of ODS and ODS-based equipment should continue to be enhanced. 3. that countries are encouraged to develop a certification system to recognize those trainees who have successfully participated in training programmes through appropriate regulations or other policies. Such regulations are most effective when they are developed with active industry participation and create common certification requirements across the country, either through national legislation or regulations consistent across states/provinces. 4. that national and regional activities should be planned and implemented in a complementary way. Regional workshops/seminars should focus on issues of common interest and should address priority requests in the region. National training programmes should respond to the specific requirements of countries concerned. 5. that a list of relevant past and planned training events, bilateral and multilateral, should be made available by UNEP as part of its information exchange activities to all Parties. It would enable the Parties to consult such information on a timely basis and eliminate the possible duplication of similar events world-wide. 6. that project proposals should include baseline data and indicators by which the results of the project could be assessed. Adequate monitoring systems should be developed to facilitate subsequent reporting on the results of training activities, and each project should foresee a budget line and adequate time for monitoring and reporting. 7. that the PCR format for non-investment projects used for reporting on training projects should be revised. The PCR should correspond to the related indicators defined for the approved project and should include information on the results and follow-up of training projects. 8. that the model of charging participants' fees for training of technicians, as included in the relevant German (GTZ) bilateral projects, in order to make training programmes sustainable should be closely monitored. If successful, countries should be encouraged to adopt it for future projects. 9. that national training handbooks, similar to the ones prepared for 10 African countries by GTZ, should be produced as part of the training materials for other countries as well, taking into account previous training materials developed. 10. that innovative solutions should be developed to reach out with training to the informal sector.</w:t>
            </w:r>
          </w:p>
        </w:tc>
      </w:tr>
      <w:tr w:rsidR="00192E3D" w:rsidRPr="00B22ECC" w14:paraId="4C37FC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8EDD22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32/27</w:t>
            </w:r>
          </w:p>
        </w:tc>
        <w:tc>
          <w:tcPr>
            <w:tcW w:w="626" w:type="pct"/>
            <w:tcBorders>
              <w:top w:val="nil"/>
              <w:left w:val="nil"/>
              <w:bottom w:val="single" w:sz="4" w:space="0" w:color="auto"/>
              <w:right w:val="single" w:sz="4" w:space="0" w:color="auto"/>
            </w:tcBorders>
            <w:shd w:val="clear" w:color="auto" w:fill="auto"/>
            <w:vAlign w:val="center"/>
            <w:hideMark/>
          </w:tcPr>
          <w:p w14:paraId="56A351C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Licensing systems</w:t>
            </w:r>
          </w:p>
        </w:tc>
        <w:tc>
          <w:tcPr>
            <w:tcW w:w="3915" w:type="pct"/>
            <w:tcBorders>
              <w:top w:val="nil"/>
              <w:left w:val="nil"/>
              <w:bottom w:val="single" w:sz="4" w:space="0" w:color="auto"/>
              <w:right w:val="single" w:sz="4" w:space="0" w:color="auto"/>
            </w:tcBorders>
            <w:shd w:val="clear" w:color="auto" w:fill="auto"/>
            <w:vAlign w:val="center"/>
            <w:hideMark/>
          </w:tcPr>
          <w:p w14:paraId="5284D04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it was prepared to approve project proposals for the development of implementation of licensing schemes. In that process, the Secretariat would be requested, in each case, to seek information from countries on the status of their ratification of the Montreal Amendment, as well as whether they had a licensing system in place, and to report such information to the Executive Committee</w:t>
            </w:r>
          </w:p>
        </w:tc>
      </w:tr>
      <w:tr w:rsidR="00192E3D" w:rsidRPr="00B22ECC" w14:paraId="53DF286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E754D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32/28</w:t>
            </w:r>
          </w:p>
        </w:tc>
        <w:tc>
          <w:tcPr>
            <w:tcW w:w="626" w:type="pct"/>
            <w:tcBorders>
              <w:top w:val="nil"/>
              <w:left w:val="nil"/>
              <w:bottom w:val="single" w:sz="4" w:space="0" w:color="auto"/>
              <w:right w:val="single" w:sz="4" w:space="0" w:color="auto"/>
            </w:tcBorders>
            <w:shd w:val="clear" w:color="auto" w:fill="auto"/>
            <w:vAlign w:val="center"/>
            <w:hideMark/>
          </w:tcPr>
          <w:p w14:paraId="37AEC42D"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46A8C6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project proposals for incentive programmes to encourage retrofitting of refrigeration equipment could be submitted within an RMP, on the understanding that, where the project was to make use of the 50 per cent additional funding for an existing RMP available under Decision 31/48: (a) the Implementing Agency concerned should consult with the country and all other agencies implementing components of the RMP; (b) the country concerned was fully informed about all the investment and non-investment activities which might be available; (c) the timing of the proposed activity was appropriate for the country’s circumstances.</w:t>
            </w:r>
          </w:p>
        </w:tc>
      </w:tr>
      <w:tr w:rsidR="00192E3D" w:rsidRPr="00B22ECC" w14:paraId="59716C2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31E86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32/9</w:t>
            </w:r>
          </w:p>
        </w:tc>
        <w:tc>
          <w:tcPr>
            <w:tcW w:w="626" w:type="pct"/>
            <w:tcBorders>
              <w:top w:val="nil"/>
              <w:left w:val="nil"/>
              <w:bottom w:val="single" w:sz="4" w:space="0" w:color="auto"/>
              <w:right w:val="single" w:sz="4" w:space="0" w:color="auto"/>
            </w:tcBorders>
            <w:shd w:val="clear" w:color="auto" w:fill="auto"/>
            <w:vAlign w:val="center"/>
            <w:hideMark/>
          </w:tcPr>
          <w:p w14:paraId="351829F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7B0DBF5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having considered the report on evaluation of training projects decided to adopt the recommendations contained in Annex IX.5.</w:t>
            </w:r>
          </w:p>
        </w:tc>
      </w:tr>
      <w:tr w:rsidR="00192E3D" w:rsidRPr="00B22ECC" w14:paraId="72A366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F4FEDF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33/13</w:t>
            </w:r>
          </w:p>
        </w:tc>
        <w:tc>
          <w:tcPr>
            <w:tcW w:w="626" w:type="pct"/>
            <w:tcBorders>
              <w:top w:val="nil"/>
              <w:left w:val="nil"/>
              <w:bottom w:val="single" w:sz="4" w:space="0" w:color="auto"/>
              <w:right w:val="single" w:sz="4" w:space="0" w:color="auto"/>
            </w:tcBorders>
            <w:shd w:val="clear" w:color="auto" w:fill="auto"/>
            <w:vAlign w:val="center"/>
            <w:hideMark/>
          </w:tcPr>
          <w:p w14:paraId="6868DA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Funding of updates of RMPs</w:t>
            </w:r>
          </w:p>
        </w:tc>
        <w:tc>
          <w:tcPr>
            <w:tcW w:w="3915" w:type="pct"/>
            <w:tcBorders>
              <w:top w:val="nil"/>
              <w:left w:val="nil"/>
              <w:bottom w:val="single" w:sz="4" w:space="0" w:color="auto"/>
              <w:right w:val="single" w:sz="4" w:space="0" w:color="auto"/>
            </w:tcBorders>
            <w:shd w:val="clear" w:color="auto" w:fill="auto"/>
            <w:vAlign w:val="center"/>
            <w:hideMark/>
          </w:tcPr>
          <w:p w14:paraId="1997E11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proposals to update refrigerant management plans should be in conformity with decision 31/48 and should be accompanied by: (i) a progress report from Implementing Agencies on the status of work being undertaken in the projects approved as part of the refrigerant management plan; and (ii) a written justification from countries for additional activities, explaining how the additional activities were related to the refrigerant management plan and the country’s phase-out commitments. (b) the level of funding of such requests could be up to 50 per cent of the level of funding approved prior to the Thirty-first Meeting for the preparation of the original refrigerant management plan; (c) approval of the additional funding would be contingent on submission of the progress reports and the written justification referred to above.</w:t>
            </w:r>
          </w:p>
        </w:tc>
      </w:tr>
      <w:tr w:rsidR="00192E3D" w:rsidRPr="00B22ECC" w14:paraId="421ABE0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18E149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33/49</w:t>
            </w:r>
          </w:p>
        </w:tc>
        <w:tc>
          <w:tcPr>
            <w:tcW w:w="626" w:type="pct"/>
            <w:tcBorders>
              <w:top w:val="nil"/>
              <w:left w:val="nil"/>
              <w:bottom w:val="single" w:sz="4" w:space="0" w:color="auto"/>
              <w:right w:val="single" w:sz="4" w:space="0" w:color="auto"/>
            </w:tcBorders>
            <w:shd w:val="clear" w:color="auto" w:fill="auto"/>
            <w:vAlign w:val="center"/>
            <w:hideMark/>
          </w:tcPr>
          <w:p w14:paraId="42B92DB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551C84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Having considered the recommendation of the Sub-Committee on Project Review (UNEP/OzL.Pro/ExCom/33/17, paras. 87 and 88), the Executive Committee decided: (a) To invite members to provide comments in writing to the Secretariat on the draft prerequisites and guidelines, as contained in document UNEP/OzL.Pro/ExCom/33/25, for compilation and presentation to the Executive Committee at a future meeting; (b) To use the current draft prerequisites and guidelines, as contained in Annex VII to the present report, in a flexible manner, on a case-by-case basis, for consideration of terminal phase-out proposals related to pending requests to be submitted to future meetings of the Executive Committee.</w:t>
            </w:r>
          </w:p>
        </w:tc>
      </w:tr>
      <w:tr w:rsidR="00192E3D" w:rsidRPr="00B22ECC" w14:paraId="318963F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FA1D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33/51</w:t>
            </w:r>
          </w:p>
        </w:tc>
        <w:tc>
          <w:tcPr>
            <w:tcW w:w="626" w:type="pct"/>
            <w:tcBorders>
              <w:top w:val="nil"/>
              <w:left w:val="nil"/>
              <w:bottom w:val="single" w:sz="4" w:space="0" w:color="auto"/>
              <w:right w:val="single" w:sz="4" w:space="0" w:color="auto"/>
            </w:tcBorders>
            <w:shd w:val="clear" w:color="auto" w:fill="auto"/>
            <w:vAlign w:val="center"/>
            <w:hideMark/>
          </w:tcPr>
          <w:p w14:paraId="1455AE2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36067A2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national customs training for each country should continue to be funded. However, UNEP should look for opportunities to implement regional and sub regional customs training as a cost-effective substitute for national customs training, wherever appropriate, and should look for opportunities to make use of existing regional customs training facilities; (b) in order to reach the large number of customs officers, in the countries concerned in a cost-effective manner, national customs training should be through the “train the trainers” approach and be followed by training of customs officers by trainers; (c) for demonstration purposes, additional sub regional or regional training programmes might be considered for funding where regional trading blocs or trading agreements containing relevant regulatory mechanisms were in place, and after the results of already approved regional and sub regional training programmes had been presented to the Executive Committee for review; (d) regional and sub regional customs training activities and the regional ozone officers networks should be used to conduct outreach to representatives of regional trading blocs and customs associations with a view to encouraging the formation of informal networks for information dissemination and data management.</w:t>
            </w:r>
          </w:p>
        </w:tc>
      </w:tr>
      <w:tr w:rsidR="00192E3D" w:rsidRPr="00B22ECC" w14:paraId="0DE8D1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CDCCB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35/57 (para.112(b)</w:t>
            </w:r>
            <w:r>
              <w:rPr>
                <w:color w:val="000000"/>
                <w:sz w:val="18"/>
                <w:szCs w:val="18"/>
                <w:lang w:eastAsia="en-CA"/>
              </w:rPr>
              <w:t>)</w:t>
            </w:r>
          </w:p>
        </w:tc>
        <w:tc>
          <w:tcPr>
            <w:tcW w:w="626" w:type="pct"/>
            <w:tcBorders>
              <w:top w:val="nil"/>
              <w:left w:val="nil"/>
              <w:bottom w:val="single" w:sz="4" w:space="0" w:color="auto"/>
              <w:right w:val="single" w:sz="4" w:space="0" w:color="auto"/>
            </w:tcBorders>
            <w:shd w:val="clear" w:color="auto" w:fill="auto"/>
            <w:vAlign w:val="center"/>
            <w:hideMark/>
          </w:tcPr>
          <w:p w14:paraId="38340A62"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F7F338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Thirty-fifth Meeting of the Executive Committee also decided that countries shall be provided with country programme update funding that is 75 per cent of the level originally provided to them to do country programmes. Low-volume consuming countries that have done RMPs will be given 50 per cent of the funding provided to develop their original RMP to do RMP updates, but will not be given funding to do country programme updates. New country programmes should, consistent with existing Executive Committee guidelines, continue to include RMPs.</w:t>
            </w:r>
          </w:p>
        </w:tc>
      </w:tr>
      <w:tr w:rsidR="00192E3D" w:rsidRPr="00B22ECC" w14:paraId="4CF0629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C3C1C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35/58</w:t>
            </w:r>
          </w:p>
        </w:tc>
        <w:tc>
          <w:tcPr>
            <w:tcW w:w="626" w:type="pct"/>
            <w:tcBorders>
              <w:top w:val="nil"/>
              <w:left w:val="nil"/>
              <w:bottom w:val="single" w:sz="4" w:space="0" w:color="auto"/>
              <w:right w:val="single" w:sz="4" w:space="0" w:color="auto"/>
            </w:tcBorders>
            <w:shd w:val="clear" w:color="auto" w:fill="auto"/>
            <w:vAlign w:val="center"/>
            <w:hideMark/>
          </w:tcPr>
          <w:p w14:paraId="6BEE32B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2C1C18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In view of the above considerations, the Executive Committee decided at its Thirty-fifth Meeting: (a) to encourage Article 5 countries to take advantage of the opportunity of updating the country programmes to prepare the national strategy for complying with the Montreal Protocol obligations; (b) to provide funding for national efforts in updating the country programme. Taking into consideration Decision 31/48 of the Executive Committee on funding of refrigerant management plans, funding of country programme update should be linked with the funding of RMPs. Specifically: (i) in countries where the remaining controlled substance consumed is confined to CFC refrigeration servicing and the RMP has been funded, updating the country programme/RMP should be accomplished by the countries concerned when requesting the additional funding of 50 per cent of their original RMP funding level. Funding should be provided to enable countries to undertake this exercise; (ii) in countries where the preparation of the RMP or a strategy for the refrigeration sector has been funded and is under way, supplementary funding for country programme update should cover CFC consumption in other sectors and controlled substances other than CFCs; (iii) in countries where the RMP has yet to be prepared, funding of country programme update should be combined with the preparation of the RMP. (c) to request that country programme updating be completed within 12 months, on average, from the time that funding is approved by the Executive Committee; (d) to encourage Article 5 countries to take advantage of the opportunity of updating the country programme to develop performance-based sector-wide or substance-wide phase-out agreements; (e) to adopt the Format for Country Programme Update included in Annex VIII.2 to the present report, which could be augmented by countries according to their strategic planning needs; (f) to invite Implementing Agencies, in finalizing their 2002 business plans, to incorporate to the extent possible, requests for assistance for those Article 5 countries seeking to prepare country programme updates at this time.</w:t>
            </w:r>
          </w:p>
        </w:tc>
      </w:tr>
      <w:tr w:rsidR="00192E3D" w:rsidRPr="00B22ECC" w14:paraId="73F7BD9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0306D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36/14 (b)(c )</w:t>
            </w:r>
          </w:p>
        </w:tc>
        <w:tc>
          <w:tcPr>
            <w:tcW w:w="626" w:type="pct"/>
            <w:tcBorders>
              <w:top w:val="nil"/>
              <w:left w:val="nil"/>
              <w:bottom w:val="single" w:sz="4" w:space="0" w:color="auto"/>
              <w:right w:val="single" w:sz="4" w:space="0" w:color="auto"/>
            </w:tcBorders>
            <w:shd w:val="clear" w:color="auto" w:fill="auto"/>
            <w:vAlign w:val="center"/>
            <w:hideMark/>
          </w:tcPr>
          <w:p w14:paraId="3829FA4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3D72B0D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(b) to remove institutional strengthening, halon banking, customs training, recovery and recycling, and demonstration projects from the list of projects with implementation delays, but to continue to monitor them, as appropriate; (c) to note that the Secretariat and the Implementing Agencies would take actions according to the assessment of status, i.e., progress, some progress, or no progress, as mandated in Decision 34/13.</w:t>
            </w:r>
          </w:p>
        </w:tc>
      </w:tr>
      <w:tr w:rsidR="00192E3D" w:rsidRPr="00B22ECC" w14:paraId="47CCC2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2302E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36/5 (para 38 (f)(ii))</w:t>
            </w:r>
          </w:p>
        </w:tc>
        <w:tc>
          <w:tcPr>
            <w:tcW w:w="626" w:type="pct"/>
            <w:tcBorders>
              <w:top w:val="nil"/>
              <w:left w:val="nil"/>
              <w:bottom w:val="single" w:sz="4" w:space="0" w:color="auto"/>
              <w:right w:val="single" w:sz="4" w:space="0" w:color="auto"/>
            </w:tcBorders>
            <w:shd w:val="clear" w:color="auto" w:fill="auto"/>
            <w:vAlign w:val="center"/>
            <w:hideMark/>
          </w:tcPr>
          <w:p w14:paraId="0D7E7C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487190C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(f) noting that the overall coordination of projects was the responsibility of the country concerned, that: (ii) implementing and bilateral agencies should coordinate among themselves when preparing activities for phase-out of ODS in the servicing sector, with a view to bringing to the Executive Committee one complete national proposal for the servicing sector, in line with the principles and requirements of Decision 31/48 on Refrigerant Management Plans (RMP);</w:t>
            </w:r>
          </w:p>
        </w:tc>
      </w:tr>
      <w:tr w:rsidR="00192E3D" w:rsidRPr="00B22ECC" w14:paraId="76DCA9F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C007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37/19</w:t>
            </w:r>
          </w:p>
        </w:tc>
        <w:tc>
          <w:tcPr>
            <w:tcW w:w="626" w:type="pct"/>
            <w:tcBorders>
              <w:top w:val="nil"/>
              <w:left w:val="nil"/>
              <w:bottom w:val="single" w:sz="4" w:space="0" w:color="auto"/>
              <w:right w:val="single" w:sz="4" w:space="0" w:color="auto"/>
            </w:tcBorders>
            <w:shd w:val="clear" w:color="auto" w:fill="auto"/>
            <w:vAlign w:val="center"/>
            <w:hideMark/>
          </w:tcPr>
          <w:p w14:paraId="39EB06D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08711FC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that, for RMPs in large-volume-consuming countries, interim steps should not be used in performance agreements unless the use of CFCs for manufacturing had been completely phased out, and that the agreement should result in complete phase-out as if it were part of a national CFC phase-out plan or a sector plan.</w:t>
            </w:r>
          </w:p>
        </w:tc>
      </w:tr>
      <w:tr w:rsidR="00192E3D" w:rsidRPr="00B22ECC" w14:paraId="3C881F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A71946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37/70, </w:t>
            </w:r>
            <w:r>
              <w:rPr>
                <w:color w:val="000000"/>
                <w:sz w:val="18"/>
                <w:szCs w:val="18"/>
                <w:lang w:eastAsia="en-CA"/>
              </w:rPr>
              <w:t>(</w:t>
            </w:r>
            <w:r w:rsidRPr="002A5DA8">
              <w:rPr>
                <w:color w:val="000000"/>
                <w:sz w:val="18"/>
                <w:szCs w:val="18"/>
                <w:lang w:eastAsia="en-CA"/>
              </w:rPr>
              <w:t>para. 121 (a))</w:t>
            </w:r>
          </w:p>
        </w:tc>
        <w:tc>
          <w:tcPr>
            <w:tcW w:w="626" w:type="pct"/>
            <w:tcBorders>
              <w:top w:val="nil"/>
              <w:left w:val="nil"/>
              <w:bottom w:val="single" w:sz="4" w:space="0" w:color="auto"/>
              <w:right w:val="single" w:sz="4" w:space="0" w:color="auto"/>
            </w:tcBorders>
            <w:shd w:val="clear" w:color="auto" w:fill="auto"/>
            <w:vAlign w:val="center"/>
            <w:hideMark/>
          </w:tcPr>
          <w:p w14:paraId="42569F9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10342BF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to request the Secretariat, in collaboration with the Implementing Agencies and interested Executive Committee members to prepare a document on the issue of whether RMP activities included in business plans could be submitted as new terminal phase-out management plans if countries requested agencies to do so, taking account of the content of Decision 31/48, for consideration at the 38</w:t>
            </w:r>
            <w:r w:rsidRPr="00B22ECC">
              <w:rPr>
                <w:color w:val="000000"/>
                <w:sz w:val="18"/>
                <w:szCs w:val="18"/>
                <w:vertAlign w:val="superscript"/>
                <w:lang w:eastAsia="en-CA"/>
              </w:rPr>
              <w:t>th</w:t>
            </w:r>
            <w:r w:rsidRPr="00B22ECC">
              <w:rPr>
                <w:color w:val="000000"/>
                <w:sz w:val="18"/>
                <w:szCs w:val="18"/>
                <w:lang w:eastAsia="en-CA"/>
              </w:rPr>
              <w:t xml:space="preserve"> Meeting.</w:t>
            </w:r>
          </w:p>
        </w:tc>
      </w:tr>
      <w:tr w:rsidR="00192E3D" w:rsidRPr="00B22ECC" w14:paraId="1986BA7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D37650A"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612C0B5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37/9</w:t>
            </w:r>
          </w:p>
        </w:tc>
        <w:tc>
          <w:tcPr>
            <w:tcW w:w="626" w:type="pct"/>
            <w:tcBorders>
              <w:top w:val="nil"/>
              <w:left w:val="nil"/>
              <w:bottom w:val="single" w:sz="4" w:space="0" w:color="auto"/>
              <w:right w:val="single" w:sz="4" w:space="0" w:color="auto"/>
            </w:tcBorders>
            <w:shd w:val="clear" w:color="auto" w:fill="auto"/>
            <w:vAlign w:val="center"/>
            <w:hideMark/>
          </w:tcPr>
          <w:p w14:paraId="71BD141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7DB8119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w:t>
            </w:r>
            <w:r w:rsidRPr="00B22ECC">
              <w:rPr>
                <w:color w:val="000000"/>
                <w:sz w:val="18"/>
                <w:szCs w:val="18"/>
                <w:lang w:eastAsia="en-CA"/>
              </w:rPr>
              <w:br/>
              <w:t>(b)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5F1A2F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0AC82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38/38</w:t>
            </w:r>
          </w:p>
        </w:tc>
        <w:tc>
          <w:tcPr>
            <w:tcW w:w="626" w:type="pct"/>
            <w:tcBorders>
              <w:top w:val="nil"/>
              <w:left w:val="nil"/>
              <w:bottom w:val="single" w:sz="4" w:space="0" w:color="auto"/>
              <w:right w:val="single" w:sz="4" w:space="0" w:color="auto"/>
            </w:tcBorders>
            <w:shd w:val="clear" w:color="auto" w:fill="auto"/>
            <w:vAlign w:val="center"/>
            <w:hideMark/>
          </w:tcPr>
          <w:p w14:paraId="5524EFA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Recovery, recycling and </w:t>
            </w:r>
          </w:p>
        </w:tc>
        <w:tc>
          <w:tcPr>
            <w:tcW w:w="3915" w:type="pct"/>
            <w:tcBorders>
              <w:top w:val="nil"/>
              <w:left w:val="nil"/>
              <w:bottom w:val="single" w:sz="4" w:space="0" w:color="auto"/>
              <w:right w:val="single" w:sz="4" w:space="0" w:color="auto"/>
            </w:tcBorders>
            <w:shd w:val="clear" w:color="auto" w:fill="auto"/>
            <w:vAlign w:val="center"/>
            <w:hideMark/>
          </w:tcPr>
          <w:p w14:paraId="050B1A0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Having considered the comments and recommendations of the Sub-Committee on Project Review (UNEP/OzL.Pro/ExCom/38/14, paragraphs 67 and 68), the Executive Committee decided: (a) That in future, in proposing for approval any projects that included a CFC recovery and recycling programme, the implementing agencies would: (i) Examine the possibility of collaboration for leveraging additional financing, for example from the Global Environment Facility (GEF), to fund the acquisition of machinery which could be used for recovery and recycling of both HFCs and CFCs; and (ii) Consistent with previous decisions, not commence the recovery and recycling component of the RMPs until the legislation controlling CFC imports was in place and measures had been taken to ensure that the local market prices of CFCs and non-ODS refrigerants were similar; (b) For projects to phase out CFCs by conversion to HCFC technologies, Governments had officially endorsed the choice of technology and it had been clearly explained to them that no further resources could be requested from the Multilateral Fund for funding any future replacement for the transitional HCFC technology that had been selected. </w:t>
            </w:r>
          </w:p>
        </w:tc>
      </w:tr>
      <w:tr w:rsidR="00192E3D" w:rsidRPr="00B22ECC" w14:paraId="4AE9247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0652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38/64</w:t>
            </w:r>
          </w:p>
        </w:tc>
        <w:tc>
          <w:tcPr>
            <w:tcW w:w="626" w:type="pct"/>
            <w:tcBorders>
              <w:top w:val="nil"/>
              <w:left w:val="nil"/>
              <w:bottom w:val="single" w:sz="4" w:space="0" w:color="auto"/>
              <w:right w:val="single" w:sz="4" w:space="0" w:color="auto"/>
            </w:tcBorders>
            <w:shd w:val="clear" w:color="auto" w:fill="auto"/>
            <w:vAlign w:val="center"/>
            <w:hideMark/>
          </w:tcPr>
          <w:p w14:paraId="7792E28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9090A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 that specific requests for funding of terminal CFC phase-out plans for LVC countries might be considered on a case by case basis, provided that: (a) The country concerned has a licensing system in operation and has enacted or improved legislation to phase-out ODS consumption; (b) The Government concerned is committed to achieve, without further request for funding from the Multilateral Fund, the complete phase out of CFCs in accordance with its obligation under the Montreal Protocol; (c) The Government is committed to annual reporting of progress in implementing the activities proposed and meeting the reduction steps; and (d) Implementing and/or bilateral agency(ies) responsible for implementing the terminal phase-out plan be requested to advise the Government concerned on the financial implications to the country for submitting a terminal phase out plan, and make every effort to assist the Government concerned to achieve phase-out targets specified in the plan.</w:t>
            </w:r>
          </w:p>
        </w:tc>
      </w:tr>
      <w:tr w:rsidR="00192E3D" w:rsidRPr="00B22ECC" w14:paraId="6E338C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27E31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39/16</w:t>
            </w:r>
          </w:p>
        </w:tc>
        <w:tc>
          <w:tcPr>
            <w:tcW w:w="626" w:type="pct"/>
            <w:tcBorders>
              <w:top w:val="nil"/>
              <w:left w:val="nil"/>
              <w:bottom w:val="single" w:sz="4" w:space="0" w:color="auto"/>
              <w:right w:val="single" w:sz="4" w:space="0" w:color="auto"/>
            </w:tcBorders>
            <w:shd w:val="clear" w:color="auto" w:fill="auto"/>
            <w:vAlign w:val="center"/>
            <w:hideMark/>
          </w:tcPr>
          <w:p w14:paraId="2E407DC4"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B25A4E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Thirty-ninth Meeting of the Executive Committee decided: (a) to request agencies to coordinate their project preparation requests associated with RMPs or RMP updates so that the total funding sought remained within the limits established by the guidelines in Decision 31/48; (b) to require, with the first project preparation request, nomination of all the agencies that would be involved in the RMP and the lead agency that would be responsible for overall RMP implementation, including its phase-out objectives, and for reporting on overall progress and on achievement. However, in order to be consistent with the country-driven approach, a country would be entitled to change the agency responsible or request additional support from another agency (within the limits of the approved financing), with the Secretariat then being notified of such changes.</w:t>
            </w:r>
          </w:p>
        </w:tc>
      </w:tr>
      <w:tr w:rsidR="00192E3D" w:rsidRPr="00B22ECC" w14:paraId="0240A16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AAB9E5B"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34E6E59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40/7</w:t>
            </w:r>
          </w:p>
        </w:tc>
        <w:tc>
          <w:tcPr>
            <w:tcW w:w="626" w:type="pct"/>
            <w:tcBorders>
              <w:top w:val="nil"/>
              <w:left w:val="nil"/>
              <w:bottom w:val="single" w:sz="4" w:space="0" w:color="auto"/>
              <w:right w:val="single" w:sz="4" w:space="0" w:color="auto"/>
            </w:tcBorders>
            <w:shd w:val="clear" w:color="auto" w:fill="auto"/>
            <w:vAlign w:val="center"/>
            <w:hideMark/>
          </w:tcPr>
          <w:p w14:paraId="1902DE9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Reorient the approach to RMPs to facilitate compliance</w:t>
            </w:r>
          </w:p>
        </w:tc>
        <w:tc>
          <w:tcPr>
            <w:tcW w:w="3915" w:type="pct"/>
            <w:tcBorders>
              <w:top w:val="nil"/>
              <w:left w:val="nil"/>
              <w:bottom w:val="single" w:sz="4" w:space="0" w:color="auto"/>
              <w:right w:val="single" w:sz="4" w:space="0" w:color="auto"/>
            </w:tcBorders>
            <w:shd w:val="clear" w:color="auto" w:fill="auto"/>
            <w:vAlign w:val="center"/>
            <w:hideMark/>
          </w:tcPr>
          <w:p w14:paraId="1E21658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Fortieth Meeting of the Executive Committee decided to set up an open ended working group to discuss, in the margins of the 41st Meeting of the Executive Committee, ways to reorient the approach to RMPs to better facilitate compliance, with members chosen from both the Sub Committee on Project Review and the Sub-Committee on Monitoring, Evaluation and Finance as well as representatives of the Implementing Agencies.</w:t>
            </w:r>
          </w:p>
        </w:tc>
      </w:tr>
      <w:tr w:rsidR="00192E3D" w:rsidRPr="00B22ECC" w14:paraId="4B8C31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47C5F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41/100</w:t>
            </w:r>
          </w:p>
        </w:tc>
        <w:tc>
          <w:tcPr>
            <w:tcW w:w="626" w:type="pct"/>
            <w:tcBorders>
              <w:top w:val="nil"/>
              <w:left w:val="nil"/>
              <w:bottom w:val="single" w:sz="4" w:space="0" w:color="auto"/>
              <w:right w:val="single" w:sz="4" w:space="0" w:color="auto"/>
            </w:tcBorders>
            <w:shd w:val="clear" w:color="auto" w:fill="auto"/>
            <w:vAlign w:val="center"/>
            <w:hideMark/>
          </w:tcPr>
          <w:p w14:paraId="32725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67232D4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a discussion, in recognition of the fact that in certain cases Article 5 countries needed flexibility in implementing refrigerant management plans in order to reflect changing circumstances, the Executive Committee decided: (a) To recommend that bilateral and implementing agencies, in collaboration with Article 5 countries preparing and implementing refrigerant management plans, be given flexibility, within historically agreed funding levels, to implement refrigerant management plan components that are adapted to meet the specific needs of relevant Article 5 countries, and that planned changes to project activities be clearly documented and available for future monitoring and evaluation in accordance with Fund rules; and (b) That in developing appropriate interventions, Article 5 countries and bilateral and implementing agencies should give consideration to: (i) Concentrating support on the development of legislation and coordination mechanisms with industry, where these are not yet in place, and on further training programmes for refrigeration technicians and customs officers, using existing national capacities and providing expert support and resources such as equipment and tools required; this should also include efforts to raise awareness of the value of skilled technicians for end users and for stakeholders; (ii) Also concentrating recovery and reuse of CFC on large-size commercial and industrial installations and mobile air conditioner (MAC) sectors, if significant numbers of CFC-12 based systems still exist and the availability of CFC is strongly reduced by the adoption of effective import control measures; (iii) Further exploring possibilities for facilitating cost-effective retrofitting and/or use of drop-in substitutes, possibly through incentive programmes; (iv)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and d. ensuring that adequate follow-up service and information are available to keep the recovery and recycling equipment in service; and (v)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for in Decision 31/48, and sufficient additional resources should be made available to allow for such follow-up and reporting work</w:t>
            </w:r>
          </w:p>
        </w:tc>
      </w:tr>
      <w:tr w:rsidR="00192E3D" w:rsidRPr="00B22ECC" w14:paraId="195A26E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C6062F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41/5, </w:t>
            </w:r>
            <w:r>
              <w:rPr>
                <w:color w:val="000000"/>
                <w:sz w:val="18"/>
                <w:szCs w:val="18"/>
                <w:lang w:eastAsia="en-CA"/>
              </w:rPr>
              <w:t>(</w:t>
            </w:r>
            <w:r w:rsidRPr="002A5DA8">
              <w:rPr>
                <w:color w:val="000000"/>
                <w:sz w:val="18"/>
                <w:szCs w:val="18"/>
                <w:lang w:eastAsia="en-CA"/>
              </w:rPr>
              <w:t>para. 36(a))</w:t>
            </w:r>
          </w:p>
        </w:tc>
        <w:tc>
          <w:tcPr>
            <w:tcW w:w="626" w:type="pct"/>
            <w:tcBorders>
              <w:top w:val="nil"/>
              <w:left w:val="nil"/>
              <w:bottom w:val="single" w:sz="4" w:space="0" w:color="auto"/>
              <w:right w:val="single" w:sz="4" w:space="0" w:color="auto"/>
            </w:tcBorders>
            <w:shd w:val="clear" w:color="auto" w:fill="auto"/>
            <w:vAlign w:val="center"/>
            <w:hideMark/>
          </w:tcPr>
          <w:p w14:paraId="78C071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Final report on the evaluation of the implementation of RMPs</w:t>
            </w:r>
          </w:p>
        </w:tc>
        <w:tc>
          <w:tcPr>
            <w:tcW w:w="3915" w:type="pct"/>
            <w:tcBorders>
              <w:top w:val="nil"/>
              <w:left w:val="nil"/>
              <w:bottom w:val="single" w:sz="4" w:space="0" w:color="auto"/>
              <w:right w:val="single" w:sz="4" w:space="0" w:color="auto"/>
            </w:tcBorders>
            <w:shd w:val="clear" w:color="auto" w:fill="auto"/>
            <w:vAlign w:val="center"/>
            <w:hideMark/>
          </w:tcPr>
          <w:p w14:paraId="09D3B1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Forty-first Meeting of the Executive Committee decided to note the information provided in document UNEP/OzL.Pro/ExCom/41/7.</w:t>
            </w:r>
          </w:p>
        </w:tc>
      </w:tr>
      <w:tr w:rsidR="00192E3D" w:rsidRPr="00B22ECC" w14:paraId="5899E84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2931C5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44/63</w:t>
            </w:r>
          </w:p>
        </w:tc>
        <w:tc>
          <w:tcPr>
            <w:tcW w:w="626" w:type="pct"/>
            <w:tcBorders>
              <w:top w:val="nil"/>
              <w:left w:val="nil"/>
              <w:bottom w:val="single" w:sz="4" w:space="0" w:color="auto"/>
              <w:right w:val="single" w:sz="4" w:space="0" w:color="auto"/>
            </w:tcBorders>
            <w:shd w:val="clear" w:color="auto" w:fill="auto"/>
            <w:vAlign w:val="center"/>
            <w:hideMark/>
          </w:tcPr>
          <w:p w14:paraId="50B25CA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relating to collection, recovery, recycling and destruction of ODSs</w:t>
            </w:r>
          </w:p>
        </w:tc>
        <w:tc>
          <w:tcPr>
            <w:tcW w:w="3915" w:type="pct"/>
            <w:tcBorders>
              <w:top w:val="nil"/>
              <w:left w:val="nil"/>
              <w:bottom w:val="single" w:sz="4" w:space="0" w:color="auto"/>
              <w:right w:val="single" w:sz="4" w:space="0" w:color="auto"/>
            </w:tcBorders>
            <w:shd w:val="clear" w:color="auto" w:fill="auto"/>
            <w:vAlign w:val="center"/>
            <w:hideMark/>
          </w:tcPr>
          <w:p w14:paraId="6599CEA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Forty-fourth Meeting of the Executive Committee recalling decision IV/18 by which the Meeting of the Parties identified, as agreed incremental costs for illustration, the cost of collection, recovery, recycling, and, if cost effective, destruction of ozone-depleting substances, recalling also that decision IV/11 facilitated access to and transfer of approved destruction technologies in accordance with Article 10 of the Protocol, together with provision for financial support under Article 10 of the Protocol for the Parties operating under paragraph 1 of Article 5, noting that decision IV/24 urged the Parties to take all practicable measures to prevent releases of controlled substances into the atmosphere, including, inter alia, the recovery of controlled substances for the purposes of recycling, reclamation or destruction and the destruction of unneeded ozone-depleting substances where economically feasible and environmentally appropriate, noting that decision X/7 requested the Parties to consider promoting appropriate measures to ensure the environmentally safe and effective recovery, storage, management and destruction of halons in preparing halon management strategies, mindful that the Technology and Economic Assessment Panel Task Force on Collection, Recovery and Storage, in its 2002 report, pursuant to decision XII/8, had concluded that the collection, recovery and storage of ozone-depleting substances was technically feasible and economically viable, recognizing that several million ODP tonnes of ozone-depleting substances were estimated to have been installed in equipment and as foams in 2002, according to the report of the Task Force, and were likely to be released into the atmosphere if preventive measures were not taken, decided: (a) to request the Secretariat to collect existing guidelines relating to collection, recovery, recycling and destruction of ozone-depleting substances in the light of paragraph 6 of decision IV/18 of the Meeting of the Parties on the indicative list of categories of incremental costs and to report its findings to the 46th Meeting of the Executive Committee; and (b) to consider whether to elaborate further guidelines for the funding of projects for the collection, recovery, recycling and destruction of ozone-depleting substances while ensuring economically feasible and environmentally appropriate management of ozone-depleting substances at the 46th Meeting on the basis of the report of the Secretariat.</w:t>
            </w:r>
          </w:p>
        </w:tc>
      </w:tr>
      <w:tr w:rsidR="00192E3D" w:rsidRPr="00B22ECC" w14:paraId="40AF39D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370150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45/10</w:t>
            </w:r>
          </w:p>
        </w:tc>
        <w:tc>
          <w:tcPr>
            <w:tcW w:w="626" w:type="pct"/>
            <w:tcBorders>
              <w:top w:val="nil"/>
              <w:left w:val="nil"/>
              <w:bottom w:val="single" w:sz="4" w:space="0" w:color="auto"/>
              <w:right w:val="single" w:sz="4" w:space="0" w:color="auto"/>
            </w:tcBorders>
            <w:shd w:val="clear" w:color="auto" w:fill="auto"/>
            <w:vAlign w:val="center"/>
            <w:hideMark/>
          </w:tcPr>
          <w:p w14:paraId="1DE37A5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customs officers training and licensing systems projects</w:t>
            </w:r>
          </w:p>
        </w:tc>
        <w:tc>
          <w:tcPr>
            <w:tcW w:w="3915" w:type="pct"/>
            <w:tcBorders>
              <w:top w:val="nil"/>
              <w:left w:val="nil"/>
              <w:bottom w:val="single" w:sz="4" w:space="0" w:color="auto"/>
              <w:right w:val="single" w:sz="4" w:space="0" w:color="auto"/>
            </w:tcBorders>
            <w:shd w:val="clear" w:color="auto" w:fill="auto"/>
            <w:vAlign w:val="center"/>
            <w:hideMark/>
          </w:tcPr>
          <w:p w14:paraId="3AD962C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Forty-fifth Meeting of the Executive Committee decided: (a) to take note of the report on the evaluation of customs officers training and licensing system projects contained in document UNEP/OzL.Pro/ExCom/45/11, including the recommendations in Section V of the document; (b) to request the Senior Monitoring and Evaluation Officer to revise the language of the recommendations to make them less prescriptive and more general and to include a section on conclusions; (c) to request the Secretariat: (i) to draft a covering note, for submission to the Parties, reflecting the comments on the report made by members of the Executive Committee at the 45</w:t>
            </w:r>
            <w:r w:rsidRPr="00B22ECC">
              <w:rPr>
                <w:color w:val="000000"/>
                <w:sz w:val="18"/>
                <w:szCs w:val="18"/>
                <w:vertAlign w:val="superscript"/>
                <w:lang w:eastAsia="en-CA"/>
              </w:rPr>
              <w:t>th</w:t>
            </w:r>
            <w:r w:rsidRPr="00B22ECC">
              <w:rPr>
                <w:color w:val="000000"/>
                <w:sz w:val="18"/>
                <w:szCs w:val="18"/>
                <w:lang w:eastAsia="en-CA"/>
              </w:rPr>
              <w:t xml:space="preserve"> Meeting, to which the revised report would be annexed; (ii) to post a revised version of the report on its intranet to enable the members to review the text and send in their comments; and (iii) to submit the revised report and the covering note, after approval by the Chair of the Executive Committee, to the 25th Meeting of the Open-ended Working Group.</w:t>
            </w:r>
          </w:p>
        </w:tc>
      </w:tr>
      <w:tr w:rsidR="00192E3D" w:rsidRPr="00B22ECC" w14:paraId="1CB1897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D4AED3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45/54</w:t>
            </w:r>
          </w:p>
        </w:tc>
        <w:tc>
          <w:tcPr>
            <w:tcW w:w="626" w:type="pct"/>
            <w:tcBorders>
              <w:top w:val="nil"/>
              <w:left w:val="nil"/>
              <w:bottom w:val="single" w:sz="4" w:space="0" w:color="auto"/>
              <w:right w:val="single" w:sz="4" w:space="0" w:color="auto"/>
            </w:tcBorders>
            <w:shd w:val="clear" w:color="auto" w:fill="auto"/>
            <w:vAlign w:val="center"/>
            <w:hideMark/>
          </w:tcPr>
          <w:p w14:paraId="5E7BE18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186C902" w14:textId="77777777" w:rsidR="00192E3D" w:rsidRDefault="00192E3D" w:rsidP="00B44FB0">
            <w:pPr>
              <w:contextualSpacing/>
              <w:rPr>
                <w:color w:val="000000"/>
                <w:sz w:val="18"/>
                <w:szCs w:val="18"/>
                <w:lang w:eastAsia="en-CA"/>
              </w:rPr>
            </w:pPr>
            <w:r w:rsidRPr="00B22ECC">
              <w:rPr>
                <w:color w:val="000000"/>
                <w:sz w:val="18"/>
                <w:szCs w:val="18"/>
                <w:lang w:eastAsia="en-CA"/>
              </w:rPr>
              <w:t>Following a discussion on the need to provide assistance to low-volume-consuming countries for the post-2007 period, the Executive Committee decided: (a) To urge bilateral and/or implementing agencies on behalf of low volume consuming countries without an approved terminal phase out management plan (TPMP) to submit TPMP proposals, on the understanding that: (i) TPMP project proposals should be in conformity with all relevant decisions taken by the Executive Committee; (ii) TPMP project proposals should contain, as a minimum, a commitment by the government concerned to the phased reduction and complete phase-out of the consumption of CFCs in the country according to a specific phase out schedule, which was at a minimum consistent with the Montreal Protocol’s control measures; (iii) No additional resources would be requested from the Multilateral Fund or bilateral and/or implementing agencies for activities related to the phase out of CFCs and other ODS where applicable; (iv) The government concerned would have flexibility in utilizing the resources available to address specific needs that might arise during project implementation to facilitate the smoothest possible phase-out of ODS; (v) Annual reporting on the implementation of the activities undertaken in the previous year, as well as a thorough and comprehensive work plan for the implementation of the following year’s activities, would be mandatory; and (vi) The roles and responsibilities of the major national stakeholders, as well as the lead implementing agency and the cooperating agencies when applicable, must be defined; (b) That additional funding of up to US $30,000 could be requested for the preparation of a TPMP proposal on the understanding that up to US $10,000 of this funding could be earmarked for the bilateral and/or implementing agencies to report on the implementation and impact of the approved recovery and recycling programme, where applicable, and that this report should be integrated within the resulting TPMP proposal; (c) That future TPMP proposals for the post-2007 period might include requests for funding up to the levels indicated in the table below, on the understanding that individual project proposals would still need to demonstrate that the funding level was necessary to achieve complete phase-out of CFCs.  Up to 20 per cent of approved funds should be used by the bilateral or implementing agency and/or country concerned to ensure comprehensive annual monitoring and reporting of the TPMP, including the re</w:t>
            </w:r>
            <w:r>
              <w:rPr>
                <w:color w:val="000000"/>
                <w:sz w:val="18"/>
                <w:szCs w:val="18"/>
                <w:lang w:eastAsia="en-CA"/>
              </w:rPr>
              <w:t>covery and recycling programme:</w:t>
            </w:r>
          </w:p>
          <w:p w14:paraId="3ADA45F1" w14:textId="77777777" w:rsidR="00192E3D" w:rsidRDefault="00192E3D" w:rsidP="00B44FB0">
            <w:pPr>
              <w:contextualSpacing/>
              <w:rPr>
                <w:b/>
                <w:bCs/>
                <w:color w:val="000000"/>
                <w:sz w:val="18"/>
                <w:szCs w:val="18"/>
                <w:lang w:eastAsia="en-CA"/>
              </w:rPr>
            </w:pPr>
          </w:p>
          <w:tbl>
            <w:tblPr>
              <w:tblStyle w:val="TableGrid"/>
              <w:tblW w:w="0" w:type="auto"/>
              <w:tblInd w:w="2313" w:type="dxa"/>
              <w:tblLayout w:type="fixed"/>
              <w:tblLook w:val="04A0" w:firstRow="1" w:lastRow="0" w:firstColumn="1" w:lastColumn="0" w:noHBand="0" w:noVBand="1"/>
            </w:tblPr>
            <w:tblGrid>
              <w:gridCol w:w="2680"/>
              <w:gridCol w:w="2680"/>
            </w:tblGrid>
            <w:tr w:rsidR="00192E3D" w14:paraId="2BEAA4CF" w14:textId="77777777" w:rsidTr="00B44FB0">
              <w:trPr>
                <w:trHeight w:val="252"/>
              </w:trPr>
              <w:tc>
                <w:tcPr>
                  <w:tcW w:w="2680" w:type="dxa"/>
                </w:tcPr>
                <w:p w14:paraId="62B9FDD3"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CFC baseline(ODP tonnes)</w:t>
                  </w:r>
                </w:p>
              </w:tc>
              <w:tc>
                <w:tcPr>
                  <w:tcW w:w="2680" w:type="dxa"/>
                </w:tcPr>
                <w:p w14:paraId="144B683D"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Funding level (US $)</w:t>
                  </w:r>
                </w:p>
              </w:tc>
            </w:tr>
            <w:tr w:rsidR="00192E3D" w14:paraId="19644FC7" w14:textId="77777777" w:rsidTr="00B44FB0">
              <w:trPr>
                <w:trHeight w:val="241"/>
              </w:trPr>
              <w:tc>
                <w:tcPr>
                  <w:tcW w:w="2680" w:type="dxa"/>
                </w:tcPr>
                <w:p w14:paraId="63C158F6" w14:textId="77777777" w:rsidR="00192E3D" w:rsidRDefault="00192E3D" w:rsidP="00B44FB0">
                  <w:pPr>
                    <w:contextualSpacing/>
                    <w:rPr>
                      <w:b/>
                      <w:bCs/>
                      <w:color w:val="000000"/>
                      <w:sz w:val="18"/>
                      <w:szCs w:val="18"/>
                      <w:lang w:eastAsia="en-CA"/>
                    </w:rPr>
                  </w:pPr>
                  <w:r w:rsidRPr="00B22ECC">
                    <w:rPr>
                      <w:color w:val="000000"/>
                      <w:sz w:val="18"/>
                      <w:szCs w:val="18"/>
                      <w:lang w:eastAsia="en-CA"/>
                    </w:rPr>
                    <w:t>&lt;15</w:t>
                  </w:r>
                </w:p>
              </w:tc>
              <w:tc>
                <w:tcPr>
                  <w:tcW w:w="2680" w:type="dxa"/>
                </w:tcPr>
                <w:p w14:paraId="0B7EC550"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205,000</w:t>
                  </w:r>
                </w:p>
              </w:tc>
            </w:tr>
            <w:tr w:rsidR="00192E3D" w14:paraId="17B7D9D3" w14:textId="77777777" w:rsidTr="00B44FB0">
              <w:trPr>
                <w:trHeight w:val="252"/>
              </w:trPr>
              <w:tc>
                <w:tcPr>
                  <w:tcW w:w="2680" w:type="dxa"/>
                </w:tcPr>
                <w:p w14:paraId="3855443C" w14:textId="77777777" w:rsidR="00192E3D" w:rsidRDefault="00192E3D" w:rsidP="00B44FB0">
                  <w:pPr>
                    <w:contextualSpacing/>
                    <w:rPr>
                      <w:b/>
                      <w:bCs/>
                      <w:color w:val="000000"/>
                      <w:sz w:val="18"/>
                      <w:szCs w:val="18"/>
                      <w:lang w:eastAsia="en-CA"/>
                    </w:rPr>
                  </w:pPr>
                  <w:r w:rsidRPr="00B22ECC">
                    <w:rPr>
                      <w:color w:val="000000"/>
                      <w:sz w:val="18"/>
                      <w:szCs w:val="18"/>
                      <w:lang w:eastAsia="en-CA"/>
                    </w:rPr>
                    <w:t>15 to 30</w:t>
                  </w:r>
                </w:p>
              </w:tc>
              <w:tc>
                <w:tcPr>
                  <w:tcW w:w="2680" w:type="dxa"/>
                </w:tcPr>
                <w:p w14:paraId="3A277B7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295,000</w:t>
                  </w:r>
                </w:p>
              </w:tc>
            </w:tr>
            <w:tr w:rsidR="00192E3D" w14:paraId="79F62C11" w14:textId="77777777" w:rsidTr="00B44FB0">
              <w:trPr>
                <w:trHeight w:val="241"/>
              </w:trPr>
              <w:tc>
                <w:tcPr>
                  <w:tcW w:w="2680" w:type="dxa"/>
                </w:tcPr>
                <w:p w14:paraId="032C2E7A" w14:textId="77777777" w:rsidR="00192E3D" w:rsidRDefault="00192E3D" w:rsidP="00B44FB0">
                  <w:pPr>
                    <w:contextualSpacing/>
                    <w:rPr>
                      <w:b/>
                      <w:bCs/>
                      <w:color w:val="000000"/>
                      <w:sz w:val="18"/>
                      <w:szCs w:val="18"/>
                      <w:lang w:eastAsia="en-CA"/>
                    </w:rPr>
                  </w:pPr>
                  <w:r w:rsidRPr="00B22ECC">
                    <w:rPr>
                      <w:color w:val="000000"/>
                      <w:sz w:val="18"/>
                      <w:szCs w:val="18"/>
                      <w:lang w:eastAsia="en-CA"/>
                    </w:rPr>
                    <w:t>30 to 60</w:t>
                  </w:r>
                </w:p>
              </w:tc>
              <w:tc>
                <w:tcPr>
                  <w:tcW w:w="2680" w:type="dxa"/>
                </w:tcPr>
                <w:p w14:paraId="50FFA1FC"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345,000</w:t>
                  </w:r>
                </w:p>
              </w:tc>
            </w:tr>
            <w:tr w:rsidR="00192E3D" w14:paraId="28FFE3C4" w14:textId="77777777" w:rsidTr="00B44FB0">
              <w:trPr>
                <w:trHeight w:val="252"/>
              </w:trPr>
              <w:tc>
                <w:tcPr>
                  <w:tcW w:w="2680" w:type="dxa"/>
                </w:tcPr>
                <w:p w14:paraId="7405921E" w14:textId="77777777" w:rsidR="00192E3D" w:rsidRDefault="00192E3D" w:rsidP="00B44FB0">
                  <w:pPr>
                    <w:contextualSpacing/>
                    <w:rPr>
                      <w:b/>
                      <w:bCs/>
                      <w:color w:val="000000"/>
                      <w:sz w:val="18"/>
                      <w:szCs w:val="18"/>
                      <w:lang w:eastAsia="en-CA"/>
                    </w:rPr>
                  </w:pPr>
                  <w:r w:rsidRPr="00B22ECC">
                    <w:rPr>
                      <w:color w:val="000000"/>
                      <w:sz w:val="18"/>
                      <w:szCs w:val="18"/>
                      <w:lang w:eastAsia="en-CA"/>
                    </w:rPr>
                    <w:t>60 to 120</w:t>
                  </w:r>
                </w:p>
              </w:tc>
              <w:tc>
                <w:tcPr>
                  <w:tcW w:w="2680" w:type="dxa"/>
                </w:tcPr>
                <w:p w14:paraId="14C3722D"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520,000</w:t>
                  </w:r>
                </w:p>
              </w:tc>
            </w:tr>
            <w:tr w:rsidR="00192E3D" w14:paraId="776B9449" w14:textId="77777777" w:rsidTr="00B44FB0">
              <w:trPr>
                <w:trHeight w:val="241"/>
              </w:trPr>
              <w:tc>
                <w:tcPr>
                  <w:tcW w:w="2680" w:type="dxa"/>
                </w:tcPr>
                <w:p w14:paraId="7BD1B19D" w14:textId="77777777" w:rsidR="00192E3D" w:rsidRDefault="00192E3D" w:rsidP="00B44FB0">
                  <w:pPr>
                    <w:contextualSpacing/>
                    <w:rPr>
                      <w:b/>
                      <w:bCs/>
                      <w:color w:val="000000"/>
                      <w:sz w:val="18"/>
                      <w:szCs w:val="18"/>
                      <w:lang w:eastAsia="en-CA"/>
                    </w:rPr>
                  </w:pPr>
                  <w:r w:rsidRPr="00B22ECC">
                    <w:rPr>
                      <w:color w:val="000000"/>
                      <w:sz w:val="18"/>
                      <w:szCs w:val="18"/>
                      <w:lang w:eastAsia="en-CA"/>
                    </w:rPr>
                    <w:t>&gt;</w:t>
                  </w:r>
                  <w:r>
                    <w:rPr>
                      <w:color w:val="000000"/>
                      <w:sz w:val="18"/>
                      <w:szCs w:val="18"/>
                      <w:lang w:eastAsia="en-CA"/>
                    </w:rPr>
                    <w:t xml:space="preserve"> </w:t>
                  </w:r>
                  <w:r w:rsidRPr="00B22ECC">
                    <w:rPr>
                      <w:color w:val="000000"/>
                      <w:sz w:val="18"/>
                      <w:szCs w:val="18"/>
                      <w:lang w:eastAsia="en-CA"/>
                    </w:rPr>
                    <w:t>120</w:t>
                  </w:r>
                </w:p>
              </w:tc>
              <w:tc>
                <w:tcPr>
                  <w:tcW w:w="2680" w:type="dxa"/>
                </w:tcPr>
                <w:p w14:paraId="3697C4F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565,000</w:t>
                  </w:r>
                </w:p>
              </w:tc>
            </w:tr>
          </w:tbl>
          <w:p w14:paraId="7524B7F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br/>
              <w:t>(d) To require, on an annual basis, verification of a randomly selected sample of approved TPMPs for low-volume-consuming countries under implementation (i.e., 10 per cent of approved TPMPs).  The costs associated with verification would be added to the relevant work programme of the lead implementing agency; and (e) To approve, on a case-by-case basis, up to US $30,000 for the preparation of a transitional strategy for CFC-MDIs in low-volume-consuming countries where the need for a strategy had been fully demonstrated and documented.</w:t>
            </w:r>
          </w:p>
        </w:tc>
      </w:tr>
      <w:tr w:rsidR="00192E3D" w:rsidRPr="00B22ECC" w14:paraId="4D885C3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F3903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46/17</w:t>
            </w:r>
          </w:p>
        </w:tc>
        <w:tc>
          <w:tcPr>
            <w:tcW w:w="626" w:type="pct"/>
            <w:tcBorders>
              <w:top w:val="nil"/>
              <w:left w:val="nil"/>
              <w:bottom w:val="single" w:sz="4" w:space="0" w:color="auto"/>
              <w:right w:val="single" w:sz="4" w:space="0" w:color="auto"/>
            </w:tcBorders>
            <w:shd w:val="clear" w:color="auto" w:fill="auto"/>
            <w:vAlign w:val="center"/>
            <w:hideMark/>
          </w:tcPr>
          <w:p w14:paraId="57F1779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65857F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Following a discussion, the Executive Committee </w:t>
            </w:r>
            <w:r w:rsidRPr="00B22ECC">
              <w:rPr>
                <w:color w:val="000000"/>
                <w:sz w:val="18"/>
                <w:szCs w:val="18"/>
                <w:u w:val="single"/>
                <w:lang w:eastAsia="en-CA"/>
              </w:rPr>
              <w:t>decided</w:t>
            </w:r>
            <w:r w:rsidRPr="00B22ECC">
              <w:rPr>
                <w:color w:val="000000"/>
                <w:sz w:val="18"/>
                <w:szCs w:val="18"/>
                <w:lang w:eastAsia="en-CA"/>
              </w:rPr>
              <w:t xml:space="preserve">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2DC052F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45A22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46/18, </w:t>
            </w:r>
            <w:r>
              <w:rPr>
                <w:color w:val="000000"/>
                <w:sz w:val="18"/>
                <w:szCs w:val="18"/>
                <w:lang w:eastAsia="en-CA"/>
              </w:rPr>
              <w:t>(</w:t>
            </w:r>
            <w:r w:rsidRPr="002A5DA8">
              <w:rPr>
                <w:color w:val="000000"/>
                <w:sz w:val="18"/>
                <w:szCs w:val="18"/>
                <w:lang w:eastAsia="en-CA"/>
              </w:rPr>
              <w:t>para. 90 (b))</w:t>
            </w:r>
          </w:p>
        </w:tc>
        <w:tc>
          <w:tcPr>
            <w:tcW w:w="626" w:type="pct"/>
            <w:tcBorders>
              <w:top w:val="nil"/>
              <w:left w:val="nil"/>
              <w:bottom w:val="single" w:sz="4" w:space="0" w:color="auto"/>
              <w:right w:val="single" w:sz="4" w:space="0" w:color="auto"/>
            </w:tcBorders>
            <w:shd w:val="clear" w:color="auto" w:fill="auto"/>
            <w:vAlign w:val="center"/>
            <w:hideMark/>
          </w:tcPr>
          <w:p w14:paraId="2169E67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6BC381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3E26D5B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63BF01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46/36</w:t>
            </w:r>
          </w:p>
        </w:tc>
        <w:tc>
          <w:tcPr>
            <w:tcW w:w="626" w:type="pct"/>
            <w:tcBorders>
              <w:top w:val="nil"/>
              <w:left w:val="nil"/>
              <w:bottom w:val="single" w:sz="4" w:space="0" w:color="auto"/>
              <w:right w:val="single" w:sz="4" w:space="0" w:color="auto"/>
            </w:tcBorders>
            <w:shd w:val="clear" w:color="auto" w:fill="auto"/>
            <w:vAlign w:val="center"/>
            <w:hideMark/>
          </w:tcPr>
          <w:p w14:paraId="0476E08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Phase-out agreement: flexibility conditions</w:t>
            </w:r>
          </w:p>
        </w:tc>
        <w:tc>
          <w:tcPr>
            <w:tcW w:w="3915" w:type="pct"/>
            <w:tcBorders>
              <w:top w:val="nil"/>
              <w:left w:val="nil"/>
              <w:bottom w:val="single" w:sz="4" w:space="0" w:color="auto"/>
              <w:right w:val="single" w:sz="4" w:space="0" w:color="auto"/>
            </w:tcBorders>
            <w:shd w:val="clear" w:color="auto" w:fill="auto"/>
            <w:vAlign w:val="center"/>
            <w:hideMark/>
          </w:tcPr>
          <w:p w14:paraId="5F904EA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(a) to note with appreciation the report on the review of guidelines relating to collection, recovery, recycling and destruction of ozone depleting substances in documents UNEP/OzL.Pro/ExCom/46/42 and Corr.1; (b) to request the Secretariat to prepare a paper covering terms of reference, budget and modalities for a study regarding collection, recovery, recycling, reclamation, transportation and destruction of unwanted ODS, taking into account the proposal of Austria and Japan set out in Annex VII.4 to the present report and the comments made at the 46th Meeting of the Executive Committee; and (c) to request the Secretariat to present the paper to the 47th Meeting of the Executive Committee.</w:t>
            </w:r>
          </w:p>
        </w:tc>
      </w:tr>
      <w:tr w:rsidR="00192E3D" w:rsidRPr="00B22ECC" w14:paraId="03D697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E23814" w14:textId="77777777" w:rsidR="00192E3D" w:rsidRPr="003D1825" w:rsidRDefault="00192E3D" w:rsidP="00603C4E">
            <w:pPr>
              <w:contextualSpacing/>
              <w:jc w:val="left"/>
              <w:rPr>
                <w:color w:val="000000"/>
                <w:sz w:val="18"/>
                <w:szCs w:val="18"/>
                <w:lang w:val="pl-PL" w:eastAsia="en-CA"/>
              </w:rPr>
            </w:pPr>
            <w:r w:rsidRPr="003D1825">
              <w:rPr>
                <w:color w:val="000000"/>
                <w:sz w:val="18"/>
                <w:szCs w:val="18"/>
                <w:lang w:val="pl-PL" w:eastAsia="en-CA"/>
              </w:rPr>
              <w:t>ExCom 47/52 (a)(i)(ii)(iii)</w:t>
            </w:r>
          </w:p>
        </w:tc>
        <w:tc>
          <w:tcPr>
            <w:tcW w:w="626" w:type="pct"/>
            <w:tcBorders>
              <w:top w:val="nil"/>
              <w:left w:val="nil"/>
              <w:bottom w:val="single" w:sz="4" w:space="0" w:color="auto"/>
              <w:right w:val="single" w:sz="4" w:space="0" w:color="auto"/>
            </w:tcBorders>
            <w:shd w:val="clear" w:color="auto" w:fill="auto"/>
            <w:vAlign w:val="center"/>
            <w:hideMark/>
          </w:tcPr>
          <w:p w14:paraId="6B8E4C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Collection and disposition of non-reusable and unwanted</w:t>
            </w:r>
            <w:r>
              <w:rPr>
                <w:color w:val="000000"/>
                <w:sz w:val="18"/>
                <w:szCs w:val="18"/>
                <w:lang w:eastAsia="en-CA"/>
              </w:rPr>
              <w:t xml:space="preserve"> </w:t>
            </w:r>
            <w:r w:rsidRPr="002A5DA8">
              <w:rPr>
                <w:color w:val="000000"/>
                <w:sz w:val="18"/>
                <w:szCs w:val="18"/>
                <w:lang w:eastAsia="en-CA"/>
              </w:rPr>
              <w:t>ODS</w:t>
            </w:r>
          </w:p>
        </w:tc>
        <w:tc>
          <w:tcPr>
            <w:tcW w:w="3915" w:type="pct"/>
            <w:tcBorders>
              <w:top w:val="nil"/>
              <w:left w:val="nil"/>
              <w:bottom w:val="single" w:sz="4" w:space="0" w:color="auto"/>
              <w:right w:val="single" w:sz="4" w:space="0" w:color="auto"/>
            </w:tcBorders>
            <w:shd w:val="clear" w:color="auto" w:fill="auto"/>
            <w:vAlign w:val="center"/>
            <w:hideMark/>
          </w:tcPr>
          <w:p w14:paraId="4D1D9B2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Forty-seventh Meeting of the Executive Committee decided: (a) to request the Secretariat: (i) to organize a meeting of experts in Montreal, Canada, from 22 to 24 February 2006 to assess the extent of current and future requirements for the collection and disposition (emissions, export, reclamation and destruction) of non-reusable and unwanted ODS in Article 5 countries; (ii) to recruit consultants to collect and elaborate as many data as possible on unwanted, recoverable, reclaimable, non-reusable and virgin ODS in Article 5 countries for dissemination to participants in the meeting of experts; (iii) to develop, in cooperation with the consultants, a standard format for reporting data on unwanted, recoverable, reclaimable, non-reusable and virgin stockpiled ODS;</w:t>
            </w:r>
          </w:p>
        </w:tc>
      </w:tr>
      <w:tr w:rsidR="00192E3D" w:rsidRPr="00B22ECC" w14:paraId="45CF99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A88F7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48/10</w:t>
            </w:r>
          </w:p>
        </w:tc>
        <w:tc>
          <w:tcPr>
            <w:tcW w:w="626" w:type="pct"/>
            <w:tcBorders>
              <w:top w:val="nil"/>
              <w:left w:val="nil"/>
              <w:bottom w:val="single" w:sz="4" w:space="0" w:color="auto"/>
              <w:right w:val="single" w:sz="4" w:space="0" w:color="auto"/>
            </w:tcBorders>
            <w:shd w:val="clear" w:color="auto" w:fill="auto"/>
            <w:vAlign w:val="center"/>
            <w:hideMark/>
          </w:tcPr>
          <w:p w14:paraId="53800D7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w:t>
            </w:r>
          </w:p>
        </w:tc>
        <w:tc>
          <w:tcPr>
            <w:tcW w:w="3915" w:type="pct"/>
            <w:tcBorders>
              <w:top w:val="nil"/>
              <w:left w:val="nil"/>
              <w:bottom w:val="single" w:sz="4" w:space="0" w:color="auto"/>
              <w:right w:val="single" w:sz="4" w:space="0" w:color="auto"/>
            </w:tcBorders>
            <w:shd w:val="clear" w:color="auto" w:fill="auto"/>
            <w:vAlign w:val="center"/>
            <w:hideMark/>
          </w:tcPr>
          <w:p w14:paraId="7291289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note with appreciation the final report on the intermediate evaluation of refrigerant management plans and national phase-out plans in non-low-volume-consuming countries focusing on the refrigeration servicing sector contained in document UNEP/OzL.Pro/ExCom/48/12; and (b) To request the Senior Monitoring and Evaluation Officer to develop a comprehensive and categorized compendium of recommendations relevant to that evaluation, distinguishing between new recommendations and those that had already been approved by the Executive Committee, and to present that compendium to the 49th Meeting of the Executive Committee.</w:t>
            </w:r>
          </w:p>
        </w:tc>
      </w:tr>
      <w:tr w:rsidR="00192E3D" w:rsidRPr="00B22ECC" w14:paraId="7D97781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4A33B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48/11</w:t>
            </w:r>
          </w:p>
        </w:tc>
        <w:tc>
          <w:tcPr>
            <w:tcW w:w="626" w:type="pct"/>
            <w:tcBorders>
              <w:top w:val="nil"/>
              <w:left w:val="nil"/>
              <w:bottom w:val="single" w:sz="4" w:space="0" w:color="auto"/>
              <w:right w:val="single" w:sz="4" w:space="0" w:color="auto"/>
            </w:tcBorders>
            <w:shd w:val="clear" w:color="auto" w:fill="auto"/>
            <w:vAlign w:val="center"/>
            <w:hideMark/>
          </w:tcPr>
          <w:p w14:paraId="61ADD81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5475BB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Forty-eighth Meeting of the Executive Committee decided: (a) to take note of the recommendations contained in the report of the Executive Committee on the evaluation of customs officers training and licensing system projects to the Twenty fifth Meeting of the Open ended Working Group (follow up to decision XVII/16, paragraph 8, of the Seventeenth Meeting of the Parties to the Montreal Protocol), as contained in document UNEP/OzL.Pro/ExCom/48/13; (b) to submit the recommendations listed under paragraph 8(b) in document UNEP/OzL.Pro/ExCom/48/13, as amended to include the phrase “where feasible” before the words “in cooperation with other relevant government ministries/agencies:” to the Ozone Secretariat in the context of the ongoing studies and discussions on how best to deal with illegal trade in ODS; (c) to request implementing agencies and bilateral agencies to prepare and implement national phase-out plans and terminal phase-out management plans in a manner that would ensure, where feasible, implementation of the recommendations listed under paragraph 8(b), and to implement the recommendations listed under paragraph 8(c) in document UNEP/OzL.Pro/ExCom/48/13; and (d) to request UNEP to implement the recommendations under paragraph 8(d) in document UNEP/OzL.Pro/ExCom/48/13.</w:t>
            </w:r>
          </w:p>
        </w:tc>
      </w:tr>
      <w:tr w:rsidR="00192E3D" w:rsidRPr="00B22ECC" w14:paraId="124B65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6E7E68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49/36</w:t>
            </w:r>
          </w:p>
        </w:tc>
        <w:tc>
          <w:tcPr>
            <w:tcW w:w="626" w:type="pct"/>
            <w:tcBorders>
              <w:top w:val="nil"/>
              <w:left w:val="nil"/>
              <w:bottom w:val="single" w:sz="4" w:space="0" w:color="auto"/>
              <w:right w:val="single" w:sz="4" w:space="0" w:color="auto"/>
            </w:tcBorders>
            <w:shd w:val="clear" w:color="auto" w:fill="auto"/>
            <w:vAlign w:val="center"/>
            <w:hideMark/>
          </w:tcPr>
          <w:p w14:paraId="798465F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749B90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Forty-ninth Meeting of the Executive Committee decided: (a) to take note with appreciation of document UNEP/OzL.Pro/ExCom/49/42, which included the proposed terms of reference for a study regarding collection, recovery, recycling, reclamation, transportation and destruction of unwanted ozone-depleting substances; (b) to inform the Parties, through a letter from the Chair of the Executive Committee to the Ozone Secretariat, that: (i) the Executive Committee was discussing the above-mentioned terms of reference and was of the view that there were substantial commonalities between those terms of reference and those being considered by the Parties in relation to decision XVII/17 of the Seventeenth Meeting of the Parties; (ii) the issues raised by both sets of the above-mentioned terms of reference could be considered by the Executive Committee of the Multilateral Fund, given that it had already held substantial discussions and initiated some work with respect to studying the issue of collection, recovery, recycling, reclamation, transportation and destruction of unwanted ozone-depleting substances; (iii) a request could be addressed to the Executive Committee to develop consolidated terms of reference and if agreed by the Executive Committee to initiate a study based on the consolidated terms of reference, and to report to the Nineteenth Meeting of the Parties on the progress made in that respect; and (c) to consider the issue at the 50th Meeting of the Executive Committee, in light of any guidance provided by the Eighteenth Meeting of the Parties.</w:t>
            </w:r>
          </w:p>
        </w:tc>
      </w:tr>
      <w:tr w:rsidR="00192E3D" w:rsidRPr="00B22ECC" w14:paraId="39C6B12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18B89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49/6</w:t>
            </w:r>
          </w:p>
        </w:tc>
        <w:tc>
          <w:tcPr>
            <w:tcW w:w="626" w:type="pct"/>
            <w:tcBorders>
              <w:top w:val="nil"/>
              <w:left w:val="nil"/>
              <w:bottom w:val="single" w:sz="4" w:space="0" w:color="auto"/>
              <w:right w:val="single" w:sz="4" w:space="0" w:color="auto"/>
            </w:tcBorders>
            <w:shd w:val="clear" w:color="auto" w:fill="auto"/>
            <w:vAlign w:val="center"/>
            <w:hideMark/>
          </w:tcPr>
          <w:p w14:paraId="1130BFD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Nation</w:t>
            </w:r>
            <w:r>
              <w:rPr>
                <w:color w:val="000000"/>
                <w:sz w:val="18"/>
                <w:szCs w:val="18"/>
                <w:lang w:eastAsia="en-CA"/>
              </w:rPr>
              <w:t xml:space="preserve">al </w:t>
            </w:r>
            <w:r w:rsidRPr="002A5DA8">
              <w:rPr>
                <w:color w:val="000000"/>
                <w:sz w:val="18"/>
                <w:szCs w:val="18"/>
                <w:lang w:eastAsia="en-CA"/>
              </w:rPr>
              <w:t>Phase-out Plans (NPPs)</w:t>
            </w:r>
          </w:p>
        </w:tc>
        <w:tc>
          <w:tcPr>
            <w:tcW w:w="3915" w:type="pct"/>
            <w:tcBorders>
              <w:top w:val="nil"/>
              <w:left w:val="nil"/>
              <w:bottom w:val="single" w:sz="4" w:space="0" w:color="auto"/>
              <w:right w:val="single" w:sz="4" w:space="0" w:color="auto"/>
            </w:tcBorders>
            <w:shd w:val="clear" w:color="auto" w:fill="auto"/>
            <w:vAlign w:val="center"/>
            <w:hideMark/>
          </w:tcPr>
          <w:p w14:paraId="163CE91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discussion of those modifications, the Executive Committee decided: (a) To recommend that National Ozone Units (NOUs) in planning and implementing refrigerant management plans and national or terminal phase-out plans consider, where feasible and in cooperation with other relevant government ministries/agencies: (i) Updating and complementing ODS-related legislation where additional legal measures were needed and further specification of enforcement mechanisms had been identified, including, for example: Banning the import and export of CFC-based second-hand refrigeration equipment; Mandatory certification of technicians performing professional activities in refrigeration servicing; Specification of a system of sanctions in cases of violation of legal regulations; Improvement of the mechanisms for import and export quota allocations under the licensing system and the monitoring of their actual use; Enhancement of cooperation between the NOU and the customs authorities; (ii) Upgrading the curriculum for technical training in refrigeration, where needed, and providing all training institutions with the latest relevant information with regard to the general application of good practices to significantly reduce usage of ODS and to promote the use of alternatives; (b) To request implementing and bilateral agencies, when implementing ongoing national phase-out plans and when planning new national phase-out plans, to take into consideration decision 41/100 for the recovery and recycling part of national phase-out plans, in particular the following paragraphs: (i) “Concentrating recovery and reuse of CFCs in large-size commercial and industrial installations and mobile air conditioning sectors, if significant numbers of CFC-12-based systems still existed and the availability of CFC was strongly reduced by the adoption of effective import control measures; (ii) Further exploring possibilities for facilitating cost-effective retrofitting and/or use of drop-in substitutes, possibly through incentive programmes; (iii)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d. Ensuring that adequate follow-up service and information was available to keep the recovery and recycling equipment in service; (iv)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in decision 31/48, and sufficient additional resources should be made available to allow for such follow-up and reporting work” (from decision 41/100); (c) To request bilateral and multilateral implementing agencies, in cooperation with the relevant national institutions: (i) To base the training of technicians on a strategy combining theoretical training with practical exercises during seminars with limited numbers of participants, and assisting in upgrading the curriculum of technical training institutes for refrigeration servicing in countries where it had not yet been done; (ii) To pay full attention to safety aspects and the necessary modification or replacement of electrical components in countries where training in the use of hydrocarbons and particularly retrofitting was carried out; and (iii) To select carefully the type of refrigerant identifiers to be purchased, taking into account preferences for small portable units, suitable for identifying different types of refrigerants, and including a test phase, where feasible, before buying larger numbers.  Moreover, the administrative details of their distribution, usage and storage should be planned in advance in order to avoid delays and to increase the effectiveness of their use; (d) To request the Fund Secretariat, in cooperation with bilateral and multilateral implementing agencies, to develop recommendations for indicative lists of appropriate equipment for the main target groups and share information about competitive suppliers, including from Article 5 countries; and (e) To request the Fund Secretariat, in cooperation with bilateral and multilateral implementing agencies, to develop an appropriate reporting format for the tracking of cumulative progress achieved in the annual work programmes, summarizing in standardized overview tables the information requested in decision 47/50, with a view to simplifying and rationalizing the overall reporting requirements and to report back to the 51st Meeting of the Executive Committee.  Such assessment should contain a “comparison of what had been planned in the previous annual tranche and what had been achieved.  The disbursement information should be provided cumulatively and data concerning actual or planned commitments could also be provided, as appropriate.  The information should also specify how the relevant flexibility clause in the agreement was implemented and/or how to allocate unused funds from previous tranches” (from decision 47/50, subparagraph (b)(i)).</w:t>
            </w:r>
          </w:p>
        </w:tc>
      </w:tr>
      <w:tr w:rsidR="00192E3D" w:rsidRPr="00B22ECC" w14:paraId="22DB0A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862B6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50/42</w:t>
            </w:r>
          </w:p>
        </w:tc>
        <w:tc>
          <w:tcPr>
            <w:tcW w:w="626" w:type="pct"/>
            <w:tcBorders>
              <w:top w:val="nil"/>
              <w:left w:val="nil"/>
              <w:bottom w:val="single" w:sz="4" w:space="0" w:color="auto"/>
              <w:right w:val="single" w:sz="4" w:space="0" w:color="auto"/>
            </w:tcBorders>
            <w:shd w:val="clear" w:color="auto" w:fill="auto"/>
            <w:vAlign w:val="center"/>
            <w:hideMark/>
          </w:tcPr>
          <w:p w14:paraId="343C2E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Unwanted ODS</w:t>
            </w:r>
          </w:p>
        </w:tc>
        <w:tc>
          <w:tcPr>
            <w:tcW w:w="3915" w:type="pct"/>
            <w:tcBorders>
              <w:top w:val="nil"/>
              <w:left w:val="nil"/>
              <w:bottom w:val="single" w:sz="4" w:space="0" w:color="auto"/>
              <w:right w:val="single" w:sz="4" w:space="0" w:color="auto"/>
            </w:tcBorders>
            <w:shd w:val="clear" w:color="auto" w:fill="auto"/>
            <w:vAlign w:val="center"/>
            <w:hideMark/>
          </w:tcPr>
          <w:p w14:paraId="03D5243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Fiftieth Meeting of the Executive Committee decided: (a) to request the Multilateral Fund Secretariat to develop specific terms of reference for a study on the treatment of unwanted ozone-depleting substances, identifying a contractor and commissioning the study described below by the end of March 2007, if possible. The study would be completed by 1 February 2008. (b) to define the two distinct objectives of the study as follows: (i) to compile information on management approaches in five non-Article 5(1) countries for the equipment, to provide guidance and to describe the applicability of these management approaches to Article 5(1) countries; and (ii) to compile information on management approaches and markets in five non-Article 5(1) countries for the recovery, collection, recycling and reclamation of zone-depleting substances that result in those ODS being locally unusable, and the possible options for the disposition (e.g., reuse in other markets, transformation, destruction) of this locally unusable ODS and describe the applicability of these options for Article 5(1) countries. (c) to request that the detailed activities under the objective in paragraph (b)(i) consist of: (i) selecting five non-Article 5(1) countries that represent a wide spectrum of existing management approaches for the collection, transport and disposal of CFC-containing refrigeration and air-conditioning equipment; (ii) compiling information from the five non-Article 5(1) countries and describing: a. the institutions, technologies and processes involved in all steps of collection, transport and disposal of the equipment; b. the costs of the various steps in collecting, transporting and processing the equipment; c. the legal and regulatory requirements and the voluntary administrative procedures for dealing with the CFCs in the equipment; and d. the volume of equipment collected historically and currently; (iii) using the information compiled from the five non-Article 5(1) countries to describe the economic and financial arrangements among the various individuals and entities in the system for disposing of CFC containing refrigeration and air-conditioning equipment; and (iv) collecting information on experiences regarding management approaches for the collection, transportation and disposal of CFC-containing refrigeration and air-conditioning equipment in eight Article 5(1) countries, to be collected by contacting national and local government officials who will recommend additional contacts in industry and institutions in order to describe challenges that may be posed in translating the non-Article 5(1) countries’ experiences to the situation in Article 5(1) countries given domestic, social and economic factors. The selection of the countries should represent a wide spectrum of countries that have already identified challenges and should have regional representation; (d) to request that the detailed activities under the objective in paragraph (b)(ii) consist of: (i) using the data from the Meeting of Experts to Assess the Extent of Current and Future Requirements for the collection and disposition of non-reusable and unwanted ODS in Article 5 countries held in March 2006, data already published in reports from the Technology and Economic Assessment Panel and its subsidiary bodies, and other relevant existing data to describe possible economic incentives and their cost-effectiveness, whether inherent or external to the institutions under the Montreal Protocol, that would encourage disposition (e.g., reuse in other markets, transformation, destruction) of ODS that is locally unusable; (ii) describing the capacity and location of all global existing facilities with destruction technologies approved by the Parties to the Montreal Protocol, comparing this capacity to the estimated volume of ODS predicted to be recovered and locally unusable in the March 2006 Experts’ Meeting report, the viability and potential costs of using these existing destruction technologies, and the regulatory requirements for transporting the locally unusable ODS; and (iii) describing opportunities other than existing destruction technologies for the disposition of locally unusable ODS, and the viability and potential costs of using these other approaches; (e) to request the Secretariat to report to the 51st Meeting of the Executive Committee on the status of the process for contracting a consultant for carrying out the study; (f) to consider at the 52</w:t>
            </w:r>
            <w:r w:rsidRPr="00B22ECC">
              <w:rPr>
                <w:color w:val="000000"/>
                <w:sz w:val="18"/>
                <w:szCs w:val="18"/>
                <w:vertAlign w:val="superscript"/>
                <w:lang w:eastAsia="en-CA"/>
              </w:rPr>
              <w:t>nd</w:t>
            </w:r>
            <w:r w:rsidRPr="00B22ECC">
              <w:rPr>
                <w:color w:val="000000"/>
                <w:sz w:val="18"/>
                <w:szCs w:val="18"/>
                <w:lang w:eastAsia="en-CA"/>
              </w:rPr>
              <w:t xml:space="preserve"> Meeting of the Executive Committee the content of a progress report to be submitted to the Nineteenth Meeting of the Parties; and (g) to approve a budget for carrying out the study.</w:t>
            </w:r>
          </w:p>
        </w:tc>
      </w:tr>
      <w:tr w:rsidR="00192E3D" w:rsidRPr="00B22ECC" w14:paraId="2505DF9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1C834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08E5721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52/5</w:t>
            </w:r>
          </w:p>
        </w:tc>
        <w:tc>
          <w:tcPr>
            <w:tcW w:w="626" w:type="pct"/>
            <w:tcBorders>
              <w:top w:val="nil"/>
              <w:left w:val="nil"/>
              <w:bottom w:val="single" w:sz="4" w:space="0" w:color="auto"/>
              <w:right w:val="single" w:sz="4" w:space="0" w:color="auto"/>
            </w:tcBorders>
            <w:shd w:val="clear" w:color="auto" w:fill="auto"/>
            <w:vAlign w:val="center"/>
            <w:hideMark/>
          </w:tcPr>
          <w:p w14:paraId="6555DB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29C927B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 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w:t>
            </w:r>
          </w:p>
        </w:tc>
      </w:tr>
      <w:tr w:rsidR="00192E3D" w:rsidRPr="00B22ECC" w14:paraId="34A136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06A17"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26D2EF5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52/6</w:t>
            </w:r>
          </w:p>
        </w:tc>
        <w:tc>
          <w:tcPr>
            <w:tcW w:w="626" w:type="pct"/>
            <w:tcBorders>
              <w:top w:val="nil"/>
              <w:left w:val="nil"/>
              <w:bottom w:val="single" w:sz="4" w:space="0" w:color="auto"/>
              <w:right w:val="single" w:sz="4" w:space="0" w:color="auto"/>
            </w:tcBorders>
            <w:shd w:val="clear" w:color="auto" w:fill="auto"/>
            <w:vAlign w:val="center"/>
            <w:hideMark/>
          </w:tcPr>
          <w:p w14:paraId="0533ACC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w:t>
            </w:r>
          </w:p>
        </w:tc>
        <w:tc>
          <w:tcPr>
            <w:tcW w:w="3915" w:type="pct"/>
            <w:tcBorders>
              <w:top w:val="nil"/>
              <w:left w:val="nil"/>
              <w:bottom w:val="single" w:sz="4" w:space="0" w:color="auto"/>
              <w:right w:val="single" w:sz="4" w:space="0" w:color="auto"/>
            </w:tcBorders>
            <w:shd w:val="clear" w:color="auto" w:fill="auto"/>
            <w:vAlign w:val="center"/>
            <w:hideMark/>
          </w:tcPr>
          <w:p w14:paraId="2A770F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urge Article 5 countries and respective implementing agencies to intensify their efforts to advance the implementation of approved incentive programmes in order to meet the established targets and phase-out schedules; (b) To draw the attention of Article 5 countries for which terminal phase-out management plans had been approved or would be approved in the near future to incentive programmes as a possibility for achieving CFC phase-out in the refrigeration servicing sector, provided the necessary pre-conditions were in place and lessons learned from previous programmes were taken into account; (c) To request the implementing and bilateral agencies concerned to disseminate the lessons learned from the implementation of incentive programmes among Article 5 countries, including through the regional network meetings; (d) To request all bilateral and implementing agencies that were implementing or considering implementing incentive programmes for retrofits to take into account all the elements contained in paragraph (e) below, as they might apply to their programmes; and (e) To request UNDP in cooperation with the Fund Secretariat: (i) To provide, as part of the guidelines, a template for calculating estimated operating savings and efficiency gains resulting from retrofitting or replacing a given refrigeration system, as well as the economic benefits of extending the life time of retrofitted equipment; (ii) To clarify, during the preparation of incentive programmes, the methodology of calculating planned and actual CFC phase-out, taking into account local circumstances; (iii) To include in the guidelines the preparation of country-specific implementation milestones in order to facilitate monitoring and avoid delays; iv) To foresee in the guidelines the possibility of adapting the scale and sequence of payments to local situations and to increase the maximum limit of US $10,000 for large-sized end-users in order to motivate them to proceed with the conversion where the total cost might significantly exceed their maximum entitlement; and (v) To incorporate into the guidelines a preference for the use of drop-in alternatives based on natural substances such as hydrocarbons, and to use HCFC ternary blends as drop-in substitutes for CFC-12 only in exceptional circumstances, taking into account safety issues.</w:t>
            </w:r>
          </w:p>
        </w:tc>
      </w:tr>
      <w:tr w:rsidR="00192E3D" w:rsidRPr="00B22ECC" w14:paraId="4601D5A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7A4EC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52/7, para. 57</w:t>
            </w:r>
          </w:p>
        </w:tc>
        <w:tc>
          <w:tcPr>
            <w:tcW w:w="626" w:type="pct"/>
            <w:tcBorders>
              <w:top w:val="nil"/>
              <w:left w:val="nil"/>
              <w:bottom w:val="single" w:sz="4" w:space="0" w:color="auto"/>
              <w:right w:val="single" w:sz="4" w:space="0" w:color="auto"/>
            </w:tcBorders>
            <w:shd w:val="clear" w:color="auto" w:fill="auto"/>
            <w:vAlign w:val="center"/>
            <w:hideMark/>
          </w:tcPr>
          <w:p w14:paraId="7D1DED4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0025D24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Fifty-second Meeting of the Executive Committee decided: (a) to request the Senior Monitoring and Evaluation Officer to reorganize the final report on the evaluation of the Compliance Assistance Programme (CAP), (UNEP/OzL.Pro/ExCom/52/9), around the seven issues identified in paragraphs 9(a) to 9(g) of that document; (b) to request UNEP to consider further regionalization of CAP resources; (c) to request UNEP to focus the CAP on: (i) countries in potential or actual non-compliance, taking into account the likely difficulties of a number of countries in meeting the 85 per cent reduction target for CFC in 2007, to be followed by the total phase-out of CFCs, halons and carbon tetrachloride by 31 December 2009; (ii) latecomers to the Montreal Protocol, in order: a. to strengthen their institutional structures and develop local capacities; b. to facilitate the establishment of appropriate ODS-related legislation and regulations; and c. to support their public awareness activities. (iii) further involving more advanced and experienced Article 5 countries to assist and advise less advanced in the same region; (iv) further strengthening local capacities of trained trainers and partner training institutes formed during the “train the trainers” phase to enable future and continued </w:t>
            </w:r>
            <w:r w:rsidRPr="00B22ECC">
              <w:rPr>
                <w:b/>
                <w:bCs/>
                <w:color w:val="000000"/>
                <w:sz w:val="18"/>
                <w:szCs w:val="18"/>
                <w:lang w:eastAsia="en-CA"/>
              </w:rPr>
              <w:t>training of customs officers</w:t>
            </w:r>
            <w:r w:rsidRPr="00B22ECC">
              <w:rPr>
                <w:color w:val="000000"/>
                <w:sz w:val="18"/>
                <w:szCs w:val="18"/>
                <w:lang w:eastAsia="en-CA"/>
              </w:rPr>
              <w:t xml:space="preserve"> and refrigeration technicians on a sustainable basis. UNEP should also develop a strategy that would integrate the local training capacity created, placing emphasis on national ownership and securing access to appropriate know-how beyond 2010; (v) further promoting collaboration between</w:t>
            </w:r>
            <w:r w:rsidRPr="00B22ECC">
              <w:rPr>
                <w:b/>
                <w:bCs/>
                <w:color w:val="000000"/>
                <w:sz w:val="18"/>
                <w:szCs w:val="18"/>
                <w:lang w:eastAsia="en-CA"/>
              </w:rPr>
              <w:t xml:space="preserve"> customs</w:t>
            </w:r>
            <w:r w:rsidRPr="00B22ECC">
              <w:rPr>
                <w:color w:val="000000"/>
                <w:sz w:val="18"/>
                <w:szCs w:val="18"/>
                <w:lang w:eastAsia="en-CA"/>
              </w:rPr>
              <w:t xml:space="preserve"> and environmental authorities, in cooperation with professional associations, in order to strengthen the enforcement of legal regulations; (vi) assisting, where applicable, the enforcement of unified regulations in regional </w:t>
            </w:r>
            <w:r w:rsidRPr="00B22ECC">
              <w:rPr>
                <w:b/>
                <w:bCs/>
                <w:color w:val="000000"/>
                <w:sz w:val="18"/>
                <w:szCs w:val="18"/>
                <w:lang w:eastAsia="en-CA"/>
              </w:rPr>
              <w:t>customs unions</w:t>
            </w:r>
            <w:r w:rsidRPr="00B22ECC">
              <w:rPr>
                <w:color w:val="000000"/>
                <w:sz w:val="18"/>
                <w:szCs w:val="18"/>
                <w:lang w:eastAsia="en-CA"/>
              </w:rPr>
              <w:t xml:space="preserve"> or other areas of political and economic cooperation; and (d) to urge UNEP and the other agencies to ensure close coordination of activities in order to avoid overlapping actions; in particular, UNEP should always consult with the lead agency for national phase-out plans, terminal phase-out management plans or other phase-out plans and projects before providing technical or policy advice.</w:t>
            </w:r>
          </w:p>
        </w:tc>
      </w:tr>
      <w:tr w:rsidR="00192E3D" w:rsidRPr="00B22ECC" w14:paraId="11B0E0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6F11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54/11 (a)</w:t>
            </w:r>
          </w:p>
        </w:tc>
        <w:tc>
          <w:tcPr>
            <w:tcW w:w="626" w:type="pct"/>
            <w:tcBorders>
              <w:top w:val="nil"/>
              <w:left w:val="nil"/>
              <w:bottom w:val="single" w:sz="4" w:space="0" w:color="auto"/>
              <w:right w:val="single" w:sz="4" w:space="0" w:color="auto"/>
            </w:tcBorders>
            <w:shd w:val="clear" w:color="auto" w:fill="auto"/>
            <w:vAlign w:val="center"/>
            <w:hideMark/>
          </w:tcPr>
          <w:p w14:paraId="72FCB16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management, monitoring and verification of NPPs in non-LVC countries</w:t>
            </w:r>
          </w:p>
        </w:tc>
        <w:tc>
          <w:tcPr>
            <w:tcW w:w="3915" w:type="pct"/>
            <w:tcBorders>
              <w:top w:val="nil"/>
              <w:left w:val="nil"/>
              <w:bottom w:val="single" w:sz="4" w:space="0" w:color="auto"/>
              <w:right w:val="single" w:sz="4" w:space="0" w:color="auto"/>
            </w:tcBorders>
            <w:shd w:val="clear" w:color="auto" w:fill="auto"/>
            <w:vAlign w:val="center"/>
            <w:hideMark/>
          </w:tcPr>
          <w:p w14:paraId="632EB3B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(a) to encourage Article 5 countries implementing phase-out plans to consider: (i) issuing decrees (orders usually emanating at the ministerial level), to the extent possible, so as to introduce the needed policies, bans and restrictions, given the complexity and time required to create or amend legislation; (ii) undertaking a comprehensive needs analysis for the further training of customs officers, and developing a training plan utilizing the train the trainer approach and integrating ODS issues into the regular curriculum in order to create sustainable training capacities; (iii) the possibility of eventually charging participants or their employers fees for technician training so as to increase their sense of ownership and generate funds for additional training activities; (iv) using voucher systems to enable workshops to select the recovery and recycling (R&amp;R) equipment that they wanted and needed, while paying for part of the cost both to increase the likelihood of that equipment being used and to allow a greater amount of equipment to be purchased; (v) when developing business plans for reclamation centres, demonstrating how such centres could be made self-sustainable; (vi) undertaking a needs analysis, where not yet done, or at the least an estimate based on best available information or surveys, and developing comprehensive training plans for the remaining numbers of refrigeration technicians to be trained; (vii) routinely monitoring local market-place conditions as prices for CFCs, and their substitutes tended to be good indicators of the potential risk for illegal trade;</w:t>
            </w:r>
          </w:p>
        </w:tc>
      </w:tr>
      <w:tr w:rsidR="00192E3D" w:rsidRPr="00B22ECC" w14:paraId="6DAE3E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9ADCFB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54/39</w:t>
            </w:r>
          </w:p>
        </w:tc>
        <w:tc>
          <w:tcPr>
            <w:tcW w:w="626" w:type="pct"/>
            <w:tcBorders>
              <w:top w:val="nil"/>
              <w:left w:val="nil"/>
              <w:bottom w:val="single" w:sz="4" w:space="0" w:color="auto"/>
              <w:right w:val="single" w:sz="4" w:space="0" w:color="auto"/>
            </w:tcBorders>
            <w:shd w:val="clear" w:color="auto" w:fill="auto"/>
            <w:vAlign w:val="center"/>
            <w:hideMark/>
          </w:tcPr>
          <w:p w14:paraId="2C06DA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for preparation of HPMPs</w:t>
            </w:r>
          </w:p>
        </w:tc>
        <w:tc>
          <w:tcPr>
            <w:tcW w:w="3915" w:type="pct"/>
            <w:tcBorders>
              <w:top w:val="nil"/>
              <w:left w:val="nil"/>
              <w:bottom w:val="single" w:sz="4" w:space="0" w:color="auto"/>
              <w:right w:val="single" w:sz="4" w:space="0" w:color="auto"/>
            </w:tcBorders>
            <w:shd w:val="clear" w:color="auto" w:fill="auto"/>
            <w:vAlign w:val="center"/>
            <w:hideMark/>
          </w:tcPr>
          <w:p w14:paraId="1DFC289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to adopt the following guidelines: (a) countries should adopt a staged approach to the implementation of an HCFC phase-out management plan (HPMP), within the framework of their over arching strategy; (b) as soon as possible and depending on the availability of resources, countries should employ the guidelines herein to develop, in detail, stage one of the HPMPs, which would address how countries would meet the freeze in 2013 and the 10 per cent reduction in 2015, with an estimate of related cost considerations and applying cost guidelines as they were developed; (c) the elaboration of stage one of the HPMP and subsequent stages should be developed as follows: (i) for countries with consumption in the servicing sector only: a. to be consistent with existing guidelines for the preparation of RMPs/RMP updates pursuant to decisions 31/48 and 35/57; and, if applicable, with the preparation of TPMPs pursuant to decision 45/54; b. to contain commitments to achieve the 2013 and 2015 HCFC control measures and include a performance-based system for HPMPs based on the completion of activities in the HPMP to enable the annual release of funding for the HPMP; (ii) for countries with manufacturing sectors using HCFCs, HPMPs should contain a national performance-based phase-out plan (NPP) with one or several substance or sector-based phase-out plans (SPP) consistent with decision 38/65 addressing consumption reduction levels sufficient to achieve the 2013 and 2015 HCFC control measures and provide starting points for aggregate reductions, together with annual reduction targets; (d) for countries that chose to implement investment projects in advance of completion of the HPMP: (i) the approval of each project should result in a phase-out of HCFCs to count against the consumption identified in the HPMP and no such projects could be approved after 2010 unless they were part of the HPMP; (ii) if the individual project approach was used, the submission of the first project should provide an indication of how the demonstration projects related to the HPMP and an indication of when the HPMP would be submitted; (e) consideration should be given to providing funding for assistance to include HCFC control measures in legislation, regulations and licensing systems as part of the funding of HPMP preparation as necessary and confirmation of the implementation of the same should be required as a prerequisite for funding implementation of the HPMP; (f) in cases where there were multiple implementing agencies in one country, a lead agency should be designated to coordinate the overall development of stage one of the HPMP; (g) HPMPs should contain cost information at the time of their submission based on and addressing: (i) the most current HCFC cost guidelines at the time of submission; (ii) alternative cost scenarios based on different potential cut-off dates for new capacity if a specific cut-off date had not yet been decided, for funding eligibility of manufacturing facilities as specified in decision 53/37(k), as well as the current policy for a 25 July 1995 cut-off date; (iii) alternative cost scenarios for the operational and capital costs for second conversions; (iv) the incremental costs of regulating import and supply to the market of HCFC dependent equipment once proven alternatives were commercially available in the country and describing the benefits to the servicing sector of associated reduced demand; (v) cost and benefit information based on the full range of alternatives considered, and associated ODP and other impacts on the environment including on the climate, taking into account global-warming potential, energy use and other relevant factors; (h) countries and agencies were encouraged to explore potential financial incentives and opportunities for additional resources to maximize the environmental benefits from HPMPs pursuant to paragraph 11(b) of decision XIX/6 of the Nineteenth Meeting of the Parties; (i) HPMPs should address: (i) the use of institutional arrangements mentioned in decision 53/37(e) and (f); (ii) the roles and responsibilities of associations of refrigeration technicians and other industry associations and how they could contribute to HCFC phase-out; and (j) HPMPs should, as a minimum, fulfil the data and information requirements, as applicable, listed in the indicative outline for the development of HPMPs, as set out in Annex XIX to the present report.</w:t>
            </w:r>
          </w:p>
        </w:tc>
      </w:tr>
      <w:tr w:rsidR="00192E3D" w:rsidRPr="00B22ECC" w14:paraId="5CFBD5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09A5164" w14:textId="77777777" w:rsidR="00192E3D" w:rsidRDefault="00192E3D" w:rsidP="00603C4E">
            <w:pPr>
              <w:contextualSpacing/>
              <w:jc w:val="left"/>
              <w:rPr>
                <w:color w:val="000000"/>
                <w:sz w:val="18"/>
                <w:szCs w:val="18"/>
                <w:lang w:eastAsia="en-CA"/>
              </w:rPr>
            </w:pPr>
            <w:r>
              <w:rPr>
                <w:color w:val="000000"/>
                <w:sz w:val="18"/>
                <w:szCs w:val="18"/>
                <w:lang w:eastAsia="en-CA"/>
              </w:rPr>
              <w:t>E</w:t>
            </w:r>
            <w:r w:rsidRPr="002A5DA8">
              <w:rPr>
                <w:color w:val="000000"/>
                <w:sz w:val="18"/>
                <w:szCs w:val="18"/>
                <w:lang w:eastAsia="en-CA"/>
              </w:rPr>
              <w:t xml:space="preserve">xCom </w:t>
            </w:r>
          </w:p>
          <w:p w14:paraId="4B3155C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58/6</w:t>
            </w:r>
          </w:p>
        </w:tc>
        <w:tc>
          <w:tcPr>
            <w:tcW w:w="626" w:type="pct"/>
            <w:tcBorders>
              <w:top w:val="nil"/>
              <w:left w:val="nil"/>
              <w:bottom w:val="single" w:sz="4" w:space="0" w:color="auto"/>
              <w:right w:val="single" w:sz="4" w:space="0" w:color="auto"/>
            </w:tcBorders>
            <w:shd w:val="clear" w:color="auto" w:fill="auto"/>
            <w:vAlign w:val="center"/>
            <w:hideMark/>
          </w:tcPr>
          <w:p w14:paraId="3EB37A3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TPMPs</w:t>
            </w:r>
          </w:p>
        </w:tc>
        <w:tc>
          <w:tcPr>
            <w:tcW w:w="3915" w:type="pct"/>
            <w:tcBorders>
              <w:top w:val="nil"/>
              <w:left w:val="nil"/>
              <w:bottom w:val="single" w:sz="4" w:space="0" w:color="auto"/>
              <w:right w:val="single" w:sz="4" w:space="0" w:color="auto"/>
            </w:tcBorders>
            <w:shd w:val="clear" w:color="auto" w:fill="auto"/>
            <w:vAlign w:val="center"/>
            <w:hideMark/>
          </w:tcPr>
          <w:p w14:paraId="06649D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Fifty-eighth Meeting of the Executive Committee decided: (a) to take note of the final report on the evaluation of terminal phase-out management plans (TPMPs) as presented in document UNEP/OzL.Pro/ExCom/58/8; (b) to request: (i) bilateral and implementing agencies assisting Article 5 countries in implementing TPMPs to provide the National Ozone Units regularly with updated financial reports on fund disbursement and commitments associated with the activities in the TPMP projects so that they would be in a position to account to their respective governments; (ii) Article 5 countries to give due consideration to enhancing their data collection and monitoring systems for control of ODS trade in order to improve the quality and reliability of the import/export data from customs authorities, companies and servicing workshops, where applicable; (iii) bilateral and implementing agencies, when implementing the last tranche(s) of the TPMPs, to advise and assist Article 5 countries in reviewing current ODS regulations, including licensing systems, and in incorporating import/export regulations on HCFCs; (iv) bilateral and implementing agencies and Article 5 countries to consider establishing effective and targeted monitoring and reporting mechanisms, which could include establishment of programme management units if countries chose to do so, in order to ensure adequate assessment, monitoring and reporting of the results of TPMPs, in particular regarding recovery and recycling and end-user projects; (v) bilateral and implementing agencies assisting Article 5 countries to provide information on technical feasibility and economic viability when considering the establishment of new ODS reclamation and recycling centres in future requests for TPMP tranches; (vi) Article 5 countries, when developing and/or designing training programmes for technicians, to include specific modalities for assisting the refrigeration service technicians who had not received formal training; and (c) to encourage Article 5 countries to establish and/or strengthen refrigeration technicians’ associations in order to promote good practices in the refrigeration sector through recovery, recycling, leak detection and prevention of unnecessary use of ODS.</w:t>
            </w:r>
          </w:p>
        </w:tc>
      </w:tr>
      <w:tr w:rsidR="00192E3D" w:rsidRPr="00B22ECC" w14:paraId="677F555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43155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60/44</w:t>
            </w:r>
          </w:p>
        </w:tc>
        <w:tc>
          <w:tcPr>
            <w:tcW w:w="626" w:type="pct"/>
            <w:tcBorders>
              <w:top w:val="nil"/>
              <w:left w:val="nil"/>
              <w:bottom w:val="single" w:sz="4" w:space="0" w:color="auto"/>
              <w:right w:val="single" w:sz="4" w:space="0" w:color="auto"/>
            </w:tcBorders>
            <w:shd w:val="clear" w:color="auto" w:fill="auto"/>
            <w:vAlign w:val="center"/>
            <w:hideMark/>
          </w:tcPr>
          <w:p w14:paraId="5C95889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 of HPMPs</w:t>
            </w:r>
          </w:p>
        </w:tc>
        <w:tc>
          <w:tcPr>
            <w:tcW w:w="3915" w:type="pct"/>
            <w:tcBorders>
              <w:top w:val="nil"/>
              <w:left w:val="nil"/>
              <w:bottom w:val="single" w:sz="4" w:space="0" w:color="auto"/>
              <w:right w:val="single" w:sz="4" w:space="0" w:color="auto"/>
            </w:tcBorders>
            <w:shd w:val="clear" w:color="auto" w:fill="auto"/>
            <w:vAlign w:val="center"/>
            <w:hideMark/>
          </w:tcPr>
          <w:p w14:paraId="6FA6ADBF" w14:textId="77777777" w:rsidR="00192E3D" w:rsidRDefault="00192E3D" w:rsidP="00B44FB0">
            <w:pPr>
              <w:contextualSpacing/>
              <w:rPr>
                <w:color w:val="000000"/>
                <w:sz w:val="18"/>
                <w:szCs w:val="18"/>
                <w:lang w:eastAsia="en-CA"/>
              </w:rPr>
            </w:pPr>
            <w:r w:rsidRPr="00B22ECC">
              <w:rPr>
                <w:color w:val="000000"/>
                <w:sz w:val="18"/>
                <w:szCs w:val="18"/>
                <w:lang w:eastAsia="en-CA"/>
              </w:rPr>
              <w:t xml:space="preserve">The Sixtieth Meeting of the Executive Committee decided, inter alia: Eligible incremental costs of HCFC phase-out projects HCFC phase-out in the refrigeration servicing sector (xi) Article 5 countries that have total HCFC consumption of up to 360 metric tonnes must include in their HPMP, as a minimum: a. A commitment to meeting, without further requests for funding, at least the freeze in 2013 and the 10 per cent reduction step in 2015, and if the country so decides, the 35 per cent reduction step in 2020. This shall include a commitment by the country to restrict imports of HCFC-based equipment if necessary to achieve compliance with the reduction steps and to support relevant phase-out activities; b. Mandatory reporting, by the time funding tranches for the HPMP are requested, on the implementation of activities undertaken in the refrigeration servicing sector and in the manufacturing sector when applicable, in the previous year, as well as a thorough and comprehensive annual work plan for the implementation of the following activities associated with the next tranche; c. A description of the roles and responsibilities of major stakeholders, as well as the lead implementing agency and the cooperating agencies, where applicable; (xii) Article 5 countries that have total HCFC consumption of up to 360 metric tonnes will be provided funding consistent with the level of consumption in the refrigeration servicing sector as shown in the table below, on the understanding that project proposals will still need to demonstrate that the funding level is necessary to achieve the 2013 and 2015 phase-out targets, and if the country so decides, the 2020 phase-out targets: </w:t>
            </w:r>
          </w:p>
          <w:tbl>
            <w:tblPr>
              <w:tblStyle w:val="TableGrid"/>
              <w:tblpPr w:leftFromText="180" w:rightFromText="180" w:vertAnchor="text" w:horzAnchor="margin" w:tblpXSpec="center" w:tblpY="9"/>
              <w:tblOverlap w:val="never"/>
              <w:tblW w:w="0" w:type="auto"/>
              <w:tblLayout w:type="fixed"/>
              <w:tblLook w:val="04A0" w:firstRow="1" w:lastRow="0" w:firstColumn="1" w:lastColumn="0" w:noHBand="0" w:noVBand="1"/>
            </w:tblPr>
            <w:tblGrid>
              <w:gridCol w:w="2558"/>
              <w:gridCol w:w="15"/>
              <w:gridCol w:w="2544"/>
              <w:gridCol w:w="7"/>
              <w:gridCol w:w="2552"/>
            </w:tblGrid>
            <w:tr w:rsidR="00192E3D" w14:paraId="0EDFE226" w14:textId="77777777" w:rsidTr="00B44FB0">
              <w:trPr>
                <w:trHeight w:val="281"/>
                <w:tblHeader/>
              </w:trPr>
              <w:tc>
                <w:tcPr>
                  <w:tcW w:w="2558" w:type="dxa"/>
                </w:tcPr>
                <w:p w14:paraId="686479DC"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Consumption (metric tonnes)*</w:t>
                  </w:r>
                </w:p>
              </w:tc>
              <w:tc>
                <w:tcPr>
                  <w:tcW w:w="2559" w:type="dxa"/>
                  <w:gridSpan w:val="2"/>
                </w:tcPr>
                <w:p w14:paraId="71A3E85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2015 (US$)</w:t>
                  </w:r>
                </w:p>
              </w:tc>
              <w:tc>
                <w:tcPr>
                  <w:tcW w:w="2559" w:type="dxa"/>
                  <w:gridSpan w:val="2"/>
                </w:tcPr>
                <w:p w14:paraId="3814BE9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2020 (US$)</w:t>
                  </w:r>
                </w:p>
              </w:tc>
            </w:tr>
            <w:tr w:rsidR="00192E3D" w14:paraId="6F30D539" w14:textId="77777777" w:rsidTr="00B44FB0">
              <w:trPr>
                <w:trHeight w:val="241"/>
              </w:trPr>
              <w:tc>
                <w:tcPr>
                  <w:tcW w:w="2558" w:type="dxa"/>
                </w:tcPr>
                <w:p w14:paraId="3DF38FFD"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559" w:type="dxa"/>
                  <w:gridSpan w:val="2"/>
                </w:tcPr>
                <w:p w14:paraId="43E7C1F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51,700</w:t>
                  </w:r>
                </w:p>
              </w:tc>
              <w:tc>
                <w:tcPr>
                  <w:tcW w:w="2559" w:type="dxa"/>
                  <w:gridSpan w:val="2"/>
                </w:tcPr>
                <w:p w14:paraId="2D09E20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164,500</w:t>
                  </w:r>
                </w:p>
              </w:tc>
            </w:tr>
            <w:tr w:rsidR="00192E3D" w14:paraId="7E654BF1" w14:textId="77777777" w:rsidTr="00B44FB0">
              <w:trPr>
                <w:trHeight w:val="252"/>
              </w:trPr>
              <w:tc>
                <w:tcPr>
                  <w:tcW w:w="2558" w:type="dxa"/>
                </w:tcPr>
                <w:p w14:paraId="3F70CBC4"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559" w:type="dxa"/>
                  <w:gridSpan w:val="2"/>
                </w:tcPr>
                <w:p w14:paraId="6545F2F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66,000</w:t>
                  </w:r>
                </w:p>
              </w:tc>
              <w:tc>
                <w:tcPr>
                  <w:tcW w:w="2559" w:type="dxa"/>
                  <w:gridSpan w:val="2"/>
                </w:tcPr>
                <w:p w14:paraId="4786187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210,000</w:t>
                  </w:r>
                </w:p>
              </w:tc>
            </w:tr>
            <w:tr w:rsidR="00192E3D" w14:paraId="596526D1" w14:textId="77777777" w:rsidTr="00B44FB0">
              <w:trPr>
                <w:trHeight w:val="241"/>
              </w:trPr>
              <w:tc>
                <w:tcPr>
                  <w:tcW w:w="2558" w:type="dxa"/>
                </w:tcPr>
                <w:p w14:paraId="0F1F5E08" w14:textId="77777777" w:rsidR="00192E3D" w:rsidRDefault="00192E3D" w:rsidP="00B44FB0">
                  <w:pPr>
                    <w:contextualSpacing/>
                    <w:rPr>
                      <w:color w:val="000000"/>
                      <w:sz w:val="18"/>
                      <w:szCs w:val="18"/>
                      <w:lang w:eastAsia="en-CA"/>
                    </w:rPr>
                  </w:pPr>
                  <w:r w:rsidRPr="00B22ECC">
                    <w:rPr>
                      <w:color w:val="000000"/>
                      <w:sz w:val="18"/>
                      <w:szCs w:val="18"/>
                      <w:lang w:eastAsia="en-CA"/>
                    </w:rPr>
                    <w:t>40</w:t>
                  </w:r>
                  <w:r>
                    <w:rPr>
                      <w:color w:val="000000"/>
                      <w:sz w:val="18"/>
                      <w:szCs w:val="18"/>
                      <w:lang w:eastAsia="en-CA"/>
                    </w:rPr>
                    <w:t xml:space="preserve"> </w:t>
                  </w:r>
                  <w:r w:rsidRPr="00B22ECC">
                    <w:rPr>
                      <w:color w:val="000000"/>
                      <w:sz w:val="18"/>
                      <w:szCs w:val="18"/>
                      <w:lang w:eastAsia="en-CA"/>
                    </w:rPr>
                    <w:t>&lt;</w:t>
                  </w:r>
                  <w:r>
                    <w:rPr>
                      <w:color w:val="000000"/>
                      <w:sz w:val="18"/>
                      <w:szCs w:val="18"/>
                      <w:lang w:eastAsia="en-CA"/>
                    </w:rPr>
                    <w:t xml:space="preserve"> </w:t>
                  </w:r>
                  <w:r w:rsidRPr="00B22ECC">
                    <w:rPr>
                      <w:color w:val="000000"/>
                      <w:sz w:val="18"/>
                      <w:szCs w:val="18"/>
                      <w:lang w:eastAsia="en-CA"/>
                    </w:rPr>
                    <w:t>80</w:t>
                  </w:r>
                </w:p>
              </w:tc>
              <w:tc>
                <w:tcPr>
                  <w:tcW w:w="2559" w:type="dxa"/>
                  <w:gridSpan w:val="2"/>
                </w:tcPr>
                <w:p w14:paraId="4167079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88,000</w:t>
                  </w:r>
                </w:p>
              </w:tc>
              <w:tc>
                <w:tcPr>
                  <w:tcW w:w="2559" w:type="dxa"/>
                  <w:gridSpan w:val="2"/>
                </w:tcPr>
                <w:p w14:paraId="289AE58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r>
            <w:tr w:rsidR="00192E3D" w14:paraId="0AACD3EF" w14:textId="77777777" w:rsidTr="00B44FB0">
              <w:trPr>
                <w:trHeight w:val="252"/>
              </w:trPr>
              <w:tc>
                <w:tcPr>
                  <w:tcW w:w="2558" w:type="dxa"/>
                </w:tcPr>
                <w:p w14:paraId="188EFC8A"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559" w:type="dxa"/>
                  <w:gridSpan w:val="2"/>
                </w:tcPr>
                <w:p w14:paraId="407B011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99,000</w:t>
                  </w:r>
                </w:p>
              </w:tc>
              <w:tc>
                <w:tcPr>
                  <w:tcW w:w="2559" w:type="dxa"/>
                  <w:gridSpan w:val="2"/>
                </w:tcPr>
                <w:p w14:paraId="49E5A9B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r>
            <w:tr w:rsidR="00192E3D" w14:paraId="1C0224A4" w14:textId="77777777" w:rsidTr="00B44FB0">
              <w:trPr>
                <w:trHeight w:val="241"/>
              </w:trPr>
              <w:tc>
                <w:tcPr>
                  <w:tcW w:w="2558" w:type="dxa"/>
                </w:tcPr>
                <w:p w14:paraId="234B345E"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559" w:type="dxa"/>
                  <w:gridSpan w:val="2"/>
                </w:tcPr>
                <w:p w14:paraId="1724CB0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104,500</w:t>
                  </w:r>
                </w:p>
              </w:tc>
              <w:tc>
                <w:tcPr>
                  <w:tcW w:w="2559" w:type="dxa"/>
                  <w:gridSpan w:val="2"/>
                </w:tcPr>
                <w:p w14:paraId="798C721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r>
            <w:tr w:rsidR="00192E3D" w14:paraId="6AAC89B1" w14:textId="77777777" w:rsidTr="00B44FB0">
              <w:trPr>
                <w:trHeight w:val="252"/>
              </w:trPr>
              <w:tc>
                <w:tcPr>
                  <w:tcW w:w="2558" w:type="dxa"/>
                </w:tcPr>
                <w:p w14:paraId="19446F4A" w14:textId="77777777" w:rsidR="00192E3D" w:rsidRDefault="00192E3D" w:rsidP="00B44FB0">
                  <w:pPr>
                    <w:contextualSpacing/>
                    <w:rPr>
                      <w:color w:val="000000"/>
                      <w:sz w:val="18"/>
                      <w:szCs w:val="18"/>
                      <w:lang w:eastAsia="en-CA"/>
                    </w:rPr>
                  </w:pPr>
                  <w:r w:rsidRPr="00B22ECC">
                    <w:rPr>
                      <w:color w:val="000000"/>
                      <w:sz w:val="18"/>
                      <w:szCs w:val="18"/>
                      <w:lang w:eastAsia="en-CA"/>
                    </w:rPr>
                    <w:t>160 &lt;200</w:t>
                  </w:r>
                </w:p>
              </w:tc>
              <w:tc>
                <w:tcPr>
                  <w:tcW w:w="2559" w:type="dxa"/>
                  <w:gridSpan w:val="2"/>
                </w:tcPr>
                <w:p w14:paraId="716E16D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110,000</w:t>
                  </w:r>
                </w:p>
              </w:tc>
              <w:tc>
                <w:tcPr>
                  <w:tcW w:w="2559" w:type="dxa"/>
                  <w:gridSpan w:val="2"/>
                </w:tcPr>
                <w:p w14:paraId="276F0F5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r>
            <w:tr w:rsidR="00192E3D" w14:paraId="7AD11007" w14:textId="77777777" w:rsidTr="00B44FB0">
              <w:trPr>
                <w:trHeight w:val="241"/>
              </w:trPr>
              <w:tc>
                <w:tcPr>
                  <w:tcW w:w="2573" w:type="dxa"/>
                  <w:gridSpan w:val="2"/>
                </w:tcPr>
                <w:p w14:paraId="782B4CA0" w14:textId="77777777" w:rsidR="00192E3D" w:rsidRDefault="00192E3D" w:rsidP="00B44FB0">
                  <w:pPr>
                    <w:contextualSpacing/>
                    <w:rPr>
                      <w:color w:val="000000"/>
                      <w:sz w:val="18"/>
                      <w:szCs w:val="18"/>
                      <w:lang w:eastAsia="en-CA"/>
                    </w:rPr>
                  </w:pPr>
                  <w:r w:rsidRPr="00B22ECC">
                    <w:rPr>
                      <w:color w:val="000000"/>
                      <w:sz w:val="18"/>
                      <w:szCs w:val="18"/>
                      <w:lang w:eastAsia="en-CA"/>
                    </w:rPr>
                    <w:t>200 &lt;320</w:t>
                  </w:r>
                </w:p>
              </w:tc>
              <w:tc>
                <w:tcPr>
                  <w:tcW w:w="2551" w:type="dxa"/>
                  <w:gridSpan w:val="2"/>
                </w:tcPr>
                <w:p w14:paraId="3027839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176,000</w:t>
                  </w:r>
                </w:p>
              </w:tc>
              <w:tc>
                <w:tcPr>
                  <w:tcW w:w="2552" w:type="dxa"/>
                </w:tcPr>
                <w:p w14:paraId="76F0469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r>
            <w:tr w:rsidR="00192E3D" w14:paraId="17E1FCA2" w14:textId="77777777" w:rsidTr="00B44FB0">
              <w:trPr>
                <w:trHeight w:val="252"/>
              </w:trPr>
              <w:tc>
                <w:tcPr>
                  <w:tcW w:w="2573" w:type="dxa"/>
                  <w:gridSpan w:val="2"/>
                </w:tcPr>
                <w:p w14:paraId="4160E271" w14:textId="77777777" w:rsidR="00192E3D" w:rsidRDefault="00192E3D" w:rsidP="00B44FB0">
                  <w:pPr>
                    <w:contextualSpacing/>
                    <w:rPr>
                      <w:color w:val="000000"/>
                      <w:sz w:val="18"/>
                      <w:szCs w:val="18"/>
                      <w:lang w:eastAsia="en-CA"/>
                    </w:rPr>
                  </w:pPr>
                  <w:r w:rsidRPr="00B22ECC">
                    <w:rPr>
                      <w:color w:val="000000"/>
                      <w:sz w:val="18"/>
                      <w:szCs w:val="18"/>
                      <w:lang w:eastAsia="en-CA"/>
                    </w:rPr>
                    <w:t>320 &lt;360</w:t>
                  </w:r>
                </w:p>
              </w:tc>
              <w:tc>
                <w:tcPr>
                  <w:tcW w:w="2551" w:type="dxa"/>
                  <w:gridSpan w:val="2"/>
                </w:tcPr>
                <w:p w14:paraId="3CDBD34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198,000</w:t>
                  </w:r>
                </w:p>
              </w:tc>
              <w:tc>
                <w:tcPr>
                  <w:tcW w:w="2552" w:type="dxa"/>
                </w:tcPr>
                <w:p w14:paraId="5846316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r>
          </w:tbl>
          <w:p w14:paraId="53A59FE1" w14:textId="77777777" w:rsidR="00192E3D" w:rsidRDefault="00192E3D" w:rsidP="00B44FB0">
            <w:pPr>
              <w:contextualSpacing/>
              <w:rPr>
                <w:color w:val="000000"/>
                <w:sz w:val="18"/>
                <w:szCs w:val="18"/>
                <w:lang w:eastAsia="en-CA"/>
              </w:rPr>
            </w:pPr>
          </w:p>
          <w:p w14:paraId="13F34A17" w14:textId="77777777" w:rsidR="00192E3D" w:rsidRDefault="00192E3D" w:rsidP="00B44FB0">
            <w:pPr>
              <w:contextualSpacing/>
              <w:rPr>
                <w:color w:val="000000"/>
                <w:sz w:val="18"/>
                <w:szCs w:val="18"/>
                <w:lang w:eastAsia="en-CA"/>
              </w:rPr>
            </w:pPr>
          </w:p>
          <w:p w14:paraId="776E158A" w14:textId="77777777" w:rsidR="00192E3D" w:rsidRDefault="00192E3D" w:rsidP="00B44FB0">
            <w:pPr>
              <w:contextualSpacing/>
              <w:rPr>
                <w:color w:val="000000"/>
                <w:sz w:val="18"/>
                <w:szCs w:val="18"/>
                <w:lang w:eastAsia="en-CA"/>
              </w:rPr>
            </w:pPr>
          </w:p>
          <w:p w14:paraId="553D5062" w14:textId="77777777" w:rsidR="00192E3D" w:rsidRDefault="00192E3D" w:rsidP="00B44FB0">
            <w:pPr>
              <w:contextualSpacing/>
              <w:rPr>
                <w:color w:val="000000"/>
                <w:sz w:val="18"/>
                <w:szCs w:val="18"/>
                <w:lang w:eastAsia="en-CA"/>
              </w:rPr>
            </w:pPr>
          </w:p>
          <w:p w14:paraId="2C41A62E" w14:textId="77777777" w:rsidR="00192E3D" w:rsidRDefault="00192E3D" w:rsidP="00B44FB0">
            <w:pPr>
              <w:contextualSpacing/>
              <w:rPr>
                <w:color w:val="000000"/>
                <w:sz w:val="18"/>
                <w:szCs w:val="18"/>
                <w:lang w:eastAsia="en-CA"/>
              </w:rPr>
            </w:pPr>
          </w:p>
          <w:p w14:paraId="6D90FFBC" w14:textId="77777777" w:rsidR="00192E3D" w:rsidRDefault="00192E3D" w:rsidP="00B44FB0">
            <w:pPr>
              <w:contextualSpacing/>
              <w:rPr>
                <w:color w:val="000000"/>
                <w:sz w:val="18"/>
                <w:szCs w:val="18"/>
                <w:lang w:eastAsia="en-CA"/>
              </w:rPr>
            </w:pPr>
          </w:p>
          <w:p w14:paraId="6EAFC502" w14:textId="77777777" w:rsidR="00192E3D" w:rsidRDefault="00192E3D" w:rsidP="00B44FB0">
            <w:pPr>
              <w:contextualSpacing/>
              <w:rPr>
                <w:color w:val="000000"/>
                <w:sz w:val="18"/>
                <w:szCs w:val="18"/>
                <w:lang w:eastAsia="en-CA"/>
              </w:rPr>
            </w:pPr>
          </w:p>
          <w:p w14:paraId="6825C55A" w14:textId="77777777" w:rsidR="00192E3D" w:rsidRDefault="00192E3D" w:rsidP="00B44FB0">
            <w:pPr>
              <w:contextualSpacing/>
              <w:rPr>
                <w:color w:val="000000"/>
                <w:sz w:val="18"/>
                <w:szCs w:val="18"/>
                <w:lang w:eastAsia="en-CA"/>
              </w:rPr>
            </w:pPr>
          </w:p>
          <w:p w14:paraId="0C10EFA1" w14:textId="77777777" w:rsidR="00192E3D" w:rsidRDefault="00192E3D" w:rsidP="00B44FB0">
            <w:pPr>
              <w:contextualSpacing/>
              <w:rPr>
                <w:color w:val="000000"/>
                <w:sz w:val="18"/>
                <w:szCs w:val="18"/>
                <w:lang w:eastAsia="en-CA"/>
              </w:rPr>
            </w:pPr>
          </w:p>
          <w:p w14:paraId="00C5B67A" w14:textId="77777777" w:rsidR="00192E3D" w:rsidRDefault="00192E3D" w:rsidP="00B44FB0">
            <w:pPr>
              <w:contextualSpacing/>
              <w:rPr>
                <w:color w:val="000000"/>
                <w:sz w:val="18"/>
                <w:szCs w:val="18"/>
                <w:lang w:eastAsia="en-CA"/>
              </w:rPr>
            </w:pPr>
          </w:p>
          <w:p w14:paraId="3BF628A2" w14:textId="77777777" w:rsidR="00192E3D" w:rsidRDefault="00192E3D" w:rsidP="00B44FB0">
            <w:pPr>
              <w:contextualSpacing/>
              <w:rPr>
                <w:color w:val="000000"/>
                <w:sz w:val="18"/>
                <w:szCs w:val="18"/>
                <w:lang w:eastAsia="en-CA"/>
              </w:rPr>
            </w:pPr>
          </w:p>
          <w:p w14:paraId="6D819F2C" w14:textId="77777777" w:rsidR="00192E3D" w:rsidRDefault="00192E3D" w:rsidP="00B44FB0">
            <w:pPr>
              <w:contextualSpacing/>
              <w:rPr>
                <w:color w:val="000000"/>
                <w:sz w:val="18"/>
                <w:szCs w:val="18"/>
                <w:lang w:eastAsia="en-CA"/>
              </w:rPr>
            </w:pPr>
          </w:p>
          <w:p w14:paraId="20C45BDD" w14:textId="77777777" w:rsidR="00192E3D" w:rsidRDefault="00192E3D" w:rsidP="00B44FB0">
            <w:pPr>
              <w:contextualSpacing/>
              <w:rPr>
                <w:color w:val="000000"/>
                <w:sz w:val="18"/>
                <w:szCs w:val="18"/>
                <w:lang w:eastAsia="en-CA"/>
              </w:rPr>
            </w:pPr>
            <w:r w:rsidRPr="00B22ECC">
              <w:rPr>
                <w:color w:val="000000"/>
                <w:sz w:val="18"/>
                <w:szCs w:val="18"/>
                <w:lang w:eastAsia="en-CA"/>
              </w:rPr>
              <w:t>(*) Level of baseline HCFC consumption in the refrigeration servicing sector</w:t>
            </w:r>
            <w:r>
              <w:rPr>
                <w:color w:val="000000"/>
                <w:sz w:val="18"/>
                <w:szCs w:val="18"/>
                <w:lang w:eastAsia="en-CA"/>
              </w:rPr>
              <w:t>.</w:t>
            </w:r>
            <w:r w:rsidRPr="00B22ECC">
              <w:rPr>
                <w:color w:val="000000"/>
                <w:sz w:val="18"/>
                <w:szCs w:val="18"/>
                <w:lang w:eastAsia="en-CA"/>
              </w:rPr>
              <w:t xml:space="preserve"> </w:t>
            </w:r>
          </w:p>
          <w:p w14:paraId="2804F0F2" w14:textId="77777777" w:rsidR="00192E3D" w:rsidRDefault="00192E3D" w:rsidP="00B44FB0">
            <w:pPr>
              <w:contextualSpacing/>
              <w:rPr>
                <w:color w:val="000000"/>
                <w:sz w:val="18"/>
                <w:szCs w:val="18"/>
                <w:lang w:eastAsia="en-CA"/>
              </w:rPr>
            </w:pPr>
          </w:p>
          <w:p w14:paraId="609C4E9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that have total HCFC consumption of up to 360 metric tonnes and that receive funding consistent with the above table, will have flexibility in utilizing the resources available to address specific needs that might arise during project implementation to facilitate the smoothest possible phase-out of HCFCs; (xiv) Article 5 countries that have total HCFC consumption of up to 360 metric tonnes, used in both the manufacturing and refrigeration servicing sectors, could submit HCFC phase-out investment projects in accordance with prevailing policies and decisions of the Multilateral Fund, in addition to funding for addressing HCFC consumption in the servicing sector; (xv) Article 5 countries that have total HCFC consumption above 360 metric tonnes should first address consumption in the manufacturing sector to meet the reduction steps in 2013 and 2015. However, if such countries clearly demonstrate that they require assistance in the refrigeration servicing sector to comply with these targets, funding for these activities, such as training, will be calculated at US$4.50/metric kg, which will be deducted from their starting point for aggregate reductions in HCFC consumption. HCFC phase-out in the aerosol, fire extinguisher and solvent sectors (xvi) The eligibility of incremental capital and operating costs for HCFC phase out projects in the aerosol, fire extinguisher and solvent sectors will be considered on a case-by-case basis.</w:t>
            </w:r>
          </w:p>
        </w:tc>
      </w:tr>
      <w:tr w:rsidR="00192E3D" w:rsidRPr="00B22ECC" w14:paraId="0DBC8CA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FAA33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72/17</w:t>
            </w:r>
          </w:p>
        </w:tc>
        <w:tc>
          <w:tcPr>
            <w:tcW w:w="626" w:type="pct"/>
            <w:tcBorders>
              <w:top w:val="nil"/>
              <w:left w:val="nil"/>
              <w:bottom w:val="single" w:sz="4" w:space="0" w:color="auto"/>
              <w:right w:val="single" w:sz="4" w:space="0" w:color="auto"/>
            </w:tcBorders>
            <w:shd w:val="clear" w:color="auto" w:fill="auto"/>
            <w:vAlign w:val="center"/>
            <w:hideMark/>
          </w:tcPr>
          <w:p w14:paraId="1C53FA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5CC1B15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Seventy-second Meeting of the Executive Committee decided to include in the approval of HCFC phase out management plans, tranches, projects or activities that proposed the retrofit of HCFC based refrigeration and air conditioning equipment to flammable or toxic refrigerants that the Executive Committee notes that, if the country engages in retrofitting HCFC-based refrigeration and air-conditioning equipment to flammable or toxic refrigerants and associated servicing, it does so on the understanding that they assume all associated responsibilities and risks.</w:t>
            </w:r>
          </w:p>
        </w:tc>
      </w:tr>
      <w:tr w:rsidR="00192E3D" w:rsidRPr="00B22ECC" w14:paraId="5417AD2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6CB1C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72/41</w:t>
            </w:r>
          </w:p>
        </w:tc>
        <w:tc>
          <w:tcPr>
            <w:tcW w:w="626" w:type="pct"/>
            <w:tcBorders>
              <w:top w:val="nil"/>
              <w:left w:val="nil"/>
              <w:bottom w:val="single" w:sz="4" w:space="0" w:color="auto"/>
              <w:right w:val="single" w:sz="4" w:space="0" w:color="auto"/>
            </w:tcBorders>
            <w:shd w:val="clear" w:color="auto" w:fill="auto"/>
            <w:vAlign w:val="center"/>
            <w:hideMark/>
          </w:tcPr>
          <w:p w14:paraId="05ED8B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M</w:t>
            </w:r>
            <w:r w:rsidRPr="002A5DA8">
              <w:rPr>
                <w:color w:val="000000"/>
                <w:sz w:val="18"/>
                <w:szCs w:val="18"/>
                <w:lang w:eastAsia="en-CA"/>
              </w:rPr>
              <w:t>inimizing adverse climate impact of HCFC phase-out in the refrigeration servicing sector</w:t>
            </w:r>
          </w:p>
        </w:tc>
        <w:tc>
          <w:tcPr>
            <w:tcW w:w="3915" w:type="pct"/>
            <w:tcBorders>
              <w:top w:val="nil"/>
              <w:left w:val="nil"/>
              <w:bottom w:val="single" w:sz="4" w:space="0" w:color="auto"/>
              <w:right w:val="single" w:sz="4" w:space="0" w:color="auto"/>
            </w:tcBorders>
            <w:shd w:val="clear" w:color="auto" w:fill="auto"/>
            <w:vAlign w:val="center"/>
            <w:hideMark/>
          </w:tcPr>
          <w:p w14:paraId="0509629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Seventy-second Meeting of the Executive Committee decided: (a) To take note of documents UNEP/OzL.Pro/ExCom/70/53/Rev.1 and UNEP/OzL.Pro/ExCom/72/42 on minimizing adverse climate impact of HCFC phase-out in the refrigeration servicing sector; (b) To invite relevant bilateral and implementing agencies to consider the information contained in documents </w:t>
            </w:r>
            <w:r>
              <w:rPr>
                <w:color w:val="000000"/>
                <w:sz w:val="18"/>
                <w:szCs w:val="18"/>
                <w:lang w:eastAsia="en-CA"/>
              </w:rPr>
              <w:t>U</w:t>
            </w:r>
            <w:r w:rsidRPr="00B22ECC">
              <w:rPr>
                <w:color w:val="000000"/>
                <w:sz w:val="18"/>
                <w:szCs w:val="18"/>
                <w:lang w:eastAsia="en-CA"/>
              </w:rPr>
              <w:t>NEP/OzL.Pro/ExCom/70/53/Rev.1 and UNEP/OzL.Pro/ExCom/72/42 when assisting Article 5 countries in the preparation and implementation of activities in the refrigeration servicing sector contained in their HCFC phase-out management plans (HPMPs); and (c) To 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 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tc>
      </w:tr>
      <w:tr w:rsidR="00192E3D" w:rsidRPr="00B22ECC" w14:paraId="4F462A1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B5A351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73/34</w:t>
            </w:r>
          </w:p>
        </w:tc>
        <w:tc>
          <w:tcPr>
            <w:tcW w:w="626" w:type="pct"/>
            <w:tcBorders>
              <w:top w:val="nil"/>
              <w:left w:val="nil"/>
              <w:bottom w:val="single" w:sz="4" w:space="0" w:color="auto"/>
              <w:right w:val="single" w:sz="4" w:space="0" w:color="auto"/>
            </w:tcBorders>
            <w:shd w:val="clear" w:color="auto" w:fill="auto"/>
            <w:vAlign w:val="center"/>
            <w:hideMark/>
          </w:tcPr>
          <w:p w14:paraId="3EB291B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638DBAD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Seventy-third Meeting of the Executive Committee decided that, if a country were to decide, after taking into</w:t>
            </w:r>
            <w:r w:rsidRPr="00B22ECC">
              <w:rPr>
                <w:color w:val="000000"/>
                <w:sz w:val="18"/>
                <w:szCs w:val="18"/>
                <w:lang w:eastAsia="en-CA"/>
              </w:rPr>
              <w:br/>
              <w:t>account decision 72/17, to proceed with retrofits that used flammable substances in equipment originally designed for non flammable substances, it should be done only in accordance with the relevant standards and protocols.</w:t>
            </w:r>
          </w:p>
        </w:tc>
      </w:tr>
      <w:tr w:rsidR="00192E3D" w:rsidRPr="00B22ECC" w14:paraId="15FFE64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1C8A51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74/50</w:t>
            </w:r>
          </w:p>
        </w:tc>
        <w:tc>
          <w:tcPr>
            <w:tcW w:w="626" w:type="pct"/>
            <w:tcBorders>
              <w:top w:val="nil"/>
              <w:left w:val="nil"/>
              <w:bottom w:val="single" w:sz="4" w:space="0" w:color="auto"/>
              <w:right w:val="single" w:sz="4" w:space="0" w:color="auto"/>
            </w:tcBorders>
            <w:shd w:val="clear" w:color="auto" w:fill="auto"/>
            <w:vAlign w:val="center"/>
            <w:hideMark/>
          </w:tcPr>
          <w:p w14:paraId="197258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II of HPMPs</w:t>
            </w:r>
          </w:p>
        </w:tc>
        <w:tc>
          <w:tcPr>
            <w:tcW w:w="3915" w:type="pct"/>
            <w:tcBorders>
              <w:top w:val="nil"/>
              <w:left w:val="nil"/>
              <w:bottom w:val="single" w:sz="4" w:space="0" w:color="auto"/>
              <w:right w:val="single" w:sz="4" w:space="0" w:color="auto"/>
            </w:tcBorders>
            <w:shd w:val="clear" w:color="auto" w:fill="auto"/>
            <w:vAlign w:val="center"/>
            <w:hideMark/>
          </w:tcPr>
          <w:p w14:paraId="5BF60916" w14:textId="7FB510A0" w:rsidR="00192E3D" w:rsidRDefault="00192E3D" w:rsidP="00B44FB0">
            <w:pPr>
              <w:contextualSpacing/>
              <w:rPr>
                <w:color w:val="000000"/>
                <w:sz w:val="18"/>
                <w:szCs w:val="18"/>
                <w:lang w:eastAsia="en-CA"/>
              </w:rPr>
            </w:pPr>
            <w:r w:rsidRPr="00B22ECC">
              <w:rPr>
                <w:color w:val="000000"/>
                <w:sz w:val="18"/>
                <w:szCs w:val="18"/>
                <w:lang w:eastAsia="en-CA"/>
              </w:rPr>
              <w:t xml:space="preserve">At its Seventy-fourth meeting, the Executive Committee decided, in determining criteria for funding HCFC phase-out in the consumption sector for stage II of the HCFC phase out management plans (HPMPs) in Article 5 countries, </w:t>
            </w:r>
            <w:r w:rsidRPr="00B22ECC">
              <w:rPr>
                <w:i/>
                <w:color w:val="000000"/>
                <w:sz w:val="18"/>
                <w:szCs w:val="18"/>
                <w:lang w:eastAsia="en-CA"/>
              </w:rPr>
              <w:t>inter alia</w:t>
            </w:r>
            <w:r w:rsidRPr="00B22ECC">
              <w:rPr>
                <w:color w:val="000000"/>
                <w:sz w:val="18"/>
                <w:szCs w:val="18"/>
                <w:lang w:eastAsia="en-CA"/>
              </w:rPr>
              <w:t>: HCFC phase-out in the refrigeration servicing sector, including servicing for all the relevant refrigeration and air conditioning subsectors (xi) Article 5 countries with total HCFC consumption of up to 360 metric tonnes, and former low-volume consuming (LVC) Article 5 countries with HCFC consumption in the refrigeration servicing sector only above 360 metric tonnes, must include in their HPMPs, as a minimum: a. A commitment to meeting, without further requests for funding at least the 35 per cent reduction step in 2020, and, if the country so decided, the 67.5 per cent reduction step in 2025 or the complete phase-out of HCFCs in line or ahead of the Montreal Protocol schedule. This should include a commitment by the country to restrict imports of HCFC-based equipment if necessary to achieve compliance with the reduction steps and to support relevant phase-out activities; b. 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 of the activities associated with the next tranche; c. A description of the roles and responsibilities of major stakeholders, as well as the lead implementing agency and the cooperating agencies, where applicable; (xii)  Article 5 countries with total HCFC consumption of up to 360 metric tonnes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r>
              <w:rPr>
                <w:color w:val="000000"/>
                <w:sz w:val="18"/>
                <w:szCs w:val="18"/>
                <w:lang w:eastAsia="en-CA"/>
              </w:rPr>
              <w:t xml:space="preserve"> </w:t>
            </w:r>
          </w:p>
          <w:p w14:paraId="08C7661D" w14:textId="65E8855D" w:rsidR="00192E3D" w:rsidRDefault="00192E3D" w:rsidP="00B44FB0">
            <w:pPr>
              <w:contextualSpacing/>
              <w:rPr>
                <w:color w:val="000000"/>
                <w:sz w:val="18"/>
                <w:szCs w:val="18"/>
                <w:lang w:eastAsia="en-CA"/>
              </w:rPr>
            </w:pPr>
          </w:p>
          <w:tbl>
            <w:tblPr>
              <w:tblStyle w:val="TableGrid"/>
              <w:tblW w:w="0" w:type="auto"/>
              <w:tblInd w:w="515" w:type="dxa"/>
              <w:tblLayout w:type="fixed"/>
              <w:tblLook w:val="04A0" w:firstRow="1" w:lastRow="0" w:firstColumn="1" w:lastColumn="0" w:noHBand="0" w:noVBand="1"/>
            </w:tblPr>
            <w:tblGrid>
              <w:gridCol w:w="1722"/>
              <w:gridCol w:w="2409"/>
              <w:gridCol w:w="2410"/>
              <w:gridCol w:w="2410"/>
            </w:tblGrid>
            <w:tr w:rsidR="00192E3D" w14:paraId="074FFCFD" w14:textId="77777777" w:rsidTr="00B44FB0">
              <w:tc>
                <w:tcPr>
                  <w:tcW w:w="1722" w:type="dxa"/>
                  <w:vMerge w:val="restart"/>
                  <w:vAlign w:val="center"/>
                </w:tcPr>
                <w:p w14:paraId="64A5273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Consumption (mt)*</w:t>
                  </w:r>
                </w:p>
              </w:tc>
              <w:tc>
                <w:tcPr>
                  <w:tcW w:w="7229" w:type="dxa"/>
                  <w:gridSpan w:val="3"/>
                  <w:vAlign w:val="center"/>
                </w:tcPr>
                <w:p w14:paraId="2EDDA000"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Funding (US $)(**)</w:t>
                  </w:r>
                </w:p>
              </w:tc>
            </w:tr>
            <w:tr w:rsidR="00192E3D" w14:paraId="25C91F1F" w14:textId="77777777" w:rsidTr="00B44FB0">
              <w:tc>
                <w:tcPr>
                  <w:tcW w:w="1722" w:type="dxa"/>
                  <w:vMerge/>
                  <w:vAlign w:val="center"/>
                </w:tcPr>
                <w:p w14:paraId="22A93959" w14:textId="77777777" w:rsidR="00192E3D" w:rsidRPr="00017E9A" w:rsidRDefault="00192E3D" w:rsidP="00B44FB0">
                  <w:pPr>
                    <w:contextualSpacing/>
                    <w:jc w:val="center"/>
                    <w:rPr>
                      <w:b/>
                      <w:color w:val="000000"/>
                      <w:sz w:val="18"/>
                      <w:szCs w:val="18"/>
                      <w:lang w:eastAsia="en-CA"/>
                    </w:rPr>
                  </w:pPr>
                </w:p>
              </w:tc>
              <w:tc>
                <w:tcPr>
                  <w:tcW w:w="2409" w:type="dxa"/>
                  <w:vAlign w:val="center"/>
                </w:tcPr>
                <w:p w14:paraId="5109D117"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2020</w:t>
                  </w:r>
                </w:p>
              </w:tc>
              <w:tc>
                <w:tcPr>
                  <w:tcW w:w="2410" w:type="dxa"/>
                  <w:vAlign w:val="center"/>
                </w:tcPr>
                <w:p w14:paraId="00A73D5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2025</w:t>
                  </w:r>
                </w:p>
              </w:tc>
              <w:tc>
                <w:tcPr>
                  <w:tcW w:w="2410" w:type="dxa"/>
                  <w:vAlign w:val="center"/>
                </w:tcPr>
                <w:p w14:paraId="2AE81DB9"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Total phase-out</w:t>
                  </w:r>
                </w:p>
              </w:tc>
            </w:tr>
            <w:tr w:rsidR="00192E3D" w14:paraId="371F065B" w14:textId="77777777" w:rsidTr="00B44FB0">
              <w:tc>
                <w:tcPr>
                  <w:tcW w:w="1722" w:type="dxa"/>
                </w:tcPr>
                <w:p w14:paraId="2FBBB03B"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409" w:type="dxa"/>
                </w:tcPr>
                <w:p w14:paraId="4E649FF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205,625</w:t>
                  </w:r>
                </w:p>
              </w:tc>
              <w:tc>
                <w:tcPr>
                  <w:tcW w:w="2410" w:type="dxa"/>
                </w:tcPr>
                <w:p w14:paraId="05597E5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396,500</w:t>
                  </w:r>
                </w:p>
              </w:tc>
              <w:tc>
                <w:tcPr>
                  <w:tcW w:w="2410" w:type="dxa"/>
                </w:tcPr>
                <w:p w14:paraId="55519DC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587,500</w:t>
                  </w:r>
                </w:p>
              </w:tc>
            </w:tr>
            <w:tr w:rsidR="00192E3D" w14:paraId="41EDEC10" w14:textId="77777777" w:rsidTr="00B44FB0">
              <w:tc>
                <w:tcPr>
                  <w:tcW w:w="1722" w:type="dxa"/>
                </w:tcPr>
                <w:p w14:paraId="3C439ED6"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409" w:type="dxa"/>
                </w:tcPr>
                <w:p w14:paraId="0931400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262,500</w:t>
                  </w:r>
                </w:p>
              </w:tc>
              <w:tc>
                <w:tcPr>
                  <w:tcW w:w="2410" w:type="dxa"/>
                </w:tcPr>
                <w:p w14:paraId="4172F11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506,250</w:t>
                  </w:r>
                </w:p>
              </w:tc>
              <w:tc>
                <w:tcPr>
                  <w:tcW w:w="2410" w:type="dxa"/>
                </w:tcPr>
                <w:p w14:paraId="7196D17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750,000</w:t>
                  </w:r>
                </w:p>
              </w:tc>
            </w:tr>
            <w:tr w:rsidR="00192E3D" w14:paraId="03096D2E" w14:textId="77777777" w:rsidTr="00B44FB0">
              <w:tc>
                <w:tcPr>
                  <w:tcW w:w="1722" w:type="dxa"/>
                </w:tcPr>
                <w:p w14:paraId="5F860025" w14:textId="77777777" w:rsidR="00192E3D" w:rsidRDefault="00192E3D" w:rsidP="00B44FB0">
                  <w:pPr>
                    <w:contextualSpacing/>
                    <w:rPr>
                      <w:color w:val="000000"/>
                      <w:sz w:val="18"/>
                      <w:szCs w:val="18"/>
                      <w:lang w:eastAsia="en-CA"/>
                    </w:rPr>
                  </w:pPr>
                  <w:r w:rsidRPr="00B22ECC">
                    <w:rPr>
                      <w:color w:val="000000"/>
                      <w:sz w:val="18"/>
                      <w:szCs w:val="18"/>
                      <w:lang w:eastAsia="en-CA"/>
                    </w:rPr>
                    <w:t>40 &lt;</w:t>
                  </w:r>
                  <w:r>
                    <w:rPr>
                      <w:color w:val="000000"/>
                      <w:sz w:val="18"/>
                      <w:szCs w:val="18"/>
                      <w:lang w:eastAsia="en-CA"/>
                    </w:rPr>
                    <w:t xml:space="preserve"> </w:t>
                  </w:r>
                  <w:r w:rsidRPr="00B22ECC">
                    <w:rPr>
                      <w:color w:val="000000"/>
                      <w:sz w:val="18"/>
                      <w:szCs w:val="18"/>
                      <w:lang w:eastAsia="en-CA"/>
                    </w:rPr>
                    <w:t>80</w:t>
                  </w:r>
                </w:p>
              </w:tc>
              <w:tc>
                <w:tcPr>
                  <w:tcW w:w="2409" w:type="dxa"/>
                </w:tcPr>
                <w:p w14:paraId="32C07F9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c>
                <w:tcPr>
                  <w:tcW w:w="2410" w:type="dxa"/>
                </w:tcPr>
                <w:p w14:paraId="1DEB3F7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540,000</w:t>
                  </w:r>
                </w:p>
              </w:tc>
              <w:tc>
                <w:tcPr>
                  <w:tcW w:w="2410" w:type="dxa"/>
                </w:tcPr>
                <w:p w14:paraId="64ED6A0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800,000</w:t>
                  </w:r>
                </w:p>
              </w:tc>
            </w:tr>
            <w:tr w:rsidR="00192E3D" w14:paraId="4257462D" w14:textId="77777777" w:rsidTr="00B44FB0">
              <w:tc>
                <w:tcPr>
                  <w:tcW w:w="1722" w:type="dxa"/>
                </w:tcPr>
                <w:p w14:paraId="1BAE4100"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409" w:type="dxa"/>
                </w:tcPr>
                <w:p w14:paraId="070054D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c>
                <w:tcPr>
                  <w:tcW w:w="2410" w:type="dxa"/>
                </w:tcPr>
                <w:p w14:paraId="32C2F97F"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607,500</w:t>
                  </w:r>
                </w:p>
              </w:tc>
              <w:tc>
                <w:tcPr>
                  <w:tcW w:w="2410" w:type="dxa"/>
                </w:tcPr>
                <w:p w14:paraId="7CEA449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900,000</w:t>
                  </w:r>
                </w:p>
              </w:tc>
            </w:tr>
            <w:tr w:rsidR="00192E3D" w14:paraId="6907982F" w14:textId="77777777" w:rsidTr="00B44FB0">
              <w:tc>
                <w:tcPr>
                  <w:tcW w:w="1722" w:type="dxa"/>
                </w:tcPr>
                <w:p w14:paraId="292C1207"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409" w:type="dxa"/>
                </w:tcPr>
                <w:p w14:paraId="1ABC5CA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c>
                <w:tcPr>
                  <w:tcW w:w="2410" w:type="dxa"/>
                </w:tcPr>
                <w:p w14:paraId="473C334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641,250</w:t>
                  </w:r>
                </w:p>
              </w:tc>
              <w:tc>
                <w:tcPr>
                  <w:tcW w:w="2410" w:type="dxa"/>
                </w:tcPr>
                <w:p w14:paraId="6B885A93"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950,000</w:t>
                  </w:r>
                </w:p>
              </w:tc>
            </w:tr>
            <w:tr w:rsidR="00192E3D" w14:paraId="2CA2E499" w14:textId="77777777" w:rsidTr="00B44FB0">
              <w:tc>
                <w:tcPr>
                  <w:tcW w:w="1722" w:type="dxa"/>
                </w:tcPr>
                <w:p w14:paraId="63663ABC" w14:textId="77777777" w:rsidR="00192E3D" w:rsidRDefault="00192E3D" w:rsidP="00B44FB0">
                  <w:pPr>
                    <w:contextualSpacing/>
                    <w:rPr>
                      <w:color w:val="000000"/>
                      <w:sz w:val="18"/>
                      <w:szCs w:val="18"/>
                      <w:lang w:eastAsia="en-CA"/>
                    </w:rPr>
                  </w:pPr>
                  <w:r w:rsidRPr="00B22ECC">
                    <w:rPr>
                      <w:color w:val="000000"/>
                      <w:sz w:val="18"/>
                      <w:szCs w:val="18"/>
                      <w:lang w:eastAsia="en-CA"/>
                    </w:rPr>
                    <w:t>160 &lt;</w:t>
                  </w:r>
                  <w:r>
                    <w:rPr>
                      <w:color w:val="000000"/>
                      <w:sz w:val="18"/>
                      <w:szCs w:val="18"/>
                      <w:lang w:eastAsia="en-CA"/>
                    </w:rPr>
                    <w:t xml:space="preserve"> </w:t>
                  </w:r>
                  <w:r w:rsidRPr="00B22ECC">
                    <w:rPr>
                      <w:color w:val="000000"/>
                      <w:sz w:val="18"/>
                      <w:szCs w:val="18"/>
                      <w:lang w:eastAsia="en-CA"/>
                    </w:rPr>
                    <w:t>200</w:t>
                  </w:r>
                </w:p>
              </w:tc>
              <w:tc>
                <w:tcPr>
                  <w:tcW w:w="2409" w:type="dxa"/>
                </w:tcPr>
                <w:p w14:paraId="63E81B3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c>
                <w:tcPr>
                  <w:tcW w:w="2410" w:type="dxa"/>
                </w:tcPr>
                <w:p w14:paraId="5A68A31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675,000</w:t>
                  </w:r>
                </w:p>
              </w:tc>
              <w:tc>
                <w:tcPr>
                  <w:tcW w:w="2410" w:type="dxa"/>
                </w:tcPr>
                <w:p w14:paraId="7B454CD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1,000,000</w:t>
                  </w:r>
                </w:p>
              </w:tc>
            </w:tr>
            <w:tr w:rsidR="00192E3D" w14:paraId="283406B0" w14:textId="77777777" w:rsidTr="00B44FB0">
              <w:tc>
                <w:tcPr>
                  <w:tcW w:w="1722" w:type="dxa"/>
                </w:tcPr>
                <w:p w14:paraId="0028967B" w14:textId="77777777" w:rsidR="00192E3D" w:rsidRDefault="00192E3D" w:rsidP="00B44FB0">
                  <w:pPr>
                    <w:contextualSpacing/>
                    <w:rPr>
                      <w:color w:val="000000"/>
                      <w:sz w:val="18"/>
                      <w:szCs w:val="18"/>
                      <w:lang w:eastAsia="en-CA"/>
                    </w:rPr>
                  </w:pPr>
                  <w:r w:rsidRPr="00B22ECC">
                    <w:rPr>
                      <w:color w:val="000000"/>
                      <w:sz w:val="18"/>
                      <w:szCs w:val="18"/>
                      <w:lang w:eastAsia="en-CA"/>
                    </w:rPr>
                    <w:t>200 &lt;</w:t>
                  </w:r>
                  <w:r>
                    <w:rPr>
                      <w:color w:val="000000"/>
                      <w:sz w:val="18"/>
                      <w:szCs w:val="18"/>
                      <w:lang w:eastAsia="en-CA"/>
                    </w:rPr>
                    <w:t xml:space="preserve"> </w:t>
                  </w:r>
                  <w:r w:rsidRPr="00B22ECC">
                    <w:rPr>
                      <w:color w:val="000000"/>
                      <w:sz w:val="18"/>
                      <w:szCs w:val="18"/>
                      <w:lang w:eastAsia="en-CA"/>
                    </w:rPr>
                    <w:t>320</w:t>
                  </w:r>
                </w:p>
              </w:tc>
              <w:tc>
                <w:tcPr>
                  <w:tcW w:w="2409" w:type="dxa"/>
                </w:tcPr>
                <w:p w14:paraId="30219871"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c>
                <w:tcPr>
                  <w:tcW w:w="2410" w:type="dxa"/>
                </w:tcPr>
                <w:p w14:paraId="13E203E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1,080,000</w:t>
                  </w:r>
                </w:p>
              </w:tc>
              <w:tc>
                <w:tcPr>
                  <w:tcW w:w="2410" w:type="dxa"/>
                </w:tcPr>
                <w:p w14:paraId="60BC05B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1,600,000</w:t>
                  </w:r>
                </w:p>
              </w:tc>
            </w:tr>
            <w:tr w:rsidR="00192E3D" w14:paraId="280A2895" w14:textId="77777777" w:rsidTr="00B44FB0">
              <w:tc>
                <w:tcPr>
                  <w:tcW w:w="1722" w:type="dxa"/>
                </w:tcPr>
                <w:p w14:paraId="6EF1532B" w14:textId="77777777" w:rsidR="00192E3D" w:rsidRDefault="00192E3D" w:rsidP="00B44FB0">
                  <w:pPr>
                    <w:contextualSpacing/>
                    <w:rPr>
                      <w:color w:val="000000"/>
                      <w:sz w:val="18"/>
                      <w:szCs w:val="18"/>
                      <w:lang w:eastAsia="en-CA"/>
                    </w:rPr>
                  </w:pPr>
                  <w:r w:rsidRPr="00B22ECC">
                    <w:rPr>
                      <w:color w:val="000000"/>
                      <w:sz w:val="18"/>
                      <w:szCs w:val="18"/>
                      <w:lang w:eastAsia="en-CA"/>
                    </w:rPr>
                    <w:t>320 &lt;</w:t>
                  </w:r>
                  <w:r>
                    <w:rPr>
                      <w:color w:val="000000"/>
                      <w:sz w:val="18"/>
                      <w:szCs w:val="18"/>
                      <w:lang w:eastAsia="en-CA"/>
                    </w:rPr>
                    <w:t xml:space="preserve"> </w:t>
                  </w:r>
                  <w:r w:rsidRPr="00B22ECC">
                    <w:rPr>
                      <w:color w:val="000000"/>
                      <w:sz w:val="18"/>
                      <w:szCs w:val="18"/>
                      <w:lang w:eastAsia="en-CA"/>
                    </w:rPr>
                    <w:t>360</w:t>
                  </w:r>
                </w:p>
              </w:tc>
              <w:tc>
                <w:tcPr>
                  <w:tcW w:w="2409" w:type="dxa"/>
                </w:tcPr>
                <w:p w14:paraId="3B10928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c>
                <w:tcPr>
                  <w:tcW w:w="2410" w:type="dxa"/>
                </w:tcPr>
                <w:p w14:paraId="05D2334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1,215,000</w:t>
                  </w:r>
                </w:p>
              </w:tc>
              <w:tc>
                <w:tcPr>
                  <w:tcW w:w="2410" w:type="dxa"/>
                </w:tcPr>
                <w:p w14:paraId="6C05729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1,800,000</w:t>
                  </w:r>
                </w:p>
              </w:tc>
            </w:tr>
          </w:tbl>
          <w:p w14:paraId="28C39D3E" w14:textId="77777777" w:rsidR="00192E3D" w:rsidRDefault="00192E3D" w:rsidP="00B44FB0">
            <w:pPr>
              <w:contextualSpacing/>
              <w:rPr>
                <w:color w:val="000000"/>
                <w:sz w:val="18"/>
                <w:szCs w:val="18"/>
                <w:lang w:eastAsia="en-CA"/>
              </w:rPr>
            </w:pPr>
            <w:r w:rsidRPr="00B22ECC">
              <w:rPr>
                <w:color w:val="000000"/>
                <w:sz w:val="18"/>
                <w:szCs w:val="18"/>
                <w:lang w:eastAsia="en-CA"/>
              </w:rPr>
              <w:t>(*) Level of HCFC baseline consumption in the refrigeration servicing sector</w:t>
            </w:r>
            <w:r>
              <w:rPr>
                <w:color w:val="000000"/>
                <w:sz w:val="18"/>
                <w:szCs w:val="18"/>
                <w:lang w:eastAsia="en-CA"/>
              </w:rPr>
              <w:t>.</w:t>
            </w:r>
            <w:r w:rsidRPr="00B22ECC">
              <w:rPr>
                <w:color w:val="000000"/>
                <w:sz w:val="18"/>
                <w:szCs w:val="18"/>
                <w:lang w:eastAsia="en-CA"/>
              </w:rPr>
              <w:t xml:space="preserve"> </w:t>
            </w:r>
          </w:p>
          <w:p w14:paraId="73742771" w14:textId="77777777" w:rsidR="00192E3D" w:rsidRDefault="00192E3D" w:rsidP="00B44FB0">
            <w:pPr>
              <w:contextualSpacing/>
              <w:rPr>
                <w:color w:val="000000"/>
                <w:sz w:val="18"/>
                <w:szCs w:val="18"/>
                <w:lang w:eastAsia="en-CA"/>
              </w:rPr>
            </w:pPr>
            <w:r w:rsidRPr="00B22ECC">
              <w:rPr>
                <w:color w:val="000000"/>
                <w:sz w:val="18"/>
                <w:szCs w:val="18"/>
                <w:lang w:eastAsia="en-CA"/>
              </w:rPr>
              <w:t>(**) This represents the maximum funding eligible, including funding already provided</w:t>
            </w:r>
            <w:r>
              <w:rPr>
                <w:color w:val="000000"/>
                <w:sz w:val="18"/>
                <w:szCs w:val="18"/>
                <w:lang w:eastAsia="en-CA"/>
              </w:rPr>
              <w:t>.</w:t>
            </w:r>
          </w:p>
          <w:p w14:paraId="4A1A04AC" w14:textId="77777777" w:rsidR="00192E3D" w:rsidRDefault="00192E3D" w:rsidP="00B44FB0">
            <w:pPr>
              <w:contextualSpacing/>
              <w:rPr>
                <w:color w:val="000000"/>
                <w:sz w:val="18"/>
                <w:szCs w:val="18"/>
                <w:lang w:eastAsia="en-CA"/>
              </w:rPr>
            </w:pPr>
          </w:p>
          <w:p w14:paraId="6332269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with HCFC consumption in the refrigeration servicing sector only above 360 metric tonnes would be provided with funding for phase-out activities at US $4.80/metric kilogram; (xiv) Article 5 countries with total HCFC consumption in the servicing sector only of up to 360 metric tonnes would have flexibility in utilizing the resources available to address specific needs that might arise during project implementation to facilitate the smoothest possible phase-out of HCFCs, consistent with Executive Committee decisions; (xv) Article 5 countries with total HCFC consumption of up to 360 metric tonnes, used in both the manufacturing and refrigeration servicing sectors, could submit HCFC phase-out investment projects in accordance with the policies and decisions of the Executive Committee, in addition to funding for addressing HCFC consumption in the servicing sector; (xvi) Article 5 countries with total HCFC consumption above 360 metric tonnes used in both the manufacturing and refrigeration servicing sectors should prioritize consumption in the manufacturing sector to meet the reduction steps in 2020, where possible. Activities in the refrigeration servicing sector for such countries would be calculated at US $4.8/metric kilogram, to be deducted from their starting point for aggregate reductions in HCFC consumption;</w:t>
            </w:r>
          </w:p>
        </w:tc>
      </w:tr>
      <w:tr w:rsidR="00192E3D" w:rsidRPr="00B22ECC" w14:paraId="5E877F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1B6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80/76</w:t>
            </w:r>
          </w:p>
        </w:tc>
        <w:tc>
          <w:tcPr>
            <w:tcW w:w="626" w:type="pct"/>
            <w:tcBorders>
              <w:top w:val="nil"/>
              <w:left w:val="nil"/>
              <w:bottom w:val="single" w:sz="4" w:space="0" w:color="auto"/>
              <w:right w:val="single" w:sz="4" w:space="0" w:color="auto"/>
            </w:tcBorders>
            <w:shd w:val="clear" w:color="auto" w:fill="auto"/>
            <w:vAlign w:val="center"/>
            <w:hideMark/>
          </w:tcPr>
          <w:p w14:paraId="2F2DEAB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HFC phase-down cost guidelines</w:t>
            </w:r>
          </w:p>
        </w:tc>
        <w:tc>
          <w:tcPr>
            <w:tcW w:w="3915" w:type="pct"/>
            <w:tcBorders>
              <w:top w:val="nil"/>
              <w:left w:val="nil"/>
              <w:bottom w:val="single" w:sz="4" w:space="0" w:color="auto"/>
              <w:right w:val="single" w:sz="4" w:space="0" w:color="auto"/>
            </w:tcBorders>
            <w:shd w:val="clear" w:color="auto" w:fill="auto"/>
            <w:vAlign w:val="center"/>
            <w:hideMark/>
          </w:tcPr>
          <w:p w14:paraId="0F91917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Eightieth Meeting of the Executive Committee decided, </w:t>
            </w:r>
            <w:r w:rsidRPr="00B22ECC">
              <w:rPr>
                <w:i/>
                <w:color w:val="000000"/>
                <w:sz w:val="18"/>
                <w:szCs w:val="18"/>
                <w:lang w:eastAsia="en-CA"/>
              </w:rPr>
              <w:t>inter alia</w:t>
            </w:r>
            <w:r w:rsidRPr="00B22ECC">
              <w:rPr>
                <w:color w:val="000000"/>
                <w:sz w:val="18"/>
                <w:szCs w:val="18"/>
                <w:lang w:eastAsia="en-CA"/>
              </w:rPr>
              <w:t xml:space="preserve"> (c) To request the Secretariat to prepare a preliminary document for the 82nd meeting, in cooperation with bilateral and implementing agencies, on all aspects related to the refrigeration servicing sector that support the HFC phase-down, taking into account: (i) 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had established with world recognized training and certification institutes; (ii) Analysis of the existing capacities in Article 5 countries with the funding approved thus far for the refrigeration servicing sector and how those could be utilized for HFC phase-down, in relation to: a. The results of funded recovery, recycling and reclamation activities and the provision of servicing tools, and their potential to reduce refrigerant emissions; b. The extent of the involvement of the private and/or public sector (e.g. equipment, components and refrigerant suppliers) in introducing and adopting alternatives in the servicing sector; c. Health and safety standards, protocols and equipment (including protective equipment) available for alternatives; d. Training and certification programmes; e. If and how energy efficiency was addressed in the servicing/end-user sector; and (iii) The minimum information needed for the development of training and competency-based certification programmes and modules for service technicians and customs officers for the transition to alternatives.</w:t>
            </w:r>
          </w:p>
        </w:tc>
      </w:tr>
      <w:tr w:rsidR="00192E3D" w:rsidRPr="00B22ECC" w14:paraId="1FF36D4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F209A0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IV/24</w:t>
            </w:r>
          </w:p>
        </w:tc>
        <w:tc>
          <w:tcPr>
            <w:tcW w:w="626" w:type="pct"/>
            <w:tcBorders>
              <w:top w:val="nil"/>
              <w:left w:val="nil"/>
              <w:bottom w:val="single" w:sz="4" w:space="0" w:color="auto"/>
              <w:right w:val="single" w:sz="4" w:space="0" w:color="auto"/>
            </w:tcBorders>
            <w:shd w:val="clear" w:color="auto" w:fill="auto"/>
            <w:vAlign w:val="center"/>
            <w:hideMark/>
          </w:tcPr>
          <w:p w14:paraId="70C2467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8159B4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Fourth Meeting of the Parties decided: 1. to annul Decision I/12 H of the First Meeting of the Parties ("Imports and exports of bulk used controlled substances should be treated and recorded in the same manner as virgin controlled substances and included in the calculation of the Party's consumption limits"). 2. not to take into account, for calculating consumption, the import and export of recycled and used controlled substances (except when calculating the base year consumption under paragraph 1 of Article 5 of the Protocol), provided that data on such imports and exports are subject to reporting under Article 7. 3. the Parties also agreed on the following clarifications of the terms "recovery", "recycling" and "reclamation": (a) Recovery: The collection and storage of controlled substances from machinery, equipment, containment vessels, etc., during servicing or prior to disposal; (b) Recycling: The re-use of a recovered controlled substance following a basic cleaning process such as filtering and drying. For refrigerants, recycling normally involves recharge back into equipment which it often occurs "on-site"; (c) Reclamation: The re-processing and upgrading of a recovered controlled substance through such mechanisms as filtering, drying, distillation and chemical treatment in order to restore the substance to a specified standard of performance. It often involves processing "off-site" at a central facility. 4. urged all the Parties to take all practicable measures to prevent releases of controlled substances into the atmosphere, including, inter alia: (a) to recover controlled substances in Annex A, Annex B and Annex C of the Protocol, for purposes of recycling, reclamation or destruction, that are contained in the following equipment during servicing and maintenance as well as prior to equipment dismantling or disposal: (i) stationery commercial and industrial refrigeration and air conditioning equipment; (ii) mobile refrigeration and mobile air-conditioning equipment; (iii) fire protection systems; (iv) cleaning machinery containing solvents; (b) to minimize refrigerant leakage from commercial and industrial air-conditioning and refrigeration systems during manufacture, installation, operation and servicing; (c) to destroy unneeded ozone-depleting substances where economically feasible and environmentally appropriate to do so.</w:t>
            </w:r>
          </w:p>
        </w:tc>
      </w:tr>
      <w:tr w:rsidR="00192E3D" w:rsidRPr="00B22ECC" w14:paraId="7E2E44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8B41F3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IX/8</w:t>
            </w:r>
          </w:p>
        </w:tc>
        <w:tc>
          <w:tcPr>
            <w:tcW w:w="626" w:type="pct"/>
            <w:tcBorders>
              <w:top w:val="nil"/>
              <w:left w:val="nil"/>
              <w:bottom w:val="single" w:sz="4" w:space="0" w:color="auto"/>
              <w:right w:val="single" w:sz="4" w:space="0" w:color="auto"/>
            </w:tcBorders>
            <w:shd w:val="clear" w:color="auto" w:fill="auto"/>
            <w:vAlign w:val="center"/>
            <w:hideMark/>
          </w:tcPr>
          <w:p w14:paraId="111FA7A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066F7D8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Ninth Meeting of the Parties decided: 1. that the licensing system to be established by each Party should: (a) assist collection of sufficient information to facilitate Parties' compliance with relevant reporting requirements under Article 7 of the Protocol and decisions of the Parties; and  (b) assist Parties in the prevention of illegal traffic of controlled substances, including, as appropriate, through notification and/or regular reporting by exporting countries to importing countries and/or by allowing cross-checking of information between exporting and importing countries; 2. to facilitate the efficient notification and/or reporting and/or cross-checking of information, each Party should inform the Secretariat by 31 January 1998 of the name and contact details of the officer to whom such information and requests should be directed. The Secretariat shall periodically prepare, update and circulate to all Parties a full list of these contact details; 3. that the Secretariat and Implementing Agencies should take steps to assist Parties in the design and implementation of appropriate national licensing systems; 4. that Parties operating under Article 5 may require assistance in the development, establishment and operation of such a licensing system and, noting that the Multilateral Fund has provided some funding for such activities, that the Multilateral Fund should provide appropriate additional funding for this purpose.</w:t>
            </w:r>
          </w:p>
        </w:tc>
      </w:tr>
      <w:tr w:rsidR="00192E3D" w:rsidRPr="00B22ECC" w14:paraId="0B4988A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F6B66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VI/19 (b)</w:t>
            </w:r>
          </w:p>
        </w:tc>
        <w:tc>
          <w:tcPr>
            <w:tcW w:w="626" w:type="pct"/>
            <w:tcBorders>
              <w:top w:val="nil"/>
              <w:left w:val="nil"/>
              <w:bottom w:val="single" w:sz="4" w:space="0" w:color="auto"/>
              <w:right w:val="single" w:sz="4" w:space="0" w:color="auto"/>
            </w:tcBorders>
            <w:shd w:val="clear" w:color="auto" w:fill="auto"/>
            <w:vAlign w:val="center"/>
            <w:hideMark/>
          </w:tcPr>
          <w:p w14:paraId="46BFEF5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4C4EEF9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Sixth Meeting of the Parties decided with respect to trade in previously used ozone-depleting substances, (d) to request all Parties with reclamation facilities to submit to the Secretariat prior to the Seventh Meeting of the Parties and on an annual basis thereafter a list of the reclamation facilities and their capacities available in their countries;</w:t>
            </w:r>
          </w:p>
        </w:tc>
      </w:tr>
      <w:tr w:rsidR="00192E3D" w:rsidRPr="00B22ECC" w14:paraId="641BC68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0B8B7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VII/25</w:t>
            </w:r>
          </w:p>
        </w:tc>
        <w:tc>
          <w:tcPr>
            <w:tcW w:w="626" w:type="pct"/>
            <w:tcBorders>
              <w:top w:val="nil"/>
              <w:left w:val="nil"/>
              <w:bottom w:val="single" w:sz="4" w:space="0" w:color="auto"/>
              <w:right w:val="single" w:sz="4" w:space="0" w:color="auto"/>
            </w:tcBorders>
            <w:shd w:val="clear" w:color="auto" w:fill="auto"/>
            <w:vAlign w:val="center"/>
            <w:hideMark/>
          </w:tcPr>
          <w:p w14:paraId="18F21B3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1B09DA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Seventh Meeting of the Parties requested the Executive Committee to provide specific support to low-volume-ODS-consuming countries (LVCs) by: (a) allocating sufficient funds for projects in low-volume-ODS-consuming countries to further strengthen and expand awareness and training programmes, especially in the area of refrigerant management; (b) supporting specialized assistance such as a workshop to establish regulatory and legislative measures required to facilitate the phase-out of ozone-depleting substances; (c) allowing financing of eligible retrofitting projects, in sectors vital to LVC economies on a case-by-case basis where this can be shown to be the best approach; (d) requesting the United Nations Environment Programme, due to its extensive experience with low-volume-ODS-consuming countries (LVCs), to take the lead in preparing an overall approach in addressing these needs; (e) providing funds to low-volume-ODS-consuming countries, on a regional basis, to organize </w:t>
            </w:r>
            <w:r w:rsidRPr="00B22ECC">
              <w:rPr>
                <w:b/>
                <w:bCs/>
                <w:color w:val="000000"/>
                <w:sz w:val="18"/>
                <w:szCs w:val="18"/>
                <w:lang w:eastAsia="en-CA"/>
              </w:rPr>
              <w:t>training workshops for their customs</w:t>
            </w:r>
            <w:r w:rsidRPr="00B22ECC">
              <w:rPr>
                <w:color w:val="000000"/>
                <w:sz w:val="18"/>
                <w:szCs w:val="18"/>
                <w:lang w:eastAsia="en-CA"/>
              </w:rPr>
              <w:t xml:space="preserve"> and other officers on the harmonized system and other systems to control and monitor consumption of ozone-depleting substances; Approval of projects in low-volume-ODS-consuming countries and very low-volume-ODS-consuming countries should be based upon a more appropriate project-appraisal approach reflecting the particular circumstances encountered by the countries referred to above.</w:t>
            </w:r>
          </w:p>
        </w:tc>
      </w:tr>
      <w:tr w:rsidR="00192E3D" w:rsidRPr="00B22ECC" w14:paraId="7FD501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89D3E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VII/5</w:t>
            </w:r>
          </w:p>
        </w:tc>
        <w:tc>
          <w:tcPr>
            <w:tcW w:w="626" w:type="pct"/>
            <w:tcBorders>
              <w:top w:val="nil"/>
              <w:left w:val="nil"/>
              <w:bottom w:val="single" w:sz="4" w:space="0" w:color="auto"/>
              <w:right w:val="single" w:sz="4" w:space="0" w:color="auto"/>
            </w:tcBorders>
            <w:shd w:val="clear" w:color="auto" w:fill="auto"/>
            <w:vAlign w:val="center"/>
            <w:hideMark/>
          </w:tcPr>
          <w:p w14:paraId="6381286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Recycled CFCs</w:t>
            </w:r>
          </w:p>
        </w:tc>
        <w:tc>
          <w:tcPr>
            <w:tcW w:w="3915" w:type="pct"/>
            <w:tcBorders>
              <w:top w:val="nil"/>
              <w:left w:val="nil"/>
              <w:bottom w:val="single" w:sz="4" w:space="0" w:color="auto"/>
              <w:right w:val="single" w:sz="4" w:space="0" w:color="auto"/>
            </w:tcBorders>
            <w:shd w:val="clear" w:color="auto" w:fill="auto"/>
            <w:vAlign w:val="center"/>
            <w:hideMark/>
          </w:tcPr>
          <w:p w14:paraId="6CF7F73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Seventh Meeting of the Parties decided, on the status of recycled CFCs and halons under the Basel Convention on the Control of Transboundary Movements of Hazardous Wastes and their Disposal, that the international transfers of controlled substances of the Montreal Protocol which are recovered but not purified to usable purity specifications prescribed by appropriate international and/or national organizations, including International Standards Organization (ISO), should only occur if the recipient country has recycling facilities that can process the received controlled substances to these specifications or has destruction facilities incorporating technologies approved for that purpose.</w:t>
            </w:r>
          </w:p>
        </w:tc>
      </w:tr>
      <w:tr w:rsidR="00192E3D" w:rsidRPr="00B22ECC" w14:paraId="0D6A62C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9974A5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XII/8 (3(a) </w:t>
            </w:r>
          </w:p>
        </w:tc>
        <w:tc>
          <w:tcPr>
            <w:tcW w:w="626" w:type="pct"/>
            <w:tcBorders>
              <w:top w:val="nil"/>
              <w:left w:val="nil"/>
              <w:bottom w:val="single" w:sz="4" w:space="0" w:color="auto"/>
              <w:right w:val="single" w:sz="4" w:space="0" w:color="auto"/>
            </w:tcBorders>
            <w:shd w:val="clear" w:color="auto" w:fill="auto"/>
            <w:vAlign w:val="center"/>
            <w:hideMark/>
          </w:tcPr>
          <w:p w14:paraId="2C0B98A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Task force on destruction technologies</w:t>
            </w:r>
          </w:p>
        </w:tc>
        <w:tc>
          <w:tcPr>
            <w:tcW w:w="3915" w:type="pct"/>
            <w:tcBorders>
              <w:top w:val="nil"/>
              <w:left w:val="nil"/>
              <w:bottom w:val="single" w:sz="4" w:space="0" w:color="auto"/>
              <w:right w:val="single" w:sz="4" w:space="0" w:color="auto"/>
            </w:tcBorders>
            <w:shd w:val="clear" w:color="auto" w:fill="auto"/>
            <w:vAlign w:val="center"/>
            <w:hideMark/>
          </w:tcPr>
          <w:p w14:paraId="53EB856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Twelfth Meeting of the Parties decided: 3. to request the Technology and Economic Assessment Panel: (a) to evaluate the technical and economic feasibility for the long-term management of contaminated and surplus ozone-depleting substances in Article 5 and non-Article 5 countries, including options such as long-term storage, transport, collection, reclamation and disposal of such ozone-depleting substances;</w:t>
            </w:r>
          </w:p>
        </w:tc>
      </w:tr>
      <w:tr w:rsidR="00192E3D" w:rsidRPr="00B22ECC" w14:paraId="732714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55BCD9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XIX/12</w:t>
            </w:r>
          </w:p>
        </w:tc>
        <w:tc>
          <w:tcPr>
            <w:tcW w:w="626" w:type="pct"/>
            <w:tcBorders>
              <w:top w:val="nil"/>
              <w:left w:val="nil"/>
              <w:bottom w:val="single" w:sz="4" w:space="0" w:color="auto"/>
              <w:right w:val="single" w:sz="4" w:space="0" w:color="auto"/>
            </w:tcBorders>
            <w:shd w:val="clear" w:color="auto" w:fill="auto"/>
            <w:vAlign w:val="center"/>
            <w:hideMark/>
          </w:tcPr>
          <w:p w14:paraId="6DEA481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4FDD2D7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Nineteenth Meeting of the Parties decided: 1. to remind all Parties of their obligation under Article 4B of the Protocol to establish an import and export licensing system for all controlled ozone-depleting substances; 2. to urge all Parties to fully and effectively implement and actively enforce their systems for licensing the import and export of controlled ozone depleting substances as well as recommendations contained in existing decisions of the Parties, notably decisions IX/8, XIV/7, XVII/12, XVII/16 and XVIII/18; 3. that Parties wishing to improve implementation and enforcement of their licensing systems in order to combat illegal trade more effectively may wish to consider implementing domestically on a voluntary basis the following measures:  (a) sharing information with other Parties, such as by participating in an informal prior informed consent procedure or similar system; (b) establishing quantitative restrictions, for example import and/or export quotas; (c) establishing permits for each shipment and obliging importers and exporters to report domestically on the use of such permits; (d) monitoring transit movements (trans-shipments) of ozone-depleting substances, including those passing through duty-free zones, for instance by identifying each shipment with a unique consignment reference number; (e) banning or controlling the use of non-refillable containers; (f) establishing appropriate minimum requirements for labelling and documentation to assist in the monitoring of trade of ozone-depleting substances; (g) cross-checking trade information, including through private-public partnerships; (h) including any other relevant recommendations from the ozone-depleting substances tracking study; 4. to request the Ozone Secretariat to continue to collaborate with the World Customs Organization in relation to possible actions by Parties on any new amendments to the Harmonized Commodity Description and Coding System with respect to ozone depleting substances and to report to the Meeting of the Parties on actions taken at the World Customs Organization.</w:t>
            </w:r>
          </w:p>
        </w:tc>
      </w:tr>
      <w:tr w:rsidR="00192E3D" w:rsidRPr="00B22ECC" w14:paraId="1E2D66B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379DB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XVII/16 </w:t>
            </w:r>
          </w:p>
        </w:tc>
        <w:tc>
          <w:tcPr>
            <w:tcW w:w="626" w:type="pct"/>
            <w:tcBorders>
              <w:top w:val="nil"/>
              <w:left w:val="nil"/>
              <w:bottom w:val="single" w:sz="4" w:space="0" w:color="auto"/>
              <w:right w:val="single" w:sz="4" w:space="0" w:color="auto"/>
            </w:tcBorders>
            <w:shd w:val="clear" w:color="auto" w:fill="auto"/>
            <w:vAlign w:val="center"/>
            <w:hideMark/>
          </w:tcPr>
          <w:p w14:paraId="19AB56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Customs training </w:t>
            </w:r>
          </w:p>
        </w:tc>
        <w:tc>
          <w:tcPr>
            <w:tcW w:w="3915" w:type="pct"/>
            <w:tcBorders>
              <w:top w:val="nil"/>
              <w:left w:val="nil"/>
              <w:bottom w:val="single" w:sz="4" w:space="0" w:color="auto"/>
              <w:right w:val="single" w:sz="4" w:space="0" w:color="auto"/>
            </w:tcBorders>
            <w:shd w:val="clear" w:color="auto" w:fill="auto"/>
            <w:vAlign w:val="center"/>
            <w:hideMark/>
          </w:tcPr>
          <w:p w14:paraId="5D1588C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approve the terms of reference for a study on the feasibility of developing an international system of monitoring the transboundary movement of controlled ozone-depleting substances between Parties, as presented in Annex VI.3 to the present report, and to request the Ozone Secretariat to undertake such a study, to initiate the necessary tenders and to present the results to the Eighteenth Meeting of the Parties to the Montreal Protocol in 2006; 2. to invite the Ozone Secretariat to consult with other conventions or organizations who might benefit from the outcome of that study to contribute towards its work; 3. to urge all Parties, including regional economic integration organizations, to implement fully their obligations under Article 4B of the Montreal Protocol, in particular, the licensing systems for the control of imports, exports, re-exports (re-exports mean exports of previously imported substances) and, if technically and administratively feasible, transit of all controlled ozone-depleting substances, including mixtures containing them, regardless of whether the Party concerned is or is not recognized as the producer and/or importer, exporter or re-exporter of the particular substance or group of substances; 4. to request the Ozone Secretariat to revise the reporting format resulting from decision VII/9 to cover exports (including re-exports) of all controlled ozone-depleting substances, including mixtures containing them, and to urge the Parties to implement the revised reporting format expeditiously. The Ozone Secretariat is also requested to report back aggregated information related to the controlled substance in question received from the exporting/re-exporting Party to the importing Party concerned; 5. to invite Parties to submit information to the Ozone Secretariat by 30 June 2006 on any existing systems for exchanging information on import and export licenses between importing and exporting Parties; 6. to consider additional control measures with regard to the use of controlled ozone depleting substances in particular sectors or in particular applications, as this approach may effectively diminish illegal trade activities; 7. to encourage further work on the Green Customs initiative of the United Nations Environment Programme in combating illegal trade in controlled ozone depleting substances as well as further networking and twinning activities in the framework of regional networks aimed at the exchange of information and experience on both licit and illicit trade in controlled ozone depleting substances between the Parties, including enforcement agencies; 8. to request the Executive Committee to consider at its forty-eighth meeting the recommendations contained in the report of the Executive Committee of the Multilateral Fund for the Implementation of the Montreal Protocol on the Evaluation of Customs Officers Training and Licensing System Projects to the twenty-fifth meeting of the Open-ended Working Group”, in particular where they relate to customs training and other elements of capacity building that are needed in combating illegal trade in controlled ozone-depleting substances; 9. to approve a maximum amount of $200,000 from the Trust Fund of the Vienna Convention as a one-time measure to facilitate the feasibility study on developing a system for monitoring the transboundary movement of controlled ozone-depleting substances between the Parties.</w:t>
            </w:r>
          </w:p>
        </w:tc>
      </w:tr>
      <w:tr w:rsidR="00192E3D" w:rsidRPr="00B22ECC" w14:paraId="33DA85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C9DF8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XVII/17</w:t>
            </w:r>
          </w:p>
        </w:tc>
        <w:tc>
          <w:tcPr>
            <w:tcW w:w="626" w:type="pct"/>
            <w:tcBorders>
              <w:top w:val="nil"/>
              <w:left w:val="nil"/>
              <w:bottom w:val="single" w:sz="4" w:space="0" w:color="auto"/>
              <w:right w:val="single" w:sz="4" w:space="0" w:color="auto"/>
            </w:tcBorders>
            <w:shd w:val="clear" w:color="auto" w:fill="auto"/>
            <w:vAlign w:val="center"/>
            <w:hideMark/>
          </w:tcPr>
          <w:p w14:paraId="3190491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Implications of the environmentally sound destruction of concentrated and diluted sources of ODSs</w:t>
            </w:r>
          </w:p>
        </w:tc>
        <w:tc>
          <w:tcPr>
            <w:tcW w:w="3915" w:type="pct"/>
            <w:tcBorders>
              <w:top w:val="nil"/>
              <w:left w:val="nil"/>
              <w:bottom w:val="single" w:sz="4" w:space="0" w:color="auto"/>
              <w:right w:val="single" w:sz="4" w:space="0" w:color="auto"/>
            </w:tcBorders>
            <w:shd w:val="clear" w:color="auto" w:fill="auto"/>
            <w:vAlign w:val="center"/>
            <w:hideMark/>
          </w:tcPr>
          <w:p w14:paraId="07506FB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request the Technology and Economic Assessment Panel to prepare terms of reference for the conduct of case-studies in Parties operating under paragraph 1 of Article 5 of the Protocol, with regional representation, on the technology and costs associated with a process for the replacement of chlorofluorocarbon-containing refrigeration and air conditioning equipment, including the environmentally sound recovery, transport and final disposal of such equipment and of the associated chlorofluorocarbons; 2. that these studies should explore economic and other incentives which will encourage users to phase out equipment and ozone-depleting substances and to reduce emissions, as well as the viability and costs of setting up destruction facilities in countries operating under paragraph 1 of Article 5 of the Protocol, and that the said studies should include a regional analysis relating to the management, transport and destruction of chlorofluorocarbons; 3. also to request the Technology and Economic Assessment Panel to review possible synergies with other conventions such as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4. to request the Technology and Economic Assessment Panel to adopt the recovery and destruction efficiency parameter proposed in the Panel’s report to the Open-ended Working Group at its twenty-fifth meeting as the parameter to be applied in developing the proposed study referred to above; 5. that said terms of reference shall be submitted to the Parties at the twenty-sixth meeting of the Open-ended Working Group, and that provision will be made for resources for this purpose in the 2006–2008 replenishment of the Multilateral Fund.</w:t>
            </w:r>
          </w:p>
        </w:tc>
      </w:tr>
      <w:tr w:rsidR="00192E3D" w:rsidRPr="00B22ECC" w14:paraId="6F1853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30936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XVII/18</w:t>
            </w:r>
          </w:p>
        </w:tc>
        <w:tc>
          <w:tcPr>
            <w:tcW w:w="626" w:type="pct"/>
            <w:tcBorders>
              <w:top w:val="nil"/>
              <w:left w:val="nil"/>
              <w:bottom w:val="single" w:sz="4" w:space="0" w:color="auto"/>
              <w:right w:val="single" w:sz="4" w:space="0" w:color="auto"/>
            </w:tcBorders>
            <w:shd w:val="clear" w:color="auto" w:fill="auto"/>
            <w:vAlign w:val="center"/>
            <w:hideMark/>
          </w:tcPr>
          <w:p w14:paraId="1F92C9C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C</w:t>
            </w:r>
            <w:r w:rsidRPr="001C391D">
              <w:rPr>
                <w:color w:val="000000"/>
                <w:sz w:val="18"/>
                <w:szCs w:val="18"/>
                <w:lang w:eastAsia="en-CA"/>
              </w:rPr>
              <w:t>ollection and disposition of non</w:t>
            </w:r>
            <w:r>
              <w:rPr>
                <w:color w:val="000000"/>
                <w:sz w:val="18"/>
                <w:szCs w:val="18"/>
                <w:lang w:eastAsia="en-CA"/>
              </w:rPr>
              <w:t>-</w:t>
            </w:r>
            <w:r w:rsidRPr="001C391D">
              <w:rPr>
                <w:color w:val="000000"/>
                <w:sz w:val="18"/>
                <w:szCs w:val="18"/>
                <w:lang w:eastAsia="en-CA"/>
              </w:rPr>
              <w:t>reusable and unwanted</w:t>
            </w:r>
            <w:r>
              <w:rPr>
                <w:color w:val="000000"/>
                <w:sz w:val="18"/>
                <w:szCs w:val="18"/>
                <w:lang w:eastAsia="en-CA"/>
              </w:rPr>
              <w:t xml:space="preserve"> ODS</w:t>
            </w:r>
          </w:p>
        </w:tc>
        <w:tc>
          <w:tcPr>
            <w:tcW w:w="3915" w:type="pct"/>
            <w:tcBorders>
              <w:top w:val="nil"/>
              <w:left w:val="nil"/>
              <w:bottom w:val="single" w:sz="4" w:space="0" w:color="auto"/>
              <w:right w:val="single" w:sz="4" w:space="0" w:color="auto"/>
            </w:tcBorders>
            <w:shd w:val="clear" w:color="auto" w:fill="auto"/>
            <w:vAlign w:val="center"/>
            <w:hideMark/>
          </w:tcPr>
          <w:p w14:paraId="5D53B37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to request the Technology and Economic Assessment Panel and its technical options committees to submit to the Multilateral Fund secretariat available data to enable the Multilateral Fund secretariat to assess the extent of current and future requirements for the collection and disposition (emissions, export, reclamation and destruction) of non</w:t>
            </w:r>
            <w:r>
              <w:rPr>
                <w:color w:val="000000"/>
                <w:sz w:val="18"/>
                <w:szCs w:val="18"/>
                <w:lang w:eastAsia="en-CA"/>
              </w:rPr>
              <w:t>-</w:t>
            </w:r>
            <w:r w:rsidRPr="00B22ECC">
              <w:rPr>
                <w:color w:val="000000"/>
                <w:sz w:val="18"/>
                <w:szCs w:val="18"/>
                <w:lang w:eastAsia="en-CA"/>
              </w:rPr>
              <w:t>reusable and unwanted ozone-depleting substances in Article 5 Parties in pursuance of decision 47/52.</w:t>
            </w:r>
          </w:p>
        </w:tc>
      </w:tr>
      <w:tr w:rsidR="00192E3D" w:rsidRPr="00B22ECC" w14:paraId="056A039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3358D2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 (annex V)</w:t>
            </w:r>
          </w:p>
        </w:tc>
        <w:tc>
          <w:tcPr>
            <w:tcW w:w="626" w:type="pct"/>
            <w:tcBorders>
              <w:top w:val="nil"/>
              <w:left w:val="nil"/>
              <w:bottom w:val="single" w:sz="4" w:space="0" w:color="auto"/>
              <w:right w:val="single" w:sz="4" w:space="0" w:color="auto"/>
            </w:tcBorders>
            <w:shd w:val="clear" w:color="auto" w:fill="auto"/>
            <w:vAlign w:val="center"/>
            <w:hideMark/>
          </w:tcPr>
          <w:p w14:paraId="0875F78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30A6AD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0BBC5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18395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XVIII/18</w:t>
            </w:r>
          </w:p>
        </w:tc>
        <w:tc>
          <w:tcPr>
            <w:tcW w:w="626" w:type="pct"/>
            <w:tcBorders>
              <w:top w:val="nil"/>
              <w:left w:val="nil"/>
              <w:bottom w:val="single" w:sz="4" w:space="0" w:color="auto"/>
              <w:right w:val="single" w:sz="4" w:space="0" w:color="auto"/>
            </w:tcBorders>
            <w:shd w:val="clear" w:color="auto" w:fill="auto"/>
            <w:vAlign w:val="center"/>
            <w:hideMark/>
          </w:tcPr>
          <w:p w14:paraId="6F5D23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33AE8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Parties decided: 1. to urge all Parties to implement fully Article 4B of the Protocol as well as to take into account recommendations contained in existing decisions of the Parties, notably decisions IX/8, XIV/7, XVII/12 and XVII/16; 2. to encourage all Parties to consider taking effective action to improve monitoring of transboundary movement of controlled ozone-depleting substances including, as appropriate, a better utilization of existing systems under other multilateral agreements for tracking trade in chemicals and to exchange relevant information specifically in the context of trade in ozone-depleting substances between Parties operating under paragraph 1 of Article 5 of the Protocol and Parties not so operating; 3. to encourage all Parties which have experience in using the United Nations commodity trade statistics database, commonly known as “UNComtrade”, and the publicly available software Global Risk Identification and Detection, commonly known as “eGRID”, which are used to monitor trade in ozone-depleting substances, to provide information on the suitability and costs of those tools to the Ozone Secretariat, which will report such information at the twenty-seventh meeting of the Open ended Working Group and subsequently at the Nineteenth Meeting of the Parties in 2007; 4. to encourage the United Nations Environment Programme’s Compliance Assistance Programme to continue its efforts to train ozone officers and customs officers on best practices and to raise awareness and to disseminate examples of best practices for national licensing systems and regional cooperation to combat illegal trade; 5. to invite all Parties to submit written comments by 31 March 2007 to the Ozone Secretariat on the report, focusing in particular on their priorities with respect to the medium- and longer term options listed in the study and/or all other possible options with a view to identifying those cost-effective actions which could be given priority by the Parties both collectively through further action to be considered under the Protocol and at the regional and national levels; 6. to request the Ozone Secretariat to provide a compilation of those comments for consideration at the twenty-seventh meeting of the Open-ended Working Group and subsequently at the Nineteenth Meeting of the Parties in 2007.</w:t>
            </w:r>
          </w:p>
        </w:tc>
      </w:tr>
      <w:tr w:rsidR="00192E3D" w:rsidRPr="00B22ECC" w14:paraId="22FA596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87BEB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XX/7</w:t>
            </w:r>
          </w:p>
        </w:tc>
        <w:tc>
          <w:tcPr>
            <w:tcW w:w="626" w:type="pct"/>
            <w:tcBorders>
              <w:top w:val="nil"/>
              <w:left w:val="nil"/>
              <w:bottom w:val="single" w:sz="4" w:space="0" w:color="auto"/>
              <w:right w:val="single" w:sz="4" w:space="0" w:color="auto"/>
            </w:tcBorders>
            <w:shd w:val="clear" w:color="auto" w:fill="auto"/>
            <w:vAlign w:val="center"/>
            <w:hideMark/>
          </w:tcPr>
          <w:p w14:paraId="48AC3FE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Environmentally sound management of banks of ozone-depleting substances</w:t>
            </w:r>
          </w:p>
        </w:tc>
        <w:tc>
          <w:tcPr>
            <w:tcW w:w="3915" w:type="pct"/>
            <w:tcBorders>
              <w:top w:val="nil"/>
              <w:left w:val="nil"/>
              <w:bottom w:val="single" w:sz="4" w:space="0" w:color="auto"/>
              <w:right w:val="single" w:sz="4" w:space="0" w:color="auto"/>
            </w:tcBorders>
            <w:shd w:val="clear" w:color="auto" w:fill="auto"/>
            <w:vAlign w:val="center"/>
            <w:hideMark/>
          </w:tcPr>
          <w:p w14:paraId="131B8CE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Parties decided: 1. to invite Parties, international funding agencies, including the Multilateral Fund and the Global Environment Facility, and other interested agents to enable practical solutions for the purpose of gaining better knowledge on mitigating ozone-depleting substance emissions and destroying ozone-depleting substance banks, and on costs related to the collection, transportation, storage and destruction of ozone depleting substances, notably in Parties operating under paragraph 1 of Article 5 of the Montreal Protocol; 2. to request the Executive Committee of the Multilateral Fund to consider as a matter of urgency commencing pilot projects that may cover the collection, transport, storage and destruction of ozone-depleting substances. As an initial priority, the Executive Committee might consider projects with a focus on assembled stocks of ozone-depleting substances with high net global warming potential, in a representative sample of regionally diverse Parties operating under paragraph 1 of Article 5. It is understood that this initial priority would not preclude the initiation of other types of pilot projects, including on halons and carbon tetrachloride,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3. to encourage Parties to develop or consider further improvements in the implementation of national and/or regional legislative strategies and other measures that prevent the venting, leakage or emission of ozone depleting substances by ensuring: (a) proper recovery of ozone-depleting substances from equipment containing ozone depleting substances, during servicing, use and at end of life, where possible in applications such as refrigeration, air conditioning, heat pumps, fire protection, solvents and process agents; (b) the use of best practices and performance standards to prevent ozone-depleting substance emissions at the end of the product life cycle, whether by recovery, recycling, reclamation, reuse as feedstock or destruction; 4. to encourage all Parties to develop or consider improvements in national or regional strategies for the management of banks, including provisions to combat illegal trade by applying measures listed in decision XIX/12; 5. to invite Parties to submit their strategies and subsequent updates to the Ozone Secretariat as soon as possible for the purpose of sharing information and experiences, including with interested stakeholders of other multilateral environmental agreements, such as the United Nations Framework Convention on Climate Change and its Kyoto Protocol and the Basel Convention on the Control of Transboundary Movements of Hazardous Wastes and Their Disposal. The strategies will be placed on the Ozone Secretariat website, which will be updated regularly; 6. to note that any project implemented pursuant to the present decision when applicable should be done in conformity with national, regional, and/or international requirements, such as those mandated by the Basel Convention and Rotterdam Convention; 7. to request the Technology and Economic Assessment Panel to conduct a comprehensive cost-benefit analysis of destroying banks of ozone-depleting substances taking into consideration the relative economic costs and environmental benefits, to the ozone layer and the climate, of destruction versus recycling, reclaiming and reusing such substances. In particular, the report should cover the following elements: (a) consolidation of all available data on ozone-depleting substance banks and summary of this information identifying the sectors where recovery of ozone-depleting substances is technically and economically feasible; (b) respective levels of likely mitigation amounts, based on the categorization of reachable banks at low, medium, and high effort according to substances, sectors, regions, and where possible, sub regions; (c) assessment of associated benefits and costs of respective classes of banks in terms of ozone depleting potential and global warming potential; (d) exploration of the potential “perverse incentives” or other adverse environmental effects that may be associated with certain mitigation strategies, in particular related to recovery and recycling for reuse; (e) consideration of the positive and negative impacts of recovery and destruction of ozone-depleting substances, including direct and indirect climate effects; (f) consideration of the technical, economic and environmental implications of incentive mechanisms to promote the destruction of surplus ozone-depleting substances; 8. to request the Technology and Economic Assessment Panel to provide an interim report in time for dissemination one month before the twenty-ninth meeting of the Open ended Working Group and to provide the final report one month before the Twenty First Meeting of the Parties to the Montreal Protocol; 9. to request the Ozone Secretariat, with the assistance of the Multilateral Fund Secretariat, to consult with experts from the United Nations Framework Convention on Climate Change, the Global Environment Facility, the Executive Board of the Clean Development Mechanism, the World Bank and other relevant funding experts to develop a report on possible funding opportunities for the management and destruction of ozone-depleting substance banks, to present the report to the Parties for review and comments one month prior to the twenty ninth meeting of the Open-Ended Working Group and, if possible, to convene a single meeting among experts from the funding institutions; 10. that the report referred to in paragraph 9 of the present decision would focus on describing possible institutional arrangements, potential financial structures, likely logistical steps and the necessary legal framework for each of the following, if relevant: (a) recovery; (b) collection; (c) storage; (d) transport; (e) destruction; (f) supporting activities; 11. to request the Ozone Secretariat to convene a workshop among Parties that will include the participation of the Montreal Protocol assessment panels, the secretariat of the Multilateral Fund and the Fund’s implementing agencies, and seek the participation of the secretariats of other relevant multilateral environmental agreements, non governmental organizations and experts from funding institutions for the discussion of technical, financial and policy issues related to the management and destruction of ozone depleting substance banks and their implications for climate change; 12. that the above workshop will be held preceding the twenty-ninth meeting of the Open ended Working Group and that interpretation will be provided in the six official languages of the United Nations; 13. further to consider, at the twenty-ninth meeting of the Open-ended Working Group, possible actions regarding the management and destruction of banks of ozone-depleting substances in the light of the report to be provided by the Technology and Economic Assessment Panel under paragraph 7 above, the working group report to be provided by the Secretariat under paragraph 9 above and the discussions emanating from the workshop under paragraph 11 above; 14. to request the Ozone Secretariat to communicate the present decision to the Secretariat of the United Nations Framework Convention on Climate Change and its Kyoto Protocol in time for possible consideration at the fourteenth meeting of the Conference of the Parties to the Convention and fourth meeting of the Conference of the Parties serving as the Meeting of the Parties to the Kyoto Protocol on the understanding that the decision is without prejudice to any discussions that may be held on ozone-depleting substance banks within their forum.</w:t>
            </w:r>
          </w:p>
        </w:tc>
      </w:tr>
      <w:tr w:rsidR="00192E3D" w:rsidRPr="00B22ECC" w14:paraId="71D1627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44C78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XXV/8</w:t>
            </w:r>
          </w:p>
        </w:tc>
        <w:tc>
          <w:tcPr>
            <w:tcW w:w="626" w:type="pct"/>
            <w:tcBorders>
              <w:top w:val="nil"/>
              <w:left w:val="nil"/>
              <w:bottom w:val="single" w:sz="4" w:space="0" w:color="auto"/>
              <w:right w:val="single" w:sz="4" w:space="0" w:color="auto"/>
            </w:tcBorders>
            <w:shd w:val="clear" w:color="auto" w:fill="auto"/>
            <w:vAlign w:val="center"/>
            <w:hideMark/>
          </w:tcPr>
          <w:p w14:paraId="5EA7F46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Refrigerant servicing </w:t>
            </w:r>
          </w:p>
        </w:tc>
        <w:tc>
          <w:tcPr>
            <w:tcW w:w="3915" w:type="pct"/>
            <w:tcBorders>
              <w:top w:val="nil"/>
              <w:left w:val="nil"/>
              <w:bottom w:val="single" w:sz="4" w:space="0" w:color="auto"/>
              <w:right w:val="single" w:sz="4" w:space="0" w:color="auto"/>
            </w:tcBorders>
            <w:shd w:val="clear" w:color="auto" w:fill="auto"/>
            <w:vAlign w:val="center"/>
            <w:hideMark/>
          </w:tcPr>
          <w:p w14:paraId="6C5772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Twenty-fifth Meeting of the Parties decided: Recalling the parties’ decisions on previous terms of reference for studies on the replenishment of the Multilateral Fund for the Implementation of the Montreal Protocol, Recalling also the parties’ decisions on previous replenishments of the Multilateral Fund, 1. To request the Technology and Economic Assessment Panel to prepare a report for submission to the Twenty-Sixth Meeting of the Parties, and to submit it through the Open-ended Working Group at its thirty fourth meeting, to enable the Twenty-Sixth Meeting of the Parties to take a decision on the appropriate level of the 2015–2017 replenishment of the Multilateral Fund; 2. That, in preparing the report referred to in paragraph 1 of the present decision, the Panel should take into account, among other things: (f) The need to allocate sufficient resources to the activities in the servicing sector in stage II of hydrochlorofluorocarbon phase-out management plans through technical assistance such as recovery, training and other necessary activities;</w:t>
            </w:r>
          </w:p>
        </w:tc>
      </w:tr>
      <w:tr w:rsidR="00192E3D" w:rsidRPr="00B22ECC" w14:paraId="71D164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BC06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(para.15 (c ))</w:t>
            </w:r>
          </w:p>
        </w:tc>
        <w:tc>
          <w:tcPr>
            <w:tcW w:w="626" w:type="pct"/>
            <w:tcBorders>
              <w:top w:val="nil"/>
              <w:left w:val="nil"/>
              <w:bottom w:val="single" w:sz="4" w:space="0" w:color="auto"/>
              <w:right w:val="single" w:sz="4" w:space="0" w:color="auto"/>
            </w:tcBorders>
            <w:shd w:val="clear" w:color="auto" w:fill="auto"/>
            <w:vAlign w:val="center"/>
            <w:hideMark/>
          </w:tcPr>
          <w:p w14:paraId="305D41D6"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and cost calculation</w:t>
            </w:r>
          </w:p>
        </w:tc>
        <w:tc>
          <w:tcPr>
            <w:tcW w:w="3915" w:type="pct"/>
            <w:tcBorders>
              <w:top w:val="nil"/>
              <w:left w:val="nil"/>
              <w:bottom w:val="single" w:sz="4" w:space="0" w:color="auto"/>
              <w:right w:val="single" w:sz="4" w:space="0" w:color="auto"/>
            </w:tcBorders>
            <w:shd w:val="clear" w:color="auto" w:fill="auto"/>
            <w:vAlign w:val="center"/>
            <w:hideMark/>
          </w:tcPr>
          <w:p w14:paraId="04B3690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in developing new guidelines on methodologies and cost calculations, to make the following categories of costs eligible and to include them in the cost calculation: (c) For the servicing sector: (i) Public-awareness activities; (ii) Policy development and implementation; (iii) Certification programmes and training of technicians on safe handling, good practice and safety in respect of alternatives, including training equipment; (iv) Training of customs officers; (v) Prevention of illegal trade of hydrofluorocarbons; (vi) Servicing tools; (vii) Refrigerant testing equipment for the refrigeration and air-conditioning sector; (viii) Recycling and recovery of hydrofluorocarbons;</w:t>
            </w:r>
          </w:p>
        </w:tc>
      </w:tr>
      <w:tr w:rsidR="00192E3D" w:rsidRPr="00B22ECC" w14:paraId="29F8CB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FFA6E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(para.16)</w:t>
            </w:r>
          </w:p>
        </w:tc>
        <w:tc>
          <w:tcPr>
            <w:tcW w:w="626" w:type="pct"/>
            <w:tcBorders>
              <w:top w:val="nil"/>
              <w:left w:val="nil"/>
              <w:bottom w:val="single" w:sz="4" w:space="0" w:color="auto"/>
              <w:right w:val="single" w:sz="4" w:space="0" w:color="auto"/>
            </w:tcBorders>
            <w:shd w:val="clear" w:color="auto" w:fill="auto"/>
            <w:vAlign w:val="center"/>
            <w:hideMark/>
          </w:tcPr>
          <w:p w14:paraId="52B2692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HFC cost guidelines</w:t>
            </w:r>
          </w:p>
        </w:tc>
        <w:tc>
          <w:tcPr>
            <w:tcW w:w="3915" w:type="pct"/>
            <w:tcBorders>
              <w:top w:val="nil"/>
              <w:left w:val="nil"/>
              <w:bottom w:val="single" w:sz="4" w:space="0" w:color="auto"/>
              <w:right w:val="single" w:sz="4" w:space="0" w:color="auto"/>
            </w:tcBorders>
            <w:shd w:val="clear" w:color="auto" w:fill="auto"/>
            <w:vAlign w:val="center"/>
            <w:hideMark/>
          </w:tcPr>
          <w:p w14:paraId="217894F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to increase in relation to the servicing sector the funding available under Executive Committee Decision 74/50 above the amounts listed in that decision for parties with total hydrochlorofluorocarbon baseline consumption up to 360 metric tonnes when needed for the introduction of alternatives to hydrochlorofluorocarbons with low-GWP and zero-GWP alternatives to hydrofluorocarbons and maintaining energy efficiency also in the servicing/end-user sector;</w:t>
            </w:r>
          </w:p>
        </w:tc>
      </w:tr>
    </w:tbl>
    <w:p w14:paraId="489D6DC5" w14:textId="77777777" w:rsidR="00192E3D" w:rsidRDefault="00192E3D" w:rsidP="00B44FB0">
      <w:pPr>
        <w:sectPr w:rsidR="00192E3D" w:rsidSect="00B44FB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33FFBCDE" w14:textId="00584C75" w:rsidR="00E8096F" w:rsidRDefault="00E8096F" w:rsidP="00B44FB0">
      <w:pPr>
        <w:jc w:val="center"/>
        <w:rPr>
          <w:b/>
        </w:rPr>
      </w:pPr>
      <w:r w:rsidRPr="000B0E6A">
        <w:rPr>
          <w:b/>
        </w:rPr>
        <w:t>A</w:t>
      </w:r>
      <w:r>
        <w:rPr>
          <w:b/>
        </w:rPr>
        <w:t>nnex</w:t>
      </w:r>
      <w:r w:rsidRPr="000B0E6A">
        <w:rPr>
          <w:b/>
        </w:rPr>
        <w:t xml:space="preserve"> II</w:t>
      </w:r>
    </w:p>
    <w:p w14:paraId="5679DA00" w14:textId="77777777" w:rsidR="00E8096F" w:rsidRPr="000B0E6A" w:rsidRDefault="00E8096F" w:rsidP="00B44FB0">
      <w:pPr>
        <w:jc w:val="center"/>
        <w:rPr>
          <w:b/>
        </w:rPr>
      </w:pPr>
    </w:p>
    <w:p w14:paraId="74FD6BFC" w14:textId="77777777" w:rsidR="00E8096F" w:rsidRPr="000B0E6A" w:rsidRDefault="00E8096F" w:rsidP="00B44FB0">
      <w:pPr>
        <w:jc w:val="center"/>
        <w:rPr>
          <w:b/>
        </w:rPr>
      </w:pPr>
      <w:r w:rsidRPr="000B0E6A">
        <w:rPr>
          <w:b/>
        </w:rPr>
        <w:t>MULTILATERAL FUND EVALUAT</w:t>
      </w:r>
      <w:r>
        <w:rPr>
          <w:b/>
        </w:rPr>
        <w:t>IO</w:t>
      </w:r>
      <w:r w:rsidRPr="000B0E6A">
        <w:rPr>
          <w:b/>
        </w:rPr>
        <w:t>NS RELATED TO THE REFRIGERATION SERVICING SECTOR</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547"/>
        <w:gridCol w:w="3118"/>
        <w:gridCol w:w="7370"/>
      </w:tblGrid>
      <w:tr w:rsidR="00E8096F" w:rsidRPr="005F4D83" w14:paraId="404E30E9" w14:textId="77777777" w:rsidTr="00B44FB0">
        <w:trPr>
          <w:tblHeader/>
        </w:trPr>
        <w:tc>
          <w:tcPr>
            <w:tcW w:w="977" w:type="pct"/>
            <w:shd w:val="clear" w:color="auto" w:fill="auto"/>
            <w:noWrap/>
            <w:vAlign w:val="center"/>
            <w:hideMark/>
          </w:tcPr>
          <w:p w14:paraId="39248C7F" w14:textId="77777777" w:rsidR="00E8096F" w:rsidRPr="00CC7155" w:rsidRDefault="00E8096F" w:rsidP="00B44FB0">
            <w:pPr>
              <w:jc w:val="center"/>
              <w:rPr>
                <w:b/>
                <w:bCs/>
                <w:sz w:val="18"/>
                <w:szCs w:val="18"/>
                <w:lang w:eastAsia="en-CA"/>
              </w:rPr>
            </w:pPr>
            <w:r w:rsidRPr="00CC7155">
              <w:rPr>
                <w:b/>
                <w:bCs/>
                <w:sz w:val="18"/>
                <w:szCs w:val="18"/>
                <w:lang w:eastAsia="en-CA"/>
              </w:rPr>
              <w:t>Title</w:t>
            </w:r>
          </w:p>
        </w:tc>
        <w:tc>
          <w:tcPr>
            <w:tcW w:w="1196" w:type="pct"/>
            <w:shd w:val="clear" w:color="auto" w:fill="auto"/>
            <w:noWrap/>
            <w:vAlign w:val="center"/>
            <w:hideMark/>
          </w:tcPr>
          <w:p w14:paraId="4A2EB7FB" w14:textId="77777777" w:rsidR="00E8096F" w:rsidRPr="00CC7155" w:rsidRDefault="00E8096F" w:rsidP="00B44FB0">
            <w:pPr>
              <w:jc w:val="center"/>
              <w:rPr>
                <w:b/>
                <w:bCs/>
                <w:sz w:val="18"/>
                <w:szCs w:val="18"/>
                <w:lang w:eastAsia="en-CA"/>
              </w:rPr>
            </w:pPr>
            <w:r w:rsidRPr="00CC7155">
              <w:rPr>
                <w:b/>
                <w:bCs/>
                <w:sz w:val="18"/>
                <w:szCs w:val="18"/>
                <w:lang w:eastAsia="en-CA"/>
              </w:rPr>
              <w:t>Description</w:t>
            </w:r>
          </w:p>
        </w:tc>
        <w:tc>
          <w:tcPr>
            <w:tcW w:w="2827" w:type="pct"/>
            <w:shd w:val="clear" w:color="auto" w:fill="auto"/>
            <w:noWrap/>
            <w:vAlign w:val="center"/>
            <w:hideMark/>
          </w:tcPr>
          <w:p w14:paraId="7D54FBD6" w14:textId="77777777" w:rsidR="00E8096F" w:rsidRPr="00CC7155" w:rsidRDefault="00E8096F" w:rsidP="00B44FB0">
            <w:pPr>
              <w:jc w:val="center"/>
              <w:rPr>
                <w:b/>
                <w:bCs/>
                <w:sz w:val="18"/>
                <w:szCs w:val="18"/>
                <w:lang w:eastAsia="en-CA"/>
              </w:rPr>
            </w:pPr>
            <w:r w:rsidRPr="00CC7155">
              <w:rPr>
                <w:b/>
                <w:bCs/>
                <w:sz w:val="18"/>
                <w:szCs w:val="18"/>
                <w:lang w:eastAsia="en-CA"/>
              </w:rPr>
              <w:t xml:space="preserve">Key Findings </w:t>
            </w:r>
          </w:p>
        </w:tc>
      </w:tr>
      <w:tr w:rsidR="00E8096F" w:rsidRPr="005F4D83" w14:paraId="5C70F981" w14:textId="77777777" w:rsidTr="00B44FB0">
        <w:tc>
          <w:tcPr>
            <w:tcW w:w="977" w:type="pct"/>
            <w:shd w:val="clear" w:color="auto" w:fill="auto"/>
            <w:vAlign w:val="center"/>
            <w:hideMark/>
          </w:tcPr>
          <w:p w14:paraId="12B73157" w14:textId="77777777" w:rsidR="00E8096F" w:rsidRPr="00CC7155" w:rsidRDefault="00B44FB0" w:rsidP="00E8096F">
            <w:pPr>
              <w:jc w:val="left"/>
              <w:rPr>
                <w:sz w:val="18"/>
                <w:szCs w:val="18"/>
                <w:lang w:eastAsia="en-CA"/>
              </w:rPr>
            </w:pPr>
            <w:hyperlink r:id="rId23" w:history="1">
              <w:r w:rsidR="00E8096F" w:rsidRPr="005F4D83">
                <w:rPr>
                  <w:sz w:val="18"/>
                  <w:szCs w:val="18"/>
                  <w:lang w:eastAsia="en-CA"/>
                </w:rPr>
                <w:t xml:space="preserve">Desk study on </w:t>
              </w:r>
              <w:r w:rsidR="00E8096F">
                <w:rPr>
                  <w:sz w:val="18"/>
                  <w:szCs w:val="18"/>
                  <w:lang w:eastAsia="en-CA"/>
                </w:rPr>
                <w:t xml:space="preserve">the </w:t>
              </w:r>
              <w:r w:rsidR="00E8096F" w:rsidRPr="005F4D83">
                <w:rPr>
                  <w:sz w:val="18"/>
                  <w:szCs w:val="18"/>
                  <w:lang w:eastAsia="en-CA"/>
                </w:rPr>
                <w:t>recovery and recycling projects (PCRs) (UNEP/OzL.Pro/ExCom/31/18)</w:t>
              </w:r>
            </w:hyperlink>
          </w:p>
        </w:tc>
        <w:tc>
          <w:tcPr>
            <w:tcW w:w="1196" w:type="pct"/>
            <w:shd w:val="clear" w:color="auto" w:fill="auto"/>
            <w:vAlign w:val="center"/>
            <w:hideMark/>
          </w:tcPr>
          <w:p w14:paraId="18EC9027" w14:textId="77777777" w:rsidR="00E8096F" w:rsidRPr="00CC7155" w:rsidRDefault="00E8096F" w:rsidP="00B44FB0">
            <w:pPr>
              <w:rPr>
                <w:sz w:val="18"/>
                <w:szCs w:val="18"/>
                <w:lang w:eastAsia="en-CA"/>
              </w:rPr>
            </w:pPr>
            <w:r w:rsidRPr="00CC7155">
              <w:rPr>
                <w:sz w:val="18"/>
                <w:szCs w:val="18"/>
                <w:lang w:eastAsia="en-CA"/>
              </w:rPr>
              <w:t xml:space="preserve">This document presents a desk study on recovery and recycling (R&amp;R) projects, excluding those </w:t>
            </w:r>
            <w:r>
              <w:rPr>
                <w:sz w:val="18"/>
                <w:szCs w:val="18"/>
                <w:lang w:eastAsia="en-CA"/>
              </w:rPr>
              <w:t xml:space="preserve">that are </w:t>
            </w:r>
            <w:r w:rsidRPr="00CC7155">
              <w:rPr>
                <w:sz w:val="18"/>
                <w:szCs w:val="18"/>
                <w:lang w:eastAsia="en-CA"/>
              </w:rPr>
              <w:t xml:space="preserve">part of </w:t>
            </w:r>
            <w:r>
              <w:rPr>
                <w:sz w:val="18"/>
                <w:szCs w:val="18"/>
                <w:lang w:eastAsia="en-CA"/>
              </w:rPr>
              <w:t xml:space="preserve">a </w:t>
            </w:r>
            <w:r w:rsidRPr="00CC7155">
              <w:rPr>
                <w:sz w:val="18"/>
                <w:szCs w:val="18"/>
                <w:lang w:eastAsia="en-CA"/>
              </w:rPr>
              <w:t>refrigerant management plan</w:t>
            </w:r>
            <w:r>
              <w:rPr>
                <w:sz w:val="18"/>
                <w:szCs w:val="18"/>
                <w:lang w:eastAsia="en-CA"/>
              </w:rPr>
              <w:t xml:space="preserve"> (RMP)</w:t>
            </w:r>
            <w:r w:rsidRPr="00CC7155">
              <w:rPr>
                <w:sz w:val="18"/>
                <w:szCs w:val="18"/>
                <w:lang w:eastAsia="en-CA"/>
              </w:rPr>
              <w:t xml:space="preserve">. For this desk study, 50 completed </w:t>
            </w:r>
            <w:r>
              <w:rPr>
                <w:sz w:val="18"/>
                <w:szCs w:val="18"/>
                <w:lang w:eastAsia="en-CA"/>
              </w:rPr>
              <w:t>R&amp;R</w:t>
            </w:r>
            <w:r w:rsidRPr="00CC7155">
              <w:rPr>
                <w:sz w:val="18"/>
                <w:szCs w:val="18"/>
                <w:lang w:eastAsia="en-CA"/>
              </w:rPr>
              <w:t xml:space="preserve"> projects and 41 </w:t>
            </w:r>
            <w:r>
              <w:rPr>
                <w:sz w:val="18"/>
                <w:szCs w:val="18"/>
                <w:lang w:eastAsia="en-CA"/>
              </w:rPr>
              <w:t>project completion reports (</w:t>
            </w:r>
            <w:r w:rsidRPr="00CC7155">
              <w:rPr>
                <w:sz w:val="18"/>
                <w:szCs w:val="18"/>
                <w:lang w:eastAsia="en-CA"/>
              </w:rPr>
              <w:t>PCRs</w:t>
            </w:r>
            <w:r>
              <w:rPr>
                <w:sz w:val="18"/>
                <w:szCs w:val="18"/>
                <w:lang w:eastAsia="en-CA"/>
              </w:rPr>
              <w:t>)</w:t>
            </w:r>
            <w:r w:rsidRPr="00CC7155">
              <w:rPr>
                <w:sz w:val="18"/>
                <w:szCs w:val="18"/>
                <w:lang w:eastAsia="en-CA"/>
              </w:rPr>
              <w:t xml:space="preserve"> were studied. Field assessments of R&amp;R projects were conducted by consultants during the evaluation of training projects.</w:t>
            </w:r>
          </w:p>
        </w:tc>
        <w:tc>
          <w:tcPr>
            <w:tcW w:w="2827" w:type="pct"/>
            <w:shd w:val="clear" w:color="auto" w:fill="auto"/>
            <w:vAlign w:val="center"/>
            <w:hideMark/>
          </w:tcPr>
          <w:p w14:paraId="4662EED3" w14:textId="77777777" w:rsidR="00E8096F" w:rsidRPr="00CC7155" w:rsidRDefault="00E8096F" w:rsidP="00B44FB0">
            <w:pPr>
              <w:rPr>
                <w:sz w:val="18"/>
                <w:szCs w:val="18"/>
                <w:lang w:eastAsia="en-CA"/>
              </w:rPr>
            </w:pPr>
            <w:r>
              <w:rPr>
                <w:sz w:val="18"/>
                <w:szCs w:val="18"/>
                <w:lang w:eastAsia="en-CA"/>
              </w:rPr>
              <w:t>The implementation of an RMP</w:t>
            </w:r>
            <w:r w:rsidRPr="00CC7155">
              <w:rPr>
                <w:sz w:val="18"/>
                <w:szCs w:val="18"/>
                <w:lang w:eastAsia="en-CA"/>
              </w:rPr>
              <w:t xml:space="preserve"> in low-volume consuming (LVCs) countries is a</w:t>
            </w:r>
            <w:r>
              <w:rPr>
                <w:sz w:val="18"/>
                <w:szCs w:val="18"/>
                <w:lang w:eastAsia="en-CA"/>
              </w:rPr>
              <w:t>n</w:t>
            </w:r>
            <w:r w:rsidRPr="00CC7155">
              <w:rPr>
                <w:sz w:val="18"/>
                <w:szCs w:val="18"/>
                <w:lang w:eastAsia="en-CA"/>
              </w:rPr>
              <w:t xml:space="preserve"> efficient mean</w:t>
            </w:r>
            <w:r>
              <w:rPr>
                <w:sz w:val="18"/>
                <w:szCs w:val="18"/>
                <w:lang w:eastAsia="en-CA"/>
              </w:rPr>
              <w:t>s</w:t>
            </w:r>
            <w:r w:rsidRPr="00CC7155">
              <w:rPr>
                <w:sz w:val="18"/>
                <w:szCs w:val="18"/>
                <w:lang w:eastAsia="en-CA"/>
              </w:rPr>
              <w:t xml:space="preserve"> to reduce</w:t>
            </w:r>
            <w:r>
              <w:rPr>
                <w:sz w:val="18"/>
                <w:szCs w:val="18"/>
                <w:lang w:eastAsia="en-CA"/>
              </w:rPr>
              <w:t xml:space="preserve"> CFC</w:t>
            </w:r>
            <w:r w:rsidRPr="00CC7155">
              <w:rPr>
                <w:sz w:val="18"/>
                <w:szCs w:val="18"/>
                <w:lang w:eastAsia="en-CA"/>
              </w:rPr>
              <w:t xml:space="preserve"> emission</w:t>
            </w:r>
            <w:r>
              <w:rPr>
                <w:sz w:val="18"/>
                <w:szCs w:val="18"/>
                <w:lang w:eastAsia="en-CA"/>
              </w:rPr>
              <w:t>s</w:t>
            </w:r>
            <w:r w:rsidRPr="00CC7155">
              <w:rPr>
                <w:sz w:val="18"/>
                <w:szCs w:val="18"/>
                <w:lang w:eastAsia="en-CA"/>
              </w:rPr>
              <w:t xml:space="preserve">. </w:t>
            </w:r>
            <w:r>
              <w:rPr>
                <w:sz w:val="18"/>
                <w:szCs w:val="18"/>
                <w:lang w:eastAsia="en-CA"/>
              </w:rPr>
              <w:t>T</w:t>
            </w:r>
            <w:r w:rsidRPr="00CC7155">
              <w:rPr>
                <w:sz w:val="18"/>
                <w:szCs w:val="18"/>
                <w:lang w:eastAsia="en-CA"/>
              </w:rPr>
              <w:t xml:space="preserve">raining programmes for trainers, technicians and customs officers are necessary to implement good refrigeration management practices and to efficiently monitor and control the import of ODS. However, the motivation to recover and recycle is still very low because there is no financial benefit, and the </w:t>
            </w:r>
            <w:r>
              <w:rPr>
                <w:sz w:val="18"/>
                <w:szCs w:val="18"/>
                <w:lang w:eastAsia="en-CA"/>
              </w:rPr>
              <w:t xml:space="preserve">limited purchasing power of end </w:t>
            </w:r>
            <w:r w:rsidRPr="00CC7155">
              <w:rPr>
                <w:sz w:val="18"/>
                <w:szCs w:val="18"/>
                <w:lang w:eastAsia="en-CA"/>
              </w:rPr>
              <w:t xml:space="preserve">users favours the large-scale use of second-hand </w:t>
            </w:r>
            <w:r w:rsidRPr="00770A51">
              <w:rPr>
                <w:sz w:val="18"/>
                <w:szCs w:val="18"/>
                <w:lang w:eastAsia="en-CA"/>
              </w:rPr>
              <w:t>refrigerators from abroad, which implies frequent repairs resulting in an increase in ODS consumption. Regulations prohibiting the imports of such refrigerators, coupled with customs training, will reduce this incidence. (Decision 31/15)</w:t>
            </w:r>
          </w:p>
        </w:tc>
      </w:tr>
      <w:tr w:rsidR="00E8096F" w:rsidRPr="005F4D83" w14:paraId="359760D0" w14:textId="77777777" w:rsidTr="00B44FB0">
        <w:tc>
          <w:tcPr>
            <w:tcW w:w="977" w:type="pct"/>
            <w:shd w:val="clear" w:color="auto" w:fill="auto"/>
            <w:vAlign w:val="center"/>
            <w:hideMark/>
          </w:tcPr>
          <w:p w14:paraId="7520B66E" w14:textId="77777777" w:rsidR="00E8096F" w:rsidRPr="00CC7155" w:rsidRDefault="00B44FB0" w:rsidP="00E8096F">
            <w:pPr>
              <w:jc w:val="left"/>
              <w:rPr>
                <w:sz w:val="18"/>
                <w:szCs w:val="18"/>
                <w:lang w:eastAsia="en-CA"/>
              </w:rPr>
            </w:pPr>
            <w:hyperlink r:id="rId24" w:history="1">
              <w:r w:rsidR="00E8096F" w:rsidRPr="005F4D83">
                <w:rPr>
                  <w:sz w:val="18"/>
                  <w:szCs w:val="18"/>
                  <w:lang w:eastAsia="en-CA"/>
                </w:rPr>
                <w:t xml:space="preserve">Report on </w:t>
              </w:r>
              <w:r w:rsidR="00E8096F">
                <w:rPr>
                  <w:sz w:val="18"/>
                  <w:szCs w:val="18"/>
                  <w:lang w:eastAsia="en-CA"/>
                </w:rPr>
                <w:t xml:space="preserve">the </w:t>
              </w:r>
              <w:r w:rsidR="00E8096F" w:rsidRPr="005F4D83">
                <w:rPr>
                  <w:sz w:val="18"/>
                  <w:szCs w:val="18"/>
                  <w:lang w:eastAsia="en-CA"/>
                </w:rPr>
                <w:t>evaluation of training projects (UNEP/OzL.Pro/ExCom/31/20)</w:t>
              </w:r>
            </w:hyperlink>
          </w:p>
        </w:tc>
        <w:tc>
          <w:tcPr>
            <w:tcW w:w="1196" w:type="pct"/>
            <w:shd w:val="clear" w:color="auto" w:fill="auto"/>
            <w:vAlign w:val="center"/>
            <w:hideMark/>
          </w:tcPr>
          <w:p w14:paraId="0303A1BC" w14:textId="77777777" w:rsidR="00E8096F" w:rsidRPr="00CC7155" w:rsidRDefault="00E8096F" w:rsidP="00B44FB0">
            <w:pPr>
              <w:rPr>
                <w:sz w:val="18"/>
                <w:szCs w:val="18"/>
                <w:lang w:eastAsia="en-CA"/>
              </w:rPr>
            </w:pPr>
            <w:r w:rsidRPr="00CC7155">
              <w:rPr>
                <w:sz w:val="18"/>
                <w:szCs w:val="18"/>
                <w:lang w:eastAsia="en-CA"/>
              </w:rPr>
              <w:t>This report is a synthesis of the desk study and the 10 country studies of training projects. The objective was to review</w:t>
            </w:r>
            <w:r>
              <w:rPr>
                <w:sz w:val="18"/>
                <w:szCs w:val="18"/>
                <w:lang w:eastAsia="en-CA"/>
              </w:rPr>
              <w:t>:</w:t>
            </w:r>
            <w:r w:rsidRPr="00CC7155">
              <w:rPr>
                <w:sz w:val="18"/>
                <w:szCs w:val="18"/>
                <w:lang w:eastAsia="en-CA"/>
              </w:rPr>
              <w:t xml:space="preserve"> training strategies; </w:t>
            </w:r>
            <w:r>
              <w:rPr>
                <w:sz w:val="18"/>
                <w:szCs w:val="18"/>
                <w:lang w:eastAsia="en-CA"/>
              </w:rPr>
              <w:t xml:space="preserve">the </w:t>
            </w:r>
            <w:r w:rsidRPr="00CC7155">
              <w:rPr>
                <w:sz w:val="18"/>
                <w:szCs w:val="18"/>
                <w:lang w:eastAsia="en-CA"/>
              </w:rPr>
              <w:t xml:space="preserve">planning of training projects by IAs and the NOUs; </w:t>
            </w:r>
            <w:r>
              <w:rPr>
                <w:sz w:val="18"/>
                <w:szCs w:val="18"/>
                <w:lang w:eastAsia="en-CA"/>
              </w:rPr>
              <w:t xml:space="preserve">the </w:t>
            </w:r>
            <w:r w:rsidRPr="00CC7155">
              <w:rPr>
                <w:sz w:val="18"/>
                <w:szCs w:val="18"/>
                <w:lang w:eastAsia="en-CA"/>
              </w:rPr>
              <w:t xml:space="preserve">design and delivery of training; </w:t>
            </w:r>
            <w:r>
              <w:rPr>
                <w:sz w:val="18"/>
                <w:szCs w:val="18"/>
                <w:lang w:eastAsia="en-CA"/>
              </w:rPr>
              <w:t xml:space="preserve">and the </w:t>
            </w:r>
            <w:r w:rsidRPr="00CC7155">
              <w:rPr>
                <w:sz w:val="18"/>
                <w:szCs w:val="18"/>
                <w:lang w:eastAsia="en-CA"/>
              </w:rPr>
              <w:t>results, impact and sustainability of training projects</w:t>
            </w:r>
            <w:r>
              <w:rPr>
                <w:sz w:val="18"/>
                <w:szCs w:val="18"/>
                <w:lang w:eastAsia="en-CA"/>
              </w:rPr>
              <w:t>.</w:t>
            </w:r>
          </w:p>
        </w:tc>
        <w:tc>
          <w:tcPr>
            <w:tcW w:w="2827" w:type="pct"/>
            <w:shd w:val="clear" w:color="auto" w:fill="auto"/>
            <w:vAlign w:val="center"/>
            <w:hideMark/>
          </w:tcPr>
          <w:p w14:paraId="3D6061DE" w14:textId="77777777" w:rsidR="00E8096F" w:rsidRPr="00CC7155" w:rsidRDefault="00E8096F" w:rsidP="00B44FB0">
            <w:pPr>
              <w:rPr>
                <w:sz w:val="18"/>
                <w:szCs w:val="18"/>
                <w:lang w:eastAsia="en-CA"/>
              </w:rPr>
            </w:pPr>
            <w:r w:rsidRPr="00CC7155">
              <w:rPr>
                <w:sz w:val="18"/>
                <w:szCs w:val="18"/>
                <w:lang w:eastAsia="en-CA"/>
              </w:rPr>
              <w:t>Training projects developed for countries have been well defined and developed in collaboration with the NOUs, national experts and associations. The timing and funding for training activities is usually adequate to target most of the trainees in the formal sector. The study recommended to integrate a comprehensive plan for sector phase</w:t>
            </w:r>
            <w:r>
              <w:rPr>
                <w:sz w:val="18"/>
                <w:szCs w:val="18"/>
                <w:lang w:eastAsia="en-CA"/>
              </w:rPr>
              <w:t>-</w:t>
            </w:r>
            <w:r w:rsidRPr="00CC7155">
              <w:rPr>
                <w:sz w:val="18"/>
                <w:szCs w:val="18"/>
                <w:lang w:eastAsia="en-CA"/>
              </w:rPr>
              <w:t>out in all future non-investment activities in the sector; to organize a train-the-trainers and a “hands on” training programmes for technicians, along with a certification system; to introduce awareness-raising activities following new policies requirements; to strengthen and involve local associations; and to have innovative solutio</w:t>
            </w:r>
            <w:r>
              <w:rPr>
                <w:sz w:val="18"/>
                <w:szCs w:val="18"/>
                <w:lang w:eastAsia="en-CA"/>
              </w:rPr>
              <w:t>ns to train the informal sector.</w:t>
            </w:r>
            <w:r w:rsidRPr="00CC7155">
              <w:rPr>
                <w:sz w:val="18"/>
                <w:szCs w:val="18"/>
                <w:lang w:eastAsia="en-CA"/>
              </w:rPr>
              <w:t xml:space="preserve"> (Decision 31/17)</w:t>
            </w:r>
          </w:p>
        </w:tc>
      </w:tr>
      <w:tr w:rsidR="00E8096F" w:rsidRPr="005F4D83" w14:paraId="77F53458" w14:textId="77777777" w:rsidTr="00B44FB0">
        <w:tc>
          <w:tcPr>
            <w:tcW w:w="977" w:type="pct"/>
            <w:shd w:val="clear" w:color="auto" w:fill="auto"/>
            <w:vAlign w:val="center"/>
            <w:hideMark/>
          </w:tcPr>
          <w:p w14:paraId="0B69C9E8" w14:textId="77777777" w:rsidR="00E8096F" w:rsidRPr="00CC7155" w:rsidRDefault="00B44FB0" w:rsidP="00E8096F">
            <w:pPr>
              <w:jc w:val="left"/>
              <w:rPr>
                <w:sz w:val="18"/>
                <w:szCs w:val="18"/>
                <w:lang w:eastAsia="en-CA"/>
              </w:rPr>
            </w:pPr>
            <w:hyperlink r:id="rId25" w:history="1">
              <w:r w:rsidR="00E8096F" w:rsidRPr="005F4D83">
                <w:rPr>
                  <w:sz w:val="18"/>
                  <w:szCs w:val="18"/>
                  <w:lang w:eastAsia="en-CA"/>
                </w:rPr>
                <w:t>Extended desk study on RMP evaluation (UNEP/OzL.Pro/ExCom/39/14)</w:t>
              </w:r>
            </w:hyperlink>
          </w:p>
        </w:tc>
        <w:tc>
          <w:tcPr>
            <w:tcW w:w="1196" w:type="pct"/>
            <w:shd w:val="clear" w:color="auto" w:fill="auto"/>
            <w:vAlign w:val="center"/>
            <w:hideMark/>
          </w:tcPr>
          <w:p w14:paraId="7473818D" w14:textId="77777777" w:rsidR="00E8096F" w:rsidRPr="00CC7155" w:rsidRDefault="00E8096F" w:rsidP="00B44FB0">
            <w:pPr>
              <w:rPr>
                <w:sz w:val="18"/>
                <w:szCs w:val="18"/>
                <w:lang w:eastAsia="en-CA"/>
              </w:rPr>
            </w:pPr>
            <w:r w:rsidRPr="00CC7155">
              <w:rPr>
                <w:sz w:val="18"/>
                <w:szCs w:val="18"/>
                <w:lang w:eastAsia="en-CA"/>
              </w:rPr>
              <w:t xml:space="preserve">The desk study evaluation, with selected country visits in LVC countries, was planned to assess the progress achieved in implementing </w:t>
            </w:r>
            <w:r>
              <w:rPr>
                <w:sz w:val="18"/>
                <w:szCs w:val="18"/>
                <w:lang w:eastAsia="en-CA"/>
              </w:rPr>
              <w:t>RMP</w:t>
            </w:r>
            <w:r w:rsidRPr="00CC7155">
              <w:rPr>
                <w:sz w:val="18"/>
                <w:szCs w:val="18"/>
                <w:lang w:eastAsia="en-CA"/>
              </w:rPr>
              <w:t xml:space="preserve">s. It focused on R&amp;R and training activities as well as policy measures </w:t>
            </w:r>
            <w:r>
              <w:rPr>
                <w:sz w:val="18"/>
                <w:szCs w:val="18"/>
                <w:lang w:eastAsia="en-CA"/>
              </w:rPr>
              <w:t>in a country compliance context.</w:t>
            </w:r>
          </w:p>
        </w:tc>
        <w:tc>
          <w:tcPr>
            <w:tcW w:w="2827" w:type="pct"/>
            <w:shd w:val="clear" w:color="auto" w:fill="auto"/>
            <w:vAlign w:val="center"/>
            <w:hideMark/>
          </w:tcPr>
          <w:p w14:paraId="0E3DE7E0" w14:textId="77777777" w:rsidR="00E8096F" w:rsidRPr="00CC7155" w:rsidRDefault="00E8096F" w:rsidP="00B44FB0">
            <w:pPr>
              <w:rPr>
                <w:sz w:val="18"/>
                <w:szCs w:val="18"/>
                <w:lang w:eastAsia="en-CA"/>
              </w:rPr>
            </w:pPr>
            <w:r w:rsidRPr="00CC7155">
              <w:rPr>
                <w:sz w:val="18"/>
                <w:szCs w:val="18"/>
                <w:lang w:eastAsia="en-CA"/>
              </w:rPr>
              <w:t>The experiences from the countries visited suggested that difficulties in implementing RMPs are fairly similar in LVC countries across the region</w:t>
            </w:r>
            <w:r w:rsidRPr="00F762AD">
              <w:rPr>
                <w:sz w:val="18"/>
                <w:szCs w:val="18"/>
                <w:lang w:eastAsia="en-CA"/>
              </w:rPr>
              <w:t xml:space="preserve">, </w:t>
            </w:r>
            <w:r>
              <w:rPr>
                <w:sz w:val="18"/>
                <w:szCs w:val="18"/>
                <w:lang w:eastAsia="en-CA"/>
              </w:rPr>
              <w:t>including</w:t>
            </w:r>
            <w:r w:rsidRPr="00F762AD">
              <w:rPr>
                <w:sz w:val="18"/>
                <w:szCs w:val="18"/>
                <w:lang w:eastAsia="en-CA"/>
              </w:rPr>
              <w:t>: the price difference between CFCs and alternative substances; the validity and reliability of import/export data; and the implementation complications brought by the informal sector. The</w:t>
            </w:r>
            <w:r w:rsidRPr="00CC7155">
              <w:rPr>
                <w:sz w:val="18"/>
                <w:szCs w:val="18"/>
                <w:lang w:eastAsia="en-CA"/>
              </w:rPr>
              <w:t xml:space="preserve"> report concluded, </w:t>
            </w:r>
            <w:r w:rsidRPr="00CC7155">
              <w:rPr>
                <w:i/>
                <w:iCs/>
                <w:sz w:val="18"/>
                <w:szCs w:val="18"/>
                <w:lang w:eastAsia="en-CA"/>
              </w:rPr>
              <w:t>inter alia</w:t>
            </w:r>
            <w:r w:rsidRPr="00CC7155">
              <w:rPr>
                <w:sz w:val="18"/>
                <w:szCs w:val="18"/>
                <w:lang w:eastAsia="en-CA"/>
              </w:rPr>
              <w:t xml:space="preserve">, that the NOUs play a key role in </w:t>
            </w:r>
            <w:r>
              <w:rPr>
                <w:sz w:val="18"/>
                <w:szCs w:val="18"/>
                <w:lang w:eastAsia="en-CA"/>
              </w:rPr>
              <w:t>co</w:t>
            </w:r>
            <w:r w:rsidRPr="00CC7155">
              <w:rPr>
                <w:sz w:val="18"/>
                <w:szCs w:val="18"/>
                <w:lang w:eastAsia="en-CA"/>
              </w:rPr>
              <w:t>ordinating and implementing projects, improved by strengthening their institutional basis. Cooperation with the industry and the associations has proven important in achieving compliance. Recycling centres are under-utilised or not utilised at all, but retrofitting programmes</w:t>
            </w:r>
            <w:r>
              <w:rPr>
                <w:sz w:val="18"/>
                <w:szCs w:val="18"/>
                <w:lang w:eastAsia="en-CA"/>
              </w:rPr>
              <w:t xml:space="preserve"> can be effective if there is a</w:t>
            </w:r>
            <w:r w:rsidRPr="00CC7155">
              <w:rPr>
                <w:sz w:val="18"/>
                <w:szCs w:val="18"/>
                <w:lang w:eastAsia="en-CA"/>
              </w:rPr>
              <w:t xml:space="preserve"> good import licensing system, a reliable control of the level of CFC consumption, a narrowing price differential between controlled and alternative refrigerants, and the introduction of economic incentives to enterprises.</w:t>
            </w:r>
          </w:p>
        </w:tc>
      </w:tr>
      <w:tr w:rsidR="00E8096F" w:rsidRPr="005F4D83" w14:paraId="78406398" w14:textId="77777777" w:rsidTr="00B44FB0">
        <w:tc>
          <w:tcPr>
            <w:tcW w:w="977" w:type="pct"/>
            <w:shd w:val="clear" w:color="auto" w:fill="auto"/>
            <w:vAlign w:val="center"/>
            <w:hideMark/>
          </w:tcPr>
          <w:p w14:paraId="14E6081C" w14:textId="77777777" w:rsidR="00E8096F" w:rsidRPr="00CC7155" w:rsidRDefault="00B44FB0" w:rsidP="00E8096F">
            <w:pPr>
              <w:jc w:val="left"/>
              <w:rPr>
                <w:sz w:val="18"/>
                <w:szCs w:val="18"/>
                <w:lang w:eastAsia="en-CA"/>
              </w:rPr>
            </w:pPr>
            <w:hyperlink r:id="rId26" w:history="1">
              <w:r w:rsidR="00E8096F" w:rsidRPr="005F4D83">
                <w:rPr>
                  <w:sz w:val="18"/>
                  <w:szCs w:val="18"/>
                  <w:lang w:eastAsia="en-CA"/>
                </w:rPr>
                <w:t>Final report on the evaluation of the implementation of RMPs (UNEP/OzL.Pro/ExCom/41/7)</w:t>
              </w:r>
            </w:hyperlink>
          </w:p>
        </w:tc>
        <w:tc>
          <w:tcPr>
            <w:tcW w:w="1196" w:type="pct"/>
            <w:shd w:val="clear" w:color="auto" w:fill="auto"/>
            <w:vAlign w:val="center"/>
            <w:hideMark/>
          </w:tcPr>
          <w:p w14:paraId="57D1E2A0" w14:textId="77777777" w:rsidR="00E8096F" w:rsidRPr="00CC7155" w:rsidRDefault="00E8096F" w:rsidP="00B44FB0">
            <w:pPr>
              <w:rPr>
                <w:sz w:val="18"/>
                <w:szCs w:val="18"/>
                <w:lang w:eastAsia="en-CA"/>
              </w:rPr>
            </w:pPr>
            <w:r w:rsidRPr="00CC7155">
              <w:rPr>
                <w:sz w:val="18"/>
                <w:szCs w:val="18"/>
                <w:lang w:eastAsia="en-CA"/>
              </w:rPr>
              <w:t>The synthesis report of the evaluation of the RMPs reassesses the f</w:t>
            </w:r>
            <w:r>
              <w:rPr>
                <w:sz w:val="18"/>
                <w:szCs w:val="18"/>
                <w:lang w:eastAsia="en-CA"/>
              </w:rPr>
              <w:t>irst phase of the evaluation (</w:t>
            </w:r>
            <w:r w:rsidRPr="00CC7155">
              <w:rPr>
                <w:sz w:val="18"/>
                <w:szCs w:val="18"/>
                <w:lang w:eastAsia="en-CA"/>
              </w:rPr>
              <w:t xml:space="preserve">desk study and country evaluation reports) and analyzes an additional sample of seven LVC countries. The report presents findings, lessons learned, and recommendations to improve the effectiveness of RMPs and </w:t>
            </w:r>
            <w:r>
              <w:rPr>
                <w:sz w:val="18"/>
                <w:szCs w:val="18"/>
                <w:lang w:eastAsia="en-CA"/>
              </w:rPr>
              <w:t xml:space="preserve">to </w:t>
            </w:r>
            <w:r w:rsidRPr="00CC7155">
              <w:rPr>
                <w:sz w:val="18"/>
                <w:szCs w:val="18"/>
                <w:lang w:eastAsia="en-CA"/>
              </w:rPr>
              <w:t xml:space="preserve">enhance the capacity of LVC countries to achieve CFC phase-out in the refrigeration servicing sector. </w:t>
            </w:r>
          </w:p>
        </w:tc>
        <w:tc>
          <w:tcPr>
            <w:tcW w:w="2827" w:type="pct"/>
            <w:shd w:val="clear" w:color="auto" w:fill="auto"/>
            <w:vAlign w:val="center"/>
            <w:hideMark/>
          </w:tcPr>
          <w:p w14:paraId="29F006C4" w14:textId="77777777" w:rsidR="00E8096F" w:rsidRPr="00CC7155" w:rsidRDefault="00E8096F" w:rsidP="00B44FB0">
            <w:pPr>
              <w:spacing w:before="100" w:beforeAutospacing="1" w:after="100" w:afterAutospacing="1"/>
              <w:rPr>
                <w:sz w:val="18"/>
                <w:szCs w:val="18"/>
                <w:lang w:eastAsia="en-CA"/>
              </w:rPr>
            </w:pPr>
            <w:r w:rsidRPr="00CC7155">
              <w:rPr>
                <w:sz w:val="18"/>
                <w:szCs w:val="18"/>
                <w:lang w:eastAsia="en-CA"/>
              </w:rPr>
              <w:t>RMPs have played a decisive role in coordinating activities for the reduction of CFC consumption in the servicing sector and in accelerating the phase-out process. Most countries visited ha</w:t>
            </w:r>
            <w:r>
              <w:rPr>
                <w:sz w:val="18"/>
                <w:szCs w:val="18"/>
                <w:lang w:eastAsia="en-CA"/>
              </w:rPr>
              <w:t>d</w:t>
            </w:r>
            <w:r w:rsidRPr="00CC7155">
              <w:rPr>
                <w:sz w:val="18"/>
                <w:szCs w:val="18"/>
                <w:lang w:eastAsia="en-CA"/>
              </w:rPr>
              <w:t xml:space="preserve"> complied with the freeze target by 1999. The most important factors contributing to this progress were enforced legislation, strict import controls reducing the availability of CFCs and adequate training of customs officers and refrigeration technicians. In all countries where such progress can be reported, close cooperation between the NOU and the stakeholders (i.e., importers, distributor</w:t>
            </w:r>
            <w:r>
              <w:rPr>
                <w:sz w:val="18"/>
                <w:szCs w:val="18"/>
                <w:lang w:eastAsia="en-CA"/>
              </w:rPr>
              <w:t>s and</w:t>
            </w:r>
            <w:r w:rsidRPr="00CC7155">
              <w:rPr>
                <w:sz w:val="18"/>
                <w:szCs w:val="18"/>
                <w:lang w:eastAsia="en-CA"/>
              </w:rPr>
              <w:t xml:space="preserve"> workshops) has been established. Political commitment and the capacity of the NOUs play an important role in successful implementation. (Decision 41/5) </w:t>
            </w:r>
          </w:p>
        </w:tc>
      </w:tr>
      <w:tr w:rsidR="00E8096F" w:rsidRPr="005F4D83" w14:paraId="745728B4" w14:textId="77777777" w:rsidTr="00B44FB0">
        <w:tc>
          <w:tcPr>
            <w:tcW w:w="977" w:type="pct"/>
            <w:shd w:val="clear" w:color="auto" w:fill="auto"/>
            <w:vAlign w:val="center"/>
            <w:hideMark/>
          </w:tcPr>
          <w:p w14:paraId="5939A89E" w14:textId="77777777" w:rsidR="00E8096F" w:rsidRPr="00CC7155" w:rsidRDefault="00B44FB0" w:rsidP="00E8096F">
            <w:pPr>
              <w:jc w:val="left"/>
              <w:rPr>
                <w:sz w:val="18"/>
                <w:szCs w:val="18"/>
                <w:lang w:eastAsia="en-CA"/>
              </w:rPr>
            </w:pPr>
            <w:hyperlink r:id="rId27" w:history="1">
              <w:r w:rsidR="00E8096F" w:rsidRPr="005F4D83">
                <w:rPr>
                  <w:sz w:val="18"/>
                  <w:szCs w:val="18"/>
                  <w:lang w:eastAsia="en-CA"/>
                </w:rPr>
                <w:t>Desk study on the evaluation of customs officer training and licensing system projects (UNEP/OzL.Pro/ExCom/44/12)</w:t>
              </w:r>
            </w:hyperlink>
          </w:p>
        </w:tc>
        <w:tc>
          <w:tcPr>
            <w:tcW w:w="1196" w:type="pct"/>
            <w:shd w:val="clear" w:color="auto" w:fill="auto"/>
            <w:vAlign w:val="center"/>
            <w:hideMark/>
          </w:tcPr>
          <w:p w14:paraId="14068C8B" w14:textId="77777777" w:rsidR="00E8096F" w:rsidRPr="00CC7155" w:rsidRDefault="00E8096F" w:rsidP="00B44FB0">
            <w:pPr>
              <w:rPr>
                <w:sz w:val="18"/>
                <w:szCs w:val="18"/>
                <w:lang w:eastAsia="en-CA"/>
              </w:rPr>
            </w:pPr>
            <w:r w:rsidRPr="00CC7155">
              <w:rPr>
                <w:sz w:val="18"/>
                <w:szCs w:val="18"/>
                <w:lang w:eastAsia="en-CA"/>
              </w:rPr>
              <w:t xml:space="preserve">The objective of this desk study is to </w:t>
            </w:r>
            <w:r>
              <w:rPr>
                <w:sz w:val="18"/>
                <w:szCs w:val="18"/>
                <w:lang w:eastAsia="en-CA"/>
              </w:rPr>
              <w:t>identify the results and impact</w:t>
            </w:r>
            <w:r w:rsidRPr="00CC7155">
              <w:rPr>
                <w:sz w:val="18"/>
                <w:szCs w:val="18"/>
                <w:lang w:eastAsia="en-CA"/>
              </w:rPr>
              <w:t xml:space="preserve"> of the implementation of customs training projects and the adoption of import licensing systems and</w:t>
            </w:r>
            <w:r>
              <w:rPr>
                <w:sz w:val="18"/>
                <w:szCs w:val="18"/>
                <w:lang w:eastAsia="en-CA"/>
              </w:rPr>
              <w:t>,</w:t>
            </w:r>
            <w:r w:rsidRPr="00CC7155">
              <w:rPr>
                <w:sz w:val="18"/>
                <w:szCs w:val="18"/>
                <w:lang w:eastAsia="en-CA"/>
              </w:rPr>
              <w:t xml:space="preserve"> subsequently</w:t>
            </w:r>
            <w:r>
              <w:rPr>
                <w:sz w:val="18"/>
                <w:szCs w:val="18"/>
                <w:lang w:eastAsia="en-CA"/>
              </w:rPr>
              <w:t>,</w:t>
            </w:r>
            <w:r w:rsidRPr="00CC7155">
              <w:rPr>
                <w:sz w:val="18"/>
                <w:szCs w:val="18"/>
                <w:lang w:eastAsia="en-CA"/>
              </w:rPr>
              <w:t xml:space="preserve"> to identify evaluation issues for further analysis and </w:t>
            </w:r>
            <w:r>
              <w:rPr>
                <w:sz w:val="18"/>
                <w:szCs w:val="18"/>
                <w:lang w:eastAsia="en-CA"/>
              </w:rPr>
              <w:t xml:space="preserve">to </w:t>
            </w:r>
            <w:r w:rsidRPr="00CC7155">
              <w:rPr>
                <w:sz w:val="18"/>
                <w:szCs w:val="18"/>
                <w:lang w:eastAsia="en-CA"/>
              </w:rPr>
              <w:t xml:space="preserve">prepare the field visits. </w:t>
            </w:r>
          </w:p>
        </w:tc>
        <w:tc>
          <w:tcPr>
            <w:tcW w:w="2827" w:type="pct"/>
            <w:shd w:val="clear" w:color="auto" w:fill="auto"/>
            <w:vAlign w:val="center"/>
            <w:hideMark/>
          </w:tcPr>
          <w:p w14:paraId="5A4A6D7D" w14:textId="77777777" w:rsidR="00E8096F" w:rsidRPr="00CC7155" w:rsidRDefault="00E8096F" w:rsidP="00B44FB0">
            <w:pPr>
              <w:rPr>
                <w:sz w:val="18"/>
                <w:szCs w:val="18"/>
                <w:lang w:eastAsia="en-CA"/>
              </w:rPr>
            </w:pPr>
            <w:r w:rsidRPr="00CC7155">
              <w:rPr>
                <w:sz w:val="18"/>
                <w:szCs w:val="18"/>
                <w:lang w:eastAsia="en-CA"/>
              </w:rPr>
              <w:t>ODS import licensing and customs training activities were first funded as stand-alone and regional projects, but their rapid increase saw them included in RMP</w:t>
            </w:r>
            <w:r>
              <w:rPr>
                <w:sz w:val="18"/>
                <w:szCs w:val="18"/>
                <w:lang w:eastAsia="en-CA"/>
              </w:rPr>
              <w:t>s</w:t>
            </w:r>
            <w:r w:rsidRPr="00CC7155">
              <w:rPr>
                <w:sz w:val="18"/>
                <w:szCs w:val="18"/>
                <w:lang w:eastAsia="en-CA"/>
              </w:rPr>
              <w:t>. Rigorous application of import licenses and the completion of phase-out projects to reduce demand are the most productive method</w:t>
            </w:r>
            <w:r>
              <w:rPr>
                <w:sz w:val="18"/>
                <w:szCs w:val="18"/>
                <w:lang w:eastAsia="en-CA"/>
              </w:rPr>
              <w:t>s</w:t>
            </w:r>
            <w:r w:rsidRPr="00CC7155">
              <w:rPr>
                <w:sz w:val="18"/>
                <w:szCs w:val="18"/>
                <w:lang w:eastAsia="en-CA"/>
              </w:rPr>
              <w:t xml:space="preserve"> of controlling international trade and reducing illegal trade. To overcome the implementation issue</w:t>
            </w:r>
            <w:r>
              <w:rPr>
                <w:sz w:val="18"/>
                <w:szCs w:val="18"/>
                <w:lang w:eastAsia="en-CA"/>
              </w:rPr>
              <w:t>s</w:t>
            </w:r>
            <w:r w:rsidRPr="00CC7155">
              <w:rPr>
                <w:sz w:val="18"/>
                <w:szCs w:val="18"/>
                <w:lang w:eastAsia="en-CA"/>
              </w:rPr>
              <w:t xml:space="preserve"> these projects </w:t>
            </w:r>
            <w:r>
              <w:rPr>
                <w:sz w:val="18"/>
                <w:szCs w:val="18"/>
                <w:lang w:eastAsia="en-CA"/>
              </w:rPr>
              <w:t>face</w:t>
            </w:r>
            <w:r w:rsidRPr="00CC7155">
              <w:rPr>
                <w:sz w:val="18"/>
                <w:szCs w:val="18"/>
                <w:lang w:eastAsia="en-CA"/>
              </w:rPr>
              <w:t xml:space="preserve">, the evaluation recommended </w:t>
            </w:r>
            <w:r w:rsidRPr="00F762AD">
              <w:rPr>
                <w:i/>
                <w:sz w:val="18"/>
                <w:szCs w:val="18"/>
                <w:lang w:eastAsia="en-CA"/>
              </w:rPr>
              <w:t>inter alia</w:t>
            </w:r>
            <w:r>
              <w:rPr>
                <w:sz w:val="18"/>
                <w:szCs w:val="18"/>
                <w:lang w:eastAsia="en-CA"/>
              </w:rPr>
              <w:t xml:space="preserve"> </w:t>
            </w:r>
            <w:r w:rsidRPr="00CC7155">
              <w:rPr>
                <w:sz w:val="18"/>
                <w:szCs w:val="18"/>
                <w:lang w:eastAsia="en-CA"/>
              </w:rPr>
              <w:t>focusing on awareness</w:t>
            </w:r>
            <w:r>
              <w:rPr>
                <w:sz w:val="18"/>
                <w:szCs w:val="18"/>
                <w:lang w:eastAsia="en-CA"/>
              </w:rPr>
              <w:t>-</w:t>
            </w:r>
            <w:r w:rsidRPr="00CC7155">
              <w:rPr>
                <w:sz w:val="18"/>
                <w:szCs w:val="18"/>
                <w:lang w:eastAsia="en-CA"/>
              </w:rPr>
              <w:t>raising of customs officers regarding ODS issues</w:t>
            </w:r>
            <w:r>
              <w:rPr>
                <w:sz w:val="18"/>
                <w:szCs w:val="18"/>
                <w:lang w:eastAsia="en-CA"/>
              </w:rPr>
              <w:t>,</w:t>
            </w:r>
            <w:r w:rsidRPr="00CC7155">
              <w:rPr>
                <w:sz w:val="18"/>
                <w:szCs w:val="18"/>
                <w:lang w:eastAsia="en-CA"/>
              </w:rPr>
              <w:t xml:space="preserve"> and building a specialized customs team to deal with environmental problems</w:t>
            </w:r>
            <w:r>
              <w:rPr>
                <w:sz w:val="18"/>
                <w:szCs w:val="18"/>
                <w:lang w:eastAsia="en-CA"/>
              </w:rPr>
              <w:t xml:space="preserve">, </w:t>
            </w:r>
            <w:r w:rsidRPr="00F762AD">
              <w:rPr>
                <w:sz w:val="18"/>
                <w:szCs w:val="18"/>
                <w:lang w:eastAsia="en-CA"/>
              </w:rPr>
              <w:t>strengthening local/provincial environment authorities to actively support the control procedures, and relying on technicians, university staff or governmental laboratories to assist customs in identifying suspicious shipments</w:t>
            </w:r>
            <w:r w:rsidRPr="00AB6AE9">
              <w:rPr>
                <w:sz w:val="18"/>
                <w:szCs w:val="18"/>
                <w:lang w:eastAsia="en-CA"/>
              </w:rPr>
              <w:t>.</w:t>
            </w:r>
          </w:p>
        </w:tc>
      </w:tr>
      <w:tr w:rsidR="00E8096F" w:rsidRPr="005F4D83" w14:paraId="2C9E8FCB" w14:textId="77777777" w:rsidTr="00B44FB0">
        <w:tc>
          <w:tcPr>
            <w:tcW w:w="977" w:type="pct"/>
            <w:shd w:val="clear" w:color="auto" w:fill="auto"/>
            <w:vAlign w:val="center"/>
          </w:tcPr>
          <w:p w14:paraId="4EC1687E" w14:textId="77777777" w:rsidR="00E8096F" w:rsidRDefault="00B44FB0" w:rsidP="00E8096F">
            <w:pPr>
              <w:jc w:val="left"/>
              <w:rPr>
                <w:sz w:val="18"/>
                <w:szCs w:val="18"/>
                <w:lang w:eastAsia="en-CA"/>
              </w:rPr>
            </w:pPr>
            <w:hyperlink r:id="rId28" w:history="1">
              <w:r w:rsidR="00E8096F" w:rsidRPr="005F4D83">
                <w:rPr>
                  <w:sz w:val="18"/>
                  <w:szCs w:val="18"/>
                  <w:lang w:eastAsia="en-CA"/>
                </w:rPr>
                <w:t>Executive Committee Report on the Evaluation of Customs Officers Training and Licensing System Projects (UNEP/OzL.Pro.WG.1/25/6)</w:t>
              </w:r>
            </w:hyperlink>
          </w:p>
        </w:tc>
        <w:tc>
          <w:tcPr>
            <w:tcW w:w="1196" w:type="pct"/>
            <w:shd w:val="clear" w:color="auto" w:fill="auto"/>
            <w:vAlign w:val="center"/>
          </w:tcPr>
          <w:p w14:paraId="6CD28136" w14:textId="77777777" w:rsidR="00E8096F" w:rsidRPr="00CC7155" w:rsidRDefault="00E8096F" w:rsidP="00B44FB0">
            <w:pPr>
              <w:rPr>
                <w:sz w:val="18"/>
                <w:szCs w:val="18"/>
                <w:lang w:eastAsia="en-CA"/>
              </w:rPr>
            </w:pPr>
            <w:r w:rsidRPr="00554C0C">
              <w:rPr>
                <w:sz w:val="18"/>
                <w:szCs w:val="18"/>
                <w:lang w:eastAsia="en-CA"/>
              </w:rPr>
              <w:t>The report was prepared in response to decision XIV/7, paragraph 6 of the 14</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Parties to the Montreal Protocol and presented to the 25</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Open-ended Working Group (OEWG) in June 2005</w:t>
            </w:r>
            <w:r>
              <w:rPr>
                <w:sz w:val="18"/>
                <w:szCs w:val="18"/>
                <w:lang w:eastAsia="en-CA"/>
              </w:rPr>
              <w:t>.</w:t>
            </w:r>
          </w:p>
        </w:tc>
        <w:tc>
          <w:tcPr>
            <w:tcW w:w="2827" w:type="pct"/>
            <w:shd w:val="clear" w:color="auto" w:fill="auto"/>
            <w:vAlign w:val="center"/>
          </w:tcPr>
          <w:p w14:paraId="62B3F3D8" w14:textId="77777777" w:rsidR="00E8096F" w:rsidRPr="00CC7155" w:rsidRDefault="00E8096F" w:rsidP="00B44FB0">
            <w:pPr>
              <w:rPr>
                <w:sz w:val="18"/>
                <w:szCs w:val="18"/>
                <w:lang w:eastAsia="en-CA"/>
              </w:rPr>
            </w:pPr>
            <w:r w:rsidRPr="00554C0C">
              <w:rPr>
                <w:sz w:val="18"/>
                <w:szCs w:val="18"/>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w:t>
            </w:r>
            <w:r>
              <w:rPr>
                <w:sz w:val="18"/>
                <w:szCs w:val="18"/>
                <w:lang w:eastAsia="en-CA"/>
              </w:rPr>
              <w:t>e.</w:t>
            </w:r>
          </w:p>
        </w:tc>
      </w:tr>
      <w:tr w:rsidR="00E8096F" w:rsidRPr="005F4D83" w14:paraId="7E8C1C5F" w14:textId="77777777" w:rsidTr="00B44FB0">
        <w:tc>
          <w:tcPr>
            <w:tcW w:w="977" w:type="pct"/>
            <w:shd w:val="clear" w:color="auto" w:fill="auto"/>
            <w:vAlign w:val="center"/>
            <w:hideMark/>
          </w:tcPr>
          <w:p w14:paraId="59FF2EEB" w14:textId="77777777" w:rsidR="00E8096F" w:rsidRPr="00CC7155" w:rsidRDefault="00B44FB0" w:rsidP="00E8096F">
            <w:pPr>
              <w:jc w:val="left"/>
              <w:rPr>
                <w:sz w:val="18"/>
                <w:szCs w:val="18"/>
                <w:lang w:eastAsia="en-CA"/>
              </w:rPr>
            </w:pPr>
            <w:hyperlink r:id="rId29" w:history="1">
              <w:r w:rsidR="00E8096F" w:rsidRPr="005F4D83">
                <w:rPr>
                  <w:sz w:val="18"/>
                  <w:szCs w:val="18"/>
                  <w:lang w:eastAsia="en-CA"/>
                </w:rPr>
                <w:t xml:space="preserve">Extended desk study on the evaluation of national phase-out plans </w:t>
              </w:r>
              <w:r w:rsidR="00E8096F">
                <w:rPr>
                  <w:sz w:val="18"/>
                  <w:szCs w:val="18"/>
                  <w:lang w:eastAsia="en-CA"/>
                </w:rPr>
                <w:t xml:space="preserve">(NPPs) </w:t>
              </w:r>
              <w:r w:rsidR="00E8096F" w:rsidRPr="005F4D83">
                <w:rPr>
                  <w:sz w:val="18"/>
                  <w:szCs w:val="18"/>
                  <w:lang w:eastAsia="en-CA"/>
                </w:rPr>
                <w:t>(UNEP/OzL.Pro/ExCom/45/12)</w:t>
              </w:r>
            </w:hyperlink>
          </w:p>
        </w:tc>
        <w:tc>
          <w:tcPr>
            <w:tcW w:w="1196" w:type="pct"/>
            <w:shd w:val="clear" w:color="auto" w:fill="auto"/>
            <w:vAlign w:val="center"/>
            <w:hideMark/>
          </w:tcPr>
          <w:p w14:paraId="2DB7D4D9" w14:textId="77777777" w:rsidR="00E8096F" w:rsidRPr="00CC7155" w:rsidRDefault="00E8096F" w:rsidP="00B44FB0">
            <w:pPr>
              <w:rPr>
                <w:sz w:val="18"/>
                <w:szCs w:val="18"/>
                <w:lang w:eastAsia="en-CA"/>
              </w:rPr>
            </w:pPr>
            <w:r w:rsidRPr="00CC7155">
              <w:rPr>
                <w:sz w:val="18"/>
                <w:szCs w:val="18"/>
                <w:lang w:eastAsia="en-CA"/>
              </w:rPr>
              <w:t>The objective of the evaluation is to undertake a review of experiences under the</w:t>
            </w:r>
            <w:r>
              <w:rPr>
                <w:sz w:val="18"/>
                <w:szCs w:val="18"/>
                <w:lang w:eastAsia="en-CA"/>
              </w:rPr>
              <w:t xml:space="preserve"> new modalities (national phase-</w:t>
            </w:r>
            <w:r w:rsidRPr="00CC7155">
              <w:rPr>
                <w:sz w:val="18"/>
                <w:szCs w:val="18"/>
                <w:lang w:eastAsia="en-CA"/>
              </w:rPr>
              <w:t>out plans (NPPs), sector plans and terminal phase-out management plans (TPMPs)) with a view to determin</w:t>
            </w:r>
            <w:r>
              <w:rPr>
                <w:sz w:val="18"/>
                <w:szCs w:val="18"/>
                <w:lang w:eastAsia="en-CA"/>
              </w:rPr>
              <w:t>ing</w:t>
            </w:r>
            <w:r w:rsidRPr="00CC7155">
              <w:rPr>
                <w:sz w:val="18"/>
                <w:szCs w:val="18"/>
                <w:lang w:eastAsia="en-CA"/>
              </w:rPr>
              <w:t xml:space="preserve"> whether the anticipated benefits have accrued and remain useful and relevant, or need adjustment or updating.</w:t>
            </w:r>
          </w:p>
        </w:tc>
        <w:tc>
          <w:tcPr>
            <w:tcW w:w="2827" w:type="pct"/>
            <w:shd w:val="clear" w:color="auto" w:fill="auto"/>
            <w:vAlign w:val="center"/>
            <w:hideMark/>
          </w:tcPr>
          <w:p w14:paraId="006D5CC2" w14:textId="77777777" w:rsidR="00E8096F" w:rsidRPr="00CC7155" w:rsidRDefault="00E8096F" w:rsidP="00B44FB0">
            <w:pPr>
              <w:rPr>
                <w:sz w:val="18"/>
                <w:szCs w:val="18"/>
                <w:lang w:eastAsia="en-CA"/>
              </w:rPr>
            </w:pPr>
            <w:r w:rsidRPr="00CC7155">
              <w:rPr>
                <w:sz w:val="18"/>
                <w:szCs w:val="18"/>
                <w:lang w:eastAsia="en-CA"/>
              </w:rPr>
              <w:t>The NPP</w:t>
            </w:r>
            <w:r>
              <w:rPr>
                <w:sz w:val="18"/>
                <w:szCs w:val="18"/>
                <w:lang w:eastAsia="en-CA"/>
              </w:rPr>
              <w:t>s</w:t>
            </w:r>
            <w:r w:rsidRPr="00CC7155">
              <w:rPr>
                <w:sz w:val="18"/>
                <w:szCs w:val="18"/>
                <w:lang w:eastAsia="en-CA"/>
              </w:rPr>
              <w:t xml:space="preserve"> and TPMPs are designed to accelerate policy development, facilitate implementation and enhance awareness amongst stakeholders. The commitments stipulated in the agreements signed by governments </w:t>
            </w:r>
            <w:r>
              <w:rPr>
                <w:sz w:val="18"/>
                <w:szCs w:val="18"/>
                <w:lang w:eastAsia="en-CA"/>
              </w:rPr>
              <w:t xml:space="preserve">have </w:t>
            </w:r>
            <w:r w:rsidRPr="00CC7155">
              <w:rPr>
                <w:sz w:val="18"/>
                <w:szCs w:val="18"/>
                <w:lang w:eastAsia="en-CA"/>
              </w:rPr>
              <w:t xml:space="preserve">made the work of the PMUs/NOUs easier </w:t>
            </w:r>
            <w:r>
              <w:rPr>
                <w:sz w:val="18"/>
                <w:szCs w:val="18"/>
                <w:lang w:eastAsia="en-CA"/>
              </w:rPr>
              <w:t>when it comes to</w:t>
            </w:r>
            <w:r w:rsidRPr="00CC7155">
              <w:rPr>
                <w:sz w:val="18"/>
                <w:szCs w:val="18"/>
                <w:lang w:eastAsia="en-CA"/>
              </w:rPr>
              <w:t xml:space="preserve"> accelerating the implementation of regulations</w:t>
            </w:r>
            <w:r>
              <w:rPr>
                <w:sz w:val="18"/>
                <w:szCs w:val="18"/>
                <w:lang w:eastAsia="en-CA"/>
              </w:rPr>
              <w:t>,</w:t>
            </w:r>
            <w:r w:rsidRPr="00CC7155">
              <w:rPr>
                <w:sz w:val="18"/>
                <w:szCs w:val="18"/>
                <w:lang w:eastAsia="en-CA"/>
              </w:rPr>
              <w:t xml:space="preserve"> and </w:t>
            </w:r>
            <w:r>
              <w:rPr>
                <w:sz w:val="18"/>
                <w:szCs w:val="18"/>
                <w:lang w:eastAsia="en-CA"/>
              </w:rPr>
              <w:t>le</w:t>
            </w:r>
            <w:r w:rsidRPr="00CC7155">
              <w:rPr>
                <w:sz w:val="18"/>
                <w:szCs w:val="18"/>
                <w:lang w:eastAsia="en-CA"/>
              </w:rPr>
              <w:t xml:space="preserve">d to inter-departmental cooperation and shared databases </w:t>
            </w:r>
            <w:r>
              <w:rPr>
                <w:sz w:val="18"/>
                <w:szCs w:val="18"/>
                <w:lang w:eastAsia="en-CA"/>
              </w:rPr>
              <w:t xml:space="preserve">that </w:t>
            </w:r>
            <w:r w:rsidRPr="00CC7155">
              <w:rPr>
                <w:sz w:val="18"/>
                <w:szCs w:val="18"/>
                <w:lang w:eastAsia="en-CA"/>
              </w:rPr>
              <w:t>improv</w:t>
            </w:r>
            <w:r>
              <w:rPr>
                <w:sz w:val="18"/>
                <w:szCs w:val="18"/>
                <w:lang w:eastAsia="en-CA"/>
              </w:rPr>
              <w:t>e</w:t>
            </w:r>
            <w:r w:rsidRPr="00CC7155">
              <w:rPr>
                <w:sz w:val="18"/>
                <w:szCs w:val="18"/>
                <w:lang w:eastAsia="en-CA"/>
              </w:rPr>
              <w:t xml:space="preserve"> monitoring and enforcement. Predictable funding assures a level playing field and allow</w:t>
            </w:r>
            <w:r>
              <w:rPr>
                <w:sz w:val="18"/>
                <w:szCs w:val="18"/>
                <w:lang w:eastAsia="en-CA"/>
              </w:rPr>
              <w:t>s</w:t>
            </w:r>
            <w:r w:rsidRPr="00CC7155">
              <w:rPr>
                <w:sz w:val="18"/>
                <w:szCs w:val="18"/>
                <w:lang w:eastAsia="en-CA"/>
              </w:rPr>
              <w:t xml:space="preserve"> industries to commit to a specific phase-out plan, while helping them adjust their production and consumption patterns based on the timing of future activities and framework conditions. The phase-out plans improved </w:t>
            </w:r>
            <w:r>
              <w:rPr>
                <w:sz w:val="18"/>
                <w:szCs w:val="18"/>
                <w:lang w:eastAsia="en-CA"/>
              </w:rPr>
              <w:t xml:space="preserve">the </w:t>
            </w:r>
            <w:r w:rsidRPr="00CC7155">
              <w:rPr>
                <w:sz w:val="18"/>
                <w:szCs w:val="18"/>
                <w:lang w:eastAsia="en-CA"/>
              </w:rPr>
              <w:t xml:space="preserve">implementation of policy and </w:t>
            </w:r>
            <w:r w:rsidRPr="00F762AD">
              <w:rPr>
                <w:sz w:val="18"/>
                <w:szCs w:val="18"/>
                <w:lang w:eastAsia="en-CA"/>
              </w:rPr>
              <w:t>regulations. (Decision</w:t>
            </w:r>
            <w:r>
              <w:rPr>
                <w:sz w:val="18"/>
                <w:szCs w:val="18"/>
                <w:lang w:eastAsia="en-CA"/>
              </w:rPr>
              <w:t> </w:t>
            </w:r>
            <w:r w:rsidRPr="00F762AD">
              <w:rPr>
                <w:sz w:val="18"/>
                <w:szCs w:val="18"/>
                <w:lang w:eastAsia="en-CA"/>
              </w:rPr>
              <w:t xml:space="preserve">45/11) </w:t>
            </w:r>
          </w:p>
        </w:tc>
      </w:tr>
      <w:tr w:rsidR="00E8096F" w:rsidRPr="005F4D83" w14:paraId="52CBABCB" w14:textId="77777777" w:rsidTr="00B44FB0">
        <w:tc>
          <w:tcPr>
            <w:tcW w:w="977" w:type="pct"/>
            <w:shd w:val="clear" w:color="auto" w:fill="auto"/>
            <w:vAlign w:val="center"/>
            <w:hideMark/>
          </w:tcPr>
          <w:p w14:paraId="6029548F" w14:textId="77777777" w:rsidR="00E8096F" w:rsidRPr="00CC7155" w:rsidRDefault="00B44FB0" w:rsidP="00E8096F">
            <w:pPr>
              <w:jc w:val="left"/>
              <w:rPr>
                <w:sz w:val="18"/>
                <w:szCs w:val="18"/>
                <w:lang w:eastAsia="en-CA"/>
              </w:rPr>
            </w:pPr>
            <w:hyperlink r:id="rId30" w:history="1">
              <w:r w:rsidR="00E8096F" w:rsidRPr="005F4D83">
                <w:rPr>
                  <w:sz w:val="18"/>
                  <w:szCs w:val="18"/>
                  <w:lang w:eastAsia="en-CA"/>
                </w:rPr>
                <w:t>Final report on the intermediate evaluation of RMPs and NPPs in non-LVC countries focusing on the refrigeration sector (UNEP/OzL.Pro/ExCom/48/12)</w:t>
              </w:r>
            </w:hyperlink>
          </w:p>
        </w:tc>
        <w:tc>
          <w:tcPr>
            <w:tcW w:w="1196" w:type="pct"/>
            <w:shd w:val="clear" w:color="auto" w:fill="auto"/>
            <w:vAlign w:val="center"/>
            <w:hideMark/>
          </w:tcPr>
          <w:p w14:paraId="2C9DD47B" w14:textId="77777777" w:rsidR="00E8096F" w:rsidRPr="00CC7155" w:rsidRDefault="00E8096F" w:rsidP="00B44FB0">
            <w:pPr>
              <w:rPr>
                <w:sz w:val="18"/>
                <w:szCs w:val="18"/>
                <w:lang w:eastAsia="en-CA"/>
              </w:rPr>
            </w:pPr>
            <w:r w:rsidRPr="00CC7155">
              <w:rPr>
                <w:sz w:val="18"/>
                <w:szCs w:val="18"/>
                <w:lang w:eastAsia="en-CA"/>
              </w:rPr>
              <w:t>The evaluation of RMP</w:t>
            </w:r>
            <w:r>
              <w:rPr>
                <w:sz w:val="18"/>
                <w:szCs w:val="18"/>
                <w:lang w:eastAsia="en-CA"/>
              </w:rPr>
              <w:t>s</w:t>
            </w:r>
            <w:r w:rsidRPr="00CC7155">
              <w:rPr>
                <w:sz w:val="18"/>
                <w:szCs w:val="18"/>
                <w:lang w:eastAsia="en-CA"/>
              </w:rPr>
              <w:t xml:space="preserve"> in non-LVC countries follows the earlier </w:t>
            </w:r>
            <w:r>
              <w:rPr>
                <w:sz w:val="18"/>
                <w:szCs w:val="18"/>
                <w:lang w:eastAsia="en-CA"/>
              </w:rPr>
              <w:t>evaluation of</w:t>
            </w:r>
            <w:r w:rsidRPr="00CC7155">
              <w:rPr>
                <w:sz w:val="18"/>
                <w:szCs w:val="18"/>
                <w:lang w:eastAsia="en-CA"/>
              </w:rPr>
              <w:t xml:space="preserve"> RMPs in LVC countries (UNEP/Ozl.Pro/ExCom/41/7). As per decision 46/7, the evaluation of RMPs in non-LVCs and of NPPs was combined and focused on the refrigeration servicing sector and the management aspects of the NPPs.</w:t>
            </w:r>
          </w:p>
        </w:tc>
        <w:tc>
          <w:tcPr>
            <w:tcW w:w="2827" w:type="pct"/>
            <w:shd w:val="clear" w:color="auto" w:fill="auto"/>
            <w:vAlign w:val="center"/>
            <w:hideMark/>
          </w:tcPr>
          <w:p w14:paraId="3DED470E" w14:textId="77777777" w:rsidR="00E8096F" w:rsidRPr="00CC7155" w:rsidRDefault="00E8096F" w:rsidP="00B44FB0">
            <w:pPr>
              <w:rPr>
                <w:sz w:val="18"/>
                <w:szCs w:val="18"/>
                <w:lang w:eastAsia="en-CA"/>
              </w:rPr>
            </w:pPr>
            <w:r w:rsidRPr="00CC7155">
              <w:rPr>
                <w:sz w:val="18"/>
                <w:szCs w:val="18"/>
                <w:lang w:eastAsia="en-CA"/>
              </w:rPr>
              <w:t xml:space="preserve">RMPs have played an important role in establishing legal frameworks and training programmes for technicians and customs officers, which are generally less advanced in countries without a RMP. </w:t>
            </w:r>
            <w:r>
              <w:rPr>
                <w:sz w:val="18"/>
                <w:szCs w:val="18"/>
                <w:lang w:eastAsia="en-CA"/>
              </w:rPr>
              <w:t>T</w:t>
            </w:r>
            <w:r w:rsidRPr="00CC7155">
              <w:rPr>
                <w:sz w:val="18"/>
                <w:szCs w:val="18"/>
                <w:lang w:eastAsia="en-CA"/>
              </w:rPr>
              <w:t>he NPPs are favoured by the additional management capacities created with the PMUs. The NPPs enabled countries without a RMP to address the servicing sector and related legislation and training requirements in a coordinated way, while increasing equipment, trained technicians and customs officers, and completed legislation and enforcement mechanisms. The results of R&amp;R projects implemented individually or under RMPs have in most cases fallen short of expectations</w:t>
            </w:r>
            <w:r>
              <w:rPr>
                <w:sz w:val="18"/>
                <w:szCs w:val="18"/>
                <w:lang w:eastAsia="en-CA"/>
              </w:rPr>
              <w:t xml:space="preserve">. </w:t>
            </w:r>
            <w:r w:rsidRPr="00CC7155">
              <w:rPr>
                <w:sz w:val="18"/>
                <w:szCs w:val="18"/>
                <w:lang w:eastAsia="en-CA"/>
              </w:rPr>
              <w:t xml:space="preserve">Certification of technicians and reporting on R&amp;R activities performed by contracted service shops should become mandatory and should be combined with provisions that unused equipment can be taken back and transferred to other users. It is recommended to update legislation for additional legal measures such as: </w:t>
            </w:r>
            <w:r>
              <w:rPr>
                <w:sz w:val="18"/>
                <w:szCs w:val="18"/>
                <w:lang w:eastAsia="en-CA"/>
              </w:rPr>
              <w:t>a</w:t>
            </w:r>
            <w:r w:rsidRPr="00CC7155">
              <w:rPr>
                <w:sz w:val="18"/>
                <w:szCs w:val="18"/>
                <w:lang w:eastAsia="en-CA"/>
              </w:rPr>
              <w:t xml:space="preserve"> ban on import and export of CFC-based second-hand refrigeration equipment, specification of a system of sanctions in cases of violation of legal regulations, improvement of the mechanisms of import quota allocations under the licensing system, and enhancement of cooperation between the NOU and Customs. (Decision 48/10)</w:t>
            </w:r>
          </w:p>
        </w:tc>
      </w:tr>
      <w:tr w:rsidR="00E8096F" w:rsidRPr="005F4D83" w14:paraId="5A2920E3" w14:textId="77777777" w:rsidTr="00B44FB0">
        <w:tc>
          <w:tcPr>
            <w:tcW w:w="977" w:type="pct"/>
            <w:shd w:val="clear" w:color="auto" w:fill="auto"/>
            <w:vAlign w:val="center"/>
            <w:hideMark/>
          </w:tcPr>
          <w:p w14:paraId="6A8A5E10" w14:textId="77777777" w:rsidR="00E8096F" w:rsidRPr="00CC7155" w:rsidRDefault="00B44FB0" w:rsidP="00E8096F">
            <w:pPr>
              <w:jc w:val="left"/>
              <w:rPr>
                <w:sz w:val="18"/>
                <w:szCs w:val="18"/>
                <w:lang w:eastAsia="en-CA"/>
              </w:rPr>
            </w:pPr>
            <w:hyperlink r:id="rId31" w:history="1">
              <w:r w:rsidR="00E8096F" w:rsidRPr="005F4D83">
                <w:rPr>
                  <w:sz w:val="18"/>
                  <w:szCs w:val="18"/>
                  <w:lang w:eastAsia="en-CA"/>
                </w:rPr>
                <w:t>Desk study on the evaluation of</w:t>
              </w:r>
              <w:r w:rsidR="00E8096F">
                <w:rPr>
                  <w:sz w:val="18"/>
                  <w:szCs w:val="18"/>
                  <w:lang w:eastAsia="en-CA"/>
                </w:rPr>
                <w:t xml:space="preserve"> management and monitoring of NPPs</w:t>
              </w:r>
              <w:r w:rsidR="00E8096F" w:rsidRPr="005F4D83">
                <w:rPr>
                  <w:sz w:val="18"/>
                  <w:szCs w:val="18"/>
                  <w:lang w:eastAsia="en-CA"/>
                </w:rPr>
                <w:t xml:space="preserve"> (UNEP/OzL.Pro/ExCom/51/13)</w:t>
              </w:r>
            </w:hyperlink>
          </w:p>
        </w:tc>
        <w:tc>
          <w:tcPr>
            <w:tcW w:w="1196" w:type="pct"/>
            <w:shd w:val="clear" w:color="auto" w:fill="auto"/>
            <w:vAlign w:val="center"/>
            <w:hideMark/>
          </w:tcPr>
          <w:p w14:paraId="59478B6A" w14:textId="77777777" w:rsidR="00E8096F" w:rsidRPr="00CC7155" w:rsidRDefault="00E8096F" w:rsidP="00B44FB0">
            <w:pPr>
              <w:rPr>
                <w:sz w:val="18"/>
                <w:szCs w:val="18"/>
                <w:lang w:eastAsia="en-CA"/>
              </w:rPr>
            </w:pPr>
            <w:r w:rsidRPr="00CC7155">
              <w:rPr>
                <w:sz w:val="18"/>
                <w:szCs w:val="18"/>
                <w:lang w:eastAsia="en-CA"/>
              </w:rPr>
              <w:t>Th</w:t>
            </w:r>
            <w:r>
              <w:rPr>
                <w:sz w:val="18"/>
                <w:szCs w:val="18"/>
                <w:lang w:eastAsia="en-CA"/>
              </w:rPr>
              <w:t xml:space="preserve">is </w:t>
            </w:r>
            <w:r w:rsidRPr="00CC7155">
              <w:rPr>
                <w:sz w:val="18"/>
                <w:szCs w:val="18"/>
                <w:lang w:eastAsia="en-CA"/>
              </w:rPr>
              <w:t>evaluation complement</w:t>
            </w:r>
            <w:r>
              <w:rPr>
                <w:sz w:val="18"/>
                <w:szCs w:val="18"/>
                <w:lang w:eastAsia="en-CA"/>
              </w:rPr>
              <w:t>s</w:t>
            </w:r>
            <w:r w:rsidRPr="00CC7155">
              <w:rPr>
                <w:sz w:val="18"/>
                <w:szCs w:val="18"/>
                <w:lang w:eastAsia="en-CA"/>
              </w:rPr>
              <w:t xml:space="preserve"> the evaluation of RMPs and NPPs in non</w:t>
            </w:r>
            <w:r>
              <w:rPr>
                <w:sz w:val="18"/>
                <w:szCs w:val="18"/>
                <w:lang w:eastAsia="en-CA"/>
              </w:rPr>
              <w:noBreakHyphen/>
            </w:r>
            <w:r w:rsidRPr="00CC7155">
              <w:rPr>
                <w:sz w:val="18"/>
                <w:szCs w:val="18"/>
                <w:lang w:eastAsia="en-CA"/>
              </w:rPr>
              <w:t>LVC</w:t>
            </w:r>
            <w:r>
              <w:rPr>
                <w:sz w:val="18"/>
                <w:szCs w:val="18"/>
                <w:lang w:eastAsia="en-CA"/>
              </w:rPr>
              <w:t>s</w:t>
            </w:r>
            <w:r w:rsidRPr="00CC7155">
              <w:rPr>
                <w:sz w:val="18"/>
                <w:szCs w:val="18"/>
                <w:lang w:eastAsia="en-CA"/>
              </w:rPr>
              <w:t xml:space="preserve"> (UNEP/Ozl.Pro/ExCom/48/12), </w:t>
            </w:r>
            <w:r>
              <w:rPr>
                <w:sz w:val="18"/>
                <w:szCs w:val="18"/>
                <w:lang w:eastAsia="en-CA"/>
              </w:rPr>
              <w:t>focusing</w:t>
            </w:r>
            <w:r w:rsidRPr="00CC7155">
              <w:rPr>
                <w:sz w:val="18"/>
                <w:szCs w:val="18"/>
                <w:lang w:eastAsia="en-CA"/>
              </w:rPr>
              <w:t xml:space="preserve"> o</w:t>
            </w:r>
            <w:r>
              <w:rPr>
                <w:sz w:val="18"/>
                <w:szCs w:val="18"/>
                <w:lang w:eastAsia="en-CA"/>
              </w:rPr>
              <w:t>n the refrigeration sector and not analyzing</w:t>
            </w:r>
            <w:r w:rsidRPr="00CC7155">
              <w:rPr>
                <w:sz w:val="18"/>
                <w:szCs w:val="18"/>
                <w:lang w:eastAsia="en-CA"/>
              </w:rPr>
              <w:t xml:space="preserve"> in depth the management, monitoring and verification aspects of the NPPs. The </w:t>
            </w:r>
            <w:r>
              <w:rPr>
                <w:sz w:val="18"/>
                <w:szCs w:val="18"/>
                <w:lang w:eastAsia="en-CA"/>
              </w:rPr>
              <w:t>evaluation and the field visits</w:t>
            </w:r>
            <w:r w:rsidRPr="00CC7155">
              <w:rPr>
                <w:sz w:val="18"/>
                <w:szCs w:val="18"/>
                <w:lang w:eastAsia="en-CA"/>
              </w:rPr>
              <w:t xml:space="preserve"> reviewed the indicators for assessing impleme</w:t>
            </w:r>
            <w:r>
              <w:rPr>
                <w:sz w:val="18"/>
                <w:szCs w:val="18"/>
                <w:lang w:eastAsia="en-CA"/>
              </w:rPr>
              <w:t>ntation delays and difficulties</w:t>
            </w:r>
            <w:r w:rsidRPr="00CC7155">
              <w:rPr>
                <w:sz w:val="18"/>
                <w:szCs w:val="18"/>
                <w:lang w:eastAsia="en-CA"/>
              </w:rPr>
              <w:t xml:space="preserve"> </w:t>
            </w:r>
            <w:r>
              <w:rPr>
                <w:sz w:val="18"/>
                <w:szCs w:val="18"/>
                <w:lang w:eastAsia="en-CA"/>
              </w:rPr>
              <w:t xml:space="preserve">and </w:t>
            </w:r>
            <w:r w:rsidRPr="00CC7155">
              <w:rPr>
                <w:sz w:val="18"/>
                <w:szCs w:val="18"/>
                <w:lang w:eastAsia="en-CA"/>
              </w:rPr>
              <w:t>analyzed the coordination between several IAs implementing a NPP</w:t>
            </w:r>
            <w:r>
              <w:rPr>
                <w:sz w:val="18"/>
                <w:szCs w:val="18"/>
                <w:lang w:eastAsia="en-CA"/>
              </w:rPr>
              <w:t>.</w:t>
            </w:r>
          </w:p>
        </w:tc>
        <w:tc>
          <w:tcPr>
            <w:tcW w:w="2827" w:type="pct"/>
            <w:shd w:val="clear" w:color="auto" w:fill="auto"/>
            <w:vAlign w:val="center"/>
            <w:hideMark/>
          </w:tcPr>
          <w:p w14:paraId="28BC4829" w14:textId="77777777" w:rsidR="00E8096F" w:rsidRPr="00CC7155" w:rsidRDefault="00E8096F" w:rsidP="00B44FB0">
            <w:pPr>
              <w:rPr>
                <w:sz w:val="18"/>
                <w:szCs w:val="18"/>
                <w:lang w:eastAsia="en-CA"/>
              </w:rPr>
            </w:pPr>
            <w:r w:rsidRPr="00CC7155">
              <w:rPr>
                <w:sz w:val="18"/>
                <w:szCs w:val="18"/>
                <w:lang w:eastAsia="en-CA"/>
              </w:rPr>
              <w:t>The phase-out programmes reviewed are, in general, on target. The evaluation raised the question of the cost-effectiveness of the</w:t>
            </w:r>
            <w:r>
              <w:rPr>
                <w:sz w:val="18"/>
                <w:szCs w:val="18"/>
                <w:lang w:eastAsia="en-CA"/>
              </w:rPr>
              <w:t xml:space="preserve"> </w:t>
            </w:r>
            <w:r w:rsidRPr="00CC7155">
              <w:rPr>
                <w:sz w:val="18"/>
                <w:szCs w:val="18"/>
                <w:lang w:eastAsia="en-CA"/>
              </w:rPr>
              <w:t>project management units (PMU) frameworks, which can either be a sub-set of the NOU or an entirely separated entity working remotely. Therefore, it is essential to ensure that the capacity building, especially working with the private and informal sectors, is not confined to the PMU, but communicated on an on-going basis to the NOU.</w:t>
            </w:r>
            <w:r>
              <w:rPr>
                <w:sz w:val="18"/>
                <w:szCs w:val="18"/>
                <w:lang w:eastAsia="en-CA"/>
              </w:rPr>
              <w:t xml:space="preserve"> </w:t>
            </w:r>
            <w:r w:rsidRPr="00CC7155">
              <w:rPr>
                <w:sz w:val="18"/>
                <w:szCs w:val="18"/>
                <w:lang w:eastAsia="en-CA"/>
              </w:rPr>
              <w:t>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w:t>
            </w:r>
            <w:r>
              <w:rPr>
                <w:sz w:val="18"/>
                <w:szCs w:val="18"/>
                <w:lang w:eastAsia="en-CA"/>
              </w:rPr>
              <w:t> </w:t>
            </w:r>
            <w:r w:rsidRPr="00CC7155">
              <w:rPr>
                <w:sz w:val="18"/>
                <w:szCs w:val="18"/>
                <w:lang w:eastAsia="en-CA"/>
              </w:rPr>
              <w:t>51/12)</w:t>
            </w:r>
          </w:p>
        </w:tc>
      </w:tr>
      <w:tr w:rsidR="00E8096F" w:rsidRPr="005F4D83" w14:paraId="1B03D359" w14:textId="77777777" w:rsidTr="00B44FB0">
        <w:tc>
          <w:tcPr>
            <w:tcW w:w="977" w:type="pct"/>
            <w:shd w:val="clear" w:color="auto" w:fill="auto"/>
            <w:vAlign w:val="center"/>
            <w:hideMark/>
          </w:tcPr>
          <w:p w14:paraId="76DF960E" w14:textId="77777777" w:rsidR="00E8096F" w:rsidRPr="00CC7155" w:rsidRDefault="00B44FB0" w:rsidP="00E8096F">
            <w:pPr>
              <w:jc w:val="left"/>
              <w:rPr>
                <w:sz w:val="18"/>
                <w:szCs w:val="18"/>
                <w:lang w:eastAsia="en-CA"/>
              </w:rPr>
            </w:pPr>
            <w:hyperlink r:id="rId32" w:history="1">
              <w:r w:rsidR="00E8096F" w:rsidRPr="005F4D83">
                <w:rPr>
                  <w:sz w:val="18"/>
                  <w:szCs w:val="18"/>
                  <w:lang w:eastAsia="en-CA"/>
                </w:rPr>
                <w:t xml:space="preserve">Extended desk study on </w:t>
              </w:r>
              <w:r w:rsidR="00E8096F">
                <w:rPr>
                  <w:sz w:val="18"/>
                  <w:szCs w:val="18"/>
                  <w:lang w:eastAsia="en-CA"/>
                </w:rPr>
                <w:t xml:space="preserve">the </w:t>
              </w:r>
              <w:r w:rsidR="00E8096F" w:rsidRPr="005F4D83">
                <w:rPr>
                  <w:sz w:val="18"/>
                  <w:szCs w:val="18"/>
                  <w:lang w:eastAsia="en-CA"/>
                </w:rPr>
                <w:t>incentive programmes for retrofits (UNEP/OzL.Pro/ExCom/52/8)</w:t>
              </w:r>
            </w:hyperlink>
          </w:p>
        </w:tc>
        <w:tc>
          <w:tcPr>
            <w:tcW w:w="1196" w:type="pct"/>
            <w:shd w:val="clear" w:color="auto" w:fill="auto"/>
            <w:vAlign w:val="center"/>
            <w:hideMark/>
          </w:tcPr>
          <w:p w14:paraId="7A8C7F02" w14:textId="77777777" w:rsidR="00E8096F" w:rsidRPr="00CC7155" w:rsidRDefault="00E8096F" w:rsidP="00B44FB0">
            <w:pPr>
              <w:rPr>
                <w:sz w:val="18"/>
                <w:szCs w:val="18"/>
                <w:lang w:eastAsia="en-CA"/>
              </w:rPr>
            </w:pPr>
            <w:r w:rsidRPr="00CC7155">
              <w:rPr>
                <w:sz w:val="18"/>
                <w:szCs w:val="18"/>
                <w:lang w:eastAsia="en-CA"/>
              </w:rPr>
              <w:t xml:space="preserve">The objective of the extended desk study is to review the experience available to date in </w:t>
            </w:r>
            <w:r>
              <w:rPr>
                <w:sz w:val="18"/>
                <w:szCs w:val="18"/>
                <w:lang w:eastAsia="en-CA"/>
              </w:rPr>
              <w:t xml:space="preserve">the </w:t>
            </w:r>
            <w:r w:rsidRPr="00CC7155">
              <w:rPr>
                <w:sz w:val="18"/>
                <w:szCs w:val="18"/>
                <w:lang w:eastAsia="en-CA"/>
              </w:rPr>
              <w:t xml:space="preserve">implementation of the incentive programmes approved as individual activities under existing or new RMPs. </w:t>
            </w:r>
          </w:p>
        </w:tc>
        <w:tc>
          <w:tcPr>
            <w:tcW w:w="2827" w:type="pct"/>
            <w:shd w:val="clear" w:color="auto" w:fill="auto"/>
            <w:vAlign w:val="center"/>
            <w:hideMark/>
          </w:tcPr>
          <w:p w14:paraId="7AF16D87" w14:textId="77777777" w:rsidR="00E8096F" w:rsidRPr="00CC7155" w:rsidRDefault="00E8096F" w:rsidP="00B44FB0">
            <w:pPr>
              <w:rPr>
                <w:sz w:val="18"/>
                <w:szCs w:val="18"/>
                <w:lang w:eastAsia="en-CA"/>
              </w:rPr>
            </w:pPr>
            <w:r w:rsidRPr="00CC7155">
              <w:rPr>
                <w:sz w:val="18"/>
                <w:szCs w:val="18"/>
                <w:lang w:eastAsia="en-CA"/>
              </w:rPr>
              <w:t xml:space="preserve">It can be concluded that the objectives of the incentive programmes were achieved for completed projects. The cost-effectiveness of incentive programmes proved to be at par and even more attractive than other activities traditionally included in RMPs, TPMPs and NPPs. Incentive programmes in the </w:t>
            </w:r>
            <w:r w:rsidRPr="00B83472">
              <w:rPr>
                <w:sz w:val="18"/>
                <w:szCs w:val="18"/>
                <w:lang w:eastAsia="en-CA"/>
              </w:rPr>
              <w:t>refrigeration servicing sector should be considered as one of the priorities, along with training of refrigeration technicians and R&amp;R equipment. Defining boundary conditions for the incentive programme without prescribing a strict methodology allowed the Governments the flexibility to adapt the implementation of the programme to local circumstances and assured success while meeting the conditions. The case studies confirmed that</w:t>
            </w:r>
            <w:r w:rsidRPr="00CC7155">
              <w:rPr>
                <w:sz w:val="18"/>
                <w:szCs w:val="18"/>
                <w:lang w:eastAsia="en-CA"/>
              </w:rPr>
              <w:t xml:space="preserve"> it is essential for a country to meet the pre-requisites established by the Executive Committee for approval of incentive programmes, such as strict enforcement of quotas. (Decision 52/6)</w:t>
            </w:r>
          </w:p>
        </w:tc>
      </w:tr>
      <w:tr w:rsidR="00E8096F" w:rsidRPr="005F4D83" w14:paraId="7C01E6A5" w14:textId="77777777" w:rsidTr="00B44FB0">
        <w:tc>
          <w:tcPr>
            <w:tcW w:w="977" w:type="pct"/>
            <w:shd w:val="clear" w:color="auto" w:fill="auto"/>
            <w:vAlign w:val="center"/>
            <w:hideMark/>
          </w:tcPr>
          <w:p w14:paraId="7CCFC82F" w14:textId="77777777" w:rsidR="00E8096F" w:rsidRPr="00CC7155" w:rsidRDefault="00B44FB0" w:rsidP="00E8096F">
            <w:pPr>
              <w:jc w:val="left"/>
              <w:rPr>
                <w:sz w:val="18"/>
                <w:szCs w:val="18"/>
                <w:lang w:eastAsia="en-CA"/>
              </w:rPr>
            </w:pPr>
            <w:hyperlink r:id="rId33" w:history="1">
              <w:r w:rsidR="00E8096F" w:rsidRPr="005F4D83">
                <w:rPr>
                  <w:sz w:val="18"/>
                  <w:szCs w:val="18"/>
                  <w:lang w:eastAsia="en-CA"/>
                </w:rPr>
                <w:t>Desk study on the evaluation of terminal phase-out management plans (TPMPs) (UNEP/OzL.Pro/ExCom/55/8)</w:t>
              </w:r>
            </w:hyperlink>
          </w:p>
        </w:tc>
        <w:tc>
          <w:tcPr>
            <w:tcW w:w="1196" w:type="pct"/>
            <w:shd w:val="clear" w:color="auto" w:fill="auto"/>
            <w:vAlign w:val="center"/>
            <w:hideMark/>
          </w:tcPr>
          <w:p w14:paraId="4A3F9E85" w14:textId="77777777" w:rsidR="00E8096F" w:rsidRPr="00CC7155" w:rsidRDefault="00E8096F" w:rsidP="00B44FB0">
            <w:pPr>
              <w:rPr>
                <w:sz w:val="18"/>
                <w:szCs w:val="18"/>
                <w:lang w:eastAsia="en-CA"/>
              </w:rPr>
            </w:pPr>
            <w:r>
              <w:rPr>
                <w:sz w:val="18"/>
                <w:szCs w:val="18"/>
                <w:lang w:eastAsia="en-CA"/>
              </w:rPr>
              <w:t>T</w:t>
            </w:r>
            <w:r w:rsidRPr="00CC7155">
              <w:rPr>
                <w:sz w:val="18"/>
                <w:szCs w:val="18"/>
                <w:lang w:eastAsia="en-CA"/>
              </w:rPr>
              <w:t>his evaluation analyze</w:t>
            </w:r>
            <w:r>
              <w:rPr>
                <w:sz w:val="18"/>
                <w:szCs w:val="18"/>
                <w:lang w:eastAsia="en-CA"/>
              </w:rPr>
              <w:t>s</w:t>
            </w:r>
            <w:r w:rsidRPr="00CC7155">
              <w:rPr>
                <w:sz w:val="18"/>
                <w:szCs w:val="18"/>
                <w:lang w:eastAsia="en-CA"/>
              </w:rPr>
              <w:t xml:space="preserve"> the role of TPMPs in LVC countries for achieving CFC phase-out in the servicing sectors and enabling compliance with the 85</w:t>
            </w:r>
            <w:r>
              <w:rPr>
                <w:sz w:val="18"/>
                <w:szCs w:val="18"/>
                <w:lang w:eastAsia="en-CA"/>
              </w:rPr>
              <w:t> </w:t>
            </w:r>
            <w:r w:rsidRPr="00CC7155">
              <w:rPr>
                <w:sz w:val="18"/>
                <w:szCs w:val="18"/>
                <w:lang w:eastAsia="en-CA"/>
              </w:rPr>
              <w:t>per</w:t>
            </w:r>
            <w:r>
              <w:rPr>
                <w:sz w:val="18"/>
                <w:szCs w:val="18"/>
                <w:lang w:eastAsia="en-CA"/>
              </w:rPr>
              <w:t> </w:t>
            </w:r>
            <w:r w:rsidRPr="00CC7155">
              <w:rPr>
                <w:sz w:val="18"/>
                <w:szCs w:val="18"/>
                <w:lang w:eastAsia="en-CA"/>
              </w:rPr>
              <w:t xml:space="preserve">cent reduction target for 2007. </w:t>
            </w:r>
            <w:r>
              <w:rPr>
                <w:sz w:val="18"/>
                <w:szCs w:val="18"/>
                <w:lang w:eastAsia="en-CA"/>
              </w:rPr>
              <w:t xml:space="preserve">It evaluates </w:t>
            </w:r>
            <w:r w:rsidRPr="00A945D7">
              <w:rPr>
                <w:i/>
                <w:sz w:val="18"/>
                <w:szCs w:val="18"/>
                <w:lang w:eastAsia="en-CA"/>
              </w:rPr>
              <w:t>inter alia</w:t>
            </w:r>
            <w:r>
              <w:rPr>
                <w:i/>
                <w:sz w:val="18"/>
                <w:szCs w:val="18"/>
                <w:lang w:eastAsia="en-CA"/>
              </w:rPr>
              <w:t>,</w:t>
            </w:r>
            <w:r w:rsidRPr="00CC7155">
              <w:rPr>
                <w:sz w:val="18"/>
                <w:szCs w:val="18"/>
                <w:lang w:eastAsia="en-CA"/>
              </w:rPr>
              <w:t xml:space="preserve"> the coordination between the lead and cooperating agencies, the quality of monitoring and reporting, sustainability of measures and institutional capacities</w:t>
            </w:r>
            <w:r>
              <w:rPr>
                <w:sz w:val="18"/>
                <w:szCs w:val="18"/>
                <w:lang w:eastAsia="en-CA"/>
              </w:rPr>
              <w:t xml:space="preserve">, and </w:t>
            </w:r>
            <w:r w:rsidRPr="00CC7155">
              <w:rPr>
                <w:sz w:val="18"/>
                <w:szCs w:val="18"/>
                <w:lang w:eastAsia="en-CA"/>
              </w:rPr>
              <w:t>lessons learned for the final phase-out of CFCs and the preparation of phase-out plans for HCFCs.</w:t>
            </w:r>
          </w:p>
        </w:tc>
        <w:tc>
          <w:tcPr>
            <w:tcW w:w="2827" w:type="pct"/>
            <w:shd w:val="clear" w:color="auto" w:fill="auto"/>
            <w:vAlign w:val="center"/>
            <w:hideMark/>
          </w:tcPr>
          <w:p w14:paraId="05B14071" w14:textId="77777777" w:rsidR="00E8096F" w:rsidRPr="00CC7155" w:rsidRDefault="00E8096F" w:rsidP="00B44FB0">
            <w:pPr>
              <w:rPr>
                <w:sz w:val="18"/>
                <w:szCs w:val="18"/>
                <w:lang w:eastAsia="en-CA"/>
              </w:rPr>
            </w:pPr>
            <w:r w:rsidRPr="00CC7155">
              <w:rPr>
                <w:sz w:val="18"/>
                <w:szCs w:val="18"/>
                <w:lang w:eastAsia="en-CA"/>
              </w:rPr>
              <w:t>The evaluation noted that the establishme</w:t>
            </w:r>
            <w:r>
              <w:rPr>
                <w:sz w:val="18"/>
                <w:szCs w:val="18"/>
                <w:lang w:eastAsia="en-CA"/>
              </w:rPr>
              <w:t>nt of PMUs in LVC countries has</w:t>
            </w:r>
            <w:r w:rsidRPr="00CC7155">
              <w:rPr>
                <w:sz w:val="18"/>
                <w:szCs w:val="18"/>
                <w:lang w:eastAsia="en-CA"/>
              </w:rPr>
              <w:t xml:space="preserve"> to be considered on a country-by-country basis, as some resulted in direct competition with the NOUs. The review of TPMPs demonstrated the absence of standardized methodology in conducting surveys and collecting ODS consumption data in Article 5 countries and in LVC countries in particular. Achieving early CFC phase-out is possible with: sound design, realistic planning allowing sufficient time to start up activities, commitment and cooperation </w:t>
            </w:r>
            <w:r>
              <w:rPr>
                <w:sz w:val="18"/>
                <w:szCs w:val="18"/>
                <w:lang w:eastAsia="en-CA"/>
              </w:rPr>
              <w:t xml:space="preserve">on the part of the </w:t>
            </w:r>
            <w:r w:rsidRPr="00CC7155">
              <w:rPr>
                <w:sz w:val="18"/>
                <w:szCs w:val="18"/>
                <w:lang w:eastAsia="en-CA"/>
              </w:rPr>
              <w:t>Government and stakeholders</w:t>
            </w:r>
            <w:r>
              <w:rPr>
                <w:sz w:val="18"/>
                <w:szCs w:val="18"/>
                <w:lang w:eastAsia="en-CA"/>
              </w:rPr>
              <w:t>, and a full-</w:t>
            </w:r>
            <w:r w:rsidRPr="00CC7155">
              <w:rPr>
                <w:sz w:val="18"/>
                <w:szCs w:val="18"/>
                <w:lang w:eastAsia="en-CA"/>
              </w:rPr>
              <w:t>time staff or a PMU, dedicated to implementing and monitoring the TPMP.</w:t>
            </w:r>
          </w:p>
        </w:tc>
      </w:tr>
      <w:tr w:rsidR="00E8096F" w:rsidRPr="005F4D83" w14:paraId="373A1F0B" w14:textId="77777777" w:rsidTr="00B44FB0">
        <w:tc>
          <w:tcPr>
            <w:tcW w:w="977" w:type="pct"/>
            <w:shd w:val="clear" w:color="auto" w:fill="auto"/>
            <w:vAlign w:val="center"/>
            <w:hideMark/>
          </w:tcPr>
          <w:p w14:paraId="6FFA3F99" w14:textId="77777777" w:rsidR="00E8096F" w:rsidRPr="00CC7155" w:rsidRDefault="00B44FB0" w:rsidP="00E8096F">
            <w:pPr>
              <w:jc w:val="left"/>
              <w:rPr>
                <w:sz w:val="18"/>
                <w:szCs w:val="18"/>
                <w:lang w:eastAsia="en-CA"/>
              </w:rPr>
            </w:pPr>
            <w:hyperlink r:id="rId34" w:history="1">
              <w:r w:rsidR="00E8096F" w:rsidRPr="005F4D83">
                <w:rPr>
                  <w:sz w:val="18"/>
                  <w:szCs w:val="18"/>
                  <w:lang w:eastAsia="en-CA"/>
                </w:rPr>
                <w:t>Final report on the evaluation of terminal phase-out management plans (UNEP/OzL.Pro/ExCom/58/8)</w:t>
              </w:r>
            </w:hyperlink>
          </w:p>
        </w:tc>
        <w:tc>
          <w:tcPr>
            <w:tcW w:w="1196" w:type="pct"/>
            <w:shd w:val="clear" w:color="auto" w:fill="auto"/>
            <w:vAlign w:val="center"/>
            <w:hideMark/>
          </w:tcPr>
          <w:p w14:paraId="6E66D3EE" w14:textId="77777777" w:rsidR="00E8096F" w:rsidRPr="00CC7155" w:rsidRDefault="00E8096F" w:rsidP="00B44FB0">
            <w:pPr>
              <w:rPr>
                <w:sz w:val="18"/>
                <w:szCs w:val="18"/>
                <w:lang w:eastAsia="en-CA"/>
              </w:rPr>
            </w:pPr>
            <w:r w:rsidRPr="00CC7155">
              <w:rPr>
                <w:sz w:val="18"/>
                <w:szCs w:val="18"/>
                <w:lang w:eastAsia="en-CA"/>
              </w:rPr>
              <w:t>This synthesis report summarizes the evaluation reports on the role and the effects of TPMPs, which have been prepared in several LVC countries, and assesses the findings of a sample of country case studies carried out in eight LVC countries.</w:t>
            </w:r>
          </w:p>
        </w:tc>
        <w:tc>
          <w:tcPr>
            <w:tcW w:w="2827" w:type="pct"/>
            <w:shd w:val="clear" w:color="auto" w:fill="auto"/>
            <w:vAlign w:val="center"/>
            <w:hideMark/>
          </w:tcPr>
          <w:p w14:paraId="79DD3B55" w14:textId="77777777" w:rsidR="00E8096F" w:rsidRPr="00CC7155" w:rsidRDefault="00E8096F" w:rsidP="00B44FB0">
            <w:pPr>
              <w:rPr>
                <w:sz w:val="18"/>
                <w:szCs w:val="18"/>
                <w:lang w:eastAsia="en-CA"/>
              </w:rPr>
            </w:pPr>
            <w:r w:rsidRPr="00CC7155">
              <w:rPr>
                <w:sz w:val="18"/>
                <w:szCs w:val="18"/>
                <w:lang w:eastAsia="en-CA"/>
              </w:rPr>
              <w:t>Early CFC phase-out has generally been achieved through an efficient public-private partnership forum consisting of all stakeholders, a strict implementation of quota system and the development of market conditions rather than through investment activities. The sustainability is ensured by the efficient operation and enforcement of the import licensing system and continued monitoring and public awareness campaigns. Experience with the phase-out of CFCs can and should be used for the development of a strategy of HCFC p</w:t>
            </w:r>
            <w:r>
              <w:rPr>
                <w:sz w:val="18"/>
                <w:szCs w:val="18"/>
                <w:lang w:eastAsia="en-CA"/>
              </w:rPr>
              <w:t>hase-out. Although none of the</w:t>
            </w:r>
            <w:r w:rsidRPr="00CC7155">
              <w:rPr>
                <w:sz w:val="18"/>
                <w:szCs w:val="18"/>
                <w:lang w:eastAsia="en-CA"/>
              </w:rPr>
              <w:t xml:space="preserve"> countries covered by this sample have established a PMU, they are all in compliance with the TPMP agreement and the CFC phase-out targets. However, they would benefit from strengthening their monitoring to provide regular and reliable data on R&amp;R operations. Most countries benefited from the flexibility clause, which made it possible to shift resources from one activity to another if deemed necessary to achieve targets. (Decision 58/6)</w:t>
            </w:r>
          </w:p>
        </w:tc>
      </w:tr>
      <w:tr w:rsidR="00E8096F" w:rsidRPr="005F4D83" w14:paraId="25A8ACEB" w14:textId="77777777" w:rsidTr="00B44FB0">
        <w:tc>
          <w:tcPr>
            <w:tcW w:w="977" w:type="pct"/>
            <w:shd w:val="clear" w:color="auto" w:fill="auto"/>
            <w:vAlign w:val="center"/>
            <w:hideMark/>
          </w:tcPr>
          <w:p w14:paraId="4BC5C9E1" w14:textId="77777777" w:rsidR="00E8096F" w:rsidRPr="00CC7155" w:rsidRDefault="00B44FB0" w:rsidP="00E8096F">
            <w:pPr>
              <w:jc w:val="left"/>
              <w:rPr>
                <w:sz w:val="18"/>
                <w:szCs w:val="18"/>
                <w:lang w:eastAsia="en-CA"/>
              </w:rPr>
            </w:pPr>
            <w:hyperlink r:id="rId35" w:history="1">
              <w:r w:rsidR="00E8096F" w:rsidRPr="005F4D83">
                <w:rPr>
                  <w:sz w:val="18"/>
                  <w:szCs w:val="18"/>
                  <w:lang w:eastAsia="en-CA"/>
                </w:rPr>
                <w:t>Desk study on the evaluation of the preparatory phase of the phasing out of HCFCS (decisions 68/9 and 69/12) (UNEP/OzL.Pro/ExCom/71/14)</w:t>
              </w:r>
            </w:hyperlink>
          </w:p>
        </w:tc>
        <w:tc>
          <w:tcPr>
            <w:tcW w:w="1196" w:type="pct"/>
            <w:shd w:val="clear" w:color="auto" w:fill="auto"/>
            <w:vAlign w:val="center"/>
            <w:hideMark/>
          </w:tcPr>
          <w:p w14:paraId="7DDE9141" w14:textId="77777777" w:rsidR="00E8096F" w:rsidRPr="00CC7155" w:rsidRDefault="00E8096F" w:rsidP="00B44FB0">
            <w:pPr>
              <w:rPr>
                <w:sz w:val="18"/>
                <w:szCs w:val="18"/>
                <w:lang w:eastAsia="en-CA"/>
              </w:rPr>
            </w:pPr>
            <w:r w:rsidRPr="00CC7155">
              <w:rPr>
                <w:sz w:val="18"/>
                <w:szCs w:val="18"/>
                <w:lang w:eastAsia="en-CA"/>
              </w:rPr>
              <w:t>The study aims to evaluate how the guidelines for the preparation of HPMP</w:t>
            </w:r>
            <w:r>
              <w:rPr>
                <w:sz w:val="18"/>
                <w:szCs w:val="18"/>
                <w:lang w:eastAsia="en-CA"/>
              </w:rPr>
              <w:t>s</w:t>
            </w:r>
            <w:r w:rsidRPr="00CC7155">
              <w:rPr>
                <w:sz w:val="18"/>
                <w:szCs w:val="18"/>
                <w:lang w:eastAsia="en-CA"/>
              </w:rPr>
              <w:t xml:space="preserve"> have been used for the development of the stage I HPMPs, taking into account the preparation process itself and the resulting HPMPs. It al</w:t>
            </w:r>
            <w:r>
              <w:rPr>
                <w:sz w:val="18"/>
                <w:szCs w:val="18"/>
                <w:lang w:eastAsia="en-CA"/>
              </w:rPr>
              <w:t xml:space="preserve">so reviewed the reasons for </w:t>
            </w:r>
            <w:r w:rsidRPr="00CC7155">
              <w:rPr>
                <w:sz w:val="18"/>
                <w:szCs w:val="18"/>
                <w:lang w:eastAsia="en-CA"/>
              </w:rPr>
              <w:t>delays in project preparation, the overarching strategy, main initiatives, policy and regulatory measures, and co-financing issues.</w:t>
            </w:r>
          </w:p>
        </w:tc>
        <w:tc>
          <w:tcPr>
            <w:tcW w:w="2827" w:type="pct"/>
            <w:shd w:val="clear" w:color="auto" w:fill="auto"/>
            <w:vAlign w:val="center"/>
            <w:hideMark/>
          </w:tcPr>
          <w:p w14:paraId="5E77669E" w14:textId="77777777" w:rsidR="00E8096F" w:rsidRPr="00CC7155" w:rsidRDefault="00E8096F" w:rsidP="00B44FB0">
            <w:pPr>
              <w:rPr>
                <w:sz w:val="18"/>
                <w:szCs w:val="18"/>
                <w:lang w:eastAsia="en-CA"/>
              </w:rPr>
            </w:pPr>
            <w:r w:rsidRPr="00CC7155">
              <w:rPr>
                <w:sz w:val="18"/>
                <w:szCs w:val="18"/>
                <w:lang w:eastAsia="en-CA"/>
              </w:rPr>
              <w:t xml:space="preserve">The preparation of stage I </w:t>
            </w:r>
            <w:r>
              <w:rPr>
                <w:sz w:val="18"/>
                <w:szCs w:val="18"/>
                <w:lang w:eastAsia="en-CA"/>
              </w:rPr>
              <w:t xml:space="preserve">of </w:t>
            </w:r>
            <w:r w:rsidRPr="00CC7155">
              <w:rPr>
                <w:sz w:val="18"/>
                <w:szCs w:val="18"/>
                <w:lang w:eastAsia="en-CA"/>
              </w:rPr>
              <w:t>HPMPs has taken significantly longer than the preparation of country programmes, RMPs and TPMPs. Although the most important reasons for delays (i.e., lack of experience</w:t>
            </w:r>
            <w:r>
              <w:rPr>
                <w:sz w:val="18"/>
                <w:szCs w:val="18"/>
                <w:lang w:eastAsia="en-CA"/>
              </w:rPr>
              <w:t xml:space="preserve"> with HCFC data collection, </w:t>
            </w:r>
            <w:r w:rsidRPr="00CC7155">
              <w:rPr>
                <w:sz w:val="18"/>
                <w:szCs w:val="18"/>
                <w:lang w:eastAsia="en-CA"/>
              </w:rPr>
              <w:t>lack of guidelines, and the need to complete CFC activities) are not likely to occur again, the evidence suggest</w:t>
            </w:r>
            <w:r>
              <w:rPr>
                <w:sz w:val="18"/>
                <w:szCs w:val="18"/>
                <w:lang w:eastAsia="en-CA"/>
              </w:rPr>
              <w:t>s</w:t>
            </w:r>
            <w:r w:rsidRPr="00CC7155">
              <w:rPr>
                <w:sz w:val="18"/>
                <w:szCs w:val="18"/>
                <w:lang w:eastAsia="en-CA"/>
              </w:rPr>
              <w:t xml:space="preserve"> that the timely preparation of stage II would benefit from increased technical assistance to low</w:t>
            </w:r>
            <w:r>
              <w:rPr>
                <w:sz w:val="18"/>
                <w:szCs w:val="18"/>
                <w:lang w:eastAsia="en-CA"/>
              </w:rPr>
              <w:t>-</w:t>
            </w:r>
            <w:r w:rsidRPr="00CC7155">
              <w:rPr>
                <w:sz w:val="18"/>
                <w:szCs w:val="18"/>
                <w:lang w:eastAsia="en-CA"/>
              </w:rPr>
              <w:t xml:space="preserve"> and medium</w:t>
            </w:r>
            <w:r>
              <w:rPr>
                <w:sz w:val="18"/>
                <w:szCs w:val="18"/>
                <w:lang w:eastAsia="en-CA"/>
              </w:rPr>
              <w:t xml:space="preserve">-volume </w:t>
            </w:r>
            <w:r w:rsidRPr="00CC7155">
              <w:rPr>
                <w:sz w:val="18"/>
                <w:szCs w:val="18"/>
                <w:lang w:eastAsia="en-CA"/>
              </w:rPr>
              <w:t xml:space="preserve">consuming countries. </w:t>
            </w:r>
            <w:r w:rsidRPr="00AA019D">
              <w:rPr>
                <w:sz w:val="18"/>
                <w:szCs w:val="18"/>
                <w:lang w:eastAsia="en-CA"/>
              </w:rPr>
              <w:t>The technical assistance for the RAC servicing sector requires updated guidelines for technology selection and assessment of associated environmental impact. Policy assistance for stage II for LVC coun</w:t>
            </w:r>
            <w:r>
              <w:rPr>
                <w:sz w:val="18"/>
                <w:szCs w:val="18"/>
                <w:lang w:eastAsia="en-CA"/>
              </w:rPr>
              <w:t>tries should concentrate on far-</w:t>
            </w:r>
            <w:r w:rsidRPr="00AA019D">
              <w:rPr>
                <w:sz w:val="18"/>
                <w:szCs w:val="18"/>
                <w:lang w:eastAsia="en-CA"/>
              </w:rPr>
              <w:t>reaching measures</w:t>
            </w:r>
            <w:r>
              <w:rPr>
                <w:sz w:val="18"/>
                <w:szCs w:val="18"/>
                <w:lang w:eastAsia="en-CA"/>
              </w:rPr>
              <w:t>,</w:t>
            </w:r>
            <w:r w:rsidRPr="00AA019D">
              <w:rPr>
                <w:sz w:val="18"/>
                <w:szCs w:val="18"/>
                <w:lang w:eastAsia="en-CA"/>
              </w:rPr>
              <w:t xml:space="preserve"> such as the support of energy efficiency, or the safe use of natural refrigerant alternatives. (Decision 71/25)</w:t>
            </w:r>
          </w:p>
        </w:tc>
      </w:tr>
      <w:tr w:rsidR="00E8096F" w:rsidRPr="005F4D83" w14:paraId="5FAB891A" w14:textId="77777777" w:rsidTr="00B44FB0">
        <w:tc>
          <w:tcPr>
            <w:tcW w:w="977" w:type="pct"/>
            <w:shd w:val="clear" w:color="auto" w:fill="auto"/>
            <w:vAlign w:val="center"/>
            <w:hideMark/>
          </w:tcPr>
          <w:p w14:paraId="52FE6DF7" w14:textId="77777777" w:rsidR="00E8096F" w:rsidRPr="00CC7155" w:rsidRDefault="00B44FB0" w:rsidP="00E8096F">
            <w:pPr>
              <w:jc w:val="left"/>
              <w:rPr>
                <w:sz w:val="18"/>
                <w:szCs w:val="18"/>
                <w:lang w:eastAsia="en-CA"/>
              </w:rPr>
            </w:pPr>
            <w:hyperlink r:id="rId36" w:history="1">
              <w:r w:rsidR="00E8096F" w:rsidRPr="005F4D83">
                <w:rPr>
                  <w:sz w:val="18"/>
                  <w:szCs w:val="18"/>
                  <w:lang w:eastAsia="en-CA"/>
                </w:rPr>
                <w:t>Desk study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(UNEP/OzL.Pro/ExCom/75/9)</w:t>
              </w:r>
            </w:hyperlink>
          </w:p>
        </w:tc>
        <w:tc>
          <w:tcPr>
            <w:tcW w:w="1196" w:type="pct"/>
            <w:shd w:val="clear" w:color="auto" w:fill="auto"/>
            <w:vAlign w:val="center"/>
            <w:hideMark/>
          </w:tcPr>
          <w:p w14:paraId="05CD7839" w14:textId="77777777" w:rsidR="00E8096F" w:rsidRPr="00CC7155" w:rsidRDefault="00E8096F" w:rsidP="00B44FB0">
            <w:pPr>
              <w:rPr>
                <w:sz w:val="18"/>
                <w:szCs w:val="18"/>
                <w:lang w:eastAsia="en-CA"/>
              </w:rPr>
            </w:pPr>
            <w:r w:rsidRPr="00CC7155">
              <w:rPr>
                <w:sz w:val="18"/>
                <w:szCs w:val="18"/>
                <w:lang w:eastAsia="en-CA"/>
              </w:rPr>
              <w:t>T</w:t>
            </w:r>
            <w:r>
              <w:rPr>
                <w:sz w:val="18"/>
                <w:szCs w:val="18"/>
                <w:lang w:eastAsia="en-CA"/>
              </w:rPr>
              <w:t>he desk study on</w:t>
            </w:r>
            <w:r w:rsidRPr="00CC7155">
              <w:rPr>
                <w:sz w:val="18"/>
                <w:szCs w:val="18"/>
                <w:lang w:eastAsia="en-CA"/>
              </w:rPr>
              <w:t xml:space="preserve"> the evaluation of RAC manufacturing projects has the objective of providing information on the progress made in the phasing-out of HCFCs in this sector and examines projects approved in various RAC sub-sectors in 25 countries</w:t>
            </w:r>
            <w:r>
              <w:rPr>
                <w:sz w:val="18"/>
                <w:szCs w:val="18"/>
                <w:lang w:eastAsia="en-CA"/>
              </w:rPr>
              <w:t>, addressing</w:t>
            </w:r>
            <w:r w:rsidRPr="00CC7155">
              <w:rPr>
                <w:sz w:val="18"/>
                <w:szCs w:val="18"/>
                <w:lang w:eastAsia="en-CA"/>
              </w:rPr>
              <w:t xml:space="preserve"> issues related to low-GWP alternatives.</w:t>
            </w:r>
          </w:p>
        </w:tc>
        <w:tc>
          <w:tcPr>
            <w:tcW w:w="2827" w:type="pct"/>
            <w:shd w:val="clear" w:color="auto" w:fill="auto"/>
            <w:vAlign w:val="center"/>
            <w:hideMark/>
          </w:tcPr>
          <w:p w14:paraId="3689CDDE" w14:textId="77777777" w:rsidR="00E8096F" w:rsidRPr="00CC7155" w:rsidRDefault="00E8096F" w:rsidP="00B44FB0">
            <w:pPr>
              <w:rPr>
                <w:sz w:val="18"/>
                <w:szCs w:val="18"/>
                <w:lang w:eastAsia="en-CA"/>
              </w:rPr>
            </w:pPr>
            <w:r w:rsidRPr="00CC7155">
              <w:rPr>
                <w:sz w:val="18"/>
                <w:szCs w:val="18"/>
                <w:lang w:eastAsia="en-CA"/>
              </w:rPr>
              <w:t xml:space="preserve">The policy framework for HCFC phase-out is </w:t>
            </w:r>
            <w:r>
              <w:rPr>
                <w:sz w:val="18"/>
                <w:szCs w:val="18"/>
                <w:lang w:eastAsia="en-CA"/>
              </w:rPr>
              <w:t>quite</w:t>
            </w:r>
            <w:r w:rsidRPr="00CC7155">
              <w:rPr>
                <w:sz w:val="18"/>
                <w:szCs w:val="18"/>
                <w:lang w:eastAsia="en-CA"/>
              </w:rPr>
              <w:t xml:space="preserve"> homogeneous </w:t>
            </w:r>
            <w:r>
              <w:rPr>
                <w:sz w:val="18"/>
                <w:szCs w:val="18"/>
                <w:lang w:eastAsia="en-CA"/>
              </w:rPr>
              <w:t>with regard to</w:t>
            </w:r>
            <w:r w:rsidRPr="00CC7155">
              <w:rPr>
                <w:sz w:val="18"/>
                <w:szCs w:val="18"/>
                <w:lang w:eastAsia="en-CA"/>
              </w:rPr>
              <w:t xml:space="preserve"> the control of import/export and trade of HCFCs and the ban of new production facilities relying on HCFCs. However, the standards for the use of alternative technologies are lacking in some cases and need to be thoroughly addressed. Every country evaluated used energy efficiency as a criterion for selection of the alternative technology, and many used it to establish synergies with other environmental agreements. It proved cost-effective to build on the CFC-related enforcement procedures and monitoring tools to control the use of HCFC. The </w:t>
            </w:r>
            <w:r>
              <w:rPr>
                <w:sz w:val="18"/>
                <w:szCs w:val="18"/>
                <w:lang w:eastAsia="en-CA"/>
              </w:rPr>
              <w:t>slow</w:t>
            </w:r>
            <w:r w:rsidRPr="00CC7155">
              <w:rPr>
                <w:sz w:val="18"/>
                <w:szCs w:val="18"/>
                <w:lang w:eastAsia="en-CA"/>
              </w:rPr>
              <w:t xml:space="preserve"> development of national standards for the use of some alternatives ha</w:t>
            </w:r>
            <w:r>
              <w:rPr>
                <w:sz w:val="18"/>
                <w:szCs w:val="18"/>
                <w:lang w:eastAsia="en-CA"/>
              </w:rPr>
              <w:t>s</w:t>
            </w:r>
            <w:r w:rsidRPr="00CC7155">
              <w:rPr>
                <w:sz w:val="18"/>
                <w:szCs w:val="18"/>
                <w:lang w:eastAsia="en-CA"/>
              </w:rPr>
              <w:t xml:space="preserve"> hindered the start of operations and the timely completion of a significant number of conversions towards low-GWP flammable or toxic alternatives. The projects using these alternatives included additional training and safety-related equipment for enterprises and technicians with the corresponding changes in project costs</w:t>
            </w:r>
            <w:r>
              <w:rPr>
                <w:sz w:val="18"/>
                <w:szCs w:val="18"/>
                <w:lang w:eastAsia="en-CA"/>
              </w:rPr>
              <w:t>, and took</w:t>
            </w:r>
            <w:r w:rsidRPr="00CC7155">
              <w:rPr>
                <w:sz w:val="18"/>
                <w:szCs w:val="18"/>
                <w:lang w:eastAsia="en-CA"/>
              </w:rPr>
              <w:t xml:space="preserve"> steps towards implementing proper standards and codes. Eighty per cent of projects presented substantial delay</w:t>
            </w:r>
            <w:r>
              <w:rPr>
                <w:sz w:val="18"/>
                <w:szCs w:val="18"/>
                <w:lang w:eastAsia="en-CA"/>
              </w:rPr>
              <w:t>s</w:t>
            </w:r>
            <w:r w:rsidRPr="00CC7155">
              <w:rPr>
                <w:sz w:val="18"/>
                <w:szCs w:val="18"/>
                <w:lang w:eastAsia="en-CA"/>
              </w:rPr>
              <w:t xml:space="preserve"> mainly due to administrative and project management issues</w:t>
            </w:r>
            <w:r>
              <w:rPr>
                <w:sz w:val="18"/>
                <w:szCs w:val="18"/>
                <w:lang w:eastAsia="en-CA"/>
              </w:rPr>
              <w:t>,</w:t>
            </w:r>
            <w:r w:rsidRPr="00CC7155">
              <w:rPr>
                <w:sz w:val="18"/>
                <w:szCs w:val="18"/>
                <w:lang w:eastAsia="en-CA"/>
              </w:rPr>
              <w:t xml:space="preserve"> such as staff rotation at the NOU. The demonstration projects have confirmed the feasibility and acceptability of the new technology and products in the local market of end-users and manufacturers alike.  (Decision 75/7)</w:t>
            </w:r>
          </w:p>
        </w:tc>
      </w:tr>
      <w:tr w:rsidR="00E8096F" w:rsidRPr="005F4D83" w14:paraId="32DCBFE7" w14:textId="77777777" w:rsidTr="00B44FB0">
        <w:tc>
          <w:tcPr>
            <w:tcW w:w="977" w:type="pct"/>
            <w:shd w:val="clear" w:color="auto" w:fill="auto"/>
            <w:vAlign w:val="center"/>
            <w:hideMark/>
          </w:tcPr>
          <w:p w14:paraId="52B780E9" w14:textId="77777777" w:rsidR="00E8096F" w:rsidRPr="00CC7155" w:rsidRDefault="00B44FB0" w:rsidP="00E8096F">
            <w:pPr>
              <w:jc w:val="left"/>
              <w:rPr>
                <w:sz w:val="18"/>
                <w:szCs w:val="18"/>
                <w:lang w:eastAsia="en-CA"/>
              </w:rPr>
            </w:pPr>
            <w:hyperlink r:id="rId37" w:history="1">
              <w:r w:rsidR="00E8096F" w:rsidRPr="005F4D83">
                <w:rPr>
                  <w:sz w:val="18"/>
                  <w:szCs w:val="18"/>
                  <w:lang w:eastAsia="en-CA"/>
                </w:rPr>
                <w:t>Final report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(UNEP/OzL.Pro/ExCom/77/9 &amp; Corrs.1 and 2)</w:t>
              </w:r>
            </w:hyperlink>
          </w:p>
        </w:tc>
        <w:tc>
          <w:tcPr>
            <w:tcW w:w="1196" w:type="pct"/>
            <w:shd w:val="clear" w:color="auto" w:fill="auto"/>
            <w:vAlign w:val="center"/>
            <w:hideMark/>
          </w:tcPr>
          <w:p w14:paraId="64D95C02" w14:textId="77777777" w:rsidR="00E8096F" w:rsidRPr="00CC7155" w:rsidRDefault="00E8096F" w:rsidP="00B44FB0">
            <w:pPr>
              <w:rPr>
                <w:sz w:val="18"/>
                <w:szCs w:val="18"/>
                <w:lang w:eastAsia="en-CA"/>
              </w:rPr>
            </w:pPr>
            <w:r w:rsidRPr="00CC7155">
              <w:rPr>
                <w:sz w:val="18"/>
                <w:szCs w:val="18"/>
                <w:lang w:eastAsia="en-CA"/>
              </w:rPr>
              <w:t>The second phase of the evaluation of RAC manufacturing sector, based on the collection and analys</w:t>
            </w:r>
            <w:r>
              <w:rPr>
                <w:sz w:val="18"/>
                <w:szCs w:val="18"/>
                <w:lang w:eastAsia="en-CA"/>
              </w:rPr>
              <w:t>i</w:t>
            </w:r>
            <w:r w:rsidRPr="00CC7155">
              <w:rPr>
                <w:sz w:val="18"/>
                <w:szCs w:val="18"/>
                <w:lang w:eastAsia="en-CA"/>
              </w:rPr>
              <w:t>s of information gathered at the enterprise level during field visits in several countries, assessed t</w:t>
            </w:r>
            <w:r>
              <w:rPr>
                <w:sz w:val="18"/>
                <w:szCs w:val="18"/>
                <w:lang w:eastAsia="en-CA"/>
              </w:rPr>
              <w:t xml:space="preserve">he progress made in the phasing </w:t>
            </w:r>
            <w:r w:rsidRPr="00CC7155">
              <w:rPr>
                <w:sz w:val="18"/>
                <w:szCs w:val="18"/>
                <w:lang w:eastAsia="en-CA"/>
              </w:rPr>
              <w:t>out of HCFC in the RAC manufacturing sector in projects where the conversion process has been completed or is close to completion.</w:t>
            </w:r>
          </w:p>
        </w:tc>
        <w:tc>
          <w:tcPr>
            <w:tcW w:w="2827" w:type="pct"/>
            <w:shd w:val="clear" w:color="auto" w:fill="auto"/>
            <w:vAlign w:val="center"/>
            <w:hideMark/>
          </w:tcPr>
          <w:p w14:paraId="01ABB21D" w14:textId="77777777" w:rsidR="00E8096F" w:rsidRPr="00CC7155" w:rsidRDefault="00E8096F" w:rsidP="00B44FB0">
            <w:pPr>
              <w:rPr>
                <w:sz w:val="18"/>
                <w:szCs w:val="18"/>
                <w:lang w:eastAsia="en-CA"/>
              </w:rPr>
            </w:pPr>
            <w:r w:rsidRPr="00CC7155">
              <w:rPr>
                <w:sz w:val="18"/>
                <w:szCs w:val="18"/>
                <w:lang w:eastAsia="en-CA"/>
              </w:rPr>
              <w:t>The evaluation concluded the importance of selecting alternative refrigerants and their operating systems based on a thorough analysis that includes energy e</w:t>
            </w:r>
            <w:r>
              <w:rPr>
                <w:sz w:val="18"/>
                <w:szCs w:val="18"/>
                <w:lang w:eastAsia="en-CA"/>
              </w:rPr>
              <w:t>fficiency, environmental impact</w:t>
            </w:r>
            <w:r w:rsidRPr="00CC7155">
              <w:rPr>
                <w:sz w:val="18"/>
                <w:szCs w:val="18"/>
                <w:lang w:eastAsia="en-CA"/>
              </w:rPr>
              <w:t>, safety, economic considerations</w:t>
            </w:r>
            <w:r>
              <w:rPr>
                <w:sz w:val="18"/>
                <w:szCs w:val="18"/>
                <w:lang w:eastAsia="en-CA"/>
              </w:rPr>
              <w:t>,</w:t>
            </w:r>
            <w:r w:rsidRPr="00CC7155">
              <w:rPr>
                <w:sz w:val="18"/>
                <w:szCs w:val="18"/>
                <w:lang w:eastAsia="en-CA"/>
              </w:rPr>
              <w:t xml:space="preserve"> as well as social consequences. Enterprises should evaluate the availability and/or limitations of equipment and ref</w:t>
            </w:r>
            <w:r>
              <w:rPr>
                <w:sz w:val="18"/>
                <w:szCs w:val="18"/>
                <w:lang w:eastAsia="en-CA"/>
              </w:rPr>
              <w:t>rigerants before converting. L</w:t>
            </w:r>
            <w:r w:rsidRPr="00CC7155">
              <w:rPr>
                <w:sz w:val="18"/>
                <w:szCs w:val="18"/>
                <w:lang w:eastAsia="en-CA"/>
              </w:rPr>
              <w:t xml:space="preserve">ack of market demand and the servicing sector’s reluctance to deal with flammable refrigerants has resulted in the manufacturing of high-GWP-based equipment in some enterprises, despite the fact that they had completed their conversion and developed prototypes for </w:t>
            </w:r>
            <w:r>
              <w:rPr>
                <w:sz w:val="18"/>
                <w:szCs w:val="18"/>
                <w:lang w:eastAsia="en-CA"/>
              </w:rPr>
              <w:t>HFC-32. While large enterprises</w:t>
            </w:r>
            <w:r w:rsidRPr="00CC7155">
              <w:rPr>
                <w:sz w:val="18"/>
                <w:szCs w:val="18"/>
                <w:lang w:eastAsia="en-CA"/>
              </w:rPr>
              <w:t xml:space="preserve"> facing this issue may </w:t>
            </w:r>
            <w:r>
              <w:rPr>
                <w:sz w:val="18"/>
                <w:szCs w:val="18"/>
                <w:lang w:eastAsia="en-CA"/>
              </w:rPr>
              <w:t>convert</w:t>
            </w:r>
            <w:r w:rsidRPr="00CC7155">
              <w:rPr>
                <w:sz w:val="18"/>
                <w:szCs w:val="18"/>
                <w:lang w:eastAsia="en-CA"/>
              </w:rPr>
              <w:t xml:space="preserve"> one or several production line</w:t>
            </w:r>
            <w:r>
              <w:rPr>
                <w:sz w:val="18"/>
                <w:szCs w:val="18"/>
                <w:lang w:eastAsia="en-CA"/>
              </w:rPr>
              <w:t>s</w:t>
            </w:r>
            <w:r w:rsidRPr="00CC7155">
              <w:rPr>
                <w:sz w:val="18"/>
                <w:szCs w:val="18"/>
                <w:lang w:eastAsia="en-CA"/>
              </w:rPr>
              <w:t xml:space="preserve"> while increasing </w:t>
            </w:r>
            <w:r>
              <w:rPr>
                <w:sz w:val="18"/>
                <w:szCs w:val="18"/>
                <w:lang w:eastAsia="en-CA"/>
              </w:rPr>
              <w:t xml:space="preserve">the </w:t>
            </w:r>
            <w:r w:rsidRPr="00CC7155">
              <w:rPr>
                <w:sz w:val="18"/>
                <w:szCs w:val="18"/>
                <w:lang w:eastAsia="en-CA"/>
              </w:rPr>
              <w:t xml:space="preserve">production </w:t>
            </w:r>
            <w:r>
              <w:rPr>
                <w:sz w:val="18"/>
                <w:szCs w:val="18"/>
                <w:lang w:eastAsia="en-CA"/>
              </w:rPr>
              <w:t>on</w:t>
            </w:r>
            <w:r w:rsidRPr="00CC7155">
              <w:rPr>
                <w:sz w:val="18"/>
                <w:szCs w:val="18"/>
                <w:lang w:eastAsia="en-CA"/>
              </w:rPr>
              <w:t xml:space="preserve"> other line</w:t>
            </w:r>
            <w:r>
              <w:rPr>
                <w:sz w:val="18"/>
                <w:szCs w:val="18"/>
                <w:lang w:eastAsia="en-CA"/>
              </w:rPr>
              <w:t>s with high-GWP equipment,</w:t>
            </w:r>
            <w:r w:rsidRPr="00CC7155">
              <w:rPr>
                <w:sz w:val="18"/>
                <w:szCs w:val="18"/>
                <w:lang w:eastAsia="en-CA"/>
              </w:rPr>
              <w:t xml:space="preserve"> smaller enterprises cannot</w:t>
            </w:r>
            <w:r>
              <w:rPr>
                <w:sz w:val="18"/>
                <w:szCs w:val="18"/>
                <w:lang w:eastAsia="en-CA"/>
              </w:rPr>
              <w:t xml:space="preserve"> do this</w:t>
            </w:r>
            <w:r w:rsidRPr="00CC7155">
              <w:rPr>
                <w:sz w:val="18"/>
                <w:szCs w:val="18"/>
                <w:lang w:eastAsia="en-CA"/>
              </w:rPr>
              <w:t xml:space="preserve">, as </w:t>
            </w:r>
            <w:r>
              <w:rPr>
                <w:sz w:val="18"/>
                <w:szCs w:val="18"/>
                <w:lang w:eastAsia="en-CA"/>
              </w:rPr>
              <w:t xml:space="preserve">it </w:t>
            </w:r>
            <w:r w:rsidRPr="00CC7155">
              <w:rPr>
                <w:sz w:val="18"/>
                <w:szCs w:val="18"/>
                <w:lang w:eastAsia="en-CA"/>
              </w:rPr>
              <w:t>would jeopardize their financial viability. It is recommend</w:t>
            </w:r>
            <w:r>
              <w:rPr>
                <w:sz w:val="18"/>
                <w:szCs w:val="18"/>
                <w:lang w:eastAsia="en-CA"/>
              </w:rPr>
              <w:t>ed that countries and IAs</w:t>
            </w:r>
            <w:r w:rsidRPr="00CC7155">
              <w:rPr>
                <w:sz w:val="18"/>
                <w:szCs w:val="18"/>
                <w:lang w:eastAsia="en-CA"/>
              </w:rPr>
              <w:t xml:space="preserve"> report to the Executive Comm</w:t>
            </w:r>
            <w:r>
              <w:rPr>
                <w:sz w:val="18"/>
                <w:szCs w:val="18"/>
                <w:lang w:eastAsia="en-CA"/>
              </w:rPr>
              <w:t>ittee on the causes and strategies</w:t>
            </w:r>
            <w:r w:rsidRPr="00CC7155">
              <w:rPr>
                <w:sz w:val="18"/>
                <w:szCs w:val="18"/>
                <w:lang w:eastAsia="en-CA"/>
              </w:rPr>
              <w:t xml:space="preserve"> to address this situation, and enable the enterprises to start manufacturing equipment based on the agreed technology. In some countries</w:t>
            </w:r>
            <w:r>
              <w:rPr>
                <w:sz w:val="18"/>
                <w:szCs w:val="18"/>
                <w:lang w:eastAsia="en-CA"/>
              </w:rPr>
              <w:t>,</w:t>
            </w:r>
            <w:r w:rsidRPr="00CC7155">
              <w:rPr>
                <w:sz w:val="18"/>
                <w:szCs w:val="18"/>
                <w:lang w:eastAsia="en-CA"/>
              </w:rPr>
              <w:t xml:space="preserve"> incremental operating costs w</w:t>
            </w:r>
            <w:r>
              <w:rPr>
                <w:sz w:val="18"/>
                <w:szCs w:val="18"/>
                <w:lang w:eastAsia="en-CA"/>
              </w:rPr>
              <w:t>ere</w:t>
            </w:r>
            <w:r w:rsidRPr="00CC7155">
              <w:rPr>
                <w:sz w:val="18"/>
                <w:szCs w:val="18"/>
                <w:lang w:eastAsia="en-CA"/>
              </w:rPr>
              <w:t xml:space="preserve"> paid even if the enterprise </w:t>
            </w:r>
            <w:r>
              <w:rPr>
                <w:sz w:val="18"/>
                <w:szCs w:val="18"/>
                <w:lang w:eastAsia="en-CA"/>
              </w:rPr>
              <w:t>was</w:t>
            </w:r>
            <w:r w:rsidRPr="00CC7155">
              <w:rPr>
                <w:sz w:val="18"/>
                <w:szCs w:val="18"/>
                <w:lang w:eastAsia="en-CA"/>
              </w:rPr>
              <w:t xml:space="preserve"> not manufacturing the agreed technology. Thus, sustainability is still an issue with the introduction of </w:t>
            </w:r>
            <w:r w:rsidRPr="00451800">
              <w:rPr>
                <w:sz w:val="18"/>
                <w:szCs w:val="18"/>
                <w:lang w:eastAsia="en-CA"/>
              </w:rPr>
              <w:t>particular</w:t>
            </w:r>
            <w:r>
              <w:rPr>
                <w:sz w:val="18"/>
                <w:szCs w:val="18"/>
                <w:lang w:eastAsia="en-CA"/>
              </w:rPr>
              <w:t>ly</w:t>
            </w:r>
            <w:r w:rsidRPr="00451800">
              <w:rPr>
                <w:sz w:val="18"/>
                <w:szCs w:val="18"/>
                <w:lang w:eastAsia="en-CA"/>
              </w:rPr>
              <w:t xml:space="preserve"> </w:t>
            </w:r>
            <w:r>
              <w:rPr>
                <w:sz w:val="18"/>
                <w:szCs w:val="18"/>
                <w:lang w:eastAsia="en-CA"/>
              </w:rPr>
              <w:t>R</w:t>
            </w:r>
            <w:r w:rsidRPr="00451800">
              <w:rPr>
                <w:sz w:val="18"/>
                <w:szCs w:val="18"/>
                <w:lang w:eastAsia="en-CA"/>
              </w:rPr>
              <w:t>-290 and HFC-32</w:t>
            </w:r>
            <w:r w:rsidRPr="00CC7155">
              <w:rPr>
                <w:sz w:val="18"/>
                <w:szCs w:val="18"/>
                <w:lang w:eastAsia="en-CA"/>
              </w:rPr>
              <w:t xml:space="preserve"> technologies and equipment</w:t>
            </w:r>
            <w:r>
              <w:rPr>
                <w:sz w:val="18"/>
                <w:szCs w:val="18"/>
                <w:lang w:eastAsia="en-CA"/>
              </w:rPr>
              <w:t>. The</w:t>
            </w:r>
            <w:r w:rsidRPr="00CC7155">
              <w:rPr>
                <w:sz w:val="18"/>
                <w:szCs w:val="18"/>
                <w:lang w:eastAsia="en-CA"/>
              </w:rPr>
              <w:t xml:space="preserve"> technology selected to replace HCFC-22 in high ambient temperature</w:t>
            </w:r>
            <w:r>
              <w:rPr>
                <w:sz w:val="18"/>
                <w:szCs w:val="18"/>
                <w:lang w:eastAsia="en-CA"/>
              </w:rPr>
              <w:t>s</w:t>
            </w:r>
            <w:r w:rsidRPr="00CC7155">
              <w:rPr>
                <w:sz w:val="18"/>
                <w:szCs w:val="18"/>
                <w:lang w:eastAsia="en-CA"/>
              </w:rPr>
              <w:t>, while maintaining its condensing proprieties, is a critical issue. Countries should introduce licensing and import permits for all chemicals being used as refrigerants</w:t>
            </w:r>
            <w:r>
              <w:rPr>
                <w:sz w:val="18"/>
                <w:szCs w:val="18"/>
                <w:lang w:eastAsia="en-CA"/>
              </w:rPr>
              <w:t>,</w:t>
            </w:r>
            <w:r w:rsidRPr="00CC7155">
              <w:rPr>
                <w:sz w:val="18"/>
                <w:szCs w:val="18"/>
                <w:lang w:eastAsia="en-CA"/>
              </w:rPr>
              <w:t xml:space="preserve"> as well as mandatory standards, proper training of servic</w:t>
            </w:r>
            <w:r>
              <w:rPr>
                <w:sz w:val="18"/>
                <w:szCs w:val="18"/>
                <w:lang w:eastAsia="en-CA"/>
              </w:rPr>
              <w:t>ing</w:t>
            </w:r>
            <w:r w:rsidRPr="00CC7155">
              <w:rPr>
                <w:sz w:val="18"/>
                <w:szCs w:val="18"/>
                <w:lang w:eastAsia="en-CA"/>
              </w:rPr>
              <w:t xml:space="preserve"> technicians and awareness campaigns regarding flammable, toxic and/or high</w:t>
            </w:r>
            <w:r>
              <w:rPr>
                <w:sz w:val="18"/>
                <w:szCs w:val="18"/>
                <w:lang w:eastAsia="en-CA"/>
              </w:rPr>
              <w:noBreakHyphen/>
            </w:r>
            <w:r w:rsidRPr="00CC7155">
              <w:rPr>
                <w:sz w:val="18"/>
                <w:szCs w:val="18"/>
                <w:lang w:eastAsia="en-CA"/>
              </w:rPr>
              <w:t>pressure refrigerants. Energy efficiency standards should be made mandatory for RAC equipment, with labelling requirements and</w:t>
            </w:r>
            <w:r>
              <w:rPr>
                <w:sz w:val="18"/>
                <w:szCs w:val="18"/>
                <w:lang w:eastAsia="en-CA"/>
              </w:rPr>
              <w:t>,</w:t>
            </w:r>
            <w:r w:rsidRPr="00CC7155">
              <w:rPr>
                <w:sz w:val="18"/>
                <w:szCs w:val="18"/>
                <w:lang w:eastAsia="en-CA"/>
              </w:rPr>
              <w:t xml:space="preserve"> where possible</w:t>
            </w:r>
            <w:r>
              <w:rPr>
                <w:sz w:val="18"/>
                <w:szCs w:val="18"/>
                <w:lang w:eastAsia="en-CA"/>
              </w:rPr>
              <w:t>,</w:t>
            </w:r>
            <w:r w:rsidRPr="00CC7155">
              <w:rPr>
                <w:sz w:val="18"/>
                <w:szCs w:val="18"/>
                <w:lang w:eastAsia="en-CA"/>
              </w:rPr>
              <w:t xml:space="preserve"> incentives such as tax exemption should be given. (Decision 77/6)</w:t>
            </w:r>
          </w:p>
        </w:tc>
      </w:tr>
      <w:tr w:rsidR="00E8096F" w:rsidRPr="005F4D83" w14:paraId="2700255D" w14:textId="77777777" w:rsidTr="00B44FB0">
        <w:tc>
          <w:tcPr>
            <w:tcW w:w="977" w:type="pct"/>
            <w:shd w:val="clear" w:color="auto" w:fill="auto"/>
            <w:vAlign w:val="center"/>
            <w:hideMark/>
          </w:tcPr>
          <w:p w14:paraId="59BAD1B1" w14:textId="77777777" w:rsidR="00E8096F" w:rsidRPr="00CC7155" w:rsidRDefault="00B44FB0" w:rsidP="00E8096F">
            <w:pPr>
              <w:jc w:val="left"/>
              <w:rPr>
                <w:sz w:val="18"/>
                <w:szCs w:val="18"/>
                <w:lang w:eastAsia="en-CA"/>
              </w:rPr>
            </w:pPr>
            <w:hyperlink r:id="rId38" w:history="1">
              <w:r w:rsidR="00E8096F" w:rsidRPr="005F4D83">
                <w:rPr>
                  <w:sz w:val="18"/>
                  <w:szCs w:val="18"/>
                  <w:lang w:eastAsia="en-CA"/>
                </w:rPr>
                <w:t>Desk study for the evaluation of the refrigeration servicing sector (UNEP/OzL.Pro/ExCom/80/10 and Corr.1)</w:t>
              </w:r>
            </w:hyperlink>
          </w:p>
        </w:tc>
        <w:tc>
          <w:tcPr>
            <w:tcW w:w="1196" w:type="pct"/>
            <w:shd w:val="clear" w:color="auto" w:fill="auto"/>
            <w:vAlign w:val="center"/>
            <w:hideMark/>
          </w:tcPr>
          <w:p w14:paraId="6F0B5CCC" w14:textId="77777777" w:rsidR="00E8096F" w:rsidRPr="00CC7155" w:rsidRDefault="00E8096F" w:rsidP="00B44FB0">
            <w:pPr>
              <w:rPr>
                <w:sz w:val="18"/>
                <w:szCs w:val="18"/>
                <w:lang w:eastAsia="en-CA"/>
              </w:rPr>
            </w:pPr>
            <w:r w:rsidRPr="00CC7155">
              <w:rPr>
                <w:sz w:val="18"/>
                <w:szCs w:val="18"/>
                <w:lang w:eastAsia="en-CA"/>
              </w:rPr>
              <w:t>The desk study analyses the progress made in the phase-out of HCFCs in the refrigeration servicing sector, focusing on the contribution of specific activities to reduce HCFCs, on the impact arising from</w:t>
            </w:r>
            <w:r>
              <w:rPr>
                <w:sz w:val="18"/>
                <w:szCs w:val="18"/>
                <w:lang w:eastAsia="en-CA"/>
              </w:rPr>
              <w:t xml:space="preserve"> the</w:t>
            </w:r>
            <w:r w:rsidRPr="00CC7155">
              <w:rPr>
                <w:sz w:val="18"/>
                <w:szCs w:val="18"/>
                <w:lang w:eastAsia="en-CA"/>
              </w:rPr>
              <w:t xml:space="preserve"> introduction of low-GWP alternatives, and challenges encountered during project implementation. The evaluation draws lessons from these projects to help future similar activities in the sector and attempts to identify potential issues that </w:t>
            </w:r>
            <w:r>
              <w:rPr>
                <w:sz w:val="18"/>
                <w:szCs w:val="18"/>
                <w:lang w:eastAsia="en-CA"/>
              </w:rPr>
              <w:t xml:space="preserve">could be related to the phasing </w:t>
            </w:r>
            <w:r w:rsidRPr="00CC7155">
              <w:rPr>
                <w:sz w:val="18"/>
                <w:szCs w:val="18"/>
                <w:lang w:eastAsia="en-CA"/>
              </w:rPr>
              <w:t xml:space="preserve">down of HFCs. </w:t>
            </w:r>
          </w:p>
        </w:tc>
        <w:tc>
          <w:tcPr>
            <w:tcW w:w="2827" w:type="pct"/>
            <w:shd w:val="clear" w:color="auto" w:fill="auto"/>
            <w:vAlign w:val="center"/>
            <w:hideMark/>
          </w:tcPr>
          <w:p w14:paraId="21F3F4B9" w14:textId="77777777" w:rsidR="00E8096F" w:rsidRPr="00CC7155" w:rsidRDefault="00E8096F" w:rsidP="00B44FB0">
            <w:pPr>
              <w:rPr>
                <w:sz w:val="18"/>
                <w:szCs w:val="18"/>
                <w:lang w:eastAsia="en-CA"/>
              </w:rPr>
            </w:pPr>
            <w:r w:rsidRPr="00CC7155">
              <w:rPr>
                <w:sz w:val="18"/>
                <w:szCs w:val="18"/>
                <w:lang w:eastAsia="en-CA"/>
              </w:rPr>
              <w:t>The results of HPMP implementation have been</w:t>
            </w:r>
            <w:r>
              <w:rPr>
                <w:sz w:val="18"/>
                <w:szCs w:val="18"/>
                <w:lang w:eastAsia="en-CA"/>
              </w:rPr>
              <w:t xml:space="preserve"> </w:t>
            </w:r>
            <w:r w:rsidRPr="00CC7155">
              <w:rPr>
                <w:sz w:val="18"/>
                <w:szCs w:val="18"/>
                <w:lang w:eastAsia="en-CA"/>
              </w:rPr>
              <w:t>very positive so far. However, the reporting record of some of the countries points to the need for more focused assistance concerning HCFC</w:t>
            </w:r>
            <w:r>
              <w:rPr>
                <w:sz w:val="18"/>
                <w:szCs w:val="18"/>
                <w:lang w:eastAsia="en-CA"/>
              </w:rPr>
              <w:t xml:space="preserve"> </w:t>
            </w:r>
            <w:r w:rsidRPr="00CC7155">
              <w:rPr>
                <w:sz w:val="18"/>
                <w:szCs w:val="18"/>
                <w:lang w:eastAsia="en-CA"/>
              </w:rPr>
              <w:t>consumption monitoring and reporting, which may affect future endeavours.</w:t>
            </w:r>
            <w:r>
              <w:rPr>
                <w:sz w:val="18"/>
                <w:szCs w:val="18"/>
                <w:lang w:eastAsia="en-CA"/>
              </w:rPr>
              <w:t xml:space="preserve"> Key lessons learned included: t</w:t>
            </w:r>
            <w:r w:rsidRPr="00CC7155">
              <w:rPr>
                <w:sz w:val="18"/>
                <w:szCs w:val="18"/>
                <w:lang w:eastAsia="en-CA"/>
              </w:rPr>
              <w:t xml:space="preserve">he importance of encouraging domestic innovative solutions to HCFC phase-out; </w:t>
            </w:r>
            <w:r>
              <w:rPr>
                <w:sz w:val="18"/>
                <w:szCs w:val="18"/>
                <w:lang w:eastAsia="en-CA"/>
              </w:rPr>
              <w:t xml:space="preserve">the need </w:t>
            </w:r>
            <w:r w:rsidRPr="00CC7155">
              <w:rPr>
                <w:sz w:val="18"/>
                <w:szCs w:val="18"/>
                <w:lang w:eastAsia="en-CA"/>
              </w:rPr>
              <w:t xml:space="preserve">to support training for handling of flammable or toxic refrigerants and the corresponding regulations and standards; the lack of availability of skilled technicians trained on new alternatives; the </w:t>
            </w:r>
            <w:r>
              <w:rPr>
                <w:sz w:val="18"/>
                <w:szCs w:val="18"/>
                <w:lang w:eastAsia="en-CA"/>
              </w:rPr>
              <w:t xml:space="preserve">need to </w:t>
            </w:r>
            <w:r w:rsidRPr="00CC7155">
              <w:rPr>
                <w:sz w:val="18"/>
                <w:szCs w:val="18"/>
                <w:lang w:eastAsia="en-CA"/>
              </w:rPr>
              <w:t>identif</w:t>
            </w:r>
            <w:r>
              <w:rPr>
                <w:sz w:val="18"/>
                <w:szCs w:val="18"/>
                <w:lang w:eastAsia="en-CA"/>
              </w:rPr>
              <w:t xml:space="preserve">y </w:t>
            </w:r>
            <w:r w:rsidRPr="00CC7155">
              <w:rPr>
                <w:sz w:val="18"/>
                <w:szCs w:val="18"/>
                <w:lang w:eastAsia="en-CA"/>
              </w:rPr>
              <w:t xml:space="preserve">suitable alternatives for high-ambient temperature countries, particularly for the AC industry; the importance </w:t>
            </w:r>
            <w:r>
              <w:rPr>
                <w:sz w:val="18"/>
                <w:szCs w:val="18"/>
                <w:lang w:eastAsia="en-CA"/>
              </w:rPr>
              <w:t>of</w:t>
            </w:r>
            <w:r w:rsidRPr="00CC7155">
              <w:rPr>
                <w:sz w:val="18"/>
                <w:szCs w:val="18"/>
                <w:lang w:eastAsia="en-CA"/>
              </w:rPr>
              <w:t xml:space="preserve"> strengthen</w:t>
            </w:r>
            <w:r>
              <w:rPr>
                <w:sz w:val="18"/>
                <w:szCs w:val="18"/>
                <w:lang w:eastAsia="en-CA"/>
              </w:rPr>
              <w:t xml:space="preserve">ing </w:t>
            </w:r>
            <w:r w:rsidRPr="00CC7155">
              <w:rPr>
                <w:sz w:val="18"/>
                <w:szCs w:val="18"/>
                <w:lang w:eastAsia="en-CA"/>
              </w:rPr>
              <w:t>the bridges between the NOU/PMU and other authorities in the country and empower</w:t>
            </w:r>
            <w:r>
              <w:rPr>
                <w:sz w:val="18"/>
                <w:szCs w:val="18"/>
                <w:lang w:eastAsia="en-CA"/>
              </w:rPr>
              <w:t>ing</w:t>
            </w:r>
            <w:r w:rsidRPr="00CC7155">
              <w:rPr>
                <w:sz w:val="18"/>
                <w:szCs w:val="18"/>
                <w:lang w:eastAsia="en-CA"/>
              </w:rPr>
              <w:t xml:space="preserve"> them with respect to central governments; the importance of training customs officers on the import/export licensing and quota systems</w:t>
            </w:r>
            <w:r>
              <w:rPr>
                <w:sz w:val="18"/>
                <w:szCs w:val="18"/>
                <w:lang w:eastAsia="en-CA"/>
              </w:rPr>
              <w:t>,</w:t>
            </w:r>
            <w:r w:rsidRPr="00CC7155">
              <w:rPr>
                <w:sz w:val="18"/>
                <w:szCs w:val="18"/>
                <w:lang w:eastAsia="en-CA"/>
              </w:rPr>
              <w:t xml:space="preserve"> and </w:t>
            </w:r>
            <w:r>
              <w:rPr>
                <w:sz w:val="18"/>
                <w:szCs w:val="18"/>
                <w:lang w:eastAsia="en-CA"/>
              </w:rPr>
              <w:t xml:space="preserve">ensuring </w:t>
            </w:r>
            <w:r w:rsidRPr="00CC7155">
              <w:rPr>
                <w:sz w:val="18"/>
                <w:szCs w:val="18"/>
                <w:lang w:eastAsia="en-CA"/>
              </w:rPr>
              <w:t>the sustainability of training programmes by including the training modules in the curricula of the customs training institutions; and that refrigerant losses are mainly due to old equipment, which could be reduced and prevented by regular servicing and maintenance. (Decision</w:t>
            </w:r>
            <w:r>
              <w:rPr>
                <w:sz w:val="18"/>
                <w:szCs w:val="18"/>
                <w:lang w:eastAsia="en-CA"/>
              </w:rPr>
              <w:t> </w:t>
            </w:r>
            <w:r w:rsidRPr="00CC7155">
              <w:rPr>
                <w:sz w:val="18"/>
                <w:szCs w:val="18"/>
                <w:lang w:eastAsia="en-CA"/>
              </w:rPr>
              <w:t>80/8)</w:t>
            </w:r>
          </w:p>
        </w:tc>
      </w:tr>
      <w:tr w:rsidR="00E8096F" w:rsidRPr="005F4D83" w14:paraId="78E08869" w14:textId="77777777" w:rsidTr="00B44FB0">
        <w:tc>
          <w:tcPr>
            <w:tcW w:w="977" w:type="pct"/>
            <w:shd w:val="clear" w:color="auto" w:fill="auto"/>
            <w:vAlign w:val="center"/>
            <w:hideMark/>
          </w:tcPr>
          <w:p w14:paraId="4BA6378D" w14:textId="77777777" w:rsidR="00E8096F" w:rsidRPr="00CC7155" w:rsidRDefault="00B44FB0" w:rsidP="00E8096F">
            <w:pPr>
              <w:jc w:val="left"/>
              <w:rPr>
                <w:sz w:val="18"/>
                <w:szCs w:val="18"/>
                <w:lang w:eastAsia="en-CA"/>
              </w:rPr>
            </w:pPr>
            <w:hyperlink r:id="rId39" w:history="1">
              <w:r w:rsidR="00E8096F" w:rsidRPr="005F4D83">
                <w:rPr>
                  <w:sz w:val="18"/>
                  <w:szCs w:val="18"/>
                  <w:lang w:eastAsia="en-CA"/>
                </w:rPr>
                <w:t>Preliminary report for the second phase of the evaluation of the refrigeration servicing sector (UNEP/OzL.Pro/ExCom/81/7)</w:t>
              </w:r>
            </w:hyperlink>
          </w:p>
        </w:tc>
        <w:tc>
          <w:tcPr>
            <w:tcW w:w="1196" w:type="pct"/>
            <w:shd w:val="clear" w:color="auto" w:fill="auto"/>
            <w:vAlign w:val="center"/>
            <w:hideMark/>
          </w:tcPr>
          <w:p w14:paraId="42AE0319" w14:textId="77777777" w:rsidR="00E8096F" w:rsidRPr="00CC7155" w:rsidRDefault="00E8096F" w:rsidP="00B44FB0">
            <w:pPr>
              <w:rPr>
                <w:sz w:val="18"/>
                <w:szCs w:val="18"/>
                <w:lang w:eastAsia="en-CA"/>
              </w:rPr>
            </w:pPr>
            <w:r w:rsidRPr="00CC7155">
              <w:rPr>
                <w:sz w:val="18"/>
                <w:szCs w:val="18"/>
                <w:lang w:eastAsia="en-CA"/>
              </w:rPr>
              <w:t xml:space="preserve">The preliminary synthesis report focused on the contribution of specific activities within servicing sector plans to reduce HCFCs, </w:t>
            </w:r>
            <w:r>
              <w:rPr>
                <w:sz w:val="18"/>
                <w:szCs w:val="18"/>
                <w:lang w:eastAsia="en-CA"/>
              </w:rPr>
              <w:t xml:space="preserve">on </w:t>
            </w:r>
            <w:r w:rsidRPr="00CC7155">
              <w:rPr>
                <w:sz w:val="18"/>
                <w:szCs w:val="18"/>
                <w:lang w:eastAsia="en-CA"/>
              </w:rPr>
              <w:t>the impact on servicing arising from the introduction of low-GWP alternatives, and on challenges encountered during project implementation in the field evaluation visits carried out before the 81</w:t>
            </w:r>
            <w:r w:rsidRPr="00346774">
              <w:rPr>
                <w:sz w:val="18"/>
                <w:szCs w:val="18"/>
                <w:vertAlign w:val="superscript"/>
                <w:lang w:eastAsia="en-CA"/>
              </w:rPr>
              <w:t>st</w:t>
            </w:r>
            <w:r>
              <w:rPr>
                <w:sz w:val="18"/>
                <w:szCs w:val="18"/>
                <w:lang w:eastAsia="en-CA"/>
              </w:rPr>
              <w:t xml:space="preserve"> </w:t>
            </w:r>
            <w:r w:rsidRPr="00CC7155">
              <w:rPr>
                <w:sz w:val="18"/>
                <w:szCs w:val="18"/>
                <w:lang w:eastAsia="en-CA"/>
              </w:rPr>
              <w:t>me</w:t>
            </w:r>
            <w:r>
              <w:rPr>
                <w:sz w:val="18"/>
                <w:szCs w:val="18"/>
                <w:lang w:eastAsia="en-CA"/>
              </w:rPr>
              <w:t>e</w:t>
            </w:r>
            <w:r w:rsidRPr="00CC7155">
              <w:rPr>
                <w:sz w:val="18"/>
                <w:szCs w:val="18"/>
                <w:lang w:eastAsia="en-CA"/>
              </w:rPr>
              <w:t>ting, namely in Chile, Grenada, India, Oman and Samoa.</w:t>
            </w:r>
          </w:p>
        </w:tc>
        <w:tc>
          <w:tcPr>
            <w:tcW w:w="2827" w:type="pct"/>
            <w:shd w:val="clear" w:color="auto" w:fill="auto"/>
            <w:vAlign w:val="center"/>
            <w:hideMark/>
          </w:tcPr>
          <w:p w14:paraId="28B9BEFC" w14:textId="77777777" w:rsidR="00E8096F" w:rsidRPr="00CC7155" w:rsidRDefault="00E8096F" w:rsidP="00B44FB0">
            <w:pPr>
              <w:rPr>
                <w:sz w:val="18"/>
                <w:szCs w:val="18"/>
                <w:lang w:eastAsia="en-CA"/>
              </w:rPr>
            </w:pPr>
            <w:r w:rsidRPr="00CC7155">
              <w:rPr>
                <w:sz w:val="18"/>
                <w:szCs w:val="18"/>
                <w:lang w:eastAsia="en-CA"/>
              </w:rPr>
              <w:t xml:space="preserve">The HPMP implementation has had outstanding results, which may be attributed to the “cascade effect" of all the initiatives implemented within the HPMPs. It has achieved HCFC consumption reductions beyond </w:t>
            </w:r>
            <w:r>
              <w:rPr>
                <w:sz w:val="18"/>
                <w:szCs w:val="18"/>
                <w:lang w:eastAsia="en-CA"/>
              </w:rPr>
              <w:t>countries’</w:t>
            </w:r>
            <w:r w:rsidRPr="00CC7155">
              <w:rPr>
                <w:sz w:val="18"/>
                <w:szCs w:val="18"/>
                <w:lang w:eastAsia="en-CA"/>
              </w:rPr>
              <w:t xml:space="preserve"> obligations, has leveraged funding resources by building on</w:t>
            </w:r>
            <w:r>
              <w:rPr>
                <w:sz w:val="18"/>
                <w:szCs w:val="18"/>
                <w:lang w:eastAsia="en-CA"/>
              </w:rPr>
              <w:t xml:space="preserve"> the</w:t>
            </w:r>
            <w:r w:rsidRPr="00CC7155">
              <w:rPr>
                <w:sz w:val="18"/>
                <w:szCs w:val="18"/>
                <w:lang w:eastAsia="en-CA"/>
              </w:rPr>
              <w:t xml:space="preserve"> infrastructure supported during the CFC phase-out and will, in turn, reinforce the building blocks for the HFC phase-down. Some</w:t>
            </w:r>
            <w:r>
              <w:rPr>
                <w:sz w:val="18"/>
                <w:szCs w:val="18"/>
                <w:lang w:eastAsia="en-CA"/>
              </w:rPr>
              <w:t xml:space="preserve"> of the main achievements are: t</w:t>
            </w:r>
            <w:r w:rsidRPr="00CC7155">
              <w:rPr>
                <w:sz w:val="18"/>
                <w:szCs w:val="18"/>
                <w:lang w:eastAsia="en-CA"/>
              </w:rPr>
              <w:t xml:space="preserve">he demonstration projects facilitated the transition to low-GWP technologies by identifying common barriers to the adoption of new technologies; </w:t>
            </w:r>
            <w:r>
              <w:rPr>
                <w:sz w:val="18"/>
                <w:szCs w:val="18"/>
                <w:lang w:eastAsia="en-CA"/>
              </w:rPr>
              <w:t xml:space="preserve">and </w:t>
            </w:r>
            <w:r w:rsidRPr="00CC7155">
              <w:rPr>
                <w:sz w:val="18"/>
                <w:szCs w:val="18"/>
                <w:lang w:eastAsia="en-CA"/>
              </w:rPr>
              <w:t>the local RAC associations and training schools are strategic partners for HPMP design and implementation</w:t>
            </w:r>
            <w:r>
              <w:rPr>
                <w:sz w:val="18"/>
                <w:szCs w:val="18"/>
                <w:lang w:eastAsia="en-CA"/>
              </w:rPr>
              <w:t>. Findings also show that</w:t>
            </w:r>
            <w:r w:rsidRPr="00CC7155">
              <w:rPr>
                <w:sz w:val="18"/>
                <w:szCs w:val="18"/>
                <w:lang w:eastAsia="en-CA"/>
              </w:rPr>
              <w:t xml:space="preserve"> </w:t>
            </w:r>
            <w:r>
              <w:rPr>
                <w:sz w:val="18"/>
                <w:szCs w:val="18"/>
                <w:lang w:eastAsia="en-CA"/>
              </w:rPr>
              <w:t>there is a need</w:t>
            </w:r>
            <w:r w:rsidRPr="00CC7155">
              <w:rPr>
                <w:sz w:val="18"/>
                <w:szCs w:val="18"/>
                <w:lang w:eastAsia="en-CA"/>
              </w:rPr>
              <w:t xml:space="preserve"> for accessible and early adoption of new standards involving technical and financial support; </w:t>
            </w:r>
            <w:r>
              <w:rPr>
                <w:sz w:val="18"/>
                <w:szCs w:val="18"/>
                <w:lang w:eastAsia="en-CA"/>
              </w:rPr>
              <w:t xml:space="preserve">that </w:t>
            </w:r>
            <w:r w:rsidRPr="00CC7155">
              <w:rPr>
                <w:sz w:val="18"/>
                <w:szCs w:val="18"/>
                <w:lang w:eastAsia="en-CA"/>
              </w:rPr>
              <w:t xml:space="preserve">technical assistance may be necessary to design business models adapted to local markets for the sustainability of RRR systems; </w:t>
            </w:r>
            <w:r>
              <w:rPr>
                <w:sz w:val="18"/>
                <w:szCs w:val="18"/>
                <w:lang w:eastAsia="en-CA"/>
              </w:rPr>
              <w:t>that</w:t>
            </w:r>
            <w:r w:rsidRPr="00CC7155">
              <w:rPr>
                <w:sz w:val="18"/>
                <w:szCs w:val="18"/>
                <w:lang w:eastAsia="en-CA"/>
              </w:rPr>
              <w:t xml:space="preserve"> the </w:t>
            </w:r>
            <w:r>
              <w:rPr>
                <w:sz w:val="18"/>
                <w:szCs w:val="18"/>
                <w:lang w:eastAsia="en-CA"/>
              </w:rPr>
              <w:t>adoption of the new alternative</w:t>
            </w:r>
            <w:r w:rsidRPr="00CC7155">
              <w:rPr>
                <w:sz w:val="18"/>
                <w:szCs w:val="18"/>
                <w:lang w:eastAsia="en-CA"/>
              </w:rPr>
              <w:t xml:space="preserve"> technologies </w:t>
            </w:r>
            <w:r>
              <w:rPr>
                <w:sz w:val="18"/>
                <w:szCs w:val="18"/>
                <w:lang w:eastAsia="en-CA"/>
              </w:rPr>
              <w:t>is</w:t>
            </w:r>
            <w:r w:rsidRPr="00CC7155">
              <w:rPr>
                <w:sz w:val="18"/>
                <w:szCs w:val="18"/>
                <w:lang w:eastAsia="en-CA"/>
              </w:rPr>
              <w:t xml:space="preserve"> hampered by their high cost, safety and security issues</w:t>
            </w:r>
            <w:r>
              <w:rPr>
                <w:sz w:val="18"/>
                <w:szCs w:val="18"/>
                <w:lang w:eastAsia="en-CA"/>
              </w:rPr>
              <w:t>,</w:t>
            </w:r>
            <w:r w:rsidRPr="00CC7155">
              <w:rPr>
                <w:sz w:val="18"/>
                <w:szCs w:val="18"/>
                <w:lang w:eastAsia="en-CA"/>
              </w:rPr>
              <w:t xml:space="preserve"> and the lack of local expertise when dealing with flammable, toxic or high pressured refrigerant; and </w:t>
            </w:r>
            <w:r>
              <w:rPr>
                <w:sz w:val="18"/>
                <w:szCs w:val="18"/>
                <w:lang w:eastAsia="en-CA"/>
              </w:rPr>
              <w:t xml:space="preserve">that there is a </w:t>
            </w:r>
            <w:r w:rsidRPr="00CC7155">
              <w:rPr>
                <w:sz w:val="18"/>
                <w:szCs w:val="18"/>
                <w:lang w:eastAsia="en-CA"/>
              </w:rPr>
              <w:t xml:space="preserve">general unavailability of equipment and servicing tools in the local market. (Decision 81/5) </w:t>
            </w:r>
          </w:p>
        </w:tc>
      </w:tr>
      <w:tr w:rsidR="00E8096F" w:rsidRPr="005F4D83" w14:paraId="21B47E78" w14:textId="77777777" w:rsidTr="00B44FB0">
        <w:tc>
          <w:tcPr>
            <w:tcW w:w="977" w:type="pct"/>
            <w:shd w:val="clear" w:color="auto" w:fill="auto"/>
            <w:vAlign w:val="center"/>
            <w:hideMark/>
          </w:tcPr>
          <w:p w14:paraId="58DE0D31" w14:textId="77777777" w:rsidR="00E8096F" w:rsidRPr="00CC7155" w:rsidRDefault="00E8096F" w:rsidP="00E8096F">
            <w:pPr>
              <w:jc w:val="left"/>
              <w:rPr>
                <w:sz w:val="18"/>
                <w:szCs w:val="18"/>
                <w:lang w:eastAsia="en-CA"/>
              </w:rPr>
            </w:pPr>
            <w:r w:rsidRPr="00CC7155">
              <w:rPr>
                <w:sz w:val="18"/>
                <w:szCs w:val="18"/>
                <w:lang w:eastAsia="en-CA"/>
              </w:rPr>
              <w:t>Final report on the evaluation of the refrigeration servicing sector (UNEP/OzL.Pro/ExCom/82/11)</w:t>
            </w:r>
          </w:p>
        </w:tc>
        <w:tc>
          <w:tcPr>
            <w:tcW w:w="1196" w:type="pct"/>
            <w:shd w:val="clear" w:color="auto" w:fill="auto"/>
            <w:vAlign w:val="center"/>
            <w:hideMark/>
          </w:tcPr>
          <w:p w14:paraId="59AD041D" w14:textId="77777777" w:rsidR="00E8096F" w:rsidRPr="00CC7155" w:rsidRDefault="00E8096F" w:rsidP="00B44FB0">
            <w:pPr>
              <w:rPr>
                <w:sz w:val="18"/>
                <w:szCs w:val="18"/>
                <w:lang w:eastAsia="en-CA"/>
              </w:rPr>
            </w:pPr>
            <w:r w:rsidRPr="00CC7155">
              <w:rPr>
                <w:sz w:val="18"/>
                <w:szCs w:val="18"/>
                <w:lang w:eastAsia="en-CA"/>
              </w:rPr>
              <w:t>The synthesis report aims to provide a thorough analysis of the project implementation in the refrigeration servicing sector in a sample of countries, formulates lessons learned for improving future similar projects</w:t>
            </w:r>
            <w:r>
              <w:rPr>
                <w:sz w:val="18"/>
                <w:szCs w:val="18"/>
                <w:lang w:eastAsia="en-CA"/>
              </w:rPr>
              <w:t>,</w:t>
            </w:r>
            <w:r w:rsidRPr="00CC7155">
              <w:rPr>
                <w:sz w:val="18"/>
                <w:szCs w:val="18"/>
                <w:lang w:eastAsia="en-CA"/>
              </w:rPr>
              <w:t xml:space="preserve"> and assesses potential issues that </w:t>
            </w:r>
            <w:r>
              <w:rPr>
                <w:sz w:val="18"/>
                <w:szCs w:val="18"/>
                <w:lang w:eastAsia="en-CA"/>
              </w:rPr>
              <w:t xml:space="preserve">could be related to the phasing </w:t>
            </w:r>
            <w:r w:rsidRPr="00CC7155">
              <w:rPr>
                <w:sz w:val="18"/>
                <w:szCs w:val="18"/>
                <w:lang w:eastAsia="en-CA"/>
              </w:rPr>
              <w:t>down of HFCs in the servicing sector.</w:t>
            </w:r>
          </w:p>
        </w:tc>
        <w:tc>
          <w:tcPr>
            <w:tcW w:w="2827" w:type="pct"/>
            <w:shd w:val="clear" w:color="auto" w:fill="auto"/>
            <w:vAlign w:val="center"/>
            <w:hideMark/>
          </w:tcPr>
          <w:p w14:paraId="5D83BB47" w14:textId="77777777" w:rsidR="00E8096F" w:rsidRPr="00CC7155" w:rsidRDefault="00E8096F" w:rsidP="00B44FB0">
            <w:pPr>
              <w:rPr>
                <w:sz w:val="18"/>
                <w:szCs w:val="18"/>
                <w:lang w:eastAsia="en-CA"/>
              </w:rPr>
            </w:pPr>
            <w:r w:rsidRPr="00CC7155">
              <w:rPr>
                <w:sz w:val="18"/>
                <w:szCs w:val="18"/>
                <w:lang w:eastAsia="en-CA"/>
              </w:rPr>
              <w:t>The HPMP implementation has achieved HCFC consumption reductions above and beyond</w:t>
            </w:r>
            <w:r>
              <w:rPr>
                <w:sz w:val="18"/>
                <w:szCs w:val="18"/>
                <w:lang w:eastAsia="en-CA"/>
              </w:rPr>
              <w:t xml:space="preserve"> the</w:t>
            </w:r>
            <w:r w:rsidRPr="00CC7155">
              <w:rPr>
                <w:sz w:val="18"/>
                <w:szCs w:val="18"/>
                <w:lang w:eastAsia="en-CA"/>
              </w:rPr>
              <w:t xml:space="preserve"> Mont</w:t>
            </w:r>
            <w:r>
              <w:rPr>
                <w:sz w:val="18"/>
                <w:szCs w:val="18"/>
                <w:lang w:eastAsia="en-CA"/>
              </w:rPr>
              <w:t>real Protocol obligations</w:t>
            </w:r>
            <w:r w:rsidRPr="00CC7155">
              <w:rPr>
                <w:sz w:val="18"/>
                <w:szCs w:val="18"/>
                <w:lang w:eastAsia="en-CA"/>
              </w:rPr>
              <w:t xml:space="preserve">. HPMPs have leveraged </w:t>
            </w:r>
            <w:r>
              <w:rPr>
                <w:sz w:val="18"/>
                <w:szCs w:val="18"/>
                <w:lang w:eastAsia="en-CA"/>
              </w:rPr>
              <w:t xml:space="preserve">the </w:t>
            </w:r>
            <w:r w:rsidRPr="00CC7155">
              <w:rPr>
                <w:sz w:val="18"/>
                <w:szCs w:val="18"/>
                <w:lang w:eastAsia="en-CA"/>
              </w:rPr>
              <w:t>Multilateral Fund resources by building on the institutional and physical infrastructure created by the CFC phase-out, which will be emulated for the HFC phase-down. Key findings from the synthesis show that training of RAC technicians is the activity that has had the most impact across all countries. Similarly, the establishment of policy and regulatory frameworks has prove</w:t>
            </w:r>
            <w:r>
              <w:rPr>
                <w:sz w:val="18"/>
                <w:szCs w:val="18"/>
                <w:lang w:eastAsia="en-CA"/>
              </w:rPr>
              <w:t>n</w:t>
            </w:r>
            <w:r w:rsidRPr="00CC7155">
              <w:rPr>
                <w:sz w:val="18"/>
                <w:szCs w:val="18"/>
                <w:lang w:eastAsia="en-CA"/>
              </w:rPr>
              <w:t xml:space="preserve"> to be a powerful tool for compliance. On the other hand, the establishment of refrigerant R&amp;R networks still needs to provide consistent measurable results and seems to be lacking an attractive and sustainable economic model adapted to each local condition. Projects would benefit from a streamlined administration process and a more independent and stable NOU, benefiting from additional operational assistance. Very low-volume consuming countries reported the need for additional assistance for monitoring and reporting. </w:t>
            </w:r>
          </w:p>
        </w:tc>
      </w:tr>
    </w:tbl>
    <w:p w14:paraId="246475BF" w14:textId="77777777" w:rsidR="00E8096F" w:rsidRPr="00835BA7" w:rsidRDefault="00E8096F" w:rsidP="00B44FB0"/>
    <w:p w14:paraId="5A88FC00" w14:textId="77777777" w:rsidR="00192E3D" w:rsidRPr="00835BA7" w:rsidRDefault="00192E3D" w:rsidP="00B44FB0"/>
    <w:p w14:paraId="765E2763" w14:textId="77777777" w:rsidR="00E8096F" w:rsidRDefault="00E8096F" w:rsidP="00F46115">
      <w:pPr>
        <w:sectPr w:rsidR="00E8096F" w:rsidSect="00B44FB0">
          <w:headerReference w:type="even" r:id="rId40"/>
          <w:headerReference w:type="default" r:id="rId41"/>
          <w:footerReference w:type="default" r:id="rId42"/>
          <w:pgSz w:w="15840" w:h="12240" w:orient="landscape"/>
          <w:pgMar w:top="1440" w:right="1440" w:bottom="1440" w:left="1440" w:header="708" w:footer="708" w:gutter="0"/>
          <w:pgNumType w:start="1"/>
          <w:cols w:space="708"/>
          <w:docGrid w:linePitch="360"/>
        </w:sectPr>
      </w:pPr>
    </w:p>
    <w:p w14:paraId="3B6311DD" w14:textId="1DCCBA51" w:rsidR="00E8096F" w:rsidRDefault="00E8096F" w:rsidP="00B44FB0">
      <w:pPr>
        <w:pStyle w:val="Title1"/>
      </w:pPr>
      <w:r>
        <w:rPr>
          <w:caps w:val="0"/>
        </w:rPr>
        <w:t xml:space="preserve">Annex </w:t>
      </w:r>
      <w:r>
        <w:t>III</w:t>
      </w:r>
    </w:p>
    <w:p w14:paraId="62B11CCE" w14:textId="77777777" w:rsidR="00E8096F" w:rsidRDefault="00E8096F" w:rsidP="00B44FB0">
      <w:pPr>
        <w:pStyle w:val="Title1"/>
      </w:pPr>
    </w:p>
    <w:p w14:paraId="3FAAFCA7" w14:textId="77777777" w:rsidR="00E8096F" w:rsidRDefault="00E8096F" w:rsidP="00B44FB0">
      <w:pPr>
        <w:pStyle w:val="Title1"/>
      </w:pPr>
      <w:r>
        <w:t>Global products developed by UNEP IN COOPERATION WITH International organizations to assist the refrigeration servicing sector in Article 5 countries</w:t>
      </w:r>
    </w:p>
    <w:p w14:paraId="1DAB6923" w14:textId="77777777" w:rsidR="00E8096F" w:rsidRDefault="00E8096F" w:rsidP="00B44FB0">
      <w:pPr>
        <w:pStyle w:val="Title1"/>
      </w:pPr>
    </w:p>
    <w:p w14:paraId="53ED2EB8" w14:textId="77777777" w:rsidR="00E8096F" w:rsidRDefault="00E8096F" w:rsidP="00B44FB0">
      <w:pPr>
        <w:pStyle w:val="Title1"/>
      </w:pPr>
      <w:r>
        <w:t>SUMMARY OF RELEVANT TOOLS</w:t>
      </w:r>
    </w:p>
    <w:p w14:paraId="35637F54" w14:textId="391B7D05" w:rsidR="00E8096F" w:rsidRDefault="00E8096F" w:rsidP="00E8096F">
      <w:pPr>
        <w:pStyle w:val="Title1"/>
        <w:jc w:val="both"/>
      </w:pPr>
    </w:p>
    <w:p w14:paraId="4A07D104" w14:textId="77777777" w:rsidR="00E8096F" w:rsidRDefault="00E8096F" w:rsidP="00E8096F">
      <w:pPr>
        <w:pStyle w:val="Heading1"/>
        <w:numPr>
          <w:ilvl w:val="0"/>
          <w:numId w:val="37"/>
        </w:numPr>
      </w:pPr>
      <w:r>
        <w:t>UNEP OzonAction has re-focused its clearinghouse activities to develop tools that can be utilized by different stakeholders at the local level. For this purpose, OzonAction partnered with several international organizations and associations to develop products that are technologically up-to-date and easy to use.</w:t>
      </w:r>
    </w:p>
    <w:p w14:paraId="28EA573A" w14:textId="77777777" w:rsidR="00E8096F" w:rsidRDefault="00E8096F" w:rsidP="00E8096F">
      <w:pPr>
        <w:pStyle w:val="Heading1"/>
        <w:numPr>
          <w:ilvl w:val="0"/>
          <w:numId w:val="37"/>
        </w:numPr>
      </w:pPr>
      <w:r>
        <w:t>Table 1 summarizes the list of OzonAction key partnerships against relevant products and tools that can be utilized by A5 countries while implementing their phase-out/phase-down programs and projects.</w:t>
      </w:r>
      <w:r>
        <w:rPr>
          <w:rStyle w:val="FootnoteReference"/>
        </w:rPr>
        <w:footnoteReference w:id="60"/>
      </w:r>
    </w:p>
    <w:p w14:paraId="41211E91" w14:textId="77777777" w:rsidR="00E8096F" w:rsidRPr="002F10C2" w:rsidRDefault="00E8096F" w:rsidP="00B44FB0">
      <w:pPr>
        <w:pStyle w:val="Heading1"/>
        <w:numPr>
          <w:ilvl w:val="0"/>
          <w:numId w:val="0"/>
        </w:numPr>
        <w:spacing w:after="0"/>
        <w:rPr>
          <w:b/>
        </w:rPr>
      </w:pPr>
      <w:r w:rsidRPr="002F10C2">
        <w:rPr>
          <w:b/>
        </w:rPr>
        <w:t>Table 1. List of OzonAction key partnerships and relevant products and tools</w:t>
      </w:r>
    </w:p>
    <w:tbl>
      <w:tblPr>
        <w:tblStyle w:val="Grid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2173"/>
        <w:gridCol w:w="1767"/>
        <w:gridCol w:w="4393"/>
      </w:tblGrid>
      <w:tr w:rsidR="00E8096F" w:rsidRPr="00116DA6" w14:paraId="371B8CE2" w14:textId="77777777" w:rsidTr="00B44F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4" w:type="pct"/>
            <w:tcBorders>
              <w:bottom w:val="none" w:sz="0" w:space="0" w:color="auto"/>
            </w:tcBorders>
            <w:shd w:val="clear" w:color="auto" w:fill="auto"/>
            <w:vAlign w:val="center"/>
            <w:hideMark/>
          </w:tcPr>
          <w:p w14:paraId="2E9E79FE" w14:textId="77777777" w:rsidR="00E8096F" w:rsidRPr="008D291C" w:rsidRDefault="00E8096F" w:rsidP="00B44FB0">
            <w:pPr>
              <w:jc w:val="center"/>
              <w:rPr>
                <w:rFonts w:ascii="Times New Roman" w:hAnsi="Times New Roman"/>
                <w:sz w:val="20"/>
                <w:szCs w:val="20"/>
              </w:rPr>
            </w:pPr>
            <w:r w:rsidRPr="008D291C">
              <w:rPr>
                <w:rFonts w:ascii="Times New Roman" w:hAnsi="Times New Roman"/>
                <w:bCs w:val="0"/>
                <w:sz w:val="20"/>
                <w:szCs w:val="20"/>
              </w:rPr>
              <w:t>Partner*</w:t>
            </w:r>
          </w:p>
        </w:tc>
        <w:tc>
          <w:tcPr>
            <w:tcW w:w="1162" w:type="pct"/>
            <w:tcBorders>
              <w:bottom w:val="none" w:sz="0" w:space="0" w:color="auto"/>
            </w:tcBorders>
            <w:shd w:val="clear" w:color="auto" w:fill="auto"/>
            <w:hideMark/>
          </w:tcPr>
          <w:p w14:paraId="10BACC89"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Product</w:t>
            </w:r>
          </w:p>
        </w:tc>
        <w:tc>
          <w:tcPr>
            <w:tcW w:w="945" w:type="pct"/>
            <w:tcBorders>
              <w:bottom w:val="none" w:sz="0" w:space="0" w:color="auto"/>
            </w:tcBorders>
            <w:shd w:val="clear" w:color="auto" w:fill="auto"/>
            <w:hideMark/>
          </w:tcPr>
          <w:p w14:paraId="69454D47"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Availability</w:t>
            </w:r>
          </w:p>
        </w:tc>
        <w:tc>
          <w:tcPr>
            <w:tcW w:w="2349" w:type="pct"/>
            <w:tcBorders>
              <w:bottom w:val="none" w:sz="0" w:space="0" w:color="auto"/>
            </w:tcBorders>
            <w:shd w:val="clear" w:color="auto" w:fill="auto"/>
            <w:hideMark/>
          </w:tcPr>
          <w:p w14:paraId="22B28EC3"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Who could benefit</w:t>
            </w:r>
          </w:p>
        </w:tc>
      </w:tr>
      <w:tr w:rsidR="00E8096F" w:rsidRPr="00116DA6" w14:paraId="19EACFC0" w14:textId="77777777" w:rsidTr="00B44FB0">
        <w:tc>
          <w:tcPr>
            <w:cnfStyle w:val="001000000000" w:firstRow="0" w:lastRow="0" w:firstColumn="1" w:lastColumn="0" w:oddVBand="0" w:evenVBand="0" w:oddHBand="0" w:evenHBand="0" w:firstRowFirstColumn="0" w:firstRowLastColumn="0" w:lastRowFirstColumn="0" w:lastRowLastColumn="0"/>
            <w:tcW w:w="544" w:type="pct"/>
            <w:vMerge w:val="restart"/>
            <w:shd w:val="clear" w:color="auto" w:fill="auto"/>
            <w:vAlign w:val="center"/>
            <w:hideMark/>
          </w:tcPr>
          <w:p w14:paraId="36F87CDD" w14:textId="77777777" w:rsidR="00E8096F" w:rsidRPr="008D291C" w:rsidRDefault="00E8096F" w:rsidP="00B44FB0">
            <w:pPr>
              <w:rPr>
                <w:rFonts w:ascii="Times New Roman" w:hAnsi="Times New Roman"/>
                <w:b w:val="0"/>
                <w:bCs w:val="0"/>
                <w:sz w:val="20"/>
                <w:szCs w:val="20"/>
              </w:rPr>
            </w:pPr>
            <w:r w:rsidRPr="008D291C">
              <w:rPr>
                <w:rFonts w:ascii="Times New Roman" w:hAnsi="Times New Roman"/>
                <w:b w:val="0"/>
                <w:sz w:val="20"/>
                <w:szCs w:val="20"/>
              </w:rPr>
              <w:t>ASHRAE</w:t>
            </w:r>
          </w:p>
        </w:tc>
        <w:tc>
          <w:tcPr>
            <w:tcW w:w="1162" w:type="pct"/>
            <w:vMerge w:val="restart"/>
            <w:shd w:val="clear" w:color="auto" w:fill="auto"/>
            <w:vAlign w:val="center"/>
            <w:hideMark/>
          </w:tcPr>
          <w:p w14:paraId="75DAFE0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Literacy</w:t>
            </w:r>
            <w:r>
              <w:rPr>
                <w:rFonts w:ascii="Times New Roman" w:hAnsi="Times New Roman"/>
                <w:sz w:val="20"/>
                <w:szCs w:val="20"/>
              </w:rPr>
              <w:t>:</w:t>
            </w:r>
            <w:r w:rsidRPr="008D291C">
              <w:rPr>
                <w:rFonts w:ascii="Times New Roman" w:hAnsi="Times New Roman"/>
                <w:sz w:val="20"/>
                <w:szCs w:val="20"/>
              </w:rPr>
              <w:t xml:space="preserve"> E</w:t>
            </w:r>
            <w:r>
              <w:rPr>
                <w:rFonts w:ascii="Times New Roman" w:hAnsi="Times New Roman"/>
                <w:sz w:val="20"/>
                <w:szCs w:val="20"/>
              </w:rPr>
              <w:noBreakHyphen/>
              <w:t>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hideMark/>
          </w:tcPr>
          <w:p w14:paraId="6D513BC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Available</w:t>
            </w:r>
          </w:p>
        </w:tc>
        <w:tc>
          <w:tcPr>
            <w:tcW w:w="2349" w:type="pct"/>
            <w:vMerge w:val="restart"/>
            <w:shd w:val="clear" w:color="auto" w:fill="auto"/>
            <w:vAlign w:val="center"/>
            <w:hideMark/>
          </w:tcPr>
          <w:p w14:paraId="606EE8E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Government officials, buildings owners, NOUs, consultants, other indiv</w:t>
            </w:r>
            <w:r>
              <w:rPr>
                <w:rFonts w:ascii="Times New Roman" w:hAnsi="Times New Roman"/>
                <w:sz w:val="20"/>
                <w:szCs w:val="20"/>
              </w:rPr>
              <w:t>iduals who wish to learn about refrigerant</w:t>
            </w:r>
            <w:r w:rsidRPr="008D291C">
              <w:rPr>
                <w:rFonts w:ascii="Times New Roman" w:hAnsi="Times New Roman"/>
                <w:sz w:val="20"/>
                <w:szCs w:val="20"/>
              </w:rPr>
              <w:t xml:space="preserve"> progression, classification, applications and basic good management practice</w:t>
            </w:r>
            <w:r>
              <w:rPr>
                <w:rFonts w:ascii="Times New Roman" w:hAnsi="Times New Roman"/>
                <w:sz w:val="20"/>
                <w:szCs w:val="20"/>
              </w:rPr>
              <w:t>s.</w:t>
            </w:r>
          </w:p>
        </w:tc>
      </w:tr>
      <w:tr w:rsidR="00E8096F" w:rsidRPr="00116DA6" w14:paraId="3579A9FD"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030B1B2"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471DD54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5E8CCA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(Spanish) Nov</w:t>
            </w:r>
            <w:r w:rsidRPr="008D291C">
              <w:rPr>
                <w:rFonts w:ascii="Times New Roman" w:hAnsi="Times New Roman"/>
                <w:sz w:val="20"/>
                <w:szCs w:val="20"/>
              </w:rPr>
              <w:t>18</w:t>
            </w:r>
          </w:p>
        </w:tc>
        <w:tc>
          <w:tcPr>
            <w:tcW w:w="2349" w:type="pct"/>
            <w:vMerge/>
            <w:shd w:val="clear" w:color="auto" w:fill="auto"/>
            <w:vAlign w:val="center"/>
          </w:tcPr>
          <w:p w14:paraId="5A3EC7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41D02BB4"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77B12DF"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678FC52F"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118C838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Feb-19</w:t>
            </w:r>
          </w:p>
        </w:tc>
        <w:tc>
          <w:tcPr>
            <w:tcW w:w="2349" w:type="pct"/>
            <w:vMerge/>
            <w:shd w:val="clear" w:color="auto" w:fill="auto"/>
            <w:vAlign w:val="center"/>
          </w:tcPr>
          <w:p w14:paraId="569F8C2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6EFDFF9A"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A295E12" w14:textId="77777777" w:rsidR="00E8096F" w:rsidRPr="008D291C" w:rsidRDefault="00E8096F" w:rsidP="00B44FB0">
            <w:pPr>
              <w:rPr>
                <w:rFonts w:ascii="Times New Roman" w:hAnsi="Times New Roman"/>
                <w:b w:val="0"/>
                <w:sz w:val="20"/>
                <w:szCs w:val="20"/>
              </w:rPr>
            </w:pPr>
          </w:p>
        </w:tc>
        <w:tc>
          <w:tcPr>
            <w:tcW w:w="1162" w:type="pct"/>
            <w:vMerge w:val="restart"/>
            <w:shd w:val="clear" w:color="auto" w:fill="auto"/>
            <w:vAlign w:val="center"/>
          </w:tcPr>
          <w:p w14:paraId="500AD5E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Sound Managemen</w:t>
            </w:r>
            <w:r>
              <w:rPr>
                <w:rFonts w:ascii="Times New Roman" w:hAnsi="Times New Roman"/>
                <w:sz w:val="20"/>
                <w:szCs w:val="20"/>
              </w:rPr>
              <w:t xml:space="preserve">t of </w:t>
            </w: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w:t>
            </w:r>
            <w:r>
              <w:rPr>
                <w:rFonts w:ascii="Times New Roman" w:hAnsi="Times New Roman"/>
                <w:sz w:val="20"/>
                <w:szCs w:val="20"/>
              </w:rPr>
              <w:t>E-l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tcPr>
          <w:p w14:paraId="4ABC879C"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Nov-18</w:t>
            </w:r>
          </w:p>
        </w:tc>
        <w:tc>
          <w:tcPr>
            <w:tcW w:w="2349" w:type="pct"/>
            <w:vMerge w:val="restart"/>
            <w:shd w:val="clear" w:color="auto" w:fill="auto"/>
            <w:vAlign w:val="center"/>
          </w:tcPr>
          <w:p w14:paraId="3DAB483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Servicing technicians and engineers as well as serv</w:t>
            </w:r>
            <w:r>
              <w:rPr>
                <w:rFonts w:ascii="Times New Roman" w:hAnsi="Times New Roman"/>
                <w:sz w:val="20"/>
                <w:szCs w:val="20"/>
              </w:rPr>
              <w:t>icing contractors and building</w:t>
            </w:r>
            <w:r w:rsidRPr="008D291C">
              <w:rPr>
                <w:rFonts w:ascii="Times New Roman" w:hAnsi="Times New Roman"/>
                <w:sz w:val="20"/>
                <w:szCs w:val="20"/>
              </w:rPr>
              <w:t xml:space="preserve"> managers</w:t>
            </w:r>
            <w:r>
              <w:rPr>
                <w:rFonts w:ascii="Times New Roman" w:hAnsi="Times New Roman"/>
                <w:sz w:val="20"/>
                <w:szCs w:val="20"/>
              </w:rPr>
              <w:t>.</w:t>
            </w:r>
          </w:p>
        </w:tc>
      </w:tr>
      <w:tr w:rsidR="00E8096F" w:rsidRPr="00116DA6" w14:paraId="2D4D97CE"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2143BBCC"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3E8836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0AA0EC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(Spanish) Mar-19</w:t>
            </w:r>
          </w:p>
        </w:tc>
        <w:tc>
          <w:tcPr>
            <w:tcW w:w="2349" w:type="pct"/>
            <w:vMerge/>
            <w:shd w:val="clear" w:color="auto" w:fill="auto"/>
            <w:vAlign w:val="center"/>
          </w:tcPr>
          <w:p w14:paraId="5AA955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19AA9D61"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4C576C1"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7669977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4BE38EE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Mar-19</w:t>
            </w:r>
          </w:p>
        </w:tc>
        <w:tc>
          <w:tcPr>
            <w:tcW w:w="2349" w:type="pct"/>
            <w:vMerge/>
            <w:shd w:val="clear" w:color="auto" w:fill="auto"/>
            <w:vAlign w:val="center"/>
          </w:tcPr>
          <w:p w14:paraId="73EE57C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38614789"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hideMark/>
          </w:tcPr>
          <w:p w14:paraId="41644052" w14:textId="77777777" w:rsidR="00E8096F" w:rsidRPr="008D291C" w:rsidRDefault="00E8096F" w:rsidP="00B44FB0">
            <w:pPr>
              <w:rPr>
                <w:rFonts w:ascii="Times New Roman" w:hAnsi="Times New Roman"/>
                <w:b w:val="0"/>
                <w:sz w:val="20"/>
                <w:szCs w:val="20"/>
              </w:rPr>
            </w:pPr>
          </w:p>
        </w:tc>
        <w:tc>
          <w:tcPr>
            <w:tcW w:w="1162" w:type="pct"/>
            <w:shd w:val="clear" w:color="auto" w:fill="auto"/>
            <w:vAlign w:val="center"/>
            <w:hideMark/>
          </w:tcPr>
          <w:p w14:paraId="3E045877"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Management for Future Engineers (University Program)</w:t>
            </w:r>
          </w:p>
        </w:tc>
        <w:tc>
          <w:tcPr>
            <w:tcW w:w="945" w:type="pct"/>
            <w:shd w:val="clear" w:color="auto" w:fill="auto"/>
            <w:vAlign w:val="center"/>
            <w:hideMark/>
          </w:tcPr>
          <w:p w14:paraId="47C29C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hideMark/>
          </w:tcPr>
          <w:p w14:paraId="0FF8019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Engineering students: full-semester elective course on refrigerant management, designed as per academic requirements, offered at engineering universities and colleges.</w:t>
            </w:r>
          </w:p>
        </w:tc>
      </w:tr>
      <w:tr w:rsidR="00E8096F" w:rsidRPr="00116DA6" w14:paraId="16C484CE"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hideMark/>
          </w:tcPr>
          <w:p w14:paraId="0702122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EPEE</w:t>
            </w:r>
          </w:p>
        </w:tc>
        <w:tc>
          <w:tcPr>
            <w:tcW w:w="1162" w:type="pct"/>
            <w:shd w:val="clear" w:color="auto" w:fill="auto"/>
            <w:vAlign w:val="center"/>
            <w:hideMark/>
          </w:tcPr>
          <w:p w14:paraId="757F7BF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HFCs Outlook Model</w:t>
            </w:r>
          </w:p>
        </w:tc>
        <w:tc>
          <w:tcPr>
            <w:tcW w:w="945" w:type="pct"/>
            <w:shd w:val="clear" w:color="auto" w:fill="auto"/>
            <w:vAlign w:val="center"/>
            <w:hideMark/>
          </w:tcPr>
          <w:p w14:paraId="36C4BB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Second</w:t>
            </w:r>
            <w:r w:rsidRPr="008D291C">
              <w:rPr>
                <w:rFonts w:ascii="Times New Roman" w:hAnsi="Times New Roman"/>
                <w:sz w:val="20"/>
                <w:szCs w:val="20"/>
              </w:rPr>
              <w:t xml:space="preserve"> pilot stage ongoing with </w:t>
            </w:r>
            <w:r>
              <w:rPr>
                <w:rFonts w:ascii="Times New Roman" w:hAnsi="Times New Roman"/>
                <w:sz w:val="20"/>
                <w:szCs w:val="20"/>
              </w:rPr>
              <w:t>eight </w:t>
            </w:r>
            <w:r w:rsidRPr="008D291C">
              <w:rPr>
                <w:rFonts w:ascii="Times New Roman" w:hAnsi="Times New Roman"/>
                <w:sz w:val="20"/>
                <w:szCs w:val="20"/>
              </w:rPr>
              <w:t>countries.</w:t>
            </w:r>
            <w:r w:rsidRPr="008D291C">
              <w:rPr>
                <w:rStyle w:val="FootnoteReference"/>
                <w:rFonts w:ascii="Times New Roman" w:hAnsi="Times New Roman"/>
                <w:sz w:val="20"/>
                <w:szCs w:val="20"/>
              </w:rPr>
              <w:footnoteReference w:id="61"/>
            </w:r>
            <w:r w:rsidRPr="008D291C">
              <w:rPr>
                <w:rFonts w:ascii="Times New Roman" w:hAnsi="Times New Roman"/>
                <w:sz w:val="20"/>
                <w:szCs w:val="20"/>
              </w:rPr>
              <w:t xml:space="preserve"> Available to all countries </w:t>
            </w:r>
            <w:r>
              <w:rPr>
                <w:rFonts w:ascii="Times New Roman" w:hAnsi="Times New Roman"/>
                <w:sz w:val="20"/>
                <w:szCs w:val="20"/>
              </w:rPr>
              <w:t xml:space="preserve">in </w:t>
            </w:r>
            <w:r w:rsidRPr="008D291C">
              <w:rPr>
                <w:rFonts w:ascii="Times New Roman" w:hAnsi="Times New Roman"/>
                <w:sz w:val="20"/>
                <w:szCs w:val="20"/>
              </w:rPr>
              <w:t>early 2019</w:t>
            </w:r>
          </w:p>
        </w:tc>
        <w:tc>
          <w:tcPr>
            <w:tcW w:w="2349" w:type="pct"/>
            <w:shd w:val="clear" w:color="auto" w:fill="auto"/>
            <w:vAlign w:val="center"/>
            <w:hideMark/>
          </w:tcPr>
          <w:p w14:paraId="346B631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NOUs </w:t>
            </w:r>
            <w:r>
              <w:rPr>
                <w:rFonts w:ascii="Times New Roman" w:hAnsi="Times New Roman"/>
                <w:sz w:val="20"/>
                <w:szCs w:val="20"/>
              </w:rPr>
              <w:t>that create</w:t>
            </w:r>
            <w:r w:rsidRPr="008D291C">
              <w:rPr>
                <w:rFonts w:ascii="Times New Roman" w:hAnsi="Times New Roman"/>
                <w:sz w:val="20"/>
                <w:szCs w:val="20"/>
              </w:rPr>
              <w:t xml:space="preserve"> </w:t>
            </w:r>
            <w:r>
              <w:rPr>
                <w:rFonts w:ascii="Times New Roman" w:hAnsi="Times New Roman"/>
                <w:sz w:val="20"/>
                <w:szCs w:val="20"/>
              </w:rPr>
              <w:t xml:space="preserve">a </w:t>
            </w:r>
            <w:r w:rsidRPr="008D291C">
              <w:rPr>
                <w:rFonts w:ascii="Times New Roman" w:hAnsi="Times New Roman"/>
                <w:sz w:val="20"/>
                <w:szCs w:val="20"/>
              </w:rPr>
              <w:t>scenario model about HFCs vs. HCFCs projection (as substances and products based on those substances) against MP compliance targets</w:t>
            </w:r>
            <w:r>
              <w:rPr>
                <w:rFonts w:ascii="Times New Roman" w:hAnsi="Times New Roman"/>
                <w:sz w:val="20"/>
                <w:szCs w:val="20"/>
              </w:rPr>
              <w:t>.</w:t>
            </w:r>
          </w:p>
        </w:tc>
      </w:tr>
      <w:tr w:rsidR="00E8096F" w:rsidRPr="00116DA6" w14:paraId="0E49C908"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C278F7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AREA</w:t>
            </w:r>
          </w:p>
        </w:tc>
        <w:tc>
          <w:tcPr>
            <w:tcW w:w="1162" w:type="pct"/>
            <w:shd w:val="clear" w:color="auto" w:fill="auto"/>
            <w:vAlign w:val="center"/>
          </w:tcPr>
          <w:p w14:paraId="64B72C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Universal Training Kit </w:t>
            </w:r>
          </w:p>
        </w:tc>
        <w:tc>
          <w:tcPr>
            <w:tcW w:w="945" w:type="pct"/>
            <w:shd w:val="clear" w:color="auto" w:fill="auto"/>
            <w:vAlign w:val="center"/>
          </w:tcPr>
          <w:p w14:paraId="6244885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Mar-19</w:t>
            </w:r>
          </w:p>
        </w:tc>
        <w:tc>
          <w:tcPr>
            <w:tcW w:w="2349" w:type="pct"/>
            <w:shd w:val="clear" w:color="auto" w:fill="auto"/>
            <w:vAlign w:val="center"/>
          </w:tcPr>
          <w:p w14:paraId="7A2F93E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Training institutes and </w:t>
            </w:r>
            <w:r w:rsidRPr="008D291C">
              <w:rPr>
                <w:rFonts w:ascii="Times New Roman" w:hAnsi="Times New Roman"/>
                <w:sz w:val="20"/>
                <w:szCs w:val="20"/>
              </w:rPr>
              <w:t>centres in A5 countries</w:t>
            </w:r>
            <w:r>
              <w:rPr>
                <w:rFonts w:ascii="Times New Roman" w:hAnsi="Times New Roman"/>
                <w:sz w:val="20"/>
                <w:szCs w:val="20"/>
              </w:rPr>
              <w:t>: the</w:t>
            </w:r>
            <w:r w:rsidRPr="008D291C">
              <w:rPr>
                <w:rFonts w:ascii="Times New Roman" w:hAnsi="Times New Roman"/>
                <w:sz w:val="20"/>
                <w:szCs w:val="20"/>
              </w:rPr>
              <w:t xml:space="preserve"> </w:t>
            </w:r>
            <w:r>
              <w:rPr>
                <w:rFonts w:ascii="Times New Roman" w:hAnsi="Times New Roman"/>
                <w:sz w:val="20"/>
                <w:szCs w:val="20"/>
              </w:rPr>
              <w:t>modular training kit</w:t>
            </w:r>
            <w:r w:rsidRPr="008D291C">
              <w:rPr>
                <w:rFonts w:ascii="Times New Roman" w:hAnsi="Times New Roman"/>
                <w:sz w:val="20"/>
                <w:szCs w:val="20"/>
              </w:rPr>
              <w:t xml:space="preserve"> can be used directly </w:t>
            </w:r>
            <w:r>
              <w:rPr>
                <w:rFonts w:ascii="Times New Roman" w:hAnsi="Times New Roman"/>
                <w:sz w:val="20"/>
                <w:szCs w:val="20"/>
              </w:rPr>
              <w:t>to</w:t>
            </w:r>
            <w:r w:rsidRPr="008D291C">
              <w:rPr>
                <w:rFonts w:ascii="Times New Roman" w:hAnsi="Times New Roman"/>
                <w:sz w:val="20"/>
                <w:szCs w:val="20"/>
              </w:rPr>
              <w:t xml:space="preserve"> build the desired format o</w:t>
            </w:r>
            <w:r>
              <w:rPr>
                <w:rFonts w:ascii="Times New Roman" w:hAnsi="Times New Roman"/>
                <w:sz w:val="20"/>
                <w:szCs w:val="20"/>
              </w:rPr>
              <w:t>f any training course (subject/</w:t>
            </w:r>
            <w:r w:rsidRPr="008D291C">
              <w:rPr>
                <w:rFonts w:ascii="Times New Roman" w:hAnsi="Times New Roman"/>
                <w:sz w:val="20"/>
                <w:szCs w:val="20"/>
              </w:rPr>
              <w:t>target groups/duration) through an online portal</w:t>
            </w:r>
            <w:r>
              <w:rPr>
                <w:rFonts w:ascii="Times New Roman" w:hAnsi="Times New Roman"/>
                <w:sz w:val="20"/>
                <w:szCs w:val="20"/>
              </w:rPr>
              <w:t>.</w:t>
            </w:r>
            <w:r w:rsidRPr="008D291C">
              <w:rPr>
                <w:rFonts w:ascii="Times New Roman" w:hAnsi="Times New Roman"/>
                <w:sz w:val="20"/>
                <w:szCs w:val="20"/>
              </w:rPr>
              <w:t xml:space="preserve"> </w:t>
            </w:r>
          </w:p>
        </w:tc>
      </w:tr>
      <w:tr w:rsidR="00E8096F" w:rsidRPr="00116DA6" w14:paraId="43B5FF61"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FB1EFB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AHRI</w:t>
            </w:r>
          </w:p>
        </w:tc>
        <w:tc>
          <w:tcPr>
            <w:tcW w:w="1162" w:type="pct"/>
            <w:shd w:val="clear" w:color="auto" w:fill="auto"/>
            <w:vAlign w:val="center"/>
          </w:tcPr>
          <w:p w14:paraId="284698C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Driving License (RDL)</w:t>
            </w:r>
          </w:p>
          <w:p w14:paraId="375FB47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6D9B904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Pilot stage</w:t>
            </w:r>
            <w:r w:rsidRPr="008D291C">
              <w:rPr>
                <w:rFonts w:ascii="Times New Roman" w:hAnsi="Times New Roman"/>
                <w:sz w:val="20"/>
                <w:szCs w:val="20"/>
              </w:rPr>
              <w:t xml:space="preserve"> ongoing with </w:t>
            </w:r>
            <w:r>
              <w:rPr>
                <w:rFonts w:ascii="Times New Roman" w:hAnsi="Times New Roman"/>
                <w:sz w:val="20"/>
                <w:szCs w:val="20"/>
              </w:rPr>
              <w:t>six</w:t>
            </w:r>
            <w:r w:rsidRPr="008D291C">
              <w:rPr>
                <w:rFonts w:ascii="Times New Roman" w:hAnsi="Times New Roman"/>
                <w:sz w:val="20"/>
                <w:szCs w:val="20"/>
              </w:rPr>
              <w:t xml:space="preserve"> countries.</w:t>
            </w:r>
            <w:r w:rsidRPr="008D291C">
              <w:rPr>
                <w:rStyle w:val="FootnoteReference"/>
                <w:rFonts w:ascii="Times New Roman" w:hAnsi="Times New Roman"/>
                <w:sz w:val="20"/>
                <w:szCs w:val="20"/>
              </w:rPr>
              <w:footnoteReference w:id="62"/>
            </w:r>
            <w:r w:rsidRPr="008D291C">
              <w:rPr>
                <w:rFonts w:ascii="Times New Roman" w:hAnsi="Times New Roman"/>
                <w:sz w:val="20"/>
                <w:szCs w:val="20"/>
              </w:rPr>
              <w:t xml:space="preserve"> Rollout to all countries expected</w:t>
            </w:r>
            <w:r>
              <w:rPr>
                <w:rFonts w:ascii="Times New Roman" w:hAnsi="Times New Roman"/>
                <w:sz w:val="20"/>
                <w:szCs w:val="20"/>
              </w:rPr>
              <w:t xml:space="preserve"> in</w:t>
            </w:r>
            <w:r w:rsidRPr="008D291C">
              <w:rPr>
                <w:rFonts w:ascii="Times New Roman" w:hAnsi="Times New Roman"/>
                <w:sz w:val="20"/>
                <w:szCs w:val="20"/>
              </w:rPr>
              <w:t xml:space="preserve"> mid</w:t>
            </w:r>
            <w:r>
              <w:rPr>
                <w:rFonts w:ascii="Times New Roman" w:hAnsi="Times New Roman"/>
                <w:sz w:val="20"/>
                <w:szCs w:val="20"/>
              </w:rPr>
              <w:t>-</w:t>
            </w:r>
            <w:r w:rsidRPr="008D291C">
              <w:rPr>
                <w:rFonts w:ascii="Times New Roman" w:hAnsi="Times New Roman"/>
                <w:sz w:val="20"/>
                <w:szCs w:val="20"/>
              </w:rPr>
              <w:t>2019</w:t>
            </w:r>
          </w:p>
        </w:tc>
        <w:tc>
          <w:tcPr>
            <w:tcW w:w="2349" w:type="pct"/>
            <w:shd w:val="clear" w:color="auto" w:fill="auto"/>
            <w:vAlign w:val="center"/>
          </w:tcPr>
          <w:p w14:paraId="03FAB31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Industry stakeholders and governments: global i</w:t>
            </w:r>
            <w:r w:rsidRPr="008D291C">
              <w:rPr>
                <w:rFonts w:ascii="Times New Roman" w:hAnsi="Times New Roman"/>
                <w:sz w:val="20"/>
                <w:szCs w:val="20"/>
              </w:rPr>
              <w:t>ndustry-based qualification program on sound management of refrigerants</w:t>
            </w:r>
            <w:r>
              <w:rPr>
                <w:rFonts w:ascii="Times New Roman" w:hAnsi="Times New Roman"/>
                <w:sz w:val="20"/>
                <w:szCs w:val="20"/>
              </w:rPr>
              <w:t>,</w:t>
            </w:r>
            <w:r w:rsidRPr="008D291C">
              <w:rPr>
                <w:rFonts w:ascii="Times New Roman" w:hAnsi="Times New Roman"/>
                <w:sz w:val="20"/>
                <w:szCs w:val="20"/>
              </w:rPr>
              <w:t xml:space="preserve"> with international certificate recognized by </w:t>
            </w:r>
            <w:r>
              <w:rPr>
                <w:rFonts w:ascii="Times New Roman" w:hAnsi="Times New Roman"/>
                <w:sz w:val="20"/>
                <w:szCs w:val="20"/>
              </w:rPr>
              <w:t xml:space="preserve">the </w:t>
            </w:r>
            <w:r w:rsidRPr="008D291C">
              <w:rPr>
                <w:rFonts w:ascii="Times New Roman" w:hAnsi="Times New Roman"/>
                <w:sz w:val="20"/>
                <w:szCs w:val="20"/>
              </w:rPr>
              <w:t>RAC</w:t>
            </w:r>
            <w:r>
              <w:rPr>
                <w:rFonts w:ascii="Times New Roman" w:hAnsi="Times New Roman"/>
                <w:sz w:val="20"/>
                <w:szCs w:val="20"/>
              </w:rPr>
              <w:t> </w:t>
            </w:r>
            <w:r w:rsidRPr="008D291C">
              <w:rPr>
                <w:rFonts w:ascii="Times New Roman" w:hAnsi="Times New Roman"/>
                <w:sz w:val="20"/>
                <w:szCs w:val="20"/>
              </w:rPr>
              <w:t>industry</w:t>
            </w:r>
            <w:r>
              <w:rPr>
                <w:rFonts w:ascii="Times New Roman" w:hAnsi="Times New Roman"/>
                <w:sz w:val="20"/>
                <w:szCs w:val="20"/>
              </w:rPr>
              <w:t>.</w:t>
            </w:r>
            <w:r w:rsidRPr="008D291C">
              <w:rPr>
                <w:rStyle w:val="FootnoteReference"/>
                <w:rFonts w:ascii="Times New Roman" w:hAnsi="Times New Roman"/>
                <w:sz w:val="20"/>
                <w:szCs w:val="20"/>
              </w:rPr>
              <w:footnoteReference w:id="63"/>
            </w:r>
            <w:r w:rsidRPr="008D291C">
              <w:rPr>
                <w:rFonts w:ascii="Times New Roman" w:hAnsi="Times New Roman"/>
                <w:sz w:val="20"/>
                <w:szCs w:val="20"/>
              </w:rPr>
              <w:t xml:space="preserve"> </w:t>
            </w:r>
          </w:p>
        </w:tc>
      </w:tr>
      <w:tr w:rsidR="00E8096F" w:rsidRPr="00116DA6" w14:paraId="5943494B"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8130DA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JRAIA</w:t>
            </w:r>
          </w:p>
        </w:tc>
        <w:tc>
          <w:tcPr>
            <w:tcW w:w="1162" w:type="pct"/>
            <w:shd w:val="clear" w:color="auto" w:fill="auto"/>
            <w:vAlign w:val="center"/>
          </w:tcPr>
          <w:p w14:paraId="4DFF51E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Risk Assessment Model (Roadmap) for use of flammable refrigerants</w:t>
            </w:r>
          </w:p>
        </w:tc>
        <w:tc>
          <w:tcPr>
            <w:tcW w:w="945" w:type="pct"/>
            <w:shd w:val="clear" w:color="auto" w:fill="auto"/>
            <w:vAlign w:val="center"/>
          </w:tcPr>
          <w:p w14:paraId="56F4DD8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 of PRAHA-II project. R</w:t>
            </w:r>
            <w:r w:rsidRPr="008D291C">
              <w:rPr>
                <w:rFonts w:ascii="Times New Roman" w:hAnsi="Times New Roman"/>
                <w:sz w:val="20"/>
                <w:szCs w:val="20"/>
              </w:rPr>
              <w:t>eady by April 2019</w:t>
            </w:r>
          </w:p>
        </w:tc>
        <w:tc>
          <w:tcPr>
            <w:tcW w:w="2349" w:type="pct"/>
            <w:shd w:val="clear" w:color="auto" w:fill="auto"/>
            <w:vAlign w:val="center"/>
          </w:tcPr>
          <w:p w14:paraId="0AE39E7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Participating countries; all regions of the world with high ambient temperatures: a</w:t>
            </w:r>
            <w:r w:rsidRPr="008D291C">
              <w:rPr>
                <w:rFonts w:ascii="Times New Roman" w:hAnsi="Times New Roman"/>
                <w:sz w:val="20"/>
                <w:szCs w:val="20"/>
              </w:rPr>
              <w:t xml:space="preserve"> roadmap for building local risk assessment model</w:t>
            </w:r>
            <w:r>
              <w:rPr>
                <w:rFonts w:ascii="Times New Roman" w:hAnsi="Times New Roman"/>
                <w:sz w:val="20"/>
                <w:szCs w:val="20"/>
              </w:rPr>
              <w:t>s,</w:t>
            </w:r>
            <w:r w:rsidRPr="008D291C">
              <w:rPr>
                <w:rFonts w:ascii="Times New Roman" w:hAnsi="Times New Roman"/>
                <w:sz w:val="20"/>
                <w:szCs w:val="20"/>
              </w:rPr>
              <w:t xml:space="preserve"> analysing risks and measures to be considered when using flammable refrigerants </w:t>
            </w:r>
            <w:r>
              <w:rPr>
                <w:rFonts w:ascii="Times New Roman" w:hAnsi="Times New Roman"/>
                <w:sz w:val="20"/>
                <w:szCs w:val="20"/>
              </w:rPr>
              <w:t>in</w:t>
            </w:r>
            <w:r w:rsidRPr="008D291C">
              <w:rPr>
                <w:rFonts w:ascii="Times New Roman" w:hAnsi="Times New Roman"/>
                <w:sz w:val="20"/>
                <w:szCs w:val="20"/>
              </w:rPr>
              <w:t xml:space="preserve"> the logistics (non</w:t>
            </w:r>
            <w:r>
              <w:rPr>
                <w:rFonts w:ascii="Times New Roman" w:hAnsi="Times New Roman"/>
                <w:sz w:val="20"/>
                <w:szCs w:val="20"/>
              </w:rPr>
              <w:noBreakHyphen/>
            </w:r>
            <w:r w:rsidRPr="008D291C">
              <w:rPr>
                <w:rFonts w:ascii="Times New Roman" w:hAnsi="Times New Roman"/>
                <w:sz w:val="20"/>
                <w:szCs w:val="20"/>
              </w:rPr>
              <w:t>manufacturing)</w:t>
            </w:r>
            <w:r>
              <w:rPr>
                <w:rFonts w:ascii="Times New Roman" w:hAnsi="Times New Roman"/>
                <w:sz w:val="20"/>
                <w:szCs w:val="20"/>
              </w:rPr>
              <w:t xml:space="preserve"> </w:t>
            </w:r>
            <w:r w:rsidRPr="008D291C">
              <w:rPr>
                <w:rFonts w:ascii="Times New Roman" w:hAnsi="Times New Roman"/>
                <w:sz w:val="20"/>
                <w:szCs w:val="20"/>
              </w:rPr>
              <w:t>process</w:t>
            </w:r>
            <w:r>
              <w:rPr>
                <w:rFonts w:ascii="Times New Roman" w:hAnsi="Times New Roman"/>
                <w:sz w:val="20"/>
                <w:szCs w:val="20"/>
              </w:rPr>
              <w:t>,</w:t>
            </w:r>
            <w:r w:rsidRPr="008D291C">
              <w:rPr>
                <w:rFonts w:ascii="Times New Roman" w:hAnsi="Times New Roman"/>
                <w:sz w:val="20"/>
                <w:szCs w:val="20"/>
              </w:rPr>
              <w:t xml:space="preserve"> i.e.</w:t>
            </w:r>
            <w:r>
              <w:rPr>
                <w:rFonts w:ascii="Times New Roman" w:hAnsi="Times New Roman"/>
                <w:sz w:val="20"/>
                <w:szCs w:val="20"/>
              </w:rPr>
              <w:t> </w:t>
            </w:r>
            <w:r w:rsidRPr="008D291C">
              <w:rPr>
                <w:rFonts w:ascii="Times New Roman" w:hAnsi="Times New Roman"/>
                <w:sz w:val="20"/>
                <w:szCs w:val="20"/>
              </w:rPr>
              <w:t>installation, operation</w:t>
            </w:r>
            <w:r>
              <w:rPr>
                <w:rFonts w:ascii="Times New Roman" w:hAnsi="Times New Roman"/>
                <w:sz w:val="20"/>
                <w:szCs w:val="20"/>
              </w:rPr>
              <w:t xml:space="preserve"> and servicing of residential A</w:t>
            </w:r>
            <w:r w:rsidRPr="008D291C">
              <w:rPr>
                <w:rFonts w:ascii="Times New Roman" w:hAnsi="Times New Roman"/>
                <w:sz w:val="20"/>
                <w:szCs w:val="20"/>
              </w:rPr>
              <w:t>C applications</w:t>
            </w:r>
            <w:r>
              <w:rPr>
                <w:rFonts w:ascii="Times New Roman" w:hAnsi="Times New Roman"/>
                <w:sz w:val="20"/>
                <w:szCs w:val="20"/>
              </w:rPr>
              <w:t>.</w:t>
            </w:r>
          </w:p>
        </w:tc>
      </w:tr>
      <w:tr w:rsidR="00E8096F" w:rsidRPr="00116DA6" w14:paraId="4697D875"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55FAB13" w14:textId="77777777" w:rsidR="00E8096F" w:rsidRPr="008D291C" w:rsidRDefault="00E8096F" w:rsidP="00B44FB0">
            <w:pPr>
              <w:jc w:val="left"/>
              <w:rPr>
                <w:rFonts w:ascii="Times New Roman" w:hAnsi="Times New Roman"/>
                <w:b w:val="0"/>
                <w:sz w:val="20"/>
                <w:szCs w:val="20"/>
              </w:rPr>
            </w:pPr>
            <w:r w:rsidRPr="008D291C">
              <w:rPr>
                <w:rFonts w:ascii="Times New Roman" w:hAnsi="Times New Roman"/>
                <w:b w:val="0"/>
                <w:sz w:val="20"/>
                <w:szCs w:val="20"/>
              </w:rPr>
              <w:t>GFCCC, IIR, FAO &amp; IEA</w:t>
            </w:r>
          </w:p>
        </w:tc>
        <w:tc>
          <w:tcPr>
            <w:tcW w:w="1162" w:type="pct"/>
            <w:shd w:val="clear" w:color="auto" w:fill="auto"/>
            <w:vAlign w:val="center"/>
          </w:tcPr>
          <w:p w14:paraId="4232AFC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Cold Chain Database Model</w:t>
            </w:r>
          </w:p>
        </w:tc>
        <w:tc>
          <w:tcPr>
            <w:tcW w:w="945" w:type="pct"/>
            <w:shd w:val="clear" w:color="auto" w:fill="auto"/>
            <w:vAlign w:val="center"/>
          </w:tcPr>
          <w:p w14:paraId="2D8F124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Feb-19</w:t>
            </w:r>
          </w:p>
        </w:tc>
        <w:tc>
          <w:tcPr>
            <w:tcW w:w="2349" w:type="pct"/>
            <w:shd w:val="clear" w:color="auto" w:fill="auto"/>
            <w:vAlign w:val="center"/>
          </w:tcPr>
          <w:p w14:paraId="64BD2095"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Pr>
                <w:rFonts w:ascii="Times New Roman" w:hAnsi="Times New Roman"/>
                <w:sz w:val="20"/>
                <w:szCs w:val="20"/>
              </w:rPr>
              <w:t>Countries:</w:t>
            </w:r>
            <w:r w:rsidRPr="00734CD8">
              <w:rPr>
                <w:rFonts w:ascii="Times New Roman" w:hAnsi="Times New Roman"/>
                <w:sz w:val="20"/>
                <w:szCs w:val="20"/>
              </w:rPr>
              <w:t xml:space="preserve"> A database model </w:t>
            </w:r>
            <w:r>
              <w:rPr>
                <w:rFonts w:ascii="Times New Roman" w:hAnsi="Times New Roman"/>
                <w:sz w:val="20"/>
                <w:szCs w:val="20"/>
              </w:rPr>
              <w:t xml:space="preserve">assisting </w:t>
            </w:r>
            <w:r w:rsidRPr="00734CD8">
              <w:rPr>
                <w:rFonts w:ascii="Times New Roman" w:hAnsi="Times New Roman"/>
                <w:sz w:val="20"/>
                <w:szCs w:val="20"/>
              </w:rPr>
              <w:t xml:space="preserve">in sorting and classifying cold-chain-related applications for better decision making about technology selection and phase-out/phase-down programs. The model will be offered as a tool that can be used during </w:t>
            </w:r>
            <w:r>
              <w:rPr>
                <w:rFonts w:ascii="Times New Roman" w:hAnsi="Times New Roman"/>
                <w:sz w:val="20"/>
                <w:szCs w:val="20"/>
              </w:rPr>
              <w:t xml:space="preserve">the </w:t>
            </w:r>
            <w:r w:rsidRPr="00734CD8">
              <w:rPr>
                <w:rFonts w:ascii="Times New Roman" w:hAnsi="Times New Roman"/>
                <w:sz w:val="20"/>
                <w:szCs w:val="20"/>
              </w:rPr>
              <w:t>preparation of Stage II of HPMPs, HFC plans and any relevant local surveys</w:t>
            </w:r>
            <w:r>
              <w:rPr>
                <w:rFonts w:ascii="Times New Roman" w:hAnsi="Times New Roman"/>
                <w:sz w:val="20"/>
                <w:szCs w:val="20"/>
              </w:rPr>
              <w:t>.</w:t>
            </w:r>
          </w:p>
        </w:tc>
      </w:tr>
      <w:tr w:rsidR="00E8096F" w:rsidRPr="00116DA6" w14:paraId="41A45A80" w14:textId="77777777" w:rsidTr="00B44FB0">
        <w:trPr>
          <w:trHeight w:val="697"/>
        </w:trPr>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4A57E2A9"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BFS</w:t>
            </w:r>
          </w:p>
        </w:tc>
        <w:tc>
          <w:tcPr>
            <w:tcW w:w="1162" w:type="pct"/>
            <w:shd w:val="clear" w:color="auto" w:fill="auto"/>
            <w:vAlign w:val="center"/>
          </w:tcPr>
          <w:p w14:paraId="289F454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Good Practice Videos &amp; Mobile App</w:t>
            </w:r>
          </w:p>
        </w:tc>
        <w:tc>
          <w:tcPr>
            <w:tcW w:w="945" w:type="pct"/>
            <w:shd w:val="clear" w:color="auto" w:fill="auto"/>
            <w:vAlign w:val="center"/>
          </w:tcPr>
          <w:p w14:paraId="0131DDD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711805D3" w14:textId="77777777" w:rsidR="00E8096F" w:rsidRPr="006757C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57C4">
              <w:rPr>
                <w:rFonts w:ascii="Times New Roman" w:hAnsi="Times New Roman"/>
                <w:sz w:val="20"/>
                <w:szCs w:val="20"/>
              </w:rPr>
              <w:t>T</w:t>
            </w:r>
            <w:r>
              <w:rPr>
                <w:rFonts w:ascii="Times New Roman" w:hAnsi="Times New Roman"/>
                <w:sz w:val="20"/>
                <w:szCs w:val="20"/>
              </w:rPr>
              <w:t>echnicians:</w:t>
            </w:r>
            <w:r w:rsidRPr="006757C4">
              <w:rPr>
                <w:rFonts w:ascii="Times New Roman" w:hAnsi="Times New Roman"/>
                <w:sz w:val="20"/>
                <w:szCs w:val="20"/>
              </w:rPr>
              <w:t xml:space="preserve"> </w:t>
            </w:r>
            <w:r>
              <w:rPr>
                <w:rFonts w:ascii="Times New Roman" w:hAnsi="Times New Roman"/>
                <w:sz w:val="20"/>
                <w:szCs w:val="20"/>
              </w:rPr>
              <w:t>a</w:t>
            </w:r>
            <w:r w:rsidRPr="006757C4">
              <w:rPr>
                <w:rFonts w:ascii="Times New Roman" w:hAnsi="Times New Roman"/>
                <w:sz w:val="20"/>
                <w:szCs w:val="20"/>
              </w:rPr>
              <w:t xml:space="preserve"> mobile app and a set of short educational videos about best practices in refrigeration servicing</w:t>
            </w:r>
            <w:r>
              <w:rPr>
                <w:rFonts w:ascii="Times New Roman" w:hAnsi="Times New Roman"/>
                <w:sz w:val="20"/>
                <w:szCs w:val="20"/>
              </w:rPr>
              <w:t>.</w:t>
            </w:r>
            <w:r w:rsidRPr="006757C4">
              <w:rPr>
                <w:rFonts w:ascii="Times New Roman" w:hAnsi="Times New Roman"/>
                <w:sz w:val="20"/>
                <w:szCs w:val="20"/>
              </w:rPr>
              <w:t xml:space="preserve"> </w:t>
            </w:r>
          </w:p>
        </w:tc>
      </w:tr>
      <w:tr w:rsidR="00E8096F" w:rsidRPr="00116DA6" w14:paraId="697F693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930C6A0"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WCO</w:t>
            </w:r>
          </w:p>
        </w:tc>
        <w:tc>
          <w:tcPr>
            <w:tcW w:w="1162" w:type="pct"/>
            <w:shd w:val="clear" w:color="auto" w:fill="auto"/>
            <w:vAlign w:val="center"/>
          </w:tcPr>
          <w:p w14:paraId="3F40D81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E-Learning</w:t>
            </w:r>
          </w:p>
        </w:tc>
        <w:tc>
          <w:tcPr>
            <w:tcW w:w="945" w:type="pct"/>
            <w:shd w:val="clear" w:color="auto" w:fill="auto"/>
            <w:vAlign w:val="center"/>
          </w:tcPr>
          <w:p w14:paraId="35ADEC4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6C4D388D" w14:textId="77777777" w:rsidR="00E8096F" w:rsidRPr="00234D3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234D34">
              <w:rPr>
                <w:rFonts w:ascii="Times New Roman" w:hAnsi="Times New Roman"/>
                <w:sz w:val="20"/>
                <w:szCs w:val="20"/>
              </w:rPr>
              <w:t>Customs and</w:t>
            </w:r>
            <w:r>
              <w:rPr>
                <w:rFonts w:ascii="Times New Roman" w:hAnsi="Times New Roman"/>
                <w:sz w:val="20"/>
                <w:szCs w:val="20"/>
              </w:rPr>
              <w:t xml:space="preserve"> enforcement officers worldwide:</w:t>
            </w:r>
            <w:r w:rsidRPr="00234D34">
              <w:rPr>
                <w:rFonts w:ascii="Times New Roman" w:hAnsi="Times New Roman"/>
                <w:sz w:val="20"/>
                <w:szCs w:val="20"/>
              </w:rPr>
              <w:t xml:space="preserve"> </w:t>
            </w:r>
            <w:r>
              <w:rPr>
                <w:rFonts w:ascii="Times New Roman" w:hAnsi="Times New Roman"/>
                <w:sz w:val="20"/>
                <w:szCs w:val="20"/>
              </w:rPr>
              <w:t>a</w:t>
            </w:r>
            <w:r w:rsidRPr="00234D34">
              <w:rPr>
                <w:rFonts w:ascii="Times New Roman" w:hAnsi="Times New Roman"/>
                <w:sz w:val="20"/>
                <w:szCs w:val="20"/>
              </w:rPr>
              <w:t xml:space="preserve"> series of interactive training modules on the Montreal Protocol, legal trade facilitation and the prevention of illegal trade in ODS and alternatives. </w:t>
            </w:r>
          </w:p>
        </w:tc>
      </w:tr>
      <w:tr w:rsidR="00E8096F" w:rsidRPr="00116DA6" w14:paraId="4AFCAE5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7F53847"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UNODC / WCO</w:t>
            </w:r>
          </w:p>
        </w:tc>
        <w:tc>
          <w:tcPr>
            <w:tcW w:w="1162" w:type="pct"/>
            <w:shd w:val="clear" w:color="auto" w:fill="auto"/>
            <w:vAlign w:val="center"/>
          </w:tcPr>
          <w:p w14:paraId="757CE3F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Training Manual, Risk profiling guide</w:t>
            </w:r>
          </w:p>
        </w:tc>
        <w:tc>
          <w:tcPr>
            <w:tcW w:w="945" w:type="pct"/>
            <w:shd w:val="clear" w:color="auto" w:fill="auto"/>
            <w:vAlign w:val="center"/>
          </w:tcPr>
          <w:p w14:paraId="534180D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12F7E444"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sidRPr="00234D34">
              <w:rPr>
                <w:rFonts w:ascii="Times New Roman" w:hAnsi="Times New Roman"/>
                <w:sz w:val="20"/>
                <w:szCs w:val="20"/>
              </w:rPr>
              <w:t>Customs office</w:t>
            </w:r>
            <w:r>
              <w:rPr>
                <w:rFonts w:ascii="Times New Roman" w:hAnsi="Times New Roman"/>
                <w:sz w:val="20"/>
                <w:szCs w:val="20"/>
              </w:rPr>
              <w:t>rs:</w:t>
            </w:r>
            <w:r w:rsidRPr="00234D34">
              <w:rPr>
                <w:rFonts w:ascii="Times New Roman" w:hAnsi="Times New Roman"/>
                <w:sz w:val="20"/>
                <w:szCs w:val="20"/>
              </w:rPr>
              <w:t xml:space="preserve"> a comprehensive guide to the Montreal Protocol and illegal trade issues. It provides guidance on the delivery of customs training workshops. The risk profiling guide (in development) provides guidance on applying intelligence-led enforcement to ODS trade.</w:t>
            </w:r>
          </w:p>
        </w:tc>
      </w:tr>
    </w:tbl>
    <w:p w14:paraId="5AB9FF53" w14:textId="77777777" w:rsidR="00E8096F" w:rsidRPr="005D44C8" w:rsidRDefault="00E8096F" w:rsidP="004E7F9C">
      <w:pPr>
        <w:pStyle w:val="StyleHeader4Para4Left0Firstline0"/>
        <w:numPr>
          <w:ilvl w:val="0"/>
          <w:numId w:val="0"/>
        </w:numPr>
        <w:rPr>
          <w:sz w:val="18"/>
          <w:szCs w:val="18"/>
        </w:rPr>
      </w:pPr>
      <w:r w:rsidRPr="005D44C8">
        <w:rPr>
          <w:sz w:val="18"/>
          <w:szCs w:val="18"/>
        </w:rPr>
        <w:t xml:space="preserve">* </w:t>
      </w:r>
      <w:r w:rsidRPr="00D0077E">
        <w:rPr>
          <w:sz w:val="18"/>
          <w:szCs w:val="18"/>
        </w:rPr>
        <w:t>ASHRAE:</w:t>
      </w:r>
      <w:r>
        <w:rPr>
          <w:sz w:val="18"/>
          <w:szCs w:val="18"/>
        </w:rPr>
        <w:t xml:space="preserve"> </w:t>
      </w:r>
      <w:r w:rsidRPr="00D0077E">
        <w:rPr>
          <w:color w:val="222222"/>
          <w:sz w:val="18"/>
          <w:szCs w:val="18"/>
          <w:shd w:val="clear" w:color="auto" w:fill="FFFFFF"/>
        </w:rPr>
        <w:t>American Society of Heating, Refrigerating and Air-Conditioning Engineers</w:t>
      </w:r>
      <w:r>
        <w:rPr>
          <w:color w:val="222222"/>
          <w:sz w:val="18"/>
          <w:szCs w:val="18"/>
          <w:shd w:val="clear" w:color="auto" w:fill="FFFFFF"/>
        </w:rPr>
        <w:t xml:space="preserve">; </w:t>
      </w:r>
      <w:r>
        <w:rPr>
          <w:sz w:val="18"/>
          <w:szCs w:val="18"/>
        </w:rPr>
        <w:t>EPEE: European Partnership</w:t>
      </w:r>
      <w:r w:rsidRPr="005D44C8">
        <w:rPr>
          <w:sz w:val="18"/>
          <w:szCs w:val="18"/>
        </w:rPr>
        <w:t xml:space="preserve"> for Energy and Environment</w:t>
      </w:r>
      <w:r>
        <w:rPr>
          <w:sz w:val="18"/>
          <w:szCs w:val="18"/>
        </w:rPr>
        <w:t>;</w:t>
      </w:r>
      <w:r w:rsidRPr="005D44C8">
        <w:rPr>
          <w:sz w:val="18"/>
          <w:szCs w:val="18"/>
        </w:rPr>
        <w:t xml:space="preserve"> AREA: European association of refrigeration, air conditioning and heat pump (RACHP) contractors</w:t>
      </w:r>
      <w:r>
        <w:rPr>
          <w:sz w:val="18"/>
          <w:szCs w:val="18"/>
        </w:rPr>
        <w:t>;</w:t>
      </w:r>
      <w:r w:rsidRPr="00D0077E">
        <w:rPr>
          <w:sz w:val="18"/>
          <w:szCs w:val="18"/>
        </w:rPr>
        <w:t xml:space="preserve"> </w:t>
      </w:r>
      <w:r w:rsidRPr="005D44C8">
        <w:rPr>
          <w:sz w:val="18"/>
          <w:szCs w:val="18"/>
        </w:rPr>
        <w:t>AHRI: Air</w:t>
      </w:r>
      <w:r>
        <w:rPr>
          <w:sz w:val="18"/>
          <w:szCs w:val="18"/>
        </w:rPr>
        <w:noBreakHyphen/>
      </w:r>
      <w:r w:rsidRPr="005D44C8">
        <w:rPr>
          <w:sz w:val="18"/>
          <w:szCs w:val="18"/>
        </w:rPr>
        <w:t>Conditioning, Heating and Refrigerating Institute</w:t>
      </w:r>
      <w:r>
        <w:rPr>
          <w:sz w:val="18"/>
          <w:szCs w:val="18"/>
        </w:rPr>
        <w:t xml:space="preserve">; JRAIA: </w:t>
      </w:r>
      <w:r w:rsidRPr="00D0077E">
        <w:rPr>
          <w:sz w:val="18"/>
          <w:szCs w:val="18"/>
          <w:shd w:val="clear" w:color="auto" w:fill="FFFFFF"/>
        </w:rPr>
        <w:t>Japan Refrgeration and Air Conditioning Industry Association</w:t>
      </w:r>
      <w:r>
        <w:rPr>
          <w:sz w:val="18"/>
          <w:szCs w:val="18"/>
          <w:shd w:val="clear" w:color="auto" w:fill="FFFFFF"/>
        </w:rPr>
        <w:t>;</w:t>
      </w:r>
      <w:r w:rsidRPr="005D44C8">
        <w:rPr>
          <w:sz w:val="18"/>
          <w:szCs w:val="18"/>
        </w:rPr>
        <w:t xml:space="preserve"> GFCCC: Global Food Cold Chain Council</w:t>
      </w:r>
      <w:r>
        <w:rPr>
          <w:sz w:val="18"/>
          <w:szCs w:val="18"/>
        </w:rPr>
        <w:t>;</w:t>
      </w:r>
      <w:r w:rsidRPr="005D44C8">
        <w:rPr>
          <w:sz w:val="18"/>
          <w:szCs w:val="18"/>
        </w:rPr>
        <w:t xml:space="preserve"> IIR: International Institute of Refrigeration</w:t>
      </w:r>
      <w:r>
        <w:rPr>
          <w:sz w:val="18"/>
          <w:szCs w:val="18"/>
        </w:rPr>
        <w:t>; FAO: Food and Agriculture Organization;</w:t>
      </w:r>
      <w:r w:rsidRPr="005D44C8">
        <w:rPr>
          <w:sz w:val="18"/>
          <w:szCs w:val="18"/>
        </w:rPr>
        <w:t xml:space="preserve"> </w:t>
      </w:r>
      <w:r>
        <w:rPr>
          <w:sz w:val="18"/>
          <w:szCs w:val="18"/>
        </w:rPr>
        <w:t>IEA: International Energy Agency;</w:t>
      </w:r>
      <w:r w:rsidRPr="005D44C8">
        <w:rPr>
          <w:sz w:val="18"/>
          <w:szCs w:val="18"/>
        </w:rPr>
        <w:t xml:space="preserve"> BFS: Bundesf</w:t>
      </w:r>
      <w:r>
        <w:rPr>
          <w:sz w:val="18"/>
          <w:szCs w:val="18"/>
        </w:rPr>
        <w:t>achschule Kälte-Klima-Technik;</w:t>
      </w:r>
      <w:r w:rsidRPr="005D44C8">
        <w:rPr>
          <w:sz w:val="18"/>
          <w:szCs w:val="18"/>
        </w:rPr>
        <w:t xml:space="preserve"> W</w:t>
      </w:r>
      <w:r>
        <w:rPr>
          <w:sz w:val="18"/>
          <w:szCs w:val="18"/>
        </w:rPr>
        <w:t>CO: World Customs Organization;</w:t>
      </w:r>
      <w:r w:rsidRPr="005D44C8">
        <w:rPr>
          <w:sz w:val="18"/>
          <w:szCs w:val="18"/>
        </w:rPr>
        <w:t xml:space="preserve"> UNODC: U</w:t>
      </w:r>
      <w:r>
        <w:rPr>
          <w:sz w:val="18"/>
          <w:szCs w:val="18"/>
        </w:rPr>
        <w:t>N Office of Drugs &amp; Crime</w:t>
      </w:r>
      <w:r w:rsidRPr="005D44C8">
        <w:rPr>
          <w:sz w:val="18"/>
          <w:szCs w:val="18"/>
        </w:rPr>
        <w:t>.</w:t>
      </w:r>
    </w:p>
    <w:p w14:paraId="2C84EF51" w14:textId="77777777" w:rsidR="00E8096F" w:rsidRDefault="00E8096F" w:rsidP="00E8096F">
      <w:pPr>
        <w:pStyle w:val="Heading1"/>
        <w:numPr>
          <w:ilvl w:val="0"/>
          <w:numId w:val="37"/>
        </w:numPr>
      </w:pPr>
      <w:r>
        <w:t>The formal framework of cooperation between UNEP and ASHRAE includes joint international and regional technical events; strengthening refrigeration and air-conditioning associations in Article 5 countries; facilitating access of Article 5 countries to ASHRAE’s knowledge tools; developing joint e</w:t>
      </w:r>
      <w:r>
        <w:noBreakHyphen/>
        <w:t>learning training courses and outreach materials; developing international guidelines (assessment program) for good management of refrigeration and air-conditioning installations; participation in ASHRAE’s refrigeration and research committees to ensure that the needs of Article 5 countries are known to ASHRAE for its standards; research and global activities.</w:t>
      </w:r>
    </w:p>
    <w:p w14:paraId="02DDB9F1" w14:textId="77777777" w:rsidR="00E8096F" w:rsidRDefault="00E8096F" w:rsidP="00E8096F">
      <w:pPr>
        <w:pStyle w:val="Heading1"/>
        <w:numPr>
          <w:ilvl w:val="0"/>
          <w:numId w:val="37"/>
        </w:numPr>
      </w:pPr>
      <w:r>
        <w:t>UNEP has also established partnerships with other international and regional bodies and initiatives, including the Global Refrigerant Management Initiative (GRMI); Bundesfachschule Kälte-Klima-Technik (BFS); the China Household Electric Appliances Association (CHEAA); the China Trust Fund; the Emirates Authority For Standardization and Metrology (ESMA); the European Partnership for Energy and the Environment (EPEE); the Pacific Islands Forum Fisheries Agency (FFA); the Secretariat of the Pacific Community (SPC); the Green Customs Initiative (GCI); the Gulf Cooperation Council (GCC) Secretariat; and the League of Arab States (LAS) Secretariat.</w:t>
      </w:r>
    </w:p>
    <w:p w14:paraId="0F32F8EB" w14:textId="77777777" w:rsidR="00E8096F" w:rsidRPr="00A35FD6" w:rsidRDefault="00E8096F" w:rsidP="00B44FB0"/>
    <w:p w14:paraId="318402DA" w14:textId="77777777" w:rsidR="00E8096F" w:rsidRPr="00EE5986" w:rsidRDefault="00E8096F" w:rsidP="00B44FB0">
      <w:pPr>
        <w:pStyle w:val="StyleHeader4Para4Left0Firstline0"/>
        <w:keepNext/>
        <w:keepLines/>
        <w:numPr>
          <w:ilvl w:val="0"/>
          <w:numId w:val="0"/>
        </w:numPr>
        <w:spacing w:after="0"/>
        <w:jc w:val="center"/>
        <w:rPr>
          <w:b/>
          <w:sz w:val="22"/>
        </w:rPr>
      </w:pPr>
      <w:r w:rsidRPr="00EE5986">
        <w:rPr>
          <w:b/>
          <w:sz w:val="22"/>
        </w:rPr>
        <w:t>Refrigeration servicing sector</w:t>
      </w:r>
      <w:r>
        <w:rPr>
          <w:b/>
          <w:sz w:val="22"/>
        </w:rPr>
        <w:t>:</w:t>
      </w:r>
    </w:p>
    <w:p w14:paraId="306E2782" w14:textId="77777777" w:rsidR="00E8096F" w:rsidRPr="00EE5986" w:rsidRDefault="00E8096F" w:rsidP="00B44FB0">
      <w:pPr>
        <w:pStyle w:val="StyleHeader4Para4Left0Firstline0"/>
        <w:keepNext/>
        <w:keepLines/>
        <w:numPr>
          <w:ilvl w:val="0"/>
          <w:numId w:val="0"/>
        </w:numPr>
        <w:jc w:val="center"/>
        <w:rPr>
          <w:b/>
          <w:sz w:val="22"/>
        </w:rPr>
      </w:pPr>
      <w:r w:rsidRPr="00EE5986">
        <w:rPr>
          <w:b/>
          <w:sz w:val="22"/>
        </w:rPr>
        <w:t>UNEP OzonAction tools, products and services</w:t>
      </w:r>
    </w:p>
    <w:p w14:paraId="0CEE768E" w14:textId="77777777" w:rsidR="00E8096F" w:rsidRPr="00EE5986" w:rsidRDefault="00E8096F" w:rsidP="00B44FB0">
      <w:pPr>
        <w:pStyle w:val="StyleHeader4Para4Left0Firstline0"/>
        <w:keepNext/>
        <w:keepLines/>
        <w:numPr>
          <w:ilvl w:val="0"/>
          <w:numId w:val="0"/>
        </w:numPr>
        <w:rPr>
          <w:b/>
          <w:sz w:val="22"/>
        </w:rPr>
      </w:pPr>
      <w:r w:rsidRPr="00EE5986">
        <w:rPr>
          <w:b/>
          <w:sz w:val="22"/>
        </w:rPr>
        <w:t>Introduction</w:t>
      </w:r>
    </w:p>
    <w:p w14:paraId="3346CE46" w14:textId="77777777" w:rsidR="00E8096F" w:rsidRDefault="00E8096F" w:rsidP="00E8096F">
      <w:pPr>
        <w:pStyle w:val="Heading1"/>
        <w:keepNext/>
        <w:keepLines/>
        <w:numPr>
          <w:ilvl w:val="0"/>
          <w:numId w:val="37"/>
        </w:numPr>
      </w:pPr>
      <w:r>
        <w:t>For the majority of Article 5 countries, the refrigeration servicing sector continues to be the largest, or only, consumer of ODS and is therefore one of the most important sectors being addressed by the Multilateral Fund. The possibility of addressing HCFC phase-out concurrently with the HFC phase-down could potentially allow for a more holistic, robust and comprehensive approach to assist the sector in reducing consumption, ensuring safe handling and optimal equipment operation, thus reducing energy consumption. Servicing technicians and operators need to be properly trained to safely commission, service, repair and decommission equipment based on alternative technologies (flammable, higher</w:t>
      </w:r>
      <w:r>
        <w:noBreakHyphen/>
        <w:t>toxicity, higher</w:t>
      </w:r>
      <w:r>
        <w:noBreakHyphen/>
        <w:t>pressure). HPMPs provide countries with an opportunity to make the right technology choices, in favour of non-HCFC</w:t>
      </w:r>
      <w:r w:rsidRPr="00A35FD6">
        <w:t xml:space="preserve"> </w:t>
      </w:r>
      <w:r>
        <w:t xml:space="preserve">and non-HFC, low-GWP refrigerants. Over the last few years, CAP has widened its scope and outreach to forge new partnerships, supporting activities for sustainable technician training and good servicing practices, as well as a harmonized model RAC certification programme for Multilateral Fund-wide use. </w:t>
      </w:r>
    </w:p>
    <w:p w14:paraId="3E641F1C" w14:textId="77777777" w:rsidR="00E8096F" w:rsidRPr="006A2EB7" w:rsidRDefault="00E8096F" w:rsidP="00E8096F">
      <w:pPr>
        <w:pStyle w:val="Heading1"/>
        <w:numPr>
          <w:ilvl w:val="0"/>
          <w:numId w:val="37"/>
        </w:numPr>
      </w:pPr>
      <w:r>
        <w:t>This document provides an overview and a brief explanation of OzonAction tools, products and services that have already been developed and that are in progress for the refrigeration servicing sector.</w:t>
      </w:r>
    </w:p>
    <w:p w14:paraId="220A3A2F" w14:textId="77777777" w:rsidR="00E8096F" w:rsidRPr="00501088" w:rsidRDefault="00E8096F" w:rsidP="00E8096F">
      <w:pPr>
        <w:pStyle w:val="Header4"/>
        <w:numPr>
          <w:ilvl w:val="0"/>
          <w:numId w:val="35"/>
        </w:numPr>
        <w:rPr>
          <w:b/>
        </w:rPr>
      </w:pPr>
      <w:r w:rsidRPr="00501088">
        <w:rPr>
          <w:b/>
        </w:rPr>
        <w:t>PUBLICATIONS AND GUIDES</w:t>
      </w:r>
    </w:p>
    <w:p w14:paraId="7D66DBB6" w14:textId="77777777" w:rsidR="00E8096F" w:rsidRPr="00501088" w:rsidRDefault="00E8096F" w:rsidP="00B44FB0">
      <w:pPr>
        <w:pStyle w:val="StyleHeader4Para4Left0Firstline0"/>
        <w:numPr>
          <w:ilvl w:val="0"/>
          <w:numId w:val="0"/>
        </w:numPr>
        <w:rPr>
          <w:b/>
          <w:sz w:val="22"/>
        </w:rPr>
      </w:pPr>
      <w:r w:rsidRPr="00501088">
        <w:rPr>
          <w:b/>
          <w:sz w:val="22"/>
        </w:rPr>
        <w:t>Ozone and Climate Benefits in the RAC Sector</w:t>
      </w:r>
    </w:p>
    <w:p w14:paraId="6E07CF9F" w14:textId="77777777" w:rsidR="00E8096F" w:rsidRDefault="00E8096F" w:rsidP="00E8096F">
      <w:pPr>
        <w:pStyle w:val="Heading1"/>
        <w:numPr>
          <w:ilvl w:val="0"/>
          <w:numId w:val="37"/>
        </w:numPr>
      </w:pPr>
      <w:r>
        <w:t xml:space="preserve">A two-volume guide for technical and servicing technicians, and for purchasers/decision makers. The objective is to provide practical guidance on how best practices and operations can be adopted by servicing technicians to achieve ozone and climate benefits, and how these benefits can be measured and evaluated. It also covers issues such as system improvement, reliability, leakage and energy efficiency in the context of installation, commissioning and maintenance. The guide will be available in early 2019. </w:t>
      </w:r>
    </w:p>
    <w:p w14:paraId="3CB5065D" w14:textId="77777777" w:rsidR="00E8096F" w:rsidRPr="00501088" w:rsidRDefault="00E8096F" w:rsidP="00B44FB0">
      <w:pPr>
        <w:pStyle w:val="StyleHeader4Para4Left0Firstline0"/>
        <w:numPr>
          <w:ilvl w:val="0"/>
          <w:numId w:val="0"/>
        </w:numPr>
        <w:rPr>
          <w:b/>
          <w:sz w:val="22"/>
        </w:rPr>
      </w:pPr>
      <w:r w:rsidRPr="00501088">
        <w:rPr>
          <w:b/>
          <w:sz w:val="22"/>
        </w:rPr>
        <w:t>Good Servicing Practices for Flammable Refrigerants: A Quick Guide</w:t>
      </w:r>
    </w:p>
    <w:p w14:paraId="07C20484" w14:textId="77777777" w:rsidR="00E8096F" w:rsidRDefault="00E8096F" w:rsidP="00E8096F">
      <w:pPr>
        <w:pStyle w:val="Heading1"/>
        <w:numPr>
          <w:ilvl w:val="0"/>
          <w:numId w:val="37"/>
        </w:numPr>
      </w:pPr>
      <w:r>
        <w:t xml:space="preserve">The aim of this guide is to provide RAC servicing technicians with quick reference to key safety classifications and technical properties of commercially available flammable refrigerants. Additionally, it provides important safety guidance for the installation and servicing of room air-conditioners designed to use flammable refrigerants. The guide (published in 2018) has been distributed at relevant meetings, and is also available as an interactive e-book for smartphones (details on the OzonAction website). </w:t>
      </w:r>
    </w:p>
    <w:p w14:paraId="3933F08E" w14:textId="77777777" w:rsidR="00E8096F" w:rsidRPr="00501088" w:rsidRDefault="00E8096F" w:rsidP="00B44FB0">
      <w:pPr>
        <w:pStyle w:val="StyleHeader4Para4Left0Firstline0"/>
        <w:numPr>
          <w:ilvl w:val="0"/>
          <w:numId w:val="0"/>
        </w:numPr>
        <w:rPr>
          <w:b/>
          <w:sz w:val="22"/>
        </w:rPr>
      </w:pPr>
      <w:r w:rsidRPr="00501088">
        <w:rPr>
          <w:b/>
          <w:sz w:val="22"/>
        </w:rPr>
        <w:t>Good Servicing Practices: Phasing out HCFCs in the Refrigeration and Air-Conditioning Servicing Sector</w:t>
      </w:r>
    </w:p>
    <w:p w14:paraId="18A03EB2" w14:textId="77777777" w:rsidR="00E8096F" w:rsidRDefault="00E8096F" w:rsidP="00E8096F">
      <w:pPr>
        <w:pStyle w:val="Heading1"/>
        <w:numPr>
          <w:ilvl w:val="0"/>
          <w:numId w:val="37"/>
        </w:numPr>
      </w:pPr>
      <w:r>
        <w:t>The main objective of this guide for trainers is to provide National Ozone Units and refrigeration and air-conditioning training institutes with a standardized module for delivering training programmes under the HCFC Phase-out Management Plan. It can be used together with web-based slides and interactive animated exercises. The guide (published in 2015) is available on the OzonAction website and has been distributed at relevant meetings.</w:t>
      </w:r>
    </w:p>
    <w:p w14:paraId="5691F49A" w14:textId="77777777" w:rsidR="00E8096F" w:rsidRPr="00F3367D" w:rsidRDefault="00E8096F" w:rsidP="00B44FB0">
      <w:pPr>
        <w:pStyle w:val="StyleHeader4Para4Left0Firstline0"/>
        <w:keepNext/>
        <w:keepLines/>
        <w:numPr>
          <w:ilvl w:val="0"/>
          <w:numId w:val="0"/>
        </w:numPr>
        <w:rPr>
          <w:sz w:val="22"/>
        </w:rPr>
      </w:pPr>
      <w:r w:rsidRPr="00F3367D">
        <w:rPr>
          <w:b/>
          <w:sz w:val="22"/>
        </w:rPr>
        <w:t>Safe Use of HCFC Alternatives in Refrigeration and Air-conditioning: An overview for developing</w:t>
      </w:r>
      <w:r w:rsidRPr="00F3367D">
        <w:rPr>
          <w:sz w:val="22"/>
        </w:rPr>
        <w:t xml:space="preserve"> </w:t>
      </w:r>
      <w:r w:rsidRPr="00F3367D">
        <w:rPr>
          <w:b/>
          <w:sz w:val="22"/>
        </w:rPr>
        <w:t xml:space="preserve">countries </w:t>
      </w:r>
    </w:p>
    <w:p w14:paraId="38618BCA" w14:textId="77777777" w:rsidR="00E8096F" w:rsidRDefault="00E8096F" w:rsidP="00E8096F">
      <w:pPr>
        <w:pStyle w:val="Heading1"/>
        <w:keepNext/>
        <w:keepLines/>
        <w:numPr>
          <w:ilvl w:val="0"/>
          <w:numId w:val="37"/>
        </w:numPr>
      </w:pPr>
      <w:r>
        <w:t xml:space="preserve">This publication provides an overview of flammable, higher-toxicity, and high-pressure alternatives to HCFCs and HFCs, their general characteristics and their application in the context of the safety issues. It provides guidance for the National Ozone Units (NOUs), servicing technicians and other interested parties in developing countries on how they can advise and assist national stakeholders in the selection and implementation of alternative refrigerants. The guide (published in 2015) is available on the OzonAction website and has been distributed at relevant meetings. </w:t>
      </w:r>
    </w:p>
    <w:p w14:paraId="113CA80A" w14:textId="77777777" w:rsidR="00E8096F" w:rsidRPr="006A2EB7" w:rsidRDefault="00E8096F" w:rsidP="00B44FB0">
      <w:pPr>
        <w:pStyle w:val="StyleHeader4Para4Left0Firstline0"/>
        <w:keepNext/>
        <w:keepLines/>
        <w:numPr>
          <w:ilvl w:val="0"/>
          <w:numId w:val="0"/>
        </w:numPr>
        <w:rPr>
          <w:b/>
          <w:sz w:val="22"/>
        </w:rPr>
      </w:pPr>
      <w:r w:rsidRPr="006A2EB7">
        <w:rPr>
          <w:b/>
          <w:sz w:val="22"/>
        </w:rPr>
        <w:t xml:space="preserve">International Standards in Refrigeration and Air-Conditioning: An introduction to their role in the context of the HCFC phase-out in developing countries  </w:t>
      </w:r>
    </w:p>
    <w:p w14:paraId="5F075170" w14:textId="77777777" w:rsidR="00E8096F" w:rsidRPr="006A2EB7" w:rsidRDefault="00E8096F" w:rsidP="00E8096F">
      <w:pPr>
        <w:pStyle w:val="Heading1"/>
        <w:keepNext/>
        <w:keepLines/>
        <w:numPr>
          <w:ilvl w:val="0"/>
          <w:numId w:val="37"/>
        </w:numPr>
      </w:pPr>
      <w:r>
        <w:t>This guide provides an introduction to and a simple overview of the issues related to international standards in the refrigeration and air-conditioning sector and how they can be useful in the context of the phase-out of hydrochlorofluorocarbons (HCFCs) in developing countries as required by the Montreal Protocol on Substances that Deplete the Ozone Layer. The guide is available on the OzonAction website and has been distributed at relevant meetings (published in 2014).</w:t>
      </w:r>
    </w:p>
    <w:p w14:paraId="36CC0C4E" w14:textId="77777777" w:rsidR="00E8096F" w:rsidRPr="006A2EB7" w:rsidRDefault="00E8096F" w:rsidP="00E8096F">
      <w:pPr>
        <w:pStyle w:val="Heading1"/>
        <w:keepNext/>
        <w:keepLines/>
        <w:numPr>
          <w:ilvl w:val="0"/>
          <w:numId w:val="35"/>
        </w:numPr>
        <w:rPr>
          <w:b/>
        </w:rPr>
      </w:pPr>
      <w:r>
        <w:rPr>
          <w:b/>
        </w:rPr>
        <w:t>FACT</w:t>
      </w:r>
      <w:r w:rsidRPr="006A2EB7">
        <w:rPr>
          <w:b/>
        </w:rPr>
        <w:t>SHEETS AND INFORMATION NOTES</w:t>
      </w:r>
    </w:p>
    <w:p w14:paraId="4D00E546" w14:textId="77777777" w:rsidR="00E8096F" w:rsidRDefault="00E8096F" w:rsidP="00E8096F">
      <w:pPr>
        <w:pStyle w:val="Heading1"/>
        <w:numPr>
          <w:ilvl w:val="0"/>
          <w:numId w:val="37"/>
        </w:numPr>
      </w:pPr>
      <w:r>
        <w:t xml:space="preserve">Following the adoption of the Kigali Amendment, UNEP's OzonAction prepared a series of factsheets related to policy and technical issues associated with the Kigali Amendment. In addition, the following factsheets, available on the OzonAction website and distributed at relevant meetings, have been developed: </w:t>
      </w:r>
    </w:p>
    <w:p w14:paraId="36689F93" w14:textId="77777777" w:rsidR="00E8096F" w:rsidRDefault="00E8096F" w:rsidP="00E8096F">
      <w:pPr>
        <w:pStyle w:val="Heading2"/>
        <w:numPr>
          <w:ilvl w:val="1"/>
          <w:numId w:val="37"/>
        </w:numPr>
      </w:pPr>
      <w:r w:rsidRPr="006A2EB7">
        <w:rPr>
          <w:i/>
        </w:rPr>
        <w:t>Refrigerant designations</w:t>
      </w:r>
      <w:r>
        <w:t>: produced by ASHRAE in cooperation with UNEP OzonAction, this factsheet provides information on refrigerants’ designation and safety classification. It is updated every six months to indicate refrigerants newly assigned with “r” numbers (ASHRAE designations);</w:t>
      </w:r>
    </w:p>
    <w:p w14:paraId="66BE8884" w14:textId="77777777" w:rsidR="00E8096F" w:rsidRDefault="00E8096F" w:rsidP="00E8096F">
      <w:pPr>
        <w:pStyle w:val="Heading2"/>
        <w:numPr>
          <w:ilvl w:val="1"/>
          <w:numId w:val="37"/>
        </w:numPr>
      </w:pPr>
      <w:r w:rsidRPr="006A2EB7">
        <w:rPr>
          <w:i/>
        </w:rPr>
        <w:t>Safety factsheets</w:t>
      </w:r>
      <w:r>
        <w:t xml:space="preserve">: Three factsheets on the safe use of HCFC alternatives in RAC (flammable refrigerants, higher-pressure refrigerants, higher-toxicity refrigerants); </w:t>
      </w:r>
    </w:p>
    <w:p w14:paraId="3688200C" w14:textId="77777777" w:rsidR="00E8096F" w:rsidRPr="001B7F42" w:rsidRDefault="00E8096F" w:rsidP="00E8096F">
      <w:pPr>
        <w:pStyle w:val="Heading2"/>
        <w:numPr>
          <w:ilvl w:val="1"/>
          <w:numId w:val="37"/>
        </w:numPr>
      </w:pPr>
      <w:r w:rsidRPr="001B7F42">
        <w:rPr>
          <w:i/>
        </w:rPr>
        <w:t>Cold Chain Technology Briefs</w:t>
      </w:r>
      <w:r>
        <w:t>: A series of concise policy briefs for a range of target audiences, including the RSS. The briefs were developed in cooperation with the International Institute of Refrigeration (IIR) and deal with issues such as refrigeration in food production and processing; cold storage and refrigerated warehouses; transport refrigeration; commercial, professional and domestic refrigeration; and fishing vessel application.</w:t>
      </w:r>
    </w:p>
    <w:p w14:paraId="1F423C03" w14:textId="77777777" w:rsidR="00E8096F" w:rsidRPr="0073138E" w:rsidRDefault="00E8096F" w:rsidP="00E8096F">
      <w:pPr>
        <w:pStyle w:val="StyleHeader4Para4Left0Firstline0"/>
        <w:numPr>
          <w:ilvl w:val="0"/>
          <w:numId w:val="35"/>
        </w:numPr>
        <w:rPr>
          <w:b/>
          <w:sz w:val="22"/>
        </w:rPr>
      </w:pPr>
      <w:r w:rsidRPr="0073138E">
        <w:rPr>
          <w:b/>
          <w:sz w:val="22"/>
        </w:rPr>
        <w:t>MOBILE APPLICATIONS, VIDEOS &amp; WEB-BASED TOOLS</w:t>
      </w:r>
    </w:p>
    <w:p w14:paraId="4B04F5CA" w14:textId="77777777" w:rsidR="00E8096F" w:rsidRPr="0073138E" w:rsidRDefault="00E8096F" w:rsidP="00B44FB0">
      <w:pPr>
        <w:pStyle w:val="StyleHeader4Para4Left0Firstline0"/>
        <w:numPr>
          <w:ilvl w:val="0"/>
          <w:numId w:val="0"/>
        </w:numPr>
        <w:rPr>
          <w:b/>
          <w:sz w:val="22"/>
        </w:rPr>
      </w:pPr>
      <w:r w:rsidRPr="0073138E">
        <w:rPr>
          <w:b/>
          <w:sz w:val="22"/>
        </w:rPr>
        <w:t>GWP-ODP Calculator</w:t>
      </w:r>
    </w:p>
    <w:p w14:paraId="185610CA" w14:textId="77777777" w:rsidR="00E8096F" w:rsidRDefault="00E8096F" w:rsidP="00E8096F">
      <w:pPr>
        <w:pStyle w:val="Heading1"/>
        <w:numPr>
          <w:ilvl w:val="0"/>
          <w:numId w:val="37"/>
        </w:numPr>
      </w:pPr>
      <w:r>
        <w:t>This application was designed for the Montreal Protocol National Ozone Units and RSS technicians, and should also be useful for other related stakeholders. The application will automatically perform the conversion between metric tonnes, ODP tonnes and/or CO</w:t>
      </w:r>
      <w:r w:rsidRPr="001B7F42">
        <w:rPr>
          <w:vertAlign w:val="subscript"/>
        </w:rPr>
        <w:t>2</w:t>
      </w:r>
      <w:r>
        <w:t>-equivalent tonnes (or kg), and display the corresponding converted values. The app includes both single-component substances and refrigerant blends; components of mixtures and their relative proportions (metric, ODP, CO</w:t>
      </w:r>
      <w:r w:rsidRPr="001B7F42">
        <w:rPr>
          <w:vertAlign w:val="subscript"/>
        </w:rPr>
        <w:t>2</w:t>
      </w:r>
      <w:r>
        <w:t>-eq) are also displayed. The application can be downloaded (at no cost) from the Google Play Store and iTunes/App Store. It is also available in a web version that can be used from the OzonAction website.</w:t>
      </w:r>
    </w:p>
    <w:p w14:paraId="38CED705" w14:textId="77777777" w:rsidR="00E8096F" w:rsidRPr="0073138E" w:rsidRDefault="00E8096F" w:rsidP="00B44FB0">
      <w:pPr>
        <w:pStyle w:val="StyleHeader4Para4Left0Firstline0"/>
        <w:numPr>
          <w:ilvl w:val="0"/>
          <w:numId w:val="0"/>
        </w:numPr>
        <w:rPr>
          <w:b/>
          <w:sz w:val="22"/>
        </w:rPr>
      </w:pPr>
      <w:r w:rsidRPr="0073138E">
        <w:rPr>
          <w:b/>
          <w:sz w:val="22"/>
        </w:rPr>
        <w:t>“WHAT GAS?”</w:t>
      </w:r>
    </w:p>
    <w:p w14:paraId="721BB926" w14:textId="77777777" w:rsidR="00E8096F" w:rsidRDefault="00E8096F" w:rsidP="00E8096F">
      <w:pPr>
        <w:pStyle w:val="Heading1"/>
        <w:numPr>
          <w:ilvl w:val="0"/>
          <w:numId w:val="37"/>
        </w:numPr>
      </w:pPr>
      <w:r>
        <w:t xml:space="preserve">WHAT GAS? is a searchable chemical database of ODS, HFCs and their alternatives. RSS technicians and other stakeholders can quickly obtain additional information on substances of interest. National Ozone Officers, customs and enforcement officers and other stakeholders will find this tool helpful. WHAT GAS? makes it easy to find the following information on any specific refrigerant and other chemicals: chemical name, formula and type; ASHRAE designation; trade names; HS code; CAS and UN numbers; Montreal Protocol annex and control measures; ozone depleting potential (ODP); global warming potential (GWP); blend components; toxicity and flammability class; and main uses. The application can be downloaded (at no cost) from the Google Play Store and iTunes/App Store. It is also available in a web version that can be used from the OzonAction website. </w:t>
      </w:r>
    </w:p>
    <w:p w14:paraId="2C9ADAF2" w14:textId="77777777" w:rsidR="00E8096F" w:rsidRPr="0073138E" w:rsidRDefault="00E8096F" w:rsidP="00B44FB0">
      <w:pPr>
        <w:pStyle w:val="StyleHeader4Para4Left0Firstline0"/>
        <w:numPr>
          <w:ilvl w:val="0"/>
          <w:numId w:val="0"/>
        </w:numPr>
        <w:rPr>
          <w:b/>
          <w:sz w:val="22"/>
        </w:rPr>
      </w:pPr>
      <w:r w:rsidRPr="0073138E">
        <w:rPr>
          <w:b/>
          <w:sz w:val="22"/>
        </w:rPr>
        <w:t>Refrigeration and Air-conditioning Technician Video Series</w:t>
      </w:r>
    </w:p>
    <w:p w14:paraId="4BCE3E5F" w14:textId="77777777" w:rsidR="00E8096F" w:rsidRDefault="00E8096F" w:rsidP="00E8096F">
      <w:pPr>
        <w:pStyle w:val="Heading1"/>
        <w:numPr>
          <w:ilvl w:val="0"/>
          <w:numId w:val="37"/>
        </w:numPr>
      </w:pPr>
      <w:r>
        <w:t xml:space="preserve">This application consists of a series of short instructional videos on techniques, safety and best practices for refrigeration and air-conditioning (RAC) technicians. It serves as a complementary training tool for technicians to revise and retain the skills acquired during hands-on training. The application can be downloaded (at no cost) from the Google Play Store and iTunes/App Store. </w:t>
      </w:r>
    </w:p>
    <w:p w14:paraId="423B8ECA" w14:textId="77777777" w:rsidR="00E8096F" w:rsidRPr="0073138E" w:rsidRDefault="00E8096F" w:rsidP="00B44FB0">
      <w:pPr>
        <w:pStyle w:val="StyleHeader4Para4Left0Firstline0"/>
        <w:numPr>
          <w:ilvl w:val="0"/>
          <w:numId w:val="0"/>
        </w:numPr>
        <w:rPr>
          <w:b/>
          <w:sz w:val="22"/>
        </w:rPr>
      </w:pPr>
      <w:r w:rsidRPr="0073138E">
        <w:rPr>
          <w:b/>
          <w:sz w:val="22"/>
        </w:rPr>
        <w:t xml:space="preserve">Good Servicing: Flammable Refrigerants Quick Guide </w:t>
      </w:r>
    </w:p>
    <w:p w14:paraId="01E1B1C7" w14:textId="77777777" w:rsidR="00E8096F" w:rsidRDefault="00E8096F" w:rsidP="00E8096F">
      <w:pPr>
        <w:pStyle w:val="Heading1"/>
        <w:numPr>
          <w:ilvl w:val="0"/>
          <w:numId w:val="37"/>
        </w:numPr>
      </w:pPr>
      <w:r>
        <w:t>This application is an electronic, interactive version of the UNEP OzonAction Quick Guide on Good Servicing Practices for Flammable Refrigerants. It offers easy reference to key safety classification and technical properties of flammable refrigerants available on the market. It also provides important safety guidance for the installation and servicing of room air-conditioners designed to use flammable refrigerants. This interactive guide allows the user to scroll and browse the text, jump to specific chapters, or use the comprehensive dynamic index to locate specific keywords, figures and tables. The application also includes a refrigerant charge size calculator and a room size calculator for flammable refrigerants. It can be downloaded (at no cost) from the Google Play Store and iTunes/App Store.</w:t>
      </w:r>
    </w:p>
    <w:p w14:paraId="4A6DE354" w14:textId="77777777" w:rsidR="00E8096F" w:rsidRPr="0073138E" w:rsidRDefault="00E8096F" w:rsidP="00B44FB0">
      <w:pPr>
        <w:pStyle w:val="StyleHeader4Para4Left0Firstline0"/>
        <w:numPr>
          <w:ilvl w:val="0"/>
          <w:numId w:val="0"/>
        </w:numPr>
        <w:rPr>
          <w:b/>
          <w:sz w:val="22"/>
        </w:rPr>
      </w:pPr>
      <w:r w:rsidRPr="0073138E">
        <w:rPr>
          <w:b/>
          <w:sz w:val="22"/>
        </w:rPr>
        <w:t xml:space="preserve">Refrigerant Identifier Video Series </w:t>
      </w:r>
    </w:p>
    <w:p w14:paraId="74B6E4A8" w14:textId="77777777" w:rsidR="00E8096F" w:rsidRPr="003E29B0" w:rsidRDefault="00E8096F" w:rsidP="00E8096F">
      <w:pPr>
        <w:pStyle w:val="Heading1"/>
        <w:numPr>
          <w:ilvl w:val="0"/>
          <w:numId w:val="37"/>
        </w:numPr>
      </w:pPr>
      <w:r>
        <w:t>This application provides guidance on the application of a refrigerant identifier. It consists of short instructional videos showing how to use and maintain a refrigerant identifier. It is intended for use by technicians involved in the servicing and maintenance of refrigeration and air-conditioning systems, Montreal Protocol National Ozone Officers, and Customs and Enforcement Officers. The application will be available for download (at no cost) from the Google Play Store and iTunes/App Store (expected in November 2018).</w:t>
      </w:r>
    </w:p>
    <w:p w14:paraId="276EFB64" w14:textId="77777777" w:rsidR="00E8096F" w:rsidRPr="00EE5986" w:rsidRDefault="00E8096F" w:rsidP="00E8096F">
      <w:pPr>
        <w:pStyle w:val="StyleHeader4Para4Left0Firstline0"/>
        <w:numPr>
          <w:ilvl w:val="0"/>
          <w:numId w:val="35"/>
        </w:numPr>
        <w:rPr>
          <w:b/>
          <w:sz w:val="22"/>
        </w:rPr>
      </w:pPr>
      <w:r w:rsidRPr="00EE5986">
        <w:rPr>
          <w:b/>
          <w:sz w:val="22"/>
        </w:rPr>
        <w:t>ONLINE TRAINING TOOLS</w:t>
      </w:r>
    </w:p>
    <w:p w14:paraId="67AEF6A1" w14:textId="77777777" w:rsidR="00E8096F" w:rsidRPr="003E29B0" w:rsidRDefault="00E8096F" w:rsidP="00B44FB0">
      <w:pPr>
        <w:pStyle w:val="StyleHeader4Para4Left0Firstline0"/>
        <w:numPr>
          <w:ilvl w:val="0"/>
          <w:numId w:val="0"/>
        </w:numPr>
        <w:rPr>
          <w:b/>
          <w:sz w:val="22"/>
        </w:rPr>
      </w:pPr>
      <w:r w:rsidRPr="003E29B0">
        <w:rPr>
          <w:b/>
          <w:sz w:val="22"/>
        </w:rPr>
        <w:t>Refrigerants Literacy e-Learning Course</w:t>
      </w:r>
    </w:p>
    <w:p w14:paraId="3E386D62" w14:textId="77777777" w:rsidR="00E8096F" w:rsidRDefault="00E8096F" w:rsidP="00E8096F">
      <w:pPr>
        <w:pStyle w:val="Heading1"/>
        <w:numPr>
          <w:ilvl w:val="0"/>
          <w:numId w:val="37"/>
        </w:numPr>
      </w:pPr>
      <w:r>
        <w:t>The Refrigerants Literacy e-Learning Course, developed in cooperation with ASHRAE, is the first of its kind for non-specialists. The course is offered to all NOUs and other stakeholders at no cost. The course is currently being translated into Spanish and French and will be offered in both languages by the end of 2018. Feedback on the course has been very positive due to its simplicity and thorough explanations of refrigerant-related issues in a language appropriate to both specialists and non-specialists. The course includes interactive activities, knowledge checks, audio and video, and a final test. The course is mainly designed for non-specialists in HVAC&amp;R operation and servicing, i.e. NOUs, policy makers, procurement officers, building owners, facility managers, etc., but is also recommended for HVAC&amp;R engineers, consultants and technical people who wish to get a general, holistic overview. This course consists of four lessons on refrigerant types, refrigerant classification, refrigerant selection, and refrigerant management. It is available online on the ASHRAE training platform. ASHRAE creates an account, completes enrolment, and sends an email with instructions on how to access the course (details on the OzonAction website).</w:t>
      </w:r>
    </w:p>
    <w:p w14:paraId="15C91BDA" w14:textId="77777777" w:rsidR="00E8096F" w:rsidRPr="003E29B0" w:rsidRDefault="00E8096F" w:rsidP="00B44FB0">
      <w:pPr>
        <w:pStyle w:val="StyleHeader4Para4Left0Firstline0"/>
        <w:keepNext/>
        <w:keepLines/>
        <w:numPr>
          <w:ilvl w:val="0"/>
          <w:numId w:val="0"/>
        </w:numPr>
        <w:rPr>
          <w:b/>
          <w:sz w:val="22"/>
        </w:rPr>
      </w:pPr>
      <w:r w:rsidRPr="003E29B0">
        <w:rPr>
          <w:b/>
          <w:sz w:val="22"/>
        </w:rPr>
        <w:t xml:space="preserve">Sound management of refrigerants </w:t>
      </w:r>
    </w:p>
    <w:p w14:paraId="5F3E261A" w14:textId="77777777" w:rsidR="00E8096F" w:rsidRPr="00CA05A6" w:rsidRDefault="00E8096F" w:rsidP="00E8096F">
      <w:pPr>
        <w:pStyle w:val="Heading1"/>
        <w:keepNext/>
        <w:keepLines/>
        <w:numPr>
          <w:ilvl w:val="0"/>
          <w:numId w:val="37"/>
        </w:numPr>
      </w:pPr>
      <w:r>
        <w:t>Developed in cooperation with ASHRAE, this will be the first e</w:t>
      </w:r>
      <w:r>
        <w:noBreakHyphen/>
        <w:t>learning course for technicians and engineers on the sound management of refrigerants, including all good servicing practices and issues related to new and flammable refrigerants. The course is planned to be completed by the end of 2018.</w:t>
      </w:r>
    </w:p>
    <w:p w14:paraId="6E489E37" w14:textId="77777777" w:rsidR="00E8096F" w:rsidRPr="00CA05A6" w:rsidRDefault="00E8096F" w:rsidP="00E8096F">
      <w:pPr>
        <w:pStyle w:val="StyleHeader4Para4Left0Firstline0"/>
        <w:keepNext/>
        <w:keepLines/>
        <w:numPr>
          <w:ilvl w:val="0"/>
          <w:numId w:val="35"/>
        </w:numPr>
        <w:rPr>
          <w:b/>
          <w:sz w:val="22"/>
        </w:rPr>
      </w:pPr>
      <w:r w:rsidRPr="00CA05A6">
        <w:rPr>
          <w:b/>
          <w:sz w:val="22"/>
        </w:rPr>
        <w:t xml:space="preserve">TRAINING PACKAGES AND PROGRAMS </w:t>
      </w:r>
    </w:p>
    <w:p w14:paraId="72EA9DF6" w14:textId="77777777" w:rsidR="00E8096F" w:rsidRPr="00CA05A6" w:rsidRDefault="00E8096F" w:rsidP="00B44FB0">
      <w:pPr>
        <w:pStyle w:val="StyleHeader4Para4Left0Firstline0"/>
        <w:keepNext/>
        <w:keepLines/>
        <w:numPr>
          <w:ilvl w:val="0"/>
          <w:numId w:val="0"/>
        </w:numPr>
        <w:rPr>
          <w:b/>
          <w:sz w:val="22"/>
        </w:rPr>
      </w:pPr>
      <w:r w:rsidRPr="00CA05A6">
        <w:rPr>
          <w:b/>
          <w:sz w:val="22"/>
        </w:rPr>
        <w:t>Universal Training Kit</w:t>
      </w:r>
    </w:p>
    <w:p w14:paraId="2DBADB7B" w14:textId="77777777" w:rsidR="00E8096F" w:rsidRDefault="00E8096F" w:rsidP="00E8096F">
      <w:pPr>
        <w:pStyle w:val="Heading1"/>
        <w:numPr>
          <w:ilvl w:val="0"/>
          <w:numId w:val="37"/>
        </w:numPr>
      </w:pPr>
      <w:r>
        <w:t>The specialised “Universal Training Kit on Alternative Refrigerants” was developed in cooperation with AREA</w:t>
      </w:r>
      <w:r>
        <w:rPr>
          <w:rStyle w:val="FootnoteReference"/>
        </w:rPr>
        <w:footnoteReference w:id="64"/>
      </w:r>
      <w:r>
        <w:t xml:space="preserve"> for the use of training institutes and centres in developing countries, with the aim of offering state-of-the-art information and knowledge on the best practices and techniques in managing and handling future, mainly flammable, refrigerants in a sound and safe manner. The modular course can be adapted to suit different sectors and sub-sectors (small and medium, domestic and light commercial workshops, commercial AC, large service companies and workshops, mobile AC, commercial refrigeration, plant operators and managers) and focuses on trainers and master trainers. The modules are: general module; hydrocarbons; and low-GWP HFC/HFO. </w:t>
      </w:r>
    </w:p>
    <w:p w14:paraId="7482D3EC" w14:textId="77777777" w:rsidR="00E8096F" w:rsidRPr="00AD0924" w:rsidRDefault="00E8096F" w:rsidP="00E8096F">
      <w:pPr>
        <w:pStyle w:val="Heading1"/>
        <w:numPr>
          <w:ilvl w:val="0"/>
          <w:numId w:val="37"/>
        </w:numPr>
      </w:pPr>
      <w:r>
        <w:t>The course comprises pre-a</w:t>
      </w:r>
      <w:r w:rsidRPr="00AD0924">
        <w:t>ssessment test (to be taken before the training)</w:t>
      </w:r>
      <w:r>
        <w:t>, p</w:t>
      </w:r>
      <w:r w:rsidRPr="00AD0924">
        <w:t>ost-training assessment</w:t>
      </w:r>
      <w:r>
        <w:t>, v</w:t>
      </w:r>
      <w:r w:rsidRPr="00AD0924">
        <w:t>enue requirements for training (</w:t>
      </w:r>
      <w:r>
        <w:t>e</w:t>
      </w:r>
      <w:r w:rsidRPr="00AD0924">
        <w:t xml:space="preserve">quipment, </w:t>
      </w:r>
      <w:r>
        <w:t>t</w:t>
      </w:r>
      <w:r w:rsidRPr="00AD0924">
        <w:t xml:space="preserve">ools, </w:t>
      </w:r>
      <w:r>
        <w:t>a</w:t>
      </w:r>
      <w:r w:rsidRPr="00AD0924">
        <w:t xml:space="preserve">ids, </w:t>
      </w:r>
      <w:r>
        <w:t>c</w:t>
      </w:r>
      <w:r w:rsidRPr="00AD0924">
        <w:t>onsumables, etc.)</w:t>
      </w:r>
      <w:r>
        <w:t>, i</w:t>
      </w:r>
      <w:r w:rsidRPr="00AD0924">
        <w:t>nstructors’ minimum qualification</w:t>
      </w:r>
      <w:r>
        <w:t>; g</w:t>
      </w:r>
      <w:r w:rsidRPr="00AD0924">
        <w:t>uide for the instructor</w:t>
      </w:r>
      <w:r>
        <w:t>; c</w:t>
      </w:r>
      <w:r w:rsidRPr="00AD0924">
        <w:t>hecklists and procedures to start and hold a training course</w:t>
      </w:r>
      <w:r>
        <w:t>; s</w:t>
      </w:r>
      <w:r w:rsidRPr="00AD0924">
        <w:t xml:space="preserve">upporting </w:t>
      </w:r>
      <w:r>
        <w:t>s</w:t>
      </w:r>
      <w:r w:rsidRPr="00AD0924">
        <w:t xml:space="preserve">yllabus, </w:t>
      </w:r>
      <w:r>
        <w:t>t</w:t>
      </w:r>
      <w:r w:rsidRPr="00AD0924">
        <w:t xml:space="preserve">extbook, </w:t>
      </w:r>
      <w:r>
        <w:t>m</w:t>
      </w:r>
      <w:r w:rsidRPr="00AD0924">
        <w:t xml:space="preserve">anuals, </w:t>
      </w:r>
      <w:r>
        <w:t>t</w:t>
      </w:r>
      <w:r w:rsidRPr="00AD0924">
        <w:t xml:space="preserve">ables, </w:t>
      </w:r>
      <w:r>
        <w:t>c</w:t>
      </w:r>
      <w:r w:rsidRPr="00AD0924">
        <w:t>harts</w:t>
      </w:r>
      <w:r>
        <w:t xml:space="preserve">; </w:t>
      </w:r>
      <w:r w:rsidRPr="00AD0924">
        <w:t>PowerPoint presentations for instructors</w:t>
      </w:r>
      <w:r>
        <w:t>; and h</w:t>
      </w:r>
      <w:r w:rsidRPr="00AD0924">
        <w:t>and-out Materials for the attendees</w:t>
      </w:r>
    </w:p>
    <w:p w14:paraId="5A09078F" w14:textId="77777777" w:rsidR="00E8096F" w:rsidRDefault="00E8096F" w:rsidP="00E8096F">
      <w:pPr>
        <w:pStyle w:val="Heading1"/>
        <w:numPr>
          <w:ilvl w:val="0"/>
          <w:numId w:val="37"/>
        </w:numPr>
      </w:pPr>
      <w:r>
        <w:t>The Universal Kit will be offered, starting from 2019, to all NOUs and training institutes in A5 countries. A dedicated website portal will be developed to maximize outreach.</w:t>
      </w:r>
    </w:p>
    <w:p w14:paraId="2773D87C" w14:textId="77777777" w:rsidR="00E8096F" w:rsidRDefault="00E8096F" w:rsidP="00B44FB0">
      <w:pPr>
        <w:pStyle w:val="Heading1"/>
        <w:numPr>
          <w:ilvl w:val="0"/>
          <w:numId w:val="0"/>
        </w:numPr>
      </w:pPr>
      <w:r w:rsidRPr="008E4A4F">
        <w:rPr>
          <w:b/>
        </w:rPr>
        <w:t>The Refrigerant Driving License</w:t>
      </w:r>
    </w:p>
    <w:p w14:paraId="2244D73A" w14:textId="77777777" w:rsidR="00E8096F" w:rsidRDefault="00E8096F" w:rsidP="00E8096F">
      <w:pPr>
        <w:pStyle w:val="Heading1"/>
        <w:numPr>
          <w:ilvl w:val="0"/>
          <w:numId w:val="37"/>
        </w:numPr>
      </w:pPr>
      <w:r>
        <w:t>The objective of the Refrigerant Driving License (RDL), an initiative by UNEP OzonAction and the Air Conditioning, Heating, and Refrigeration Institute (AHRI), is to develop a globally recognised and acceptable qualification program that sets minimum requirements for the proper and safe management of refrigerants in air-conditioning, heating, and refrigeration equipment. In close cooperation with industry and association partners, the initiative will set minimum qualification requirements and seek international recognition of such a program from industry and the governments. The RDL will address the requirements for sound management of different types of current and future refrigerants, including best practices for identifying, handling, charging, recovery and recycling, leak testing, storing, record-keeping, etc. The implementation of the RDL will be achieved through the HVAC&amp;R industry business networks, which over time is expected to lead to its widespread recognition by governments and end users in both public and private sectors. AHRI and UNEP are promoting the RDL to HVAC&amp;R associations via the Global Refrigerant Management Initiative (GRMI) and the International Council of Air-Conditioning, Refrigeration, and Heating Manufacturers Associations (ICARHMA) in order to create the right momentum for a globally accepted qualification program. An Advisory Committee has been formed with industry associations that support the RDL to provide technical advice and ensure that it does not conflict with existing certification schemes.</w:t>
      </w:r>
      <w:r>
        <w:rPr>
          <w:rStyle w:val="FootnoteReference"/>
        </w:rPr>
        <w:footnoteReference w:id="65"/>
      </w:r>
      <w:r>
        <w:t xml:space="preserve"> The RDL program encompasses three categories of equipment: </w:t>
      </w:r>
    </w:p>
    <w:p w14:paraId="46019F2A" w14:textId="77777777" w:rsidR="00E8096F" w:rsidRDefault="00E8096F" w:rsidP="00E8096F">
      <w:pPr>
        <w:pStyle w:val="Heading2"/>
        <w:numPr>
          <w:ilvl w:val="1"/>
          <w:numId w:val="37"/>
        </w:numPr>
      </w:pPr>
      <w:r>
        <w:t>Small Applications;</w:t>
      </w:r>
    </w:p>
    <w:p w14:paraId="4743F8F5" w14:textId="77777777" w:rsidR="00E8096F" w:rsidRDefault="00E8096F" w:rsidP="00E8096F">
      <w:pPr>
        <w:pStyle w:val="Heading2"/>
        <w:numPr>
          <w:ilvl w:val="1"/>
          <w:numId w:val="37"/>
        </w:numPr>
      </w:pPr>
      <w:r>
        <w:t>Commercial Refrigeration;</w:t>
      </w:r>
    </w:p>
    <w:p w14:paraId="15B29BA9" w14:textId="77777777" w:rsidR="00E8096F" w:rsidRDefault="00E8096F" w:rsidP="00E8096F">
      <w:pPr>
        <w:pStyle w:val="Heading2"/>
        <w:numPr>
          <w:ilvl w:val="1"/>
          <w:numId w:val="37"/>
        </w:numPr>
      </w:pPr>
      <w:r>
        <w:t>Commercial AC.</w:t>
      </w:r>
    </w:p>
    <w:p w14:paraId="000A4EE8" w14:textId="77777777" w:rsidR="00E8096F" w:rsidRDefault="00E8096F" w:rsidP="00E8096F">
      <w:pPr>
        <w:pStyle w:val="Heading1"/>
        <w:numPr>
          <w:ilvl w:val="0"/>
          <w:numId w:val="37"/>
        </w:numPr>
      </w:pPr>
      <w:r>
        <w:t>The RDL Pilot Framework is as follows</w:t>
      </w:r>
    </w:p>
    <w:p w14:paraId="2681C9B6" w14:textId="77777777" w:rsidR="00E8096F" w:rsidRPr="00EC3C8B" w:rsidRDefault="00E8096F" w:rsidP="00E8096F">
      <w:pPr>
        <w:pStyle w:val="Heading2"/>
        <w:numPr>
          <w:ilvl w:val="1"/>
          <w:numId w:val="37"/>
        </w:numPr>
      </w:pPr>
      <w:r w:rsidRPr="00EC3C8B">
        <w:t>Sets Competency (Qualification) Level</w:t>
      </w:r>
      <w:r>
        <w:t>;</w:t>
      </w:r>
    </w:p>
    <w:p w14:paraId="5C242422" w14:textId="77777777" w:rsidR="00E8096F" w:rsidRPr="00EC3C8B" w:rsidRDefault="00E8096F" w:rsidP="00E8096F">
      <w:pPr>
        <w:pStyle w:val="Heading2"/>
        <w:numPr>
          <w:ilvl w:val="1"/>
          <w:numId w:val="37"/>
        </w:numPr>
      </w:pPr>
      <w:r w:rsidRPr="00EC3C8B">
        <w:t>Sets Skills/Tasks Documentation</w:t>
      </w:r>
      <w:r>
        <w:t>;</w:t>
      </w:r>
    </w:p>
    <w:p w14:paraId="718B0BBC" w14:textId="77777777" w:rsidR="00E8096F" w:rsidRPr="00EC3C8B" w:rsidRDefault="00E8096F" w:rsidP="00E8096F">
      <w:pPr>
        <w:pStyle w:val="Heading2"/>
        <w:numPr>
          <w:ilvl w:val="1"/>
          <w:numId w:val="37"/>
        </w:numPr>
      </w:pPr>
      <w:r w:rsidRPr="00EC3C8B">
        <w:t>Train the Trainers/Assessors Sessions</w:t>
      </w:r>
      <w:r>
        <w:t>;</w:t>
      </w:r>
    </w:p>
    <w:p w14:paraId="7E4E0DE6" w14:textId="77777777" w:rsidR="00E8096F" w:rsidRPr="00EC3C8B" w:rsidRDefault="00E8096F" w:rsidP="00E8096F">
      <w:pPr>
        <w:pStyle w:val="Heading2"/>
        <w:numPr>
          <w:ilvl w:val="1"/>
          <w:numId w:val="37"/>
        </w:numPr>
      </w:pPr>
      <w:r w:rsidRPr="00EC3C8B">
        <w:t>Technician Training Sessions</w:t>
      </w:r>
      <w:r>
        <w:t>;</w:t>
      </w:r>
    </w:p>
    <w:p w14:paraId="13783242" w14:textId="77777777" w:rsidR="00E8096F" w:rsidRPr="00EC3C8B" w:rsidRDefault="00E8096F" w:rsidP="00E8096F">
      <w:pPr>
        <w:pStyle w:val="Heading2"/>
        <w:numPr>
          <w:ilvl w:val="1"/>
          <w:numId w:val="37"/>
        </w:numPr>
      </w:pPr>
      <w:r w:rsidRPr="00EC3C8B">
        <w:t>Technician Testing</w:t>
      </w:r>
      <w:r>
        <w:t>;</w:t>
      </w:r>
    </w:p>
    <w:p w14:paraId="052CD1A4" w14:textId="77777777" w:rsidR="00E8096F" w:rsidRPr="00EC3C8B" w:rsidRDefault="00E8096F" w:rsidP="00E8096F">
      <w:pPr>
        <w:pStyle w:val="Heading2"/>
        <w:numPr>
          <w:ilvl w:val="1"/>
          <w:numId w:val="37"/>
        </w:numPr>
      </w:pPr>
      <w:r w:rsidRPr="00EC3C8B">
        <w:t>Endorsing the Granting of Certificates</w:t>
      </w:r>
      <w:r>
        <w:t>.</w:t>
      </w:r>
    </w:p>
    <w:p w14:paraId="237334E1" w14:textId="77777777" w:rsidR="00E8096F" w:rsidRDefault="00E8096F" w:rsidP="00E8096F">
      <w:pPr>
        <w:pStyle w:val="Heading1"/>
        <w:keepNext/>
        <w:keepLines/>
        <w:numPr>
          <w:ilvl w:val="0"/>
          <w:numId w:val="37"/>
        </w:numPr>
      </w:pPr>
      <w:r>
        <w:t>Expected outcomes:</w:t>
      </w:r>
    </w:p>
    <w:p w14:paraId="15C06D57" w14:textId="77777777" w:rsidR="00E8096F" w:rsidRDefault="00E8096F" w:rsidP="00E8096F">
      <w:pPr>
        <w:pStyle w:val="Heading2"/>
        <w:keepNext/>
        <w:keepLines/>
        <w:numPr>
          <w:ilvl w:val="1"/>
          <w:numId w:val="37"/>
        </w:numPr>
      </w:pPr>
      <w:r>
        <w:t xml:space="preserve">Minimal global qualification programme for servicing technicians (Refrigerant Driving License) developed, launched and operational; </w:t>
      </w:r>
    </w:p>
    <w:p w14:paraId="122F4EAB" w14:textId="77777777" w:rsidR="00E8096F" w:rsidRDefault="00E8096F" w:rsidP="00E8096F">
      <w:pPr>
        <w:pStyle w:val="Heading2"/>
        <w:keepNext/>
        <w:keepLines/>
        <w:numPr>
          <w:ilvl w:val="1"/>
          <w:numId w:val="37"/>
        </w:numPr>
      </w:pPr>
      <w:r>
        <w:t>Developing a globally acceptable programme that sets out the minimum qualification requirements for the HVAC&amp;R Supply-Chain network whilst at the same time creating the international recognition of such programs by the industry and the governments;</w:t>
      </w:r>
    </w:p>
    <w:p w14:paraId="3BE9A21B" w14:textId="77777777" w:rsidR="00E8096F" w:rsidRDefault="00E8096F" w:rsidP="00E8096F">
      <w:pPr>
        <w:pStyle w:val="Heading2"/>
        <w:numPr>
          <w:ilvl w:val="1"/>
          <w:numId w:val="37"/>
        </w:numPr>
      </w:pPr>
      <w:r>
        <w:t>This unified programme should concomitantly address, but not be limited to, the requirements for sound management of different types of current and future refrigerants;</w:t>
      </w:r>
    </w:p>
    <w:p w14:paraId="0CFCB131" w14:textId="77777777" w:rsidR="00E8096F" w:rsidRDefault="00E8096F" w:rsidP="00E8096F">
      <w:pPr>
        <w:pStyle w:val="Heading2"/>
        <w:numPr>
          <w:ilvl w:val="1"/>
          <w:numId w:val="37"/>
        </w:numPr>
      </w:pPr>
      <w:r>
        <w:t>The global HVAC&amp;R industry will be the catalyst for the programme by ensuring its introduction and enforcement through its business networks;</w:t>
      </w:r>
    </w:p>
    <w:p w14:paraId="3988BF50" w14:textId="62744EB4" w:rsidR="00E8096F" w:rsidRPr="00E8096F" w:rsidRDefault="00E8096F" w:rsidP="00E8096F">
      <w:pPr>
        <w:pStyle w:val="Heading2"/>
        <w:numPr>
          <w:ilvl w:val="1"/>
          <w:numId w:val="37"/>
        </w:numPr>
      </w:pPr>
      <w:r>
        <w:t xml:space="preserve">Resources for the RDL will be sought from different sources including, but not limited to, AHRI, participating associations and societies, and the Multilateral Fund. UNEP foresees that RDL shall be self-sustained in the long term in terms of resources and operation through a business-model concept which will be part of its core operational mechanism. </w:t>
      </w:r>
    </w:p>
    <w:p w14:paraId="4E2032B5" w14:textId="77777777" w:rsidR="00E8096F" w:rsidRPr="00EC3C8B" w:rsidRDefault="00E8096F" w:rsidP="00B44FB0">
      <w:pPr>
        <w:pStyle w:val="StyleHeader4Para4Left0Firstline0"/>
        <w:numPr>
          <w:ilvl w:val="0"/>
          <w:numId w:val="0"/>
        </w:numPr>
        <w:rPr>
          <w:b/>
          <w:sz w:val="22"/>
        </w:rPr>
      </w:pPr>
      <w:r w:rsidRPr="00EC3C8B">
        <w:rPr>
          <w:b/>
          <w:sz w:val="22"/>
        </w:rPr>
        <w:t>The Refrigerant Driving License: Phase II</w:t>
      </w:r>
    </w:p>
    <w:p w14:paraId="44463101" w14:textId="77777777" w:rsidR="00E8096F" w:rsidRDefault="00E8096F" w:rsidP="00E8096F">
      <w:pPr>
        <w:pStyle w:val="Heading1"/>
        <w:numPr>
          <w:ilvl w:val="0"/>
          <w:numId w:val="37"/>
        </w:numPr>
      </w:pPr>
      <w:r>
        <w:t>The next stage of the RDL is to complete the documentation of RDL for other categories (Commercial Refrigeration, Commercial AC and Enterprises) and to finalize the organizational and operational arrangements of the RDL I programme for wider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359"/>
        <w:gridCol w:w="1380"/>
        <w:gridCol w:w="1725"/>
        <w:gridCol w:w="1205"/>
      </w:tblGrid>
      <w:tr w:rsidR="00E8096F" w:rsidRPr="007255D4" w14:paraId="2610347F" w14:textId="77777777" w:rsidTr="00B44FB0">
        <w:trPr>
          <w:trHeight w:val="470"/>
        </w:trPr>
        <w:tc>
          <w:tcPr>
            <w:tcW w:w="3681" w:type="dxa"/>
            <w:vAlign w:val="center"/>
            <w:hideMark/>
          </w:tcPr>
          <w:p w14:paraId="53D2D8BE" w14:textId="77777777" w:rsidR="00E8096F" w:rsidRPr="007255D4" w:rsidRDefault="00E8096F" w:rsidP="00B44FB0">
            <w:pPr>
              <w:jc w:val="center"/>
              <w:rPr>
                <w:b/>
                <w:bCs/>
                <w:sz w:val="20"/>
                <w:szCs w:val="20"/>
              </w:rPr>
            </w:pPr>
            <w:r w:rsidRPr="007255D4">
              <w:rPr>
                <w:b/>
                <w:bCs/>
                <w:kern w:val="24"/>
                <w:sz w:val="20"/>
                <w:szCs w:val="20"/>
              </w:rPr>
              <w:t>Competency Requirements</w:t>
            </w:r>
          </w:p>
        </w:tc>
        <w:tc>
          <w:tcPr>
            <w:tcW w:w="1359" w:type="dxa"/>
            <w:vAlign w:val="center"/>
            <w:hideMark/>
          </w:tcPr>
          <w:p w14:paraId="5AD1C1A5" w14:textId="77777777" w:rsidR="00E8096F" w:rsidRPr="007255D4" w:rsidRDefault="00E8096F" w:rsidP="00B44FB0">
            <w:pPr>
              <w:jc w:val="center"/>
              <w:rPr>
                <w:b/>
                <w:bCs/>
                <w:sz w:val="20"/>
                <w:szCs w:val="20"/>
              </w:rPr>
            </w:pPr>
            <w:r w:rsidRPr="007255D4">
              <w:rPr>
                <w:b/>
                <w:bCs/>
                <w:kern w:val="24"/>
                <w:sz w:val="20"/>
                <w:szCs w:val="20"/>
              </w:rPr>
              <w:t>(A)</w:t>
            </w:r>
          </w:p>
          <w:p w14:paraId="3BFEC1DD" w14:textId="77777777" w:rsidR="00E8096F" w:rsidRPr="007255D4" w:rsidRDefault="00E8096F" w:rsidP="00B44FB0">
            <w:pPr>
              <w:jc w:val="center"/>
              <w:rPr>
                <w:b/>
                <w:bCs/>
                <w:sz w:val="20"/>
                <w:szCs w:val="20"/>
              </w:rPr>
            </w:pPr>
            <w:r w:rsidRPr="007255D4">
              <w:rPr>
                <w:b/>
                <w:bCs/>
                <w:kern w:val="24"/>
                <w:sz w:val="20"/>
                <w:szCs w:val="20"/>
              </w:rPr>
              <w:t>Small Applications</w:t>
            </w:r>
          </w:p>
        </w:tc>
        <w:tc>
          <w:tcPr>
            <w:tcW w:w="1380" w:type="dxa"/>
            <w:vAlign w:val="center"/>
            <w:hideMark/>
          </w:tcPr>
          <w:p w14:paraId="37601CD8" w14:textId="77777777" w:rsidR="00E8096F" w:rsidRPr="007255D4" w:rsidRDefault="00E8096F" w:rsidP="00B44FB0">
            <w:pPr>
              <w:jc w:val="center"/>
              <w:rPr>
                <w:b/>
                <w:bCs/>
                <w:sz w:val="20"/>
                <w:szCs w:val="20"/>
              </w:rPr>
            </w:pPr>
            <w:r w:rsidRPr="007255D4">
              <w:rPr>
                <w:b/>
                <w:bCs/>
                <w:kern w:val="24"/>
                <w:sz w:val="20"/>
                <w:szCs w:val="20"/>
              </w:rPr>
              <w:t>(B)</w:t>
            </w:r>
          </w:p>
          <w:p w14:paraId="7D3F50F9" w14:textId="77777777" w:rsidR="00E8096F" w:rsidRPr="006757C4" w:rsidRDefault="00E8096F" w:rsidP="00B44FB0">
            <w:pPr>
              <w:jc w:val="center"/>
              <w:rPr>
                <w:b/>
                <w:bCs/>
                <w:kern w:val="24"/>
                <w:sz w:val="20"/>
                <w:szCs w:val="20"/>
              </w:rPr>
            </w:pPr>
            <w:r>
              <w:rPr>
                <w:b/>
                <w:bCs/>
                <w:kern w:val="24"/>
                <w:sz w:val="20"/>
                <w:szCs w:val="20"/>
              </w:rPr>
              <w:t>Commercial A</w:t>
            </w:r>
            <w:r w:rsidRPr="007255D4">
              <w:rPr>
                <w:b/>
                <w:bCs/>
                <w:kern w:val="24"/>
                <w:sz w:val="20"/>
                <w:szCs w:val="20"/>
              </w:rPr>
              <w:t>C</w:t>
            </w:r>
          </w:p>
        </w:tc>
        <w:tc>
          <w:tcPr>
            <w:tcW w:w="0" w:type="auto"/>
            <w:vAlign w:val="center"/>
            <w:hideMark/>
          </w:tcPr>
          <w:p w14:paraId="01125DBE" w14:textId="77777777" w:rsidR="00E8096F" w:rsidRPr="007255D4" w:rsidRDefault="00E8096F" w:rsidP="00B44FB0">
            <w:pPr>
              <w:jc w:val="center"/>
              <w:rPr>
                <w:b/>
                <w:bCs/>
                <w:sz w:val="20"/>
                <w:szCs w:val="20"/>
              </w:rPr>
            </w:pPr>
            <w:r w:rsidRPr="007255D4">
              <w:rPr>
                <w:b/>
                <w:bCs/>
                <w:kern w:val="24"/>
                <w:sz w:val="20"/>
                <w:szCs w:val="20"/>
              </w:rPr>
              <w:t>(C)</w:t>
            </w:r>
          </w:p>
          <w:p w14:paraId="38A2EA1C" w14:textId="77777777" w:rsidR="00E8096F" w:rsidRPr="007255D4" w:rsidRDefault="00E8096F" w:rsidP="00B44FB0">
            <w:pPr>
              <w:jc w:val="center"/>
              <w:rPr>
                <w:b/>
                <w:bCs/>
                <w:sz w:val="20"/>
                <w:szCs w:val="20"/>
              </w:rPr>
            </w:pPr>
            <w:r w:rsidRPr="007255D4">
              <w:rPr>
                <w:b/>
                <w:bCs/>
                <w:kern w:val="24"/>
                <w:sz w:val="20"/>
                <w:szCs w:val="20"/>
              </w:rPr>
              <w:t>Commercial Refrigeration</w:t>
            </w:r>
          </w:p>
        </w:tc>
        <w:tc>
          <w:tcPr>
            <w:tcW w:w="0" w:type="auto"/>
            <w:vAlign w:val="center"/>
            <w:hideMark/>
          </w:tcPr>
          <w:p w14:paraId="5CFC14D4" w14:textId="77777777" w:rsidR="00E8096F" w:rsidRPr="007255D4" w:rsidRDefault="00E8096F" w:rsidP="00B44FB0">
            <w:pPr>
              <w:jc w:val="center"/>
              <w:rPr>
                <w:b/>
                <w:bCs/>
                <w:sz w:val="20"/>
                <w:szCs w:val="20"/>
              </w:rPr>
            </w:pPr>
            <w:r w:rsidRPr="007255D4">
              <w:rPr>
                <w:b/>
                <w:bCs/>
                <w:kern w:val="24"/>
                <w:sz w:val="20"/>
                <w:szCs w:val="20"/>
              </w:rPr>
              <w:t>(D)</w:t>
            </w:r>
          </w:p>
          <w:p w14:paraId="4DB7FA75" w14:textId="77777777" w:rsidR="00E8096F" w:rsidRPr="007255D4" w:rsidRDefault="00E8096F" w:rsidP="00B44FB0">
            <w:pPr>
              <w:jc w:val="center"/>
              <w:rPr>
                <w:b/>
                <w:bCs/>
                <w:kern w:val="24"/>
                <w:sz w:val="20"/>
                <w:szCs w:val="20"/>
              </w:rPr>
            </w:pPr>
            <w:r w:rsidRPr="007255D4">
              <w:rPr>
                <w:b/>
                <w:bCs/>
                <w:kern w:val="24"/>
                <w:sz w:val="20"/>
                <w:szCs w:val="20"/>
              </w:rPr>
              <w:t>Enterprises</w:t>
            </w:r>
          </w:p>
        </w:tc>
      </w:tr>
      <w:tr w:rsidR="00E8096F" w:rsidRPr="007255D4" w14:paraId="55D12526" w14:textId="77777777" w:rsidTr="00B44FB0">
        <w:trPr>
          <w:trHeight w:val="595"/>
        </w:trPr>
        <w:tc>
          <w:tcPr>
            <w:tcW w:w="3681" w:type="dxa"/>
            <w:vAlign w:val="center"/>
            <w:hideMark/>
          </w:tcPr>
          <w:p w14:paraId="56BAA562" w14:textId="77777777" w:rsidR="00E8096F" w:rsidRPr="007255D4" w:rsidRDefault="00E8096F" w:rsidP="00B44FB0">
            <w:pPr>
              <w:jc w:val="left"/>
              <w:rPr>
                <w:bCs/>
                <w:sz w:val="20"/>
                <w:szCs w:val="20"/>
              </w:rPr>
            </w:pPr>
            <w:r w:rsidRPr="007255D4">
              <w:rPr>
                <w:bCs/>
                <w:kern w:val="24"/>
                <w:sz w:val="20"/>
                <w:szCs w:val="20"/>
              </w:rPr>
              <w:t xml:space="preserve">Basic </w:t>
            </w:r>
            <w:r>
              <w:rPr>
                <w:bCs/>
                <w:kern w:val="24"/>
                <w:sz w:val="20"/>
                <w:szCs w:val="20"/>
              </w:rPr>
              <w:t xml:space="preserve">knowledge (environment, refrigerant classification </w:t>
            </w:r>
            <w:r w:rsidRPr="007255D4">
              <w:rPr>
                <w:bCs/>
                <w:kern w:val="24"/>
                <w:sz w:val="20"/>
                <w:szCs w:val="20"/>
              </w:rPr>
              <w:t>/</w:t>
            </w:r>
            <w:r>
              <w:rPr>
                <w:bCs/>
                <w:kern w:val="24"/>
                <w:sz w:val="20"/>
                <w:szCs w:val="20"/>
              </w:rPr>
              <w:t xml:space="preserve"> </w:t>
            </w:r>
            <w:r w:rsidRPr="007255D4">
              <w:rPr>
                <w:bCs/>
                <w:kern w:val="24"/>
                <w:sz w:val="20"/>
                <w:szCs w:val="20"/>
              </w:rPr>
              <w:t>types, applications and relevant policies)</w:t>
            </w:r>
          </w:p>
        </w:tc>
        <w:tc>
          <w:tcPr>
            <w:tcW w:w="1359" w:type="dxa"/>
            <w:vAlign w:val="center"/>
            <w:hideMark/>
          </w:tcPr>
          <w:p w14:paraId="516771C0"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0883A1BA"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CE0214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7D699048"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887B460" w14:textId="77777777" w:rsidTr="00B44FB0">
        <w:trPr>
          <w:trHeight w:val="340"/>
        </w:trPr>
        <w:tc>
          <w:tcPr>
            <w:tcW w:w="3681" w:type="dxa"/>
            <w:vAlign w:val="center"/>
            <w:hideMark/>
          </w:tcPr>
          <w:p w14:paraId="538AFA8B" w14:textId="77777777" w:rsidR="00E8096F" w:rsidRPr="007255D4" w:rsidRDefault="00E8096F" w:rsidP="00B44FB0">
            <w:pPr>
              <w:jc w:val="left"/>
              <w:rPr>
                <w:bCs/>
                <w:sz w:val="20"/>
                <w:szCs w:val="20"/>
              </w:rPr>
            </w:pPr>
            <w:r w:rsidRPr="007255D4">
              <w:rPr>
                <w:bCs/>
                <w:kern w:val="24"/>
                <w:sz w:val="20"/>
                <w:szCs w:val="20"/>
              </w:rPr>
              <w:t>Handling, transportation, storag</w:t>
            </w:r>
            <w:r>
              <w:rPr>
                <w:bCs/>
                <w:kern w:val="24"/>
                <w:sz w:val="20"/>
                <w:szCs w:val="20"/>
              </w:rPr>
              <w:t>e and management of refrigerant</w:t>
            </w:r>
            <w:r w:rsidRPr="007255D4">
              <w:rPr>
                <w:bCs/>
                <w:kern w:val="24"/>
                <w:sz w:val="20"/>
                <w:szCs w:val="20"/>
              </w:rPr>
              <w:t xml:space="preserve"> containers</w:t>
            </w:r>
          </w:p>
        </w:tc>
        <w:tc>
          <w:tcPr>
            <w:tcW w:w="1359" w:type="dxa"/>
            <w:vAlign w:val="center"/>
            <w:hideMark/>
          </w:tcPr>
          <w:p w14:paraId="15BA9B3D"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32E2267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28EB4D26"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5FB6612"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AA638AE" w14:textId="77777777" w:rsidTr="00B44FB0">
        <w:trPr>
          <w:trHeight w:val="450"/>
        </w:trPr>
        <w:tc>
          <w:tcPr>
            <w:tcW w:w="3681" w:type="dxa"/>
            <w:vAlign w:val="center"/>
            <w:hideMark/>
          </w:tcPr>
          <w:p w14:paraId="091FC00A" w14:textId="77777777" w:rsidR="00E8096F" w:rsidRPr="007255D4" w:rsidRDefault="00E8096F" w:rsidP="00B44FB0">
            <w:pPr>
              <w:jc w:val="left"/>
              <w:rPr>
                <w:bCs/>
                <w:sz w:val="20"/>
                <w:szCs w:val="20"/>
              </w:rPr>
            </w:pPr>
            <w:r w:rsidRPr="007255D4">
              <w:rPr>
                <w:bCs/>
                <w:kern w:val="24"/>
                <w:sz w:val="20"/>
                <w:szCs w:val="20"/>
              </w:rPr>
              <w:t>Servicing skills of leak detection, R&amp;R, evacuation, charging and system tightness</w:t>
            </w:r>
          </w:p>
        </w:tc>
        <w:tc>
          <w:tcPr>
            <w:tcW w:w="1359" w:type="dxa"/>
            <w:vAlign w:val="center"/>
            <w:hideMark/>
          </w:tcPr>
          <w:p w14:paraId="2216E82C"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63D59DB9"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1510B5D3"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D1C1D8B" w14:textId="77777777" w:rsidR="00E8096F" w:rsidRPr="007255D4" w:rsidRDefault="00E8096F" w:rsidP="00B44FB0">
            <w:pPr>
              <w:jc w:val="center"/>
              <w:rPr>
                <w:sz w:val="20"/>
                <w:szCs w:val="20"/>
              </w:rPr>
            </w:pPr>
            <w:r w:rsidRPr="007255D4">
              <w:rPr>
                <w:kern w:val="24"/>
                <w:sz w:val="20"/>
                <w:szCs w:val="20"/>
              </w:rPr>
              <w:t> </w:t>
            </w:r>
          </w:p>
        </w:tc>
      </w:tr>
      <w:tr w:rsidR="00E8096F" w:rsidRPr="007255D4" w14:paraId="222AB24C" w14:textId="77777777" w:rsidTr="00B44FB0">
        <w:trPr>
          <w:trHeight w:val="260"/>
        </w:trPr>
        <w:tc>
          <w:tcPr>
            <w:tcW w:w="3681" w:type="dxa"/>
            <w:vAlign w:val="center"/>
            <w:hideMark/>
          </w:tcPr>
          <w:p w14:paraId="55D96D96" w14:textId="77777777" w:rsidR="00E8096F" w:rsidRPr="007255D4" w:rsidRDefault="00E8096F" w:rsidP="00B44FB0">
            <w:pPr>
              <w:jc w:val="left"/>
              <w:rPr>
                <w:bCs/>
                <w:sz w:val="20"/>
                <w:szCs w:val="20"/>
              </w:rPr>
            </w:pPr>
            <w:r>
              <w:rPr>
                <w:bCs/>
                <w:kern w:val="24"/>
                <w:sz w:val="20"/>
                <w:szCs w:val="20"/>
              </w:rPr>
              <w:t>Logging and record k</w:t>
            </w:r>
            <w:r w:rsidRPr="007255D4">
              <w:rPr>
                <w:bCs/>
                <w:kern w:val="24"/>
                <w:sz w:val="20"/>
                <w:szCs w:val="20"/>
              </w:rPr>
              <w:t>eeping</w:t>
            </w:r>
          </w:p>
        </w:tc>
        <w:tc>
          <w:tcPr>
            <w:tcW w:w="1359" w:type="dxa"/>
            <w:vAlign w:val="center"/>
            <w:hideMark/>
          </w:tcPr>
          <w:p w14:paraId="114DEF6F"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75E723E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F5A3A8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03850C04"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006BACC" w14:textId="77777777" w:rsidTr="00B44FB0">
        <w:trPr>
          <w:trHeight w:val="260"/>
        </w:trPr>
        <w:tc>
          <w:tcPr>
            <w:tcW w:w="3681" w:type="dxa"/>
            <w:vAlign w:val="center"/>
            <w:hideMark/>
          </w:tcPr>
          <w:p w14:paraId="5B06D3F7" w14:textId="77777777" w:rsidR="00E8096F" w:rsidRPr="007255D4" w:rsidRDefault="00E8096F" w:rsidP="00B44FB0">
            <w:pPr>
              <w:jc w:val="left"/>
              <w:rPr>
                <w:bCs/>
                <w:sz w:val="20"/>
                <w:szCs w:val="20"/>
              </w:rPr>
            </w:pPr>
            <w:r w:rsidRPr="007255D4">
              <w:rPr>
                <w:bCs/>
                <w:kern w:val="24"/>
                <w:sz w:val="20"/>
                <w:szCs w:val="20"/>
              </w:rPr>
              <w:t>Tools and equipment for the job</w:t>
            </w:r>
          </w:p>
        </w:tc>
        <w:tc>
          <w:tcPr>
            <w:tcW w:w="1359" w:type="dxa"/>
            <w:vAlign w:val="center"/>
            <w:hideMark/>
          </w:tcPr>
          <w:p w14:paraId="2FFE9A13"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5569A19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50692420"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C9BCCA5"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BEBA64C" w14:textId="77777777" w:rsidTr="00B44FB0">
        <w:trPr>
          <w:trHeight w:val="260"/>
        </w:trPr>
        <w:tc>
          <w:tcPr>
            <w:tcW w:w="3681" w:type="dxa"/>
            <w:vAlign w:val="center"/>
            <w:hideMark/>
          </w:tcPr>
          <w:p w14:paraId="0D38EA78" w14:textId="77777777" w:rsidR="00E8096F" w:rsidRPr="007255D4" w:rsidRDefault="00E8096F" w:rsidP="00B44FB0">
            <w:pPr>
              <w:jc w:val="left"/>
              <w:rPr>
                <w:bCs/>
                <w:sz w:val="20"/>
                <w:szCs w:val="20"/>
              </w:rPr>
            </w:pPr>
            <w:r>
              <w:rPr>
                <w:bCs/>
                <w:kern w:val="24"/>
                <w:sz w:val="20"/>
                <w:szCs w:val="20"/>
              </w:rPr>
              <w:t>Employment s</w:t>
            </w:r>
            <w:r w:rsidRPr="007255D4">
              <w:rPr>
                <w:bCs/>
                <w:kern w:val="24"/>
                <w:sz w:val="20"/>
                <w:szCs w:val="20"/>
              </w:rPr>
              <w:t>kills, training and certification</w:t>
            </w:r>
          </w:p>
        </w:tc>
        <w:tc>
          <w:tcPr>
            <w:tcW w:w="1359" w:type="dxa"/>
            <w:vAlign w:val="center"/>
            <w:hideMark/>
          </w:tcPr>
          <w:p w14:paraId="5B87C693"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02D9CC19"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787794A0"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1E8DAB26" w14:textId="77777777" w:rsidR="00E8096F" w:rsidRPr="007255D4" w:rsidRDefault="00E8096F" w:rsidP="00B44FB0">
            <w:pPr>
              <w:jc w:val="center"/>
              <w:rPr>
                <w:sz w:val="20"/>
                <w:szCs w:val="20"/>
              </w:rPr>
            </w:pPr>
            <w:r w:rsidRPr="007255D4">
              <w:rPr>
                <w:kern w:val="24"/>
                <w:sz w:val="20"/>
                <w:szCs w:val="20"/>
              </w:rPr>
              <w:t>X</w:t>
            </w:r>
          </w:p>
        </w:tc>
      </w:tr>
    </w:tbl>
    <w:p w14:paraId="5A57951D" w14:textId="77777777" w:rsidR="00E8096F" w:rsidRDefault="00E8096F" w:rsidP="00B44FB0"/>
    <w:p w14:paraId="6D005BC4" w14:textId="77777777" w:rsidR="00E8096F" w:rsidRPr="00D574AC" w:rsidRDefault="00E8096F" w:rsidP="00B44FB0">
      <w:pPr>
        <w:rPr>
          <w:b/>
        </w:rPr>
      </w:pPr>
      <w:r w:rsidRPr="00D574AC">
        <w:rPr>
          <w:b/>
        </w:rPr>
        <w:t>Refrigerant Management: Special Course for Future Engineers</w:t>
      </w:r>
    </w:p>
    <w:p w14:paraId="41CD4D10" w14:textId="77777777" w:rsidR="00E8096F" w:rsidRDefault="00E8096F" w:rsidP="00B44FB0"/>
    <w:p w14:paraId="7C123726" w14:textId="77777777" w:rsidR="00E8096F" w:rsidRDefault="00E8096F" w:rsidP="00E8096F">
      <w:pPr>
        <w:pStyle w:val="Heading1"/>
        <w:numPr>
          <w:ilvl w:val="0"/>
          <w:numId w:val="37"/>
        </w:numPr>
      </w:pPr>
      <w:r>
        <w:t>The objective of this course, developed in cooperation with the American University in Beirut, is to support the engineering education process at various engineering institutes and colleges by acquainting future engineers with the knowledge and skills required to manage refrigerants soundly, as well as understand the technical and policy aspects associated with the refrigeration and air-conditioning industry. This special course is the first of its kind concerning refrigerant management that offers comprehensive scientific information and knowledge suitable for the academic level. The course was developed in accordance with academic requirements for engineering universities and colleges and it includes a complete set of lecture notes, presentations and activity sheets for a full-semester course (16 weeks). Through cooperation with ASHRAE and its university network of more than 450 engineering colleges and institutes worldwide, the course has been offered since early 2018; more than 40 universities and colleges have expressed interest in offering it. Twenty-four universities have already started offering the course in 2018 (including those in Brazil, Canada, Egypt, India, Indonesia, Lebanon, Pakistan, Peru, Philippines, Singapore, Serbia, Turkey, UAE &amp; USA). The course outline is as follows:</w:t>
      </w:r>
    </w:p>
    <w:p w14:paraId="61DAB2ED" w14:textId="77777777" w:rsidR="00E8096F" w:rsidRDefault="00E8096F" w:rsidP="00E8096F">
      <w:pPr>
        <w:pStyle w:val="Heading2"/>
        <w:numPr>
          <w:ilvl w:val="1"/>
          <w:numId w:val="37"/>
        </w:numPr>
      </w:pPr>
      <w:r>
        <w:t>Module 1 (4 weeks): Refrigeration &amp; air</w:t>
      </w:r>
      <w:r>
        <w:noBreakHyphen/>
        <w:t>conditioning industry, evolution of refrigerants &amp; environmental impacts;</w:t>
      </w:r>
    </w:p>
    <w:p w14:paraId="1E0F0D55" w14:textId="77777777" w:rsidR="00E8096F" w:rsidRDefault="00E8096F" w:rsidP="00E8096F">
      <w:pPr>
        <w:pStyle w:val="Heading2"/>
        <w:numPr>
          <w:ilvl w:val="1"/>
          <w:numId w:val="37"/>
        </w:numPr>
      </w:pPr>
      <w:r>
        <w:t>Module 2 (3.5 weeks): Alternative refrigerants for different sectors &amp; lubricants;</w:t>
      </w:r>
    </w:p>
    <w:p w14:paraId="427F4A8C" w14:textId="77777777" w:rsidR="00E8096F" w:rsidRDefault="00E8096F" w:rsidP="00E8096F">
      <w:pPr>
        <w:pStyle w:val="Heading2"/>
        <w:numPr>
          <w:ilvl w:val="1"/>
          <w:numId w:val="37"/>
        </w:numPr>
      </w:pPr>
      <w:r>
        <w:t>Module 3 (3 weeks): Containment of refrigerants, service &amp; maintenance of air</w:t>
      </w:r>
      <w:r>
        <w:noBreakHyphen/>
        <w:t>conditioning &amp; refrigeration systems;</w:t>
      </w:r>
    </w:p>
    <w:p w14:paraId="285BC071" w14:textId="77777777" w:rsidR="00E8096F" w:rsidRDefault="00E8096F" w:rsidP="00E8096F">
      <w:pPr>
        <w:pStyle w:val="Heading2"/>
        <w:numPr>
          <w:ilvl w:val="1"/>
          <w:numId w:val="37"/>
        </w:numPr>
      </w:pPr>
      <w:r>
        <w:t xml:space="preserve">Module 4 (2 weeks): Safe use &amp; handling of refrigerants; </w:t>
      </w:r>
    </w:p>
    <w:p w14:paraId="62F271E3" w14:textId="77777777" w:rsidR="00E8096F" w:rsidRDefault="00E8096F" w:rsidP="00E8096F">
      <w:pPr>
        <w:pStyle w:val="Heading2"/>
        <w:numPr>
          <w:ilvl w:val="1"/>
          <w:numId w:val="37"/>
        </w:numPr>
      </w:pPr>
      <w:r>
        <w:t>Module 5 (2 weeks): Related standards and codes for systems and substances.</w:t>
      </w:r>
    </w:p>
    <w:p w14:paraId="6CFD5F74" w14:textId="50F21BD3" w:rsidR="00E8096F" w:rsidRDefault="00E8096F" w:rsidP="00E8096F">
      <w:pPr>
        <w:pStyle w:val="StyleHeader4Para4Left0Firstline0"/>
        <w:numPr>
          <w:ilvl w:val="0"/>
          <w:numId w:val="0"/>
        </w:numPr>
        <w:rPr>
          <w:b/>
          <w:sz w:val="22"/>
        </w:rPr>
      </w:pPr>
    </w:p>
    <w:p w14:paraId="4F43D9CE" w14:textId="77777777" w:rsidR="00E8096F" w:rsidRPr="00D574AC" w:rsidRDefault="00E8096F" w:rsidP="00E8096F">
      <w:pPr>
        <w:pStyle w:val="StyleHeader4Para4Left0Firstline0"/>
        <w:numPr>
          <w:ilvl w:val="0"/>
          <w:numId w:val="35"/>
        </w:numPr>
        <w:rPr>
          <w:b/>
          <w:sz w:val="22"/>
        </w:rPr>
      </w:pPr>
      <w:r w:rsidRPr="00D574AC">
        <w:rPr>
          <w:b/>
          <w:sz w:val="22"/>
        </w:rPr>
        <w:t xml:space="preserve">SPECIAL SERVICES IN COOPERATION WITH PARTNERS </w:t>
      </w:r>
    </w:p>
    <w:p w14:paraId="790786A1" w14:textId="77777777" w:rsidR="00E8096F" w:rsidRPr="00E67D8A" w:rsidRDefault="00E8096F" w:rsidP="00B44FB0">
      <w:pPr>
        <w:pStyle w:val="StyleHeader4Para4Left0Firstline0"/>
        <w:numPr>
          <w:ilvl w:val="0"/>
          <w:numId w:val="0"/>
        </w:numPr>
        <w:rPr>
          <w:b/>
          <w:sz w:val="22"/>
        </w:rPr>
      </w:pPr>
      <w:r w:rsidRPr="00E67D8A">
        <w:rPr>
          <w:b/>
          <w:sz w:val="22"/>
        </w:rPr>
        <w:t xml:space="preserve">Training and Certification Programs </w:t>
      </w:r>
    </w:p>
    <w:p w14:paraId="30C4C3AD" w14:textId="77777777" w:rsidR="00E8096F" w:rsidRDefault="00E8096F" w:rsidP="00E8096F">
      <w:pPr>
        <w:pStyle w:val="Heading1"/>
        <w:numPr>
          <w:ilvl w:val="0"/>
          <w:numId w:val="37"/>
        </w:numPr>
      </w:pPr>
      <w:r>
        <w:t xml:space="preserve">The Montreal Protocol funding mechanism has assisted Article 5 governments in developing and introducing different schemes for certifying and qualifying RAC service technicians with the aim to ensure the provision of good service practices and to minimize emissions. The certification schemes differ notably between countries and regions in terms of their structure, comprehensiveness and ability to be adequately enforced. Accordingly, in collaboration with different partners, CAP has introduced different products and tools that can be incorporated into the national programs and HPMPs and complement national programs. </w:t>
      </w:r>
    </w:p>
    <w:p w14:paraId="0793A0FD" w14:textId="77777777" w:rsidR="00E8096F" w:rsidRDefault="00E8096F" w:rsidP="00E8096F">
      <w:pPr>
        <w:pStyle w:val="Heading1"/>
        <w:numPr>
          <w:ilvl w:val="0"/>
          <w:numId w:val="37"/>
        </w:numPr>
      </w:pPr>
      <w:r>
        <w:t>The competence of the personnel handling refrigerants is important from both an environmental and safety perspective. It is recommended that only certified technicians be allowed to install, maintain, repair, recover, and dismantle RAC systems and to purchase refrigerants. Certifications can be issued to personnel or enterprises, or to a combination of the two. Certification is the best practical method to verify the competence of personnel handling refrigerants and to ensure the correct installation, maintenance, repair and dismantling of refrigeration, air-conditioning and heat pump systems. OzonAction has developed a guide, “National Certification Schemes for Refrigeration and Air Conditioning Service Technicians,” that provides Ozone Officers and RAC associations with examples of strategies and requirements for their establishment and operation. OzonAction also regularly includes discussions on certification programmes in its Regional Network and Thematic meetings.</w:t>
      </w:r>
    </w:p>
    <w:p w14:paraId="4593B4EB" w14:textId="77777777" w:rsidR="00E8096F" w:rsidRPr="005F714E" w:rsidRDefault="00E8096F" w:rsidP="00B44FB0">
      <w:pPr>
        <w:pStyle w:val="StyleHeader4Para4Left0Firstline0"/>
        <w:numPr>
          <w:ilvl w:val="0"/>
          <w:numId w:val="0"/>
        </w:numPr>
        <w:rPr>
          <w:b/>
          <w:sz w:val="22"/>
        </w:rPr>
      </w:pPr>
      <w:r w:rsidRPr="005F714E">
        <w:rPr>
          <w:b/>
          <w:sz w:val="22"/>
        </w:rPr>
        <w:t xml:space="preserve">Risk Assessment Model for </w:t>
      </w:r>
      <w:r>
        <w:rPr>
          <w:b/>
          <w:sz w:val="22"/>
        </w:rPr>
        <w:t>high ambient temperature (</w:t>
      </w:r>
      <w:r w:rsidRPr="005F714E">
        <w:rPr>
          <w:b/>
          <w:sz w:val="22"/>
        </w:rPr>
        <w:t>HAT</w:t>
      </w:r>
      <w:r>
        <w:rPr>
          <w:b/>
          <w:sz w:val="22"/>
        </w:rPr>
        <w:t>)</w:t>
      </w:r>
    </w:p>
    <w:p w14:paraId="4E907F40" w14:textId="77777777" w:rsidR="00E8096F" w:rsidRDefault="00E8096F" w:rsidP="00E8096F">
      <w:pPr>
        <w:pStyle w:val="Heading1"/>
        <w:numPr>
          <w:ilvl w:val="0"/>
          <w:numId w:val="37"/>
        </w:numPr>
      </w:pPr>
      <w:r>
        <w:t>OzonAction is building, in cooperation with partners, a comprehensive Risk Assessment Model for the logistics (installation, operation and servicing) of air-conditioning units that operate with lower-GWP refrigerants in high-ambient-temperature (HAT) countries. The project also assesses the technology transfer barriers, to reduce dependency on high-GWP alternatives and technologies. The project outcome will not only benefit the participating countries, but all regions of the world where high ambient temperatures are prevalent. Progress reports of EGYPRA and PRAHA-II projects, including the detailed analysis and comparison of HAT testing projects, have been shared during network meetings and through specific thematic workshops.</w:t>
      </w:r>
    </w:p>
    <w:p w14:paraId="186E98F6" w14:textId="77777777" w:rsidR="00E8096F" w:rsidRDefault="00E8096F" w:rsidP="00B44FB0">
      <w:pPr>
        <w:pStyle w:val="Heading1"/>
        <w:numPr>
          <w:ilvl w:val="0"/>
          <w:numId w:val="0"/>
        </w:numPr>
        <w:rPr>
          <w:b/>
        </w:rPr>
      </w:pPr>
      <w:r w:rsidRPr="00DF1AE7">
        <w:rPr>
          <w:b/>
        </w:rPr>
        <w:t>HFC Outlook Model</w:t>
      </w:r>
    </w:p>
    <w:p w14:paraId="65EEDF9E" w14:textId="77777777" w:rsidR="00E8096F" w:rsidRDefault="00E8096F" w:rsidP="00E8096F">
      <w:pPr>
        <w:pStyle w:val="Heading1"/>
        <w:numPr>
          <w:ilvl w:val="0"/>
          <w:numId w:val="37"/>
        </w:numPr>
      </w:pPr>
      <w:r>
        <w:t>UNEP OzonAction teamed up with the European Partnership for Energy and the Environment (EPEE) in a project to develop the “HFCs Outlook Model.” The HFCs Outlook Model is a scenario model for comparing local consumption and use of HFCs and HCFCs in different consuming sectors historically and at present. It also presents different projection scenarios for each substance and sector, based on global, regional and local forecasts of technology trends obtained through exhaustive consultation process with local stakeholders and key players. Stage I of the project was piloted successfully in Bahrain and Kuwait, and was presented to all Article 5 parties at the Interregional Networks Meeting (January 2018 in Paris). Accordingly, and as requested by several Article 5 parties, OzonAction and EPEE started the second pilot of the HFCs Outlook Model with a focus on the servicing sector, which will engage additional countries, i.e.: Bosnia and Herzegovina, the Dominican Republic, Gabon, Guatemala, Honduras and Senegal.</w:t>
      </w:r>
    </w:p>
    <w:p w14:paraId="1805B0D4" w14:textId="77777777" w:rsidR="00E8096F" w:rsidRDefault="00E8096F" w:rsidP="00E8096F">
      <w:pPr>
        <w:pStyle w:val="Heading1"/>
        <w:keepNext/>
        <w:keepLines/>
        <w:numPr>
          <w:ilvl w:val="0"/>
          <w:numId w:val="0"/>
        </w:numPr>
        <w:rPr>
          <w:b/>
        </w:rPr>
      </w:pPr>
      <w:r w:rsidRPr="00DF1AE7">
        <w:rPr>
          <w:b/>
        </w:rPr>
        <w:t xml:space="preserve">Cold Chain Database Model for A5 Countries </w:t>
      </w:r>
    </w:p>
    <w:p w14:paraId="2D5D753B" w14:textId="77777777" w:rsidR="00E8096F" w:rsidRDefault="00E8096F" w:rsidP="00E8096F">
      <w:pPr>
        <w:pStyle w:val="Heading1"/>
        <w:keepNext/>
        <w:keepLines/>
        <w:numPr>
          <w:ilvl w:val="0"/>
          <w:numId w:val="37"/>
        </w:numPr>
      </w:pPr>
      <w:r>
        <w:t>UNEP OzonAction is developing, in cooperation with the GFCCC</w:t>
      </w:r>
      <w:r>
        <w:rPr>
          <w:rStyle w:val="FootnoteReference"/>
        </w:rPr>
        <w:footnoteReference w:id="66"/>
      </w:r>
      <w:r>
        <w:t xml:space="preserve"> and international RAC association partners, a Cold Chain Sector database model for the compilation of information and data about technologies and trends, with a view to pilot it in select Article 5 countries as part of the data collection and analysis work under the Kigali Enabling projects.</w:t>
      </w:r>
    </w:p>
    <w:p w14:paraId="75672575" w14:textId="77777777" w:rsidR="00E8096F" w:rsidRPr="00864F36" w:rsidRDefault="00E8096F" w:rsidP="00B44FB0"/>
    <w:p w14:paraId="1114EF38" w14:textId="77777777" w:rsidR="00E8096F" w:rsidRPr="00EE5986" w:rsidRDefault="00E8096F" w:rsidP="00B44FB0">
      <w:pPr>
        <w:pStyle w:val="StyleHeader4Para4Left0Firstline0"/>
        <w:numPr>
          <w:ilvl w:val="0"/>
          <w:numId w:val="0"/>
        </w:numPr>
        <w:spacing w:after="0"/>
        <w:jc w:val="center"/>
        <w:rPr>
          <w:b/>
          <w:sz w:val="22"/>
        </w:rPr>
      </w:pPr>
      <w:r w:rsidRPr="00EE5986">
        <w:rPr>
          <w:b/>
          <w:sz w:val="22"/>
        </w:rPr>
        <w:t>Customs and Enforcement:</w:t>
      </w:r>
    </w:p>
    <w:p w14:paraId="6B29F89B" w14:textId="77777777" w:rsidR="00E8096F" w:rsidRDefault="00E8096F" w:rsidP="00B44FB0">
      <w:pPr>
        <w:pStyle w:val="StyleHeader4Para4Left0Firstline0"/>
        <w:numPr>
          <w:ilvl w:val="0"/>
          <w:numId w:val="0"/>
        </w:numPr>
        <w:spacing w:after="0"/>
        <w:jc w:val="center"/>
        <w:rPr>
          <w:b/>
          <w:sz w:val="22"/>
        </w:rPr>
      </w:pPr>
      <w:r w:rsidRPr="00EE5986">
        <w:rPr>
          <w:b/>
          <w:sz w:val="22"/>
        </w:rPr>
        <w:t>UNEP OzonAction Tools, Products and Services</w:t>
      </w:r>
    </w:p>
    <w:p w14:paraId="4433342A" w14:textId="77777777" w:rsidR="00E8096F" w:rsidRPr="009C23B6" w:rsidRDefault="00E8096F" w:rsidP="00B44FB0">
      <w:pPr>
        <w:pStyle w:val="StyleHeader4Para4Left0Firstline0"/>
        <w:numPr>
          <w:ilvl w:val="0"/>
          <w:numId w:val="0"/>
        </w:numPr>
        <w:spacing w:after="0"/>
        <w:jc w:val="center"/>
        <w:rPr>
          <w:b/>
          <w:sz w:val="22"/>
        </w:rPr>
      </w:pPr>
    </w:p>
    <w:p w14:paraId="7B6511C9" w14:textId="77777777" w:rsidR="00E8096F" w:rsidRPr="00EE5986" w:rsidRDefault="00E8096F" w:rsidP="00B44FB0">
      <w:pPr>
        <w:pStyle w:val="StyleHeader4Para4Left0Firstline0"/>
        <w:numPr>
          <w:ilvl w:val="0"/>
          <w:numId w:val="0"/>
        </w:numPr>
        <w:rPr>
          <w:b/>
          <w:sz w:val="22"/>
        </w:rPr>
      </w:pPr>
      <w:r w:rsidRPr="00EE5986">
        <w:rPr>
          <w:b/>
          <w:sz w:val="22"/>
        </w:rPr>
        <w:t>Introduction</w:t>
      </w:r>
    </w:p>
    <w:p w14:paraId="6F6846C0" w14:textId="77777777" w:rsidR="00E8096F" w:rsidRDefault="00E8096F" w:rsidP="00E8096F">
      <w:pPr>
        <w:pStyle w:val="Heading1"/>
        <w:numPr>
          <w:ilvl w:val="0"/>
          <w:numId w:val="37"/>
        </w:numPr>
      </w:pPr>
      <w:r>
        <w:t xml:space="preserve">As part of CAP’s work in assisting countries to comply with their HCFC phase-out commitments and sustaining compliance with prior targets, OzonAction provides support to strengthen national capacity for effective customs &amp;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0E6F21F9" w14:textId="77777777" w:rsidR="00E8096F" w:rsidRPr="00EE5986" w:rsidRDefault="00E8096F" w:rsidP="00E8096F">
      <w:pPr>
        <w:pStyle w:val="StyleHeader4Para4Left0Firstline0"/>
        <w:numPr>
          <w:ilvl w:val="0"/>
          <w:numId w:val="36"/>
        </w:numPr>
        <w:rPr>
          <w:b/>
          <w:sz w:val="24"/>
        </w:rPr>
      </w:pPr>
      <w:r w:rsidRPr="00EE5986">
        <w:rPr>
          <w:b/>
          <w:sz w:val="24"/>
        </w:rPr>
        <w:t>PUBLICATIONS AND GUIDES</w:t>
      </w:r>
    </w:p>
    <w:p w14:paraId="5877086D" w14:textId="77777777" w:rsidR="00E8096F" w:rsidRPr="00EE5986" w:rsidRDefault="00E8096F" w:rsidP="00B44FB0">
      <w:pPr>
        <w:pStyle w:val="StyleHeader4Para4Left0Firstline0"/>
        <w:numPr>
          <w:ilvl w:val="0"/>
          <w:numId w:val="0"/>
        </w:numPr>
        <w:rPr>
          <w:b/>
          <w:sz w:val="22"/>
        </w:rPr>
      </w:pPr>
      <w:r w:rsidRPr="00EE5986">
        <w:rPr>
          <w:b/>
          <w:sz w:val="22"/>
        </w:rPr>
        <w:t xml:space="preserve">Training Manual for Customs Officers: Saving the Ozone Layer - Phasing out Ozone-Depleting Substances in Developing Countries - Third Edition </w:t>
      </w:r>
    </w:p>
    <w:p w14:paraId="698B1590" w14:textId="77777777" w:rsidR="00E8096F" w:rsidRDefault="00E8096F" w:rsidP="00E8096F">
      <w:pPr>
        <w:pStyle w:val="Heading1"/>
        <w:numPr>
          <w:ilvl w:val="0"/>
          <w:numId w:val="37"/>
        </w:numPr>
      </w:pPr>
      <w:r>
        <w:t xml:space="preserve">The </w:t>
      </w:r>
      <w:r w:rsidRPr="00EE5986">
        <w:rPr>
          <w:i/>
        </w:rPr>
        <w:t>Training Manual for Customs Officers</w:t>
      </w:r>
      <w:r>
        <w:t xml:space="preserve"> provides the necessary guidance and information to effectively monitor and facilitate legal trade in ozone-depleting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it takes into account the developments in international trade and provides new material to reflect changes in the Montreal Protocol, Harmonized System codes, licensing systems and other relevant information added since its original publication in 2001 and its second edition in 2008. The guide (published in 2013) is available on the OzonAction website and has been distributed at relevant meetings.</w:t>
      </w:r>
    </w:p>
    <w:p w14:paraId="17C71898" w14:textId="77777777" w:rsidR="00E8096F" w:rsidRPr="00B32CFA" w:rsidRDefault="00E8096F" w:rsidP="00B44FB0">
      <w:pPr>
        <w:pStyle w:val="StyleHeader4Para4Left0Firstline0"/>
        <w:numPr>
          <w:ilvl w:val="0"/>
          <w:numId w:val="0"/>
        </w:numPr>
        <w:rPr>
          <w:b/>
          <w:sz w:val="22"/>
        </w:rPr>
      </w:pPr>
      <w:r w:rsidRPr="00B32CFA">
        <w:rPr>
          <w:b/>
          <w:sz w:val="22"/>
        </w:rPr>
        <w:t xml:space="preserve">Ozone-depleting substances smuggling and concealment case-study handbook </w:t>
      </w:r>
    </w:p>
    <w:p w14:paraId="4C074C8B" w14:textId="77777777" w:rsidR="00E8096F" w:rsidRDefault="00E8096F" w:rsidP="00E8096F">
      <w:pPr>
        <w:pStyle w:val="Heading1"/>
        <w:numPr>
          <w:ilvl w:val="0"/>
          <w:numId w:val="37"/>
        </w:numPr>
      </w:pPr>
      <w:r>
        <w:t xml:space="preserve">This handbook, which provides information and guidance on commonly used methods of smuggling and concealment of ODS, is intended to promote cooperation between criminal justice agencies within borders, and to strengthen the law enforcement response to illegal trade in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in 2013). </w:t>
      </w:r>
    </w:p>
    <w:p w14:paraId="4F105BB8" w14:textId="77777777" w:rsidR="00E8096F" w:rsidRPr="00B32CFA" w:rsidRDefault="00E8096F" w:rsidP="00B44FB0">
      <w:pPr>
        <w:pStyle w:val="StyleHeader4Para4Left0Firstline0"/>
        <w:numPr>
          <w:ilvl w:val="0"/>
          <w:numId w:val="0"/>
        </w:numPr>
        <w:rPr>
          <w:b/>
          <w:sz w:val="22"/>
        </w:rPr>
      </w:pPr>
      <w:r w:rsidRPr="00B32CFA">
        <w:rPr>
          <w:b/>
          <w:sz w:val="22"/>
        </w:rPr>
        <w:t xml:space="preserve">Risk assessment of illegal trade in HCFCs </w:t>
      </w:r>
    </w:p>
    <w:p w14:paraId="419B78E9" w14:textId="77777777" w:rsidR="00E8096F" w:rsidRDefault="00E8096F" w:rsidP="00E8096F">
      <w:pPr>
        <w:pStyle w:val="Heading1"/>
        <w:numPr>
          <w:ilvl w:val="0"/>
          <w:numId w:val="37"/>
        </w:numPr>
      </w:pPr>
      <w:r>
        <w:t>This report provides a summary of recent cases of illegal trade, and lists existing policy measures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(published in 2011) is available on the OzonAction website and has been distributed at relevant meetings.</w:t>
      </w:r>
    </w:p>
    <w:p w14:paraId="047A5F09" w14:textId="77777777" w:rsidR="00E8096F" w:rsidRPr="00B32CFA" w:rsidRDefault="00E8096F" w:rsidP="00B44FB0">
      <w:pPr>
        <w:pStyle w:val="StyleHeader4Para4Left0Firstline0"/>
        <w:numPr>
          <w:ilvl w:val="0"/>
          <w:numId w:val="0"/>
        </w:numPr>
        <w:rPr>
          <w:b/>
          <w:sz w:val="22"/>
        </w:rPr>
      </w:pPr>
      <w:r w:rsidRPr="00B32CFA">
        <w:rPr>
          <w:b/>
          <w:sz w:val="22"/>
        </w:rPr>
        <w:t>Informal Prior-Informed Consent (iPIC)</w:t>
      </w:r>
      <w:r>
        <w:rPr>
          <w:b/>
          <w:sz w:val="22"/>
        </w:rPr>
        <w:t>:</w:t>
      </w:r>
      <w:r w:rsidRPr="00B32CFA">
        <w:rPr>
          <w:b/>
          <w:sz w:val="22"/>
        </w:rPr>
        <w:t xml:space="preserve"> Supporting compliance through prevention of illegal and unwanted trade in ozone-depleting substances </w:t>
      </w:r>
    </w:p>
    <w:p w14:paraId="659C8E52" w14:textId="77777777" w:rsidR="00E8096F" w:rsidRDefault="00E8096F" w:rsidP="00E8096F">
      <w:pPr>
        <w:pStyle w:val="Heading1"/>
        <w:numPr>
          <w:ilvl w:val="0"/>
          <w:numId w:val="37"/>
        </w:numPr>
      </w:pPr>
      <w:r>
        <w:t xml:space="preserve">This short booklet briefly describes the mechanism and the advantages of the iPIC system. It provides some information on iPIC’s results and successes and encourages countries that are not yet members to join and to begin to reap the benefits of this initiative. The booklet (published in 2015) is available on the OzonAction website and has been distributed at relevant meetings. </w:t>
      </w:r>
    </w:p>
    <w:p w14:paraId="420CC684" w14:textId="77777777" w:rsidR="00E8096F" w:rsidRPr="00B32CFA" w:rsidRDefault="00E8096F" w:rsidP="00B44FB0">
      <w:pPr>
        <w:pStyle w:val="StyleHeader4Para4Left0Firstline0"/>
        <w:numPr>
          <w:ilvl w:val="0"/>
          <w:numId w:val="0"/>
        </w:numPr>
        <w:rPr>
          <w:b/>
          <w:sz w:val="22"/>
        </w:rPr>
      </w:pPr>
      <w:r w:rsidRPr="00B32CFA">
        <w:rPr>
          <w:b/>
          <w:sz w:val="22"/>
        </w:rPr>
        <w:t xml:space="preserve">Legislative and Policy Options to Control Hydrofluorocarbons </w:t>
      </w:r>
    </w:p>
    <w:p w14:paraId="7F2890EA" w14:textId="77777777" w:rsidR="00E8096F" w:rsidRDefault="00E8096F" w:rsidP="00E8096F">
      <w:pPr>
        <w:pStyle w:val="Heading1"/>
        <w:numPr>
          <w:ilvl w:val="0"/>
          <w:numId w:val="37"/>
        </w:numPr>
      </w:pPr>
      <w: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w:t>
      </w:r>
      <w:r w:rsidRPr="00B32CFA">
        <w:rPr>
          <w:i/>
        </w:rPr>
        <w:t xml:space="preserve">HCFC Policy &amp; Legislative Options: A Guide for Developing Countries </w:t>
      </w:r>
      <w:r>
        <w:t xml:space="preserve">(2010). The booklet was published in 2018 and is available on the OzonAction website. </w:t>
      </w:r>
    </w:p>
    <w:p w14:paraId="524C4E7A" w14:textId="77777777" w:rsidR="00E8096F" w:rsidRPr="00B32CFA" w:rsidRDefault="00E8096F" w:rsidP="00B44FB0">
      <w:pPr>
        <w:pStyle w:val="StyleHeader4Para4Left0Firstline0"/>
        <w:numPr>
          <w:ilvl w:val="0"/>
          <w:numId w:val="0"/>
        </w:numPr>
        <w:rPr>
          <w:b/>
          <w:sz w:val="22"/>
        </w:rPr>
      </w:pPr>
      <w:r w:rsidRPr="00B32CFA">
        <w:rPr>
          <w:b/>
          <w:sz w:val="22"/>
        </w:rPr>
        <w:t>Establishing an HCFC import quota system</w:t>
      </w:r>
    </w:p>
    <w:p w14:paraId="546B86B2" w14:textId="77777777" w:rsidR="00E8096F" w:rsidRPr="00E84CB4" w:rsidRDefault="00E8096F" w:rsidP="00E8096F">
      <w:pPr>
        <w:pStyle w:val="Heading1"/>
        <w:numPr>
          <w:ilvl w:val="0"/>
          <w:numId w:val="37"/>
        </w:numPr>
      </w:pPr>
      <w:r>
        <w:t>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in 2012).</w:t>
      </w:r>
    </w:p>
    <w:p w14:paraId="3C1B357A" w14:textId="77777777" w:rsidR="00E8096F" w:rsidRPr="00E84CB4" w:rsidRDefault="00E8096F" w:rsidP="00E8096F">
      <w:pPr>
        <w:pStyle w:val="StyleHeader4Para4Left0Firstline0"/>
        <w:keepNext/>
        <w:keepLines/>
        <w:numPr>
          <w:ilvl w:val="0"/>
          <w:numId w:val="36"/>
        </w:numPr>
        <w:rPr>
          <w:b/>
          <w:sz w:val="22"/>
        </w:rPr>
      </w:pPr>
      <w:r w:rsidRPr="00E84CB4">
        <w:rPr>
          <w:b/>
          <w:sz w:val="22"/>
        </w:rPr>
        <w:t>FACTSHEETS AND INFORMATION NOTES</w:t>
      </w:r>
    </w:p>
    <w:p w14:paraId="7ADF68DA" w14:textId="77777777" w:rsidR="00E8096F" w:rsidRDefault="00E8096F" w:rsidP="00E8096F">
      <w:pPr>
        <w:pStyle w:val="Heading1"/>
        <w:keepNext/>
        <w:keepLines/>
        <w:numPr>
          <w:ilvl w:val="0"/>
          <w:numId w:val="37"/>
        </w:numPr>
      </w:pPr>
      <w:r>
        <w:t>UNEP's OzonAction continues to prepare factsheets providing relevant information and describing the immediate and future challenges to be addressed by the different Parties. The following factsheets and information notes, available on the OzonAction website, are of specific interest to customs and enforcement officers, as well as NOUs:</w:t>
      </w:r>
    </w:p>
    <w:p w14:paraId="67C663BC" w14:textId="77777777" w:rsidR="00E8096F" w:rsidRPr="00E84CB4" w:rsidRDefault="00E8096F" w:rsidP="00B44FB0">
      <w:pPr>
        <w:pStyle w:val="StyleHeader4Para4Left0Firstline0"/>
        <w:numPr>
          <w:ilvl w:val="0"/>
          <w:numId w:val="0"/>
        </w:numPr>
        <w:rPr>
          <w:b/>
          <w:sz w:val="22"/>
        </w:rPr>
      </w:pPr>
      <w:r w:rsidRPr="00E84CB4">
        <w:rPr>
          <w:b/>
          <w:sz w:val="22"/>
        </w:rPr>
        <w:t xml:space="preserve">Customs Poster </w:t>
      </w:r>
    </w:p>
    <w:p w14:paraId="40ED1CE8" w14:textId="77777777" w:rsidR="00E8096F" w:rsidRPr="00E84CB4" w:rsidRDefault="00E8096F" w:rsidP="00E8096F">
      <w:pPr>
        <w:pStyle w:val="Heading1"/>
        <w:numPr>
          <w:ilvl w:val="0"/>
          <w:numId w:val="37"/>
        </w:numPr>
      </w:pPr>
      <w:r w:rsidRPr="00E84CB4">
        <w:t>The updated Customs Poster provides concise information on ODS and alternatives and a short checklist of issues for customs officers to keep in mi</w:t>
      </w:r>
      <w:r>
        <w:t>nd when handling ODS shipments (</w:t>
      </w:r>
      <w:r w:rsidRPr="00E84CB4">
        <w:t>update</w:t>
      </w:r>
      <w:r>
        <w:t>d in 2016</w:t>
      </w:r>
      <w:r w:rsidRPr="00E84CB4">
        <w:t>)</w:t>
      </w:r>
      <w:r>
        <w:t>.</w:t>
      </w:r>
    </w:p>
    <w:p w14:paraId="637AC28D" w14:textId="77777777" w:rsidR="00E8096F" w:rsidRPr="00E84CB4" w:rsidRDefault="00E8096F" w:rsidP="00B44FB0">
      <w:pPr>
        <w:pStyle w:val="StyleHeader4Para4Left0Firstline0"/>
        <w:keepNext/>
        <w:keepLines/>
        <w:numPr>
          <w:ilvl w:val="0"/>
          <w:numId w:val="0"/>
        </w:numPr>
        <w:rPr>
          <w:b/>
          <w:sz w:val="22"/>
        </w:rPr>
      </w:pPr>
      <w:r w:rsidRPr="00E84CB4">
        <w:rPr>
          <w:b/>
          <w:sz w:val="22"/>
        </w:rPr>
        <w:t>Customs Officer's Quick Tool for Screening ODS</w:t>
      </w:r>
    </w:p>
    <w:p w14:paraId="778685FE" w14:textId="77777777" w:rsidR="00E8096F" w:rsidRDefault="00E8096F" w:rsidP="00E8096F">
      <w:pPr>
        <w:pStyle w:val="Heading1"/>
        <w:keepNext/>
        <w:keepLines/>
        <w:numPr>
          <w:ilvl w:val="0"/>
          <w:numId w:val="37"/>
        </w:numPr>
      </w:pPr>
      <w:r>
        <w:t>A quick reference tool for customs and enforcement officers that provides access to key information regarding ODS, their alternatives, and relevant customs codes.</w:t>
      </w:r>
    </w:p>
    <w:p w14:paraId="7ECF5B41" w14:textId="77777777" w:rsidR="00E8096F" w:rsidRPr="00E84CB4" w:rsidRDefault="00E8096F" w:rsidP="00B44FB0">
      <w:pPr>
        <w:pStyle w:val="StyleHeader4Para4Left0Firstline0"/>
        <w:numPr>
          <w:ilvl w:val="0"/>
          <w:numId w:val="0"/>
        </w:numPr>
        <w:rPr>
          <w:b/>
          <w:sz w:val="22"/>
        </w:rPr>
      </w:pPr>
      <w:r w:rsidRPr="00E84CB4">
        <w:rPr>
          <w:b/>
          <w:sz w:val="22"/>
        </w:rPr>
        <w:t xml:space="preserve">Refrigerant Designations </w:t>
      </w:r>
    </w:p>
    <w:p w14:paraId="73ECC1B9" w14:textId="77777777" w:rsidR="00E8096F" w:rsidRDefault="00E8096F" w:rsidP="00E8096F">
      <w:pPr>
        <w:pStyle w:val="Heading1"/>
        <w:numPr>
          <w:ilvl w:val="0"/>
          <w:numId w:val="37"/>
        </w:numPr>
      </w:pPr>
      <w:r>
        <w:t xml:space="preserve">Produced by ASHRAE in cooperation with UNEP OzonAction, this factsheet provides information on refrigerant designation and safety classification, and is updated every six months to indicate new refrigerants which are assigned “R” numbers (ASHRAE designations). </w:t>
      </w:r>
    </w:p>
    <w:p w14:paraId="5CD0D2D0" w14:textId="77777777" w:rsidR="00E8096F" w:rsidRPr="00E84CB4" w:rsidRDefault="00E8096F" w:rsidP="00B44FB0">
      <w:pPr>
        <w:pStyle w:val="StyleHeader4Para4Left0Firstline0"/>
        <w:keepNext/>
        <w:keepLines/>
        <w:numPr>
          <w:ilvl w:val="0"/>
          <w:numId w:val="0"/>
        </w:numPr>
        <w:rPr>
          <w:b/>
          <w:sz w:val="22"/>
        </w:rPr>
      </w:pPr>
      <w:r w:rsidRPr="00E84CB4">
        <w:rPr>
          <w:b/>
          <w:sz w:val="22"/>
        </w:rPr>
        <w:t>Ha</w:t>
      </w:r>
      <w:r>
        <w:rPr>
          <w:b/>
          <w:sz w:val="22"/>
        </w:rPr>
        <w:t>rmonized System code factsheets:</w:t>
      </w:r>
    </w:p>
    <w:p w14:paraId="52345219" w14:textId="77777777" w:rsidR="00E8096F" w:rsidRDefault="00E8096F" w:rsidP="00E8096F">
      <w:pPr>
        <w:pStyle w:val="Heading2"/>
        <w:numPr>
          <w:ilvl w:val="1"/>
          <w:numId w:val="37"/>
        </w:numPr>
      </w:pPr>
      <w:r>
        <w:t>HS nomenclature (HS codes) for HCFCs and certain other ozone-depleting substances (post-Kigali update);</w:t>
      </w:r>
    </w:p>
    <w:p w14:paraId="3C3E6F6F" w14:textId="77777777" w:rsidR="00E8096F" w:rsidRDefault="00E8096F" w:rsidP="00E8096F">
      <w:pPr>
        <w:pStyle w:val="Heading2"/>
        <w:numPr>
          <w:ilvl w:val="1"/>
          <w:numId w:val="37"/>
        </w:numPr>
      </w:pPr>
      <w:r>
        <w:t>Commonly traded HCFCs and mixtures containing HCFCs (post-Kigali update);</w:t>
      </w:r>
    </w:p>
    <w:p w14:paraId="4245D3CF" w14:textId="77777777" w:rsidR="00E8096F" w:rsidRDefault="00E8096F" w:rsidP="00E8096F">
      <w:pPr>
        <w:pStyle w:val="Heading2"/>
        <w:numPr>
          <w:ilvl w:val="1"/>
          <w:numId w:val="37"/>
        </w:numPr>
      </w:pPr>
      <w:r>
        <w:t>Commonly used non-ODS substitute refrigerants (post-Kigali update);</w:t>
      </w:r>
    </w:p>
    <w:p w14:paraId="0BDB87EA" w14:textId="77777777" w:rsidR="00E8096F" w:rsidRDefault="00E8096F" w:rsidP="00E8096F">
      <w:pPr>
        <w:pStyle w:val="Heading2"/>
        <w:numPr>
          <w:ilvl w:val="1"/>
          <w:numId w:val="37"/>
        </w:numPr>
      </w:pPr>
      <w:r>
        <w:t>Common products and equipment containing or reliant on HCFCs;</w:t>
      </w:r>
    </w:p>
    <w:p w14:paraId="7FF9DC11" w14:textId="77777777" w:rsidR="00E8096F" w:rsidRDefault="00E8096F" w:rsidP="00E8096F">
      <w:pPr>
        <w:pStyle w:val="Heading2"/>
        <w:numPr>
          <w:ilvl w:val="1"/>
          <w:numId w:val="37"/>
        </w:numPr>
      </w:pPr>
      <w:r>
        <w:t>HS codes for HFCs: Actions to take ahead of the of the new 2022 HS (in production, with WCO).</w:t>
      </w:r>
    </w:p>
    <w:p w14:paraId="2F7C83FE" w14:textId="77777777" w:rsidR="00E8096F" w:rsidRPr="00E84CB4" w:rsidRDefault="00E8096F" w:rsidP="00B44FB0">
      <w:pPr>
        <w:pStyle w:val="StyleHeader4Para4Left0Firstline0"/>
        <w:numPr>
          <w:ilvl w:val="0"/>
          <w:numId w:val="0"/>
        </w:numPr>
        <w:rPr>
          <w:b/>
          <w:sz w:val="22"/>
        </w:rPr>
      </w:pPr>
      <w:r w:rsidRPr="00E84CB4">
        <w:rPr>
          <w:b/>
          <w:sz w:val="22"/>
        </w:rPr>
        <w:t xml:space="preserve">Free trade zones and trade in ODS </w:t>
      </w:r>
    </w:p>
    <w:p w14:paraId="56E07F03" w14:textId="77777777" w:rsidR="00E8096F" w:rsidRDefault="00E8096F" w:rsidP="00E8096F">
      <w:pPr>
        <w:pStyle w:val="Heading1"/>
        <w:numPr>
          <w:ilvl w:val="0"/>
          <w:numId w:val="37"/>
        </w:numPr>
      </w:pPr>
      <w:r>
        <w:t>As part of international trade, many ODS shipments pass through Free Trade Zones (FTZ). Lack of proper oversight and controls in such zones can create an environment where illegal trade in ODS can proliferate. This paper provides a brief overview of the subject.</w:t>
      </w:r>
    </w:p>
    <w:p w14:paraId="7D758AD3" w14:textId="77777777" w:rsidR="00E8096F" w:rsidRPr="00E84CB4" w:rsidRDefault="00E8096F" w:rsidP="00B44FB0">
      <w:pPr>
        <w:pStyle w:val="StyleHeader4Para4Left0Firstline0"/>
        <w:numPr>
          <w:ilvl w:val="0"/>
          <w:numId w:val="0"/>
        </w:numPr>
        <w:rPr>
          <w:b/>
          <w:sz w:val="22"/>
        </w:rPr>
      </w:pPr>
      <w:r w:rsidRPr="00E84CB4">
        <w:rPr>
          <w:b/>
          <w:sz w:val="22"/>
        </w:rPr>
        <w:t xml:space="preserve">The informal prior-informed consent (iPIC) mechanism </w:t>
      </w:r>
    </w:p>
    <w:p w14:paraId="215BC0B5" w14:textId="77777777" w:rsidR="00E8096F" w:rsidRDefault="00E8096F" w:rsidP="00E8096F">
      <w:pPr>
        <w:pStyle w:val="Heading1"/>
        <w:numPr>
          <w:ilvl w:val="0"/>
          <w:numId w:val="37"/>
        </w:numPr>
      </w:pPr>
      <w:r>
        <w:t>The iPIC mechanism is a voluntary and informal system of information exchange on intended trade between the authorities in importing and exporting countries that are responsible for issuing ODS trade licenses. This factsheet gives an overview of how this informal mechanism operates and provides some interesting information on the results of ODS trade control and monitoring, conducted through iPIC.</w:t>
      </w:r>
    </w:p>
    <w:p w14:paraId="57FCA390" w14:textId="77777777" w:rsidR="00E8096F" w:rsidRPr="00E84CB4" w:rsidRDefault="00E8096F" w:rsidP="00B44FB0">
      <w:pPr>
        <w:pStyle w:val="StyleHeader4Para4Left0Firstline0"/>
        <w:numPr>
          <w:ilvl w:val="0"/>
          <w:numId w:val="0"/>
        </w:numPr>
        <w:rPr>
          <w:b/>
          <w:sz w:val="22"/>
        </w:rPr>
      </w:pPr>
      <w:r w:rsidRPr="00E84CB4">
        <w:rPr>
          <w:b/>
          <w:sz w:val="22"/>
        </w:rPr>
        <w:t>The Kigali Amendment to the Montreal Protocol: HFC phase-down</w:t>
      </w:r>
    </w:p>
    <w:p w14:paraId="121BB3EA" w14:textId="77777777" w:rsidR="00E8096F" w:rsidRDefault="00E8096F" w:rsidP="00E8096F">
      <w:pPr>
        <w:pStyle w:val="Heading1"/>
        <w:numPr>
          <w:ilvl w:val="0"/>
          <w:numId w:val="37"/>
        </w:numPr>
      </w:pPr>
      <w:r>
        <w:t xml:space="preserve">This short paper provides an overview of the Kigali Amendment and its consequences. </w:t>
      </w:r>
    </w:p>
    <w:p w14:paraId="4BD1E15D" w14:textId="77777777" w:rsidR="00E8096F" w:rsidRPr="00E84CB4" w:rsidRDefault="00E8096F" w:rsidP="00B44FB0">
      <w:pPr>
        <w:pStyle w:val="StyleHeader4Para4Left0Firstline0"/>
        <w:numPr>
          <w:ilvl w:val="0"/>
          <w:numId w:val="0"/>
        </w:numPr>
        <w:rPr>
          <w:b/>
          <w:sz w:val="22"/>
        </w:rPr>
      </w:pPr>
      <w:r>
        <w:rPr>
          <w:b/>
          <w:sz w:val="22"/>
        </w:rPr>
        <w:t>The Kigali Amendment fact</w:t>
      </w:r>
      <w:r w:rsidRPr="00E84CB4">
        <w:rPr>
          <w:b/>
          <w:sz w:val="22"/>
        </w:rPr>
        <w:t>sheet series and poster</w:t>
      </w:r>
    </w:p>
    <w:p w14:paraId="4DBF7FF4" w14:textId="77777777" w:rsidR="00E8096F" w:rsidRPr="00E84CB4" w:rsidRDefault="00E8096F" w:rsidP="00E8096F">
      <w:pPr>
        <w:pStyle w:val="Heading1"/>
        <w:numPr>
          <w:ilvl w:val="0"/>
          <w:numId w:val="37"/>
        </w:numPr>
        <w:rPr>
          <w:sz w:val="24"/>
        </w:rPr>
      </w:pPr>
      <w:r>
        <w:t>Following the adoption of the Kigali Amendment to the Montreal Protocol on Substances that Deplete the Ozone Layer, UNEP's OzonAction prepared a series of factsheets describing the immediate and future challenges to be addressed by the different Parties between now and the time when the Amendment comes into force. A timeline poster is also available.</w:t>
      </w:r>
    </w:p>
    <w:p w14:paraId="469CA54F" w14:textId="77777777" w:rsidR="00E8096F" w:rsidRPr="00407607" w:rsidRDefault="00E8096F" w:rsidP="00E8096F">
      <w:pPr>
        <w:pStyle w:val="StyleHeader4Para4Left0Firstline0"/>
        <w:keepNext/>
        <w:keepLines/>
        <w:numPr>
          <w:ilvl w:val="0"/>
          <w:numId w:val="36"/>
        </w:numPr>
        <w:rPr>
          <w:b/>
          <w:sz w:val="22"/>
        </w:rPr>
      </w:pPr>
      <w:r w:rsidRPr="00407607">
        <w:rPr>
          <w:b/>
          <w:sz w:val="22"/>
        </w:rPr>
        <w:t>MOBILE APPLICATIONS, VIDEOS &amp; WEB-BASED TOOLS</w:t>
      </w:r>
    </w:p>
    <w:p w14:paraId="027E903C" w14:textId="77777777" w:rsidR="00E8096F" w:rsidRDefault="00E8096F" w:rsidP="00E8096F">
      <w:pPr>
        <w:pStyle w:val="Heading1"/>
        <w:keepNext/>
        <w:keepLines/>
        <w:numPr>
          <w:ilvl w:val="0"/>
          <w:numId w:val="37"/>
        </w:numPr>
      </w:pPr>
      <w:r>
        <w:t>In addition to the apps described in the refrigeration section above (“WHAT GAS?” app and the refrigerant identifier video app), the following products have been developed:</w:t>
      </w:r>
    </w:p>
    <w:p w14:paraId="4C6FFAAE" w14:textId="77777777" w:rsidR="00E8096F" w:rsidRPr="00407607" w:rsidRDefault="00E8096F" w:rsidP="00B44FB0">
      <w:pPr>
        <w:pStyle w:val="StyleHeader4Para4Left0Firstline0"/>
        <w:numPr>
          <w:ilvl w:val="0"/>
          <w:numId w:val="0"/>
        </w:numPr>
        <w:rPr>
          <w:b/>
          <w:sz w:val="22"/>
        </w:rPr>
      </w:pPr>
      <w:r w:rsidRPr="00407607">
        <w:rPr>
          <w:b/>
          <w:sz w:val="22"/>
        </w:rPr>
        <w:t>iPIC</w:t>
      </w:r>
    </w:p>
    <w:p w14:paraId="7EF0B77B" w14:textId="77777777" w:rsidR="00E8096F" w:rsidRDefault="00E8096F" w:rsidP="00E8096F">
      <w:pPr>
        <w:pStyle w:val="Heading1"/>
        <w:numPr>
          <w:ilvl w:val="0"/>
          <w:numId w:val="37"/>
        </w:numPr>
      </w:pPr>
      <w: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73BBEB75" w14:textId="77777777" w:rsidR="00E8096F" w:rsidRPr="00281EE9" w:rsidRDefault="00E8096F" w:rsidP="00B44FB0">
      <w:pPr>
        <w:pStyle w:val="StyleHeader4Para4Left0Firstline0"/>
        <w:numPr>
          <w:ilvl w:val="0"/>
          <w:numId w:val="0"/>
        </w:numPr>
        <w:rPr>
          <w:b/>
          <w:sz w:val="22"/>
        </w:rPr>
      </w:pPr>
      <w:r w:rsidRPr="00281EE9">
        <w:rPr>
          <w:b/>
          <w:sz w:val="22"/>
        </w:rPr>
        <w:t>Combatting illegal trade in ODS: training video</w:t>
      </w:r>
    </w:p>
    <w:p w14:paraId="0B44D86D" w14:textId="77777777" w:rsidR="00E8096F" w:rsidRDefault="00E8096F" w:rsidP="00E8096F">
      <w:pPr>
        <w:pStyle w:val="Heading1"/>
        <w:numPr>
          <w:ilvl w:val="0"/>
          <w:numId w:val="37"/>
        </w:numPr>
      </w:pPr>
      <w:r>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in 2014). </w:t>
      </w:r>
    </w:p>
    <w:p w14:paraId="6B2F76E1" w14:textId="77777777" w:rsidR="00E8096F" w:rsidRPr="00281EE9" w:rsidRDefault="00E8096F" w:rsidP="00E8096F">
      <w:pPr>
        <w:pStyle w:val="StyleHeader4Para4Left0Firstline0"/>
        <w:numPr>
          <w:ilvl w:val="0"/>
          <w:numId w:val="36"/>
        </w:numPr>
        <w:rPr>
          <w:b/>
          <w:sz w:val="22"/>
        </w:rPr>
      </w:pPr>
      <w:r w:rsidRPr="00281EE9">
        <w:rPr>
          <w:b/>
          <w:sz w:val="22"/>
        </w:rPr>
        <w:t>ONLINE TRAINING TOOLS</w:t>
      </w:r>
    </w:p>
    <w:p w14:paraId="16F0992A" w14:textId="77777777" w:rsidR="00E8096F" w:rsidRPr="00281EE9" w:rsidRDefault="00E8096F" w:rsidP="00B44FB0">
      <w:pPr>
        <w:pStyle w:val="StyleHeader4Para4Left0Firstline0"/>
        <w:numPr>
          <w:ilvl w:val="0"/>
          <w:numId w:val="0"/>
        </w:numPr>
        <w:rPr>
          <w:b/>
          <w:sz w:val="22"/>
        </w:rPr>
      </w:pPr>
      <w:r w:rsidRPr="00281EE9">
        <w:rPr>
          <w:b/>
          <w:sz w:val="22"/>
        </w:rPr>
        <w:t>E-Learning Modules for Customs Officers</w:t>
      </w:r>
    </w:p>
    <w:p w14:paraId="2730AAD0" w14:textId="77777777" w:rsidR="00E8096F" w:rsidRDefault="00E8096F" w:rsidP="00E8096F">
      <w:pPr>
        <w:pStyle w:val="Heading1"/>
        <w:numPr>
          <w:ilvl w:val="0"/>
          <w:numId w:val="37"/>
        </w:numPr>
      </w:pPr>
      <w:r>
        <w:t xml:space="preserve">OzonAction and the World Customs Organization (WCO) jointly developed an e-learning course in 2009 devoted to the enforcement of the Montreal Protocol. The course has been updated several times since then. The course is based on the </w:t>
      </w:r>
      <w:r w:rsidRPr="00281EE9">
        <w:rPr>
          <w:i/>
        </w:rPr>
        <w:t>UNEP Training Manual for Customs and Enforcement Officers</w:t>
      </w:r>
      <w:r>
        <w:t xml:space="preserve"> (Third Edition) and reflects WCO's expertise in developing and delivering online training to customs officers worldwide. The e-learning modules are hosted and disseminated through the WCO CLIKC platform. Since it is a closed enforcement platform, the modules are accessible on an invitation-only basis to all customs officers and NOUs on request. Updates and maintenance are ongoing. </w:t>
      </w:r>
    </w:p>
    <w:p w14:paraId="1115BD24" w14:textId="77777777" w:rsidR="00E8096F" w:rsidRPr="00281EE9" w:rsidRDefault="00E8096F" w:rsidP="00B44FB0">
      <w:pPr>
        <w:pStyle w:val="StyleHeader4Para4Left0Firstline0"/>
        <w:keepNext/>
        <w:keepLines/>
        <w:numPr>
          <w:ilvl w:val="0"/>
          <w:numId w:val="0"/>
        </w:numPr>
        <w:rPr>
          <w:b/>
          <w:sz w:val="22"/>
        </w:rPr>
      </w:pPr>
      <w:r w:rsidRPr="00281EE9">
        <w:rPr>
          <w:b/>
          <w:sz w:val="22"/>
        </w:rPr>
        <w:t>OzonAction Web pages</w:t>
      </w:r>
    </w:p>
    <w:p w14:paraId="0A05BDD0" w14:textId="77777777" w:rsidR="00E8096F" w:rsidRDefault="00E8096F" w:rsidP="00E8096F">
      <w:pPr>
        <w:pStyle w:val="Heading1"/>
        <w:keepNext/>
        <w:keepLines/>
        <w:numPr>
          <w:ilvl w:val="0"/>
          <w:numId w:val="37"/>
        </w:numPr>
      </w:pPr>
      <w: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194F7CBA" w14:textId="77777777" w:rsidR="00E8096F" w:rsidRPr="00281EE9" w:rsidRDefault="00E8096F" w:rsidP="00E8096F">
      <w:pPr>
        <w:pStyle w:val="StyleHeader4Para4Left0Firstline0"/>
        <w:numPr>
          <w:ilvl w:val="0"/>
          <w:numId w:val="36"/>
        </w:numPr>
        <w:rPr>
          <w:b/>
          <w:sz w:val="22"/>
        </w:rPr>
      </w:pPr>
      <w:r w:rsidRPr="00281EE9">
        <w:rPr>
          <w:b/>
          <w:sz w:val="22"/>
        </w:rPr>
        <w:t xml:space="preserve">SPECIAL SERVICES IN COOPERATION WITH PARTNERS </w:t>
      </w:r>
    </w:p>
    <w:p w14:paraId="1970ACD6" w14:textId="77777777" w:rsidR="00E8096F" w:rsidRPr="00281EE9" w:rsidRDefault="00E8096F" w:rsidP="00B44FB0">
      <w:pPr>
        <w:pStyle w:val="StyleHeader4Para4Left0Firstline0"/>
        <w:numPr>
          <w:ilvl w:val="0"/>
          <w:numId w:val="0"/>
        </w:numPr>
        <w:rPr>
          <w:b/>
          <w:sz w:val="22"/>
        </w:rPr>
      </w:pPr>
      <w:r w:rsidRPr="00281EE9">
        <w:rPr>
          <w:b/>
          <w:sz w:val="22"/>
        </w:rPr>
        <w:t>World Customs Organization</w:t>
      </w:r>
      <w:r>
        <w:rPr>
          <w:b/>
          <w:sz w:val="22"/>
        </w:rPr>
        <w:t xml:space="preserve"> (WCO)</w:t>
      </w:r>
    </w:p>
    <w:p w14:paraId="12A3493D" w14:textId="77777777" w:rsidR="00E8096F" w:rsidRDefault="00E8096F" w:rsidP="00E8096F">
      <w:pPr>
        <w:pStyle w:val="Heading1"/>
        <w:numPr>
          <w:ilvl w:val="0"/>
          <w:numId w:val="37"/>
        </w:numPr>
      </w:pPr>
      <w:r>
        <w:t>UNEP and the WCO have had long-standing cooperation on the issues related to trade (and prevention of illegal trade) in ODS controlled under the Montreal Protocol and in their alternatives. This cooperation was formalized with an MOU signed in 2003 as a cooperation framework between the two agencies, and has led to specific concrete initiatives, such as:</w:t>
      </w:r>
    </w:p>
    <w:p w14:paraId="1D3D652E" w14:textId="77777777" w:rsidR="00E8096F" w:rsidRDefault="00E8096F" w:rsidP="00E8096F">
      <w:pPr>
        <w:pStyle w:val="Heading2"/>
        <w:numPr>
          <w:ilvl w:val="1"/>
          <w:numId w:val="37"/>
        </w:numPr>
      </w:pPr>
      <w:r>
        <w:t>Developing e-learning modules on the Montreal Protocol and ODS trade with dissemination through WCO CLIKC platform (see above);</w:t>
      </w:r>
    </w:p>
    <w:p w14:paraId="575F5C24" w14:textId="77777777" w:rsidR="00E8096F" w:rsidRDefault="00E8096F" w:rsidP="00E8096F">
      <w:pPr>
        <w:pStyle w:val="Heading2"/>
        <w:numPr>
          <w:ilvl w:val="1"/>
          <w:numId w:val="37"/>
        </w:numPr>
      </w:pPr>
      <w:r>
        <w:t xml:space="preserve">Cooperation on specific WCO operations: </w:t>
      </w:r>
    </w:p>
    <w:p w14:paraId="005EC765" w14:textId="77777777" w:rsidR="00E8096F" w:rsidRDefault="00E8096F" w:rsidP="00E8096F">
      <w:pPr>
        <w:pStyle w:val="Heading3"/>
        <w:numPr>
          <w:ilvl w:val="2"/>
          <w:numId w:val="37"/>
        </w:numPr>
      </w:pPr>
      <w:r>
        <w:t xml:space="preserve">The </w:t>
      </w:r>
      <w:r w:rsidRPr="00A07ACC">
        <w:rPr>
          <w:i/>
        </w:rPr>
        <w:t>Sky-Hole Patching</w:t>
      </w:r>
      <w:r>
        <w:t xml:space="preserve"> initiative on ozone-depleting substances and hazardous waste (2006 to 2009); </w:t>
      </w:r>
    </w:p>
    <w:p w14:paraId="4F1419E6" w14:textId="77777777" w:rsidR="00E8096F" w:rsidRDefault="00E8096F" w:rsidP="00E8096F">
      <w:pPr>
        <w:pStyle w:val="Heading3"/>
        <w:numPr>
          <w:ilvl w:val="2"/>
          <w:numId w:val="37"/>
        </w:numPr>
      </w:pPr>
      <w:r w:rsidRPr="00A07ACC">
        <w:t xml:space="preserve">The </w:t>
      </w:r>
      <w:r w:rsidRPr="00A07ACC">
        <w:rPr>
          <w:i/>
        </w:rPr>
        <w:t xml:space="preserve">Sky-Hole Patching II </w:t>
      </w:r>
      <w:r w:rsidRPr="00A07ACC">
        <w:t>project,</w:t>
      </w:r>
      <w:r>
        <w:t xml:space="preserve"> in 2010: Customs from over 80 countries conducted a six-month global project to monitor trade and fight ODS smuggling, with support from the WCO, UNEP and National Ozone Units (NOUs); and</w:t>
      </w:r>
    </w:p>
    <w:p w14:paraId="51326CD7" w14:textId="77777777" w:rsidR="00E8096F" w:rsidRDefault="00E8096F" w:rsidP="00E8096F">
      <w:pPr>
        <w:pStyle w:val="Heading3"/>
        <w:numPr>
          <w:ilvl w:val="2"/>
          <w:numId w:val="37"/>
        </w:numPr>
      </w:pPr>
      <w:r>
        <w:t>Ongoing operation on waste and ODS.</w:t>
      </w:r>
    </w:p>
    <w:p w14:paraId="168645A1" w14:textId="77777777" w:rsidR="00E8096F" w:rsidRDefault="00E8096F" w:rsidP="00E8096F">
      <w:pPr>
        <w:pStyle w:val="Heading2"/>
        <w:numPr>
          <w:ilvl w:val="1"/>
          <w:numId w:val="37"/>
        </w:numPr>
      </w:pPr>
      <w:r>
        <w:t>OzonAction representation at relevant meetings and workshops, including WCO Enforcement Committee, Customs Cooperation Council, Working Group on Commercial Fraud, and WCO Regional Intelligence Liaison Office (RILO) meetings;</w:t>
      </w:r>
    </w:p>
    <w:p w14:paraId="3829FCF1" w14:textId="77777777" w:rsidR="00E8096F" w:rsidRDefault="00E8096F" w:rsidP="00E8096F">
      <w:pPr>
        <w:pStyle w:val="Heading2"/>
        <w:numPr>
          <w:ilvl w:val="1"/>
          <w:numId w:val="37"/>
        </w:numPr>
      </w:pPr>
      <w:r>
        <w:t xml:space="preserve">Participation of WCO HQ and RILO representatives at OzonAction workshops and training sessions; </w:t>
      </w:r>
    </w:p>
    <w:p w14:paraId="3DD98005" w14:textId="77777777" w:rsidR="00E8096F" w:rsidRDefault="00E8096F" w:rsidP="00E8096F">
      <w:pPr>
        <w:pStyle w:val="Heading2"/>
        <w:numPr>
          <w:ilvl w:val="1"/>
          <w:numId w:val="37"/>
        </w:numPr>
      </w:pPr>
      <w:r>
        <w:t>Cooperation on ECA and global ozone protection awards;</w:t>
      </w:r>
    </w:p>
    <w:p w14:paraId="5C110AD1" w14:textId="77777777" w:rsidR="00E8096F" w:rsidRDefault="00E8096F" w:rsidP="00E8096F">
      <w:pPr>
        <w:pStyle w:val="Heading2"/>
        <w:numPr>
          <w:ilvl w:val="1"/>
          <w:numId w:val="37"/>
        </w:numPr>
      </w:pPr>
      <w:r>
        <w:t>Survey/evaluation: comprehensive global assessment of customs training methodologies and infrastructure (Montreal Protocol), carried out in cooperation with the WCO;</w:t>
      </w:r>
    </w:p>
    <w:p w14:paraId="14D8ED50" w14:textId="77777777" w:rsidR="00E8096F" w:rsidRDefault="00E8096F" w:rsidP="00E8096F">
      <w:pPr>
        <w:pStyle w:val="Heading2"/>
        <w:numPr>
          <w:ilvl w:val="1"/>
          <w:numId w:val="37"/>
        </w:numPr>
      </w:pPr>
      <w:r>
        <w:t>Communication on issues of HS codes for ODS and alternatives, and other issues for joint factsheets, expert review of OzonAction factsheets and Customs Training Manual, and guidance to countries; and</w:t>
      </w:r>
    </w:p>
    <w:p w14:paraId="6114D36D" w14:textId="77777777" w:rsidR="00E8096F" w:rsidRDefault="00E8096F" w:rsidP="00E8096F">
      <w:pPr>
        <w:pStyle w:val="Heading2"/>
        <w:keepNext/>
        <w:keepLines/>
        <w:numPr>
          <w:ilvl w:val="1"/>
          <w:numId w:val="37"/>
        </w:numPr>
      </w:pPr>
      <w:r>
        <w:t xml:space="preserve">OzonAction information materials and tools, uploaded on the secure </w:t>
      </w:r>
      <w:r w:rsidRPr="00A07ACC">
        <w:rPr>
          <w:i/>
        </w:rPr>
        <w:t>WCO Environet</w:t>
      </w:r>
      <w:r>
        <w:t xml:space="preserve"> platform.</w:t>
      </w:r>
    </w:p>
    <w:p w14:paraId="76FFF3BB" w14:textId="77777777" w:rsidR="00E8096F" w:rsidRPr="00A07ACC" w:rsidRDefault="00E8096F" w:rsidP="00B44FB0">
      <w:pPr>
        <w:pStyle w:val="StyleHeader4Para4Left0Firstline0"/>
        <w:numPr>
          <w:ilvl w:val="0"/>
          <w:numId w:val="0"/>
        </w:numPr>
        <w:rPr>
          <w:b/>
          <w:sz w:val="22"/>
        </w:rPr>
      </w:pPr>
      <w:r w:rsidRPr="00A07ACC">
        <w:rPr>
          <w:b/>
          <w:sz w:val="22"/>
        </w:rPr>
        <w:t>Green Customs</w:t>
      </w:r>
    </w:p>
    <w:p w14:paraId="543645CB" w14:textId="77777777" w:rsidR="00E8096F" w:rsidRDefault="00E8096F" w:rsidP="00E8096F">
      <w:pPr>
        <w:pStyle w:val="Heading1"/>
        <w:numPr>
          <w:ilvl w:val="0"/>
          <w:numId w:val="37"/>
        </w:numPr>
      </w:pPr>
      <w:r>
        <w:t>OzonAction is a member of the Green Customs Initiative. This initiative, launched in 2004, is a partnership of international organizations cooperating to enhance the capacity of customs and other relevant border-control officers to monitor and facilitate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41205623" w14:textId="77777777" w:rsidR="00E8096F" w:rsidRPr="00A07ACC" w:rsidRDefault="00E8096F" w:rsidP="00B44F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096F" w14:paraId="6FC6DBF7" w14:textId="77777777" w:rsidTr="00B44FB0">
        <w:tc>
          <w:tcPr>
            <w:tcW w:w="1871" w:type="dxa"/>
          </w:tcPr>
          <w:p w14:paraId="10954AF1" w14:textId="77777777" w:rsidR="00E8096F" w:rsidRDefault="00E8096F" w:rsidP="00B44FB0">
            <w:r>
              <w:br w:type="page"/>
            </w:r>
          </w:p>
        </w:tc>
        <w:tc>
          <w:tcPr>
            <w:tcW w:w="1872" w:type="dxa"/>
          </w:tcPr>
          <w:p w14:paraId="4A68CB4E" w14:textId="77777777" w:rsidR="00E8096F" w:rsidRDefault="00E8096F" w:rsidP="00B44FB0"/>
        </w:tc>
        <w:tc>
          <w:tcPr>
            <w:tcW w:w="1872" w:type="dxa"/>
            <w:tcBorders>
              <w:bottom w:val="single" w:sz="4" w:space="0" w:color="auto"/>
            </w:tcBorders>
          </w:tcPr>
          <w:p w14:paraId="314C3B50" w14:textId="77777777" w:rsidR="00E8096F" w:rsidRDefault="00E8096F" w:rsidP="00B44FB0"/>
        </w:tc>
        <w:tc>
          <w:tcPr>
            <w:tcW w:w="1872" w:type="dxa"/>
          </w:tcPr>
          <w:p w14:paraId="548C4CF2" w14:textId="77777777" w:rsidR="00E8096F" w:rsidRDefault="00E8096F" w:rsidP="00B44FB0"/>
        </w:tc>
        <w:tc>
          <w:tcPr>
            <w:tcW w:w="1873" w:type="dxa"/>
          </w:tcPr>
          <w:p w14:paraId="2570B46F" w14:textId="77777777" w:rsidR="00E8096F" w:rsidRDefault="00E8096F" w:rsidP="00B44FB0"/>
        </w:tc>
      </w:tr>
    </w:tbl>
    <w:p w14:paraId="3AF1842C" w14:textId="77777777" w:rsidR="00E8096F" w:rsidRPr="00B04161" w:rsidRDefault="00E8096F" w:rsidP="004E7F9C">
      <w:pPr>
        <w:rPr>
          <w:lang w:val="en-CA"/>
        </w:rPr>
      </w:pPr>
    </w:p>
    <w:p w14:paraId="4A2086F3" w14:textId="12558864" w:rsidR="003B42A6" w:rsidRPr="00E8096F" w:rsidRDefault="003B42A6" w:rsidP="00F46115">
      <w:pPr>
        <w:rPr>
          <w:lang w:val="en-CA"/>
        </w:rPr>
      </w:pPr>
    </w:p>
    <w:sectPr w:rsidR="003B42A6" w:rsidRPr="00E8096F" w:rsidSect="00B44FB0">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45C10" w14:textId="77777777" w:rsidR="00B44FB0" w:rsidRDefault="00B44FB0" w:rsidP="004A504B">
      <w:r>
        <w:separator/>
      </w:r>
    </w:p>
  </w:endnote>
  <w:endnote w:type="continuationSeparator" w:id="0">
    <w:p w14:paraId="17A71FC0" w14:textId="77777777" w:rsidR="00B44FB0" w:rsidRDefault="00B44F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58C2" w14:textId="4D2629F8" w:rsidR="00B44FB0" w:rsidRPr="0033525D" w:rsidRDefault="00B44FB0">
    <w:pPr>
      <w:jc w:val="center"/>
    </w:pPr>
    <w:r>
      <w:fldChar w:fldCharType="begin"/>
    </w:r>
    <w:r>
      <w:instrText xml:space="preserve"> PAGE </w:instrText>
    </w:r>
    <w:r>
      <w:fldChar w:fldCharType="separate"/>
    </w:r>
    <w:r w:rsidR="00E52A46">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212960"/>
      <w:docPartObj>
        <w:docPartGallery w:val="Page Numbers (Bottom of Page)"/>
        <w:docPartUnique/>
      </w:docPartObj>
    </w:sdtPr>
    <w:sdtEndPr>
      <w:rPr>
        <w:noProof/>
      </w:rPr>
    </w:sdtEndPr>
    <w:sdtContent>
      <w:p w14:paraId="684DA6D7" w14:textId="3CCF4941" w:rsidR="00B44FB0" w:rsidRDefault="00B44FB0">
        <w:pPr>
          <w:pStyle w:val="Footer"/>
          <w:jc w:val="center"/>
        </w:pPr>
        <w:r>
          <w:fldChar w:fldCharType="begin"/>
        </w:r>
        <w:r>
          <w:instrText xml:space="preserve"> PAGE   \* MERGEFORMAT </w:instrText>
        </w:r>
        <w:r>
          <w:fldChar w:fldCharType="separate"/>
        </w:r>
        <w:r w:rsidR="00E52A46">
          <w:rPr>
            <w:noProof/>
          </w:rPr>
          <w:t>27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0ACF"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5BBB6610"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57932"/>
      <w:docPartObj>
        <w:docPartGallery w:val="Page Numbers (Bottom of Page)"/>
        <w:docPartUnique/>
      </w:docPartObj>
    </w:sdtPr>
    <w:sdtEndPr>
      <w:rPr>
        <w:noProof/>
      </w:rPr>
    </w:sdtEndPr>
    <w:sdtContent>
      <w:p w14:paraId="122BB65B" w14:textId="567F87C3" w:rsidR="00B44FB0" w:rsidRPr="00382E78" w:rsidRDefault="00B44FB0">
        <w:pPr>
          <w:pStyle w:val="Footer"/>
          <w:jc w:val="center"/>
        </w:pPr>
        <w:r w:rsidRPr="00382E78">
          <w:fldChar w:fldCharType="begin"/>
        </w:r>
        <w:r w:rsidRPr="00382E78">
          <w:instrText xml:space="preserve"> PAGE   \* MERGEFORMAT </w:instrText>
        </w:r>
        <w:r w:rsidRPr="00382E78">
          <w:fldChar w:fldCharType="separate"/>
        </w:r>
        <w:r w:rsidR="00E52A46">
          <w:rPr>
            <w:noProof/>
          </w:rPr>
          <w:t>8</w:t>
        </w:r>
        <w:r w:rsidRPr="00382E78">
          <w:rPr>
            <w:noProof/>
          </w:rPr>
          <w:fldChar w:fldCharType="end"/>
        </w:r>
      </w:p>
    </w:sdtContent>
  </w:sdt>
  <w:p w14:paraId="5B277CB8" w14:textId="77777777" w:rsidR="00B44FB0" w:rsidRDefault="00B44FB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453785"/>
      <w:docPartObj>
        <w:docPartGallery w:val="Page Numbers (Bottom of Page)"/>
        <w:docPartUnique/>
      </w:docPartObj>
    </w:sdtPr>
    <w:sdtEndPr>
      <w:rPr>
        <w:noProof/>
      </w:rPr>
    </w:sdtEndPr>
    <w:sdtContent>
      <w:p w14:paraId="34F4C88D" w14:textId="0514E94A" w:rsidR="00B44FB0" w:rsidRDefault="00B44FB0" w:rsidP="00B44FB0">
        <w:pPr>
          <w:pStyle w:val="Footer"/>
          <w:jc w:val="center"/>
        </w:pPr>
        <w:r w:rsidRPr="00382E78">
          <w:fldChar w:fldCharType="begin"/>
        </w:r>
        <w:r w:rsidRPr="00382E78">
          <w:instrText xml:space="preserve"> PAGE   \* MERGEFORMAT </w:instrText>
        </w:r>
        <w:r w:rsidRPr="00382E78">
          <w:fldChar w:fldCharType="separate"/>
        </w:r>
        <w:r w:rsidR="00E52A46">
          <w:rPr>
            <w:noProof/>
          </w:rPr>
          <w:t>9</w:t>
        </w:r>
        <w:r w:rsidRPr="00382E78">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747707"/>
      <w:docPartObj>
        <w:docPartGallery w:val="Page Numbers (Bottom of Page)"/>
        <w:docPartUnique/>
      </w:docPartObj>
    </w:sdtPr>
    <w:sdtEndPr>
      <w:rPr>
        <w:noProof/>
      </w:rPr>
    </w:sdtEndPr>
    <w:sdtContent>
      <w:p w14:paraId="4AF5C20E" w14:textId="2B652916" w:rsidR="002760A3" w:rsidRDefault="002760A3">
        <w:pPr>
          <w:pStyle w:val="Footer"/>
          <w:jc w:val="center"/>
        </w:pPr>
        <w:r>
          <w:fldChar w:fldCharType="begin"/>
        </w:r>
        <w:r>
          <w:instrText xml:space="preserve"> PAGE   \* MERGEFORMAT </w:instrText>
        </w:r>
        <w:r>
          <w:fldChar w:fldCharType="separate"/>
        </w:r>
        <w:r w:rsidR="00724629">
          <w:rPr>
            <w:noProof/>
          </w:rPr>
          <w:t>1</w:t>
        </w:r>
        <w:r>
          <w:rPr>
            <w:noProof/>
          </w:rPr>
          <w:fldChar w:fldCharType="end"/>
        </w:r>
      </w:p>
    </w:sdtContent>
  </w:sdt>
  <w:p w14:paraId="4FC68343" w14:textId="77777777" w:rsidR="002760A3" w:rsidRPr="002760A3" w:rsidRDefault="002760A3" w:rsidP="002760A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279898"/>
      <w:docPartObj>
        <w:docPartGallery w:val="Page Numbers (Bottom of Page)"/>
        <w:docPartUnique/>
      </w:docPartObj>
    </w:sdtPr>
    <w:sdtEndPr>
      <w:rPr>
        <w:noProof/>
      </w:rPr>
    </w:sdtEndPr>
    <w:sdtContent>
      <w:p w14:paraId="411606E7" w14:textId="450F1518" w:rsidR="00B44FB0" w:rsidRPr="00382E78" w:rsidRDefault="00B44FB0" w:rsidP="00B44FB0">
        <w:pPr>
          <w:pStyle w:val="Footer"/>
          <w:jc w:val="center"/>
        </w:pPr>
        <w:r w:rsidRPr="00382E78">
          <w:fldChar w:fldCharType="begin"/>
        </w:r>
        <w:r w:rsidRPr="00382E78">
          <w:instrText xml:space="preserve"> PAGE   \* MERGEFORMAT </w:instrText>
        </w:r>
        <w:r w:rsidRPr="00382E78">
          <w:fldChar w:fldCharType="separate"/>
        </w:r>
        <w:r w:rsidR="00724629">
          <w:rPr>
            <w:noProof/>
          </w:rPr>
          <w:t>5</w:t>
        </w:r>
        <w:r w:rsidRPr="00382E78">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2485" w14:textId="77777777" w:rsidR="00B44FB0" w:rsidRDefault="00B44FB0">
    <w:pPr>
      <w:jc w:val="center"/>
    </w:pPr>
  </w:p>
  <w:p w14:paraId="618CCE71" w14:textId="3CDCE5D5" w:rsidR="00B44FB0" w:rsidRPr="0033525D" w:rsidRDefault="00B44FB0">
    <w:pPr>
      <w:jc w:val="center"/>
    </w:pPr>
    <w:r>
      <w:fldChar w:fldCharType="begin"/>
    </w:r>
    <w:r>
      <w:instrText xml:space="preserve"> PAGE </w:instrText>
    </w:r>
    <w:r>
      <w:fldChar w:fldCharType="separate"/>
    </w:r>
    <w:r w:rsidR="00724629">
      <w:rPr>
        <w:noProof/>
      </w:rPr>
      <w:t>14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3E4A" w14:textId="77777777" w:rsidR="00B44FB0" w:rsidRDefault="00B44FB0">
    <w:pPr>
      <w:jc w:val="center"/>
    </w:pPr>
  </w:p>
  <w:p w14:paraId="4357736D" w14:textId="4D5494F8" w:rsidR="00B44FB0" w:rsidRPr="0033525D" w:rsidRDefault="00B44FB0">
    <w:pPr>
      <w:jc w:val="center"/>
    </w:pPr>
    <w:r>
      <w:fldChar w:fldCharType="begin"/>
    </w:r>
    <w:r>
      <w:instrText xml:space="preserve"> PAGE </w:instrText>
    </w:r>
    <w:r>
      <w:fldChar w:fldCharType="separate"/>
    </w:r>
    <w:r w:rsidR="00724629">
      <w:rPr>
        <w:noProof/>
      </w:rPr>
      <w:t>13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863872"/>
      <w:docPartObj>
        <w:docPartGallery w:val="Page Numbers (Bottom of Page)"/>
        <w:docPartUnique/>
      </w:docPartObj>
    </w:sdtPr>
    <w:sdtEndPr>
      <w:rPr>
        <w:noProof/>
      </w:rPr>
    </w:sdtEndPr>
    <w:sdtContent>
      <w:p w14:paraId="4262C963" w14:textId="77777777" w:rsidR="00B44FB0" w:rsidRDefault="00B44FB0">
        <w:pPr>
          <w:pStyle w:val="Footer"/>
          <w:jc w:val="center"/>
        </w:pPr>
      </w:p>
      <w:p w14:paraId="62D4B2DB" w14:textId="77777777" w:rsidR="00B44FB0" w:rsidRPr="00C1001C" w:rsidRDefault="00B44FB0" w:rsidP="00B44F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0C2D4" w14:textId="77777777" w:rsidR="00B44FB0" w:rsidRDefault="00B44FB0" w:rsidP="004A504B">
      <w:r>
        <w:separator/>
      </w:r>
    </w:p>
  </w:footnote>
  <w:footnote w:type="continuationSeparator" w:id="0">
    <w:p w14:paraId="1778E942" w14:textId="77777777" w:rsidR="00B44FB0" w:rsidRDefault="00B44FB0" w:rsidP="004A504B">
      <w:r>
        <w:continuationSeparator/>
      </w:r>
    </w:p>
  </w:footnote>
  <w:footnote w:id="1">
    <w:p w14:paraId="4EC57BDB" w14:textId="77777777" w:rsidR="00B44FB0" w:rsidRPr="00BA486C" w:rsidRDefault="00B44FB0" w:rsidP="009D0F2A">
      <w:pPr>
        <w:pStyle w:val="FootnoteText"/>
        <w:rPr>
          <w:lang w:val="en-CA"/>
        </w:rPr>
      </w:pPr>
      <w:r>
        <w:rPr>
          <w:rStyle w:val="FootnoteReference"/>
        </w:rPr>
        <w:footnoteRef/>
      </w:r>
      <w:r>
        <w:t xml:space="preserve"> </w:t>
      </w:r>
      <w:r>
        <w:rPr>
          <w:lang w:val="en-CA"/>
        </w:rPr>
        <w:t>Decision related to the amendment phasing out HFCs.</w:t>
      </w:r>
    </w:p>
  </w:footnote>
  <w:footnote w:id="2">
    <w:p w14:paraId="092D5201" w14:textId="77777777" w:rsidR="00B44FB0" w:rsidRPr="00D80604" w:rsidRDefault="00B44FB0" w:rsidP="005B64DC">
      <w:pPr>
        <w:pStyle w:val="FootnoteText"/>
      </w:pPr>
      <w:r w:rsidRPr="005E5F60">
        <w:rPr>
          <w:rStyle w:val="FootnoteReference"/>
        </w:rPr>
        <w:footnoteRef/>
      </w:r>
      <w:r w:rsidRPr="00B000DF">
        <w:t xml:space="preserve"> Including </w:t>
      </w:r>
      <w:r w:rsidRPr="00D80604">
        <w:t>training programmes for refrigeration technicians and customs officers; recovery and recycling schemes; and retrofit of refrigeration equipment, approved since the 4</w:t>
      </w:r>
      <w:r w:rsidRPr="00D80604">
        <w:rPr>
          <w:vertAlign w:val="superscript"/>
        </w:rPr>
        <w:t>th</w:t>
      </w:r>
      <w:r w:rsidRPr="00D80604">
        <w:t xml:space="preserve"> meeting of the Executive Committee (June 1991).</w:t>
      </w:r>
    </w:p>
  </w:footnote>
  <w:footnote w:id="3">
    <w:p w14:paraId="2AAFA497" w14:textId="021C66B7" w:rsidR="00B44FB0" w:rsidRPr="00D80604" w:rsidRDefault="00B44FB0" w:rsidP="005B64DC">
      <w:pPr>
        <w:pStyle w:val="FootnoteText"/>
      </w:pPr>
      <w:r w:rsidRPr="005E5F60">
        <w:rPr>
          <w:rStyle w:val="FootnoteReference"/>
        </w:rPr>
        <w:footnoteRef/>
      </w:r>
      <w:r w:rsidRPr="00B000DF">
        <w:t xml:space="preserve"> Including</w:t>
      </w:r>
      <w:r>
        <w:t xml:space="preserve"> </w:t>
      </w:r>
      <w:r w:rsidRPr="00B000DF">
        <w:t>refrigerant management plans (RMPs), terminal phase-out management plans (TPMPs), national phase</w:t>
      </w:r>
      <w:r>
        <w:noBreakHyphen/>
      </w:r>
      <w:r w:rsidRPr="00B000DF">
        <w:t>out plans (NPPs) for non-low</w:t>
      </w:r>
      <w:r>
        <w:t>-</w:t>
      </w:r>
      <w:r w:rsidRPr="00B000DF">
        <w:t>volume consuming (non-LVC) countries, and more recently H</w:t>
      </w:r>
      <w:r>
        <w:t>CFC phase-out management plans (H</w:t>
      </w:r>
      <w:r w:rsidRPr="00B000DF">
        <w:t>PMPs</w:t>
      </w:r>
      <w:r>
        <w:t>)</w:t>
      </w:r>
      <w:r w:rsidRPr="00B000DF">
        <w:t>.</w:t>
      </w:r>
    </w:p>
  </w:footnote>
  <w:footnote w:id="4">
    <w:p w14:paraId="2F49FF7C" w14:textId="77777777" w:rsidR="00B44FB0" w:rsidRPr="00A372C4" w:rsidRDefault="00B44FB0">
      <w:pPr>
        <w:pStyle w:val="FootnoteText"/>
      </w:pPr>
      <w:r>
        <w:rPr>
          <w:rStyle w:val="FootnoteReference"/>
        </w:rPr>
        <w:footnoteRef/>
      </w:r>
      <w:r>
        <w:t xml:space="preserve"> The first IACM was held on 6-8 March 2018; and the second IACM was held on 4-6 September 2018.</w:t>
      </w:r>
    </w:p>
  </w:footnote>
  <w:footnote w:id="5">
    <w:p w14:paraId="470B20A5" w14:textId="4FCDC32B" w:rsidR="00B44FB0" w:rsidRPr="006C7B71" w:rsidRDefault="00B44FB0">
      <w:pPr>
        <w:pStyle w:val="FootnoteText"/>
      </w:pPr>
      <w:r>
        <w:rPr>
          <w:rStyle w:val="FootnoteReference"/>
        </w:rPr>
        <w:footnoteRef/>
      </w:r>
      <w:r>
        <w:t xml:space="preserve"> </w:t>
      </w:r>
      <w:r w:rsidRPr="006C7B71">
        <w:t>Meeting documentation is available at www. ozonactionmeetings.org.</w:t>
      </w:r>
    </w:p>
  </w:footnote>
  <w:footnote w:id="6">
    <w:p w14:paraId="44DB0E97" w14:textId="77777777" w:rsidR="00B44FB0" w:rsidRPr="00D80604" w:rsidRDefault="00B44FB0" w:rsidP="005B64DC">
      <w:pPr>
        <w:pStyle w:val="FootnoteText"/>
      </w:pPr>
      <w:r w:rsidRPr="005E5F60">
        <w:rPr>
          <w:rStyle w:val="FootnoteReference"/>
        </w:rPr>
        <w:footnoteRef/>
      </w:r>
      <w:r w:rsidRPr="00B000DF">
        <w:t xml:space="preserve"> </w:t>
      </w:r>
      <w:r w:rsidRPr="00D80604">
        <w:t>Including the International Energy Agency (IEA) and the International Institute of Refrigeration (IIR)</w:t>
      </w:r>
      <w:r>
        <w:t>.</w:t>
      </w:r>
    </w:p>
  </w:footnote>
  <w:footnote w:id="7">
    <w:p w14:paraId="22CB88D4" w14:textId="77777777" w:rsidR="00B44FB0" w:rsidRPr="00B56A3B" w:rsidRDefault="00B44FB0">
      <w:pPr>
        <w:pStyle w:val="FootnoteText"/>
      </w:pPr>
      <w:r w:rsidRPr="00B56A3B">
        <w:rPr>
          <w:rStyle w:val="FootnoteReference"/>
        </w:rPr>
        <w:footnoteRef/>
      </w:r>
      <w:r w:rsidRPr="00B56A3B">
        <w:t xml:space="preserve"> Prior to agreement on the Kigali Amendment, all controlled substances under the Montreal Protocol were ozone</w:t>
      </w:r>
      <w:r>
        <w:t>-</w:t>
      </w:r>
      <w:r w:rsidRPr="00B56A3B">
        <w:t>depleting substances.</w:t>
      </w:r>
    </w:p>
  </w:footnote>
  <w:footnote w:id="8">
    <w:p w14:paraId="754CFBEA" w14:textId="77777777" w:rsidR="00B44FB0" w:rsidRPr="00176235" w:rsidRDefault="00B44FB0">
      <w:pPr>
        <w:pStyle w:val="FootnoteText"/>
        <w:rPr>
          <w:lang w:val="en-CA"/>
        </w:rPr>
      </w:pPr>
      <w:r w:rsidRPr="00B56A3B">
        <w:rPr>
          <w:rStyle w:val="FootnoteReference"/>
        </w:rPr>
        <w:footnoteRef/>
      </w:r>
      <w:r w:rsidRPr="00B56A3B">
        <w:t xml:space="preserve"> For the purpose of this document, the term “refrigeration servicing sector” will refer to both refrigeration and air</w:t>
      </w:r>
      <w:r w:rsidRPr="00B56A3B">
        <w:noBreakHyphen/>
        <w:t>conditioning.</w:t>
      </w:r>
    </w:p>
  </w:footnote>
  <w:footnote w:id="9">
    <w:p w14:paraId="2569241D" w14:textId="77777777" w:rsidR="00B44FB0" w:rsidRPr="00A71422" w:rsidRDefault="00B44FB0" w:rsidP="003F0173">
      <w:pPr>
        <w:pStyle w:val="FootnoteText"/>
      </w:pPr>
      <w:r w:rsidRPr="005E5F60">
        <w:rPr>
          <w:rStyle w:val="FootnoteReference"/>
        </w:rPr>
        <w:footnoteRef/>
      </w:r>
      <w:r w:rsidRPr="00B000DF">
        <w:t xml:space="preserve"> Article 4B requires that each Party establish and implement a system for licensing the import and export of new, used, recycled and reclaimed controlled substances in </w:t>
      </w:r>
      <w:r w:rsidRPr="00A71422">
        <w:t>Annexes A, B, C and E of the Montreal Protocol. Since the adoption of the Protocol, the Parties and the Executive Committee have adopted a series of decisions to fund activities to enable Article 5 countries’ compliance with their obligations related to Article 4B.</w:t>
      </w:r>
    </w:p>
  </w:footnote>
  <w:footnote w:id="10">
    <w:p w14:paraId="4D9B39C9" w14:textId="77777777" w:rsidR="00B44FB0" w:rsidRPr="00871330" w:rsidRDefault="00B44FB0">
      <w:pPr>
        <w:pStyle w:val="FootnoteText"/>
      </w:pPr>
      <w:r>
        <w:rPr>
          <w:rStyle w:val="FootnoteReference"/>
        </w:rPr>
        <w:footnoteRef/>
      </w:r>
      <w:r>
        <w:t xml:space="preserve"> </w:t>
      </w:r>
      <w:r w:rsidRPr="00871330">
        <w:t xml:space="preserve">The strategy could include </w:t>
      </w:r>
      <w:r w:rsidRPr="00871330">
        <w:rPr>
          <w:i/>
        </w:rPr>
        <w:t>inter alia</w:t>
      </w:r>
      <w:r w:rsidRPr="00871330">
        <w:t xml:space="preserve"> measures such as legal and economic incentives and disincentives targeting suppliers, service technicians and equipment owners</w:t>
      </w:r>
      <w:r>
        <w:t>;</w:t>
      </w:r>
      <w:r w:rsidRPr="009F6C6B">
        <w:t xml:space="preserve"> </w:t>
      </w:r>
      <w:r w:rsidRPr="00871330">
        <w:t>technician training</w:t>
      </w:r>
      <w:r>
        <w:t>;</w:t>
      </w:r>
      <w:r w:rsidRPr="00871330">
        <w:t xml:space="preserve"> public awareness activities; customs control</w:t>
      </w:r>
      <w:r>
        <w:t>s</w:t>
      </w:r>
      <w:r w:rsidRPr="00871330">
        <w:t xml:space="preserve"> on new CFC-based equipment and vehicles; bans on the introduction of after-market CFC-based MAC systems; the retirement of existing CFC-based equipment and vehicles; and </w:t>
      </w:r>
      <w:r>
        <w:t>a</w:t>
      </w:r>
      <w:r w:rsidRPr="00871330">
        <w:t xml:space="preserve"> gradual increase in the supply of recycled CFCs.</w:t>
      </w:r>
    </w:p>
  </w:footnote>
  <w:footnote w:id="11">
    <w:p w14:paraId="5704B846" w14:textId="77777777" w:rsidR="00B44FB0" w:rsidRPr="00D80604" w:rsidRDefault="00B44FB0" w:rsidP="00EE50AA">
      <w:pPr>
        <w:pStyle w:val="FootnoteText"/>
      </w:pPr>
      <w:r w:rsidRPr="00A71422">
        <w:rPr>
          <w:rStyle w:val="FootnoteReference"/>
        </w:rPr>
        <w:footnoteRef/>
      </w:r>
      <w:r w:rsidRPr="00D80604">
        <w:t xml:space="preserve"> RMPs were approved for Bahamas, Georgia, Guyana, Saint Lucia and Trinidad and Tobago.</w:t>
      </w:r>
    </w:p>
  </w:footnote>
  <w:footnote w:id="12">
    <w:p w14:paraId="2ACF4D6D" w14:textId="77777777" w:rsidR="00B44FB0" w:rsidRPr="00882244" w:rsidRDefault="00B44FB0" w:rsidP="0024162B">
      <w:pPr>
        <w:pStyle w:val="FootnoteText"/>
        <w:rPr>
          <w:lang w:val="en-CA"/>
        </w:rPr>
      </w:pPr>
      <w:r>
        <w:rPr>
          <w:rStyle w:val="FootnoteReference"/>
        </w:rPr>
        <w:footnoteRef/>
      </w:r>
      <w:r>
        <w:t xml:space="preserve"> LVC countries that have done RMPs will be given 50 per cent of the funding provided to develop their original RMP to do RMP updates (decision 35/57).</w:t>
      </w:r>
    </w:p>
  </w:footnote>
  <w:footnote w:id="13">
    <w:p w14:paraId="003BF96A" w14:textId="77777777" w:rsidR="00B44FB0" w:rsidRPr="005E5F60" w:rsidRDefault="00B44FB0" w:rsidP="00702341">
      <w:pPr>
        <w:pStyle w:val="FootnoteText"/>
      </w:pPr>
      <w:r w:rsidRPr="005E5F60">
        <w:rPr>
          <w:rStyle w:val="FootnoteReference"/>
        </w:rPr>
        <w:footnoteRef/>
      </w:r>
      <w:r w:rsidRPr="005E5F60">
        <w:t xml:space="preserve"> UNEP/OzL.Pro/ExCom/53/60.</w:t>
      </w:r>
    </w:p>
  </w:footnote>
  <w:footnote w:id="14">
    <w:p w14:paraId="17DC0D16" w14:textId="77777777" w:rsidR="00B44FB0" w:rsidRPr="005E5F60" w:rsidRDefault="00B44FB0">
      <w:pPr>
        <w:pStyle w:val="FootnoteText"/>
      </w:pPr>
      <w:r w:rsidRPr="005E5F60">
        <w:rPr>
          <w:rStyle w:val="FootnoteReference"/>
        </w:rPr>
        <w:footnoteRef/>
      </w:r>
      <w:r w:rsidRPr="005E5F60">
        <w:t xml:space="preserve"> HPMPs were approved for the Former Yugoslav Republic of Macedonia and the Maldives.</w:t>
      </w:r>
    </w:p>
  </w:footnote>
  <w:footnote w:id="15">
    <w:p w14:paraId="6FEEB399" w14:textId="77777777" w:rsidR="00B44FB0" w:rsidRPr="00AD032C" w:rsidRDefault="00B44FB0" w:rsidP="00E476C3">
      <w:pPr>
        <w:pStyle w:val="FootnoteText"/>
      </w:pPr>
      <w:r w:rsidRPr="00AD032C">
        <w:rPr>
          <w:rStyle w:val="FootnoteReference"/>
        </w:rPr>
        <w:footnoteRef/>
      </w:r>
      <w:r w:rsidRPr="00AD032C">
        <w:t xml:space="preserve"> Submission of stage I of the HPMP for Syrian Arab Republic has been included in the 2019 business plan. </w:t>
      </w:r>
    </w:p>
  </w:footnote>
  <w:footnote w:id="16">
    <w:p w14:paraId="336CDC0A" w14:textId="77777777" w:rsidR="00B44FB0" w:rsidRPr="00E01A8C" w:rsidRDefault="00B44FB0" w:rsidP="00D10EF9">
      <w:pPr>
        <w:pStyle w:val="FootnoteText"/>
      </w:pPr>
      <w:r w:rsidRPr="00B000DF">
        <w:rPr>
          <w:rStyle w:val="FootnoteReference"/>
        </w:rPr>
        <w:footnoteRef/>
      </w:r>
      <w:r w:rsidRPr="000268D1">
        <w:t xml:space="preserve"> </w:t>
      </w:r>
      <w:r w:rsidRPr="00E01A8C">
        <w:t xml:space="preserve">Reflected in document UNEP/OzL.Pro/ExCom/70/53 on </w:t>
      </w:r>
      <w:r>
        <w:t>m</w:t>
      </w:r>
      <w:r w:rsidRPr="00E01A8C">
        <w:t>inimizing climate impact in phasing out HCFCs in the refrigeration servicing sector.</w:t>
      </w:r>
    </w:p>
  </w:footnote>
  <w:footnote w:id="17">
    <w:p w14:paraId="7242476B" w14:textId="77777777" w:rsidR="00B44FB0" w:rsidRPr="005E5F60" w:rsidRDefault="00B44FB0" w:rsidP="001A63FB">
      <w:pPr>
        <w:pStyle w:val="FootnoteText"/>
      </w:pPr>
      <w:r w:rsidRPr="005E5F60">
        <w:rPr>
          <w:rStyle w:val="FootnoteReference"/>
        </w:rPr>
        <w:footnoteRef/>
      </w:r>
      <w:r w:rsidRPr="00B000DF">
        <w:t xml:space="preserve"> </w:t>
      </w:r>
      <w:r>
        <w:t>For example</w:t>
      </w:r>
      <w:r w:rsidRPr="00B000DF">
        <w:t xml:space="preserve">, </w:t>
      </w:r>
      <w:r>
        <w:t>t</w:t>
      </w:r>
      <w:r w:rsidRPr="00A71422">
        <w:t>he International Energy Agency</w:t>
      </w:r>
      <w:r>
        <w:t xml:space="preserve"> (IEA) estimates that</w:t>
      </w:r>
      <w:r w:rsidRPr="00A71422">
        <w:t xml:space="preserve"> of the 2.8 billion pe</w:t>
      </w:r>
      <w:r w:rsidRPr="00D52ABB">
        <w:t xml:space="preserve">ople living in the hottest parts of the world, only 8 per cent </w:t>
      </w:r>
      <w:r>
        <w:t>have an</w:t>
      </w:r>
      <w:r w:rsidRPr="00D52ABB">
        <w:t xml:space="preserve"> air-conditioning unit. </w:t>
      </w:r>
      <w:r w:rsidRPr="005E5F60">
        <w:t xml:space="preserve">Between 1990 and 2016 China’s energy use for space cooling increased from 6.6 TWh to 450 TWh, and </w:t>
      </w:r>
      <w:r>
        <w:t xml:space="preserve">the </w:t>
      </w:r>
      <w:r w:rsidRPr="005E5F60">
        <w:t>demand in other countries</w:t>
      </w:r>
      <w:r>
        <w:t xml:space="preserve"> has </w:t>
      </w:r>
      <w:r w:rsidRPr="005E5F60">
        <w:t>risen 15-fold since 1990</w:t>
      </w:r>
      <w:r w:rsidRPr="001A63FB">
        <w:t xml:space="preserve"> </w:t>
      </w:r>
      <w:r w:rsidRPr="005E5F60">
        <w:t>(The future of cooling – opportunities for energy efficient air-conditioning, 2018).</w:t>
      </w:r>
    </w:p>
  </w:footnote>
  <w:footnote w:id="18">
    <w:p w14:paraId="2FB562D5" w14:textId="77777777" w:rsidR="00B44FB0" w:rsidRPr="00D84DD3" w:rsidRDefault="00B44FB0" w:rsidP="00261C15">
      <w:pPr>
        <w:pStyle w:val="FootnoteText"/>
      </w:pPr>
      <w:r>
        <w:rPr>
          <w:rStyle w:val="FootnoteReference"/>
        </w:rPr>
        <w:footnoteRef/>
      </w:r>
      <w:r>
        <w:t xml:space="preserve"> </w:t>
      </w:r>
      <w:r w:rsidRPr="00D84DD3">
        <w:t xml:space="preserve">Researchers at Lawrence Berkeley National Laboratory estimate the global stock of room air conditioners will rise by an additional 700 million by 2030, and 1.6 billion by 2059. </w:t>
      </w:r>
    </w:p>
  </w:footnote>
  <w:footnote w:id="19">
    <w:p w14:paraId="73BAC143" w14:textId="77777777" w:rsidR="00B44FB0" w:rsidRPr="005E5F60" w:rsidRDefault="00B44FB0" w:rsidP="00B606BC">
      <w:pPr>
        <w:pStyle w:val="FootnoteText"/>
      </w:pPr>
      <w:r w:rsidRPr="005E5F60">
        <w:rPr>
          <w:rStyle w:val="FootnoteReference"/>
        </w:rPr>
        <w:footnoteRef/>
      </w:r>
      <w:r w:rsidRPr="005E5F60">
        <w:t xml:space="preserve"> It is expected that the </w:t>
      </w:r>
      <w:r>
        <w:t xml:space="preserve">world population of </w:t>
      </w:r>
      <w:r w:rsidRPr="005E5F60">
        <w:t xml:space="preserve">7.0 billion in 2012 will increase to 9.3 billion by 2050, </w:t>
      </w:r>
      <w:r>
        <w:t xml:space="preserve">with </w:t>
      </w:r>
      <w:r w:rsidRPr="005E5F60">
        <w:t>over one billion additional citizens by 2025</w:t>
      </w:r>
      <w:r>
        <w:t>.</w:t>
      </w:r>
    </w:p>
  </w:footnote>
  <w:footnote w:id="20">
    <w:p w14:paraId="5E952F09" w14:textId="77777777" w:rsidR="00B44FB0" w:rsidRPr="00655364" w:rsidRDefault="00B44FB0" w:rsidP="001D074D">
      <w:pPr>
        <w:pStyle w:val="FootnoteText"/>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footnote>
  <w:footnote w:id="21">
    <w:p w14:paraId="1C3A4450" w14:textId="77777777" w:rsidR="00B44FB0" w:rsidRPr="00E6612A" w:rsidRDefault="00B44FB0" w:rsidP="001D074D">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meeting </w:t>
      </w:r>
      <w:r w:rsidRPr="00C70E60">
        <w:t xml:space="preserve">(May 2015) and </w:t>
      </w:r>
      <w:r>
        <w:t xml:space="preserve">the </w:t>
      </w:r>
      <w:r w:rsidRPr="00C70E60">
        <w:t>75</w:t>
      </w:r>
      <w:r w:rsidRPr="00C70E60">
        <w:rPr>
          <w:vertAlign w:val="superscript"/>
        </w:rPr>
        <w:t>th</w:t>
      </w:r>
      <w:r>
        <w:t xml:space="preserve"> </w:t>
      </w:r>
      <w:r w:rsidRPr="00C70E60">
        <w:t>meeting</w:t>
      </w:r>
      <w:r>
        <w:t xml:space="preserve"> </w:t>
      </w:r>
      <w:r w:rsidRPr="00C70E60">
        <w:t>(November 2015)</w:t>
      </w:r>
      <w:r>
        <w:t xml:space="preserve">. </w:t>
      </w:r>
    </w:p>
  </w:footnote>
  <w:footnote w:id="22">
    <w:p w14:paraId="025B74F4" w14:textId="77777777" w:rsidR="00B44FB0" w:rsidRPr="006438B7" w:rsidRDefault="00B44FB0" w:rsidP="001D074D">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23">
    <w:p w14:paraId="09A2577C" w14:textId="77777777" w:rsidR="00B44FB0" w:rsidRPr="00B31F67" w:rsidRDefault="00B44FB0" w:rsidP="001D074D">
      <w:pPr>
        <w:pStyle w:val="FootnoteText"/>
      </w:pPr>
      <w:r>
        <w:rPr>
          <w:rStyle w:val="FootnoteReference"/>
        </w:rPr>
        <w:footnoteRef/>
      </w:r>
      <w:r>
        <w:t xml:space="preserve"> </w:t>
      </w:r>
      <w:r w:rsidRPr="00B31F67">
        <w:t>Results from surveys in 119 countries comprising 42 non</w:t>
      </w:r>
      <w:r>
        <w:t>-</w:t>
      </w:r>
      <w:r w:rsidRPr="00B31F67">
        <w:t>LVC countries and 77 LVC countries</w:t>
      </w:r>
      <w:r>
        <w:t xml:space="preserve"> are contained in document </w:t>
      </w:r>
      <w:r w:rsidRPr="00B31F67">
        <w:t>UNEP/OzL.Pro/ExCom/80/54.</w:t>
      </w:r>
    </w:p>
  </w:footnote>
  <w:footnote w:id="24">
    <w:p w14:paraId="3402F549" w14:textId="77777777" w:rsidR="00B44FB0" w:rsidRPr="00C06D65" w:rsidRDefault="00B44FB0" w:rsidP="001D074D">
      <w:pPr>
        <w:pStyle w:val="FootnoteText"/>
      </w:pPr>
      <w:r>
        <w:rPr>
          <w:rStyle w:val="FootnoteReference"/>
        </w:rPr>
        <w:footnoteRef/>
      </w:r>
      <w:r>
        <w:t xml:space="preserve"> </w:t>
      </w:r>
      <w:r w:rsidRPr="00C6416C">
        <w:t>Although surveys were conducted in 82 per cent of Article 5 countries (119 out of 145), those countries’ aggregated HCFC baseline represents only 25 per cent of the aggregated HCFC baseline of all Article 5 countries.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 xml:space="preserve">24 per cent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 per cent of </w:t>
      </w:r>
      <w:r>
        <w:t xml:space="preserve">the aggregate baseline of </w:t>
      </w:r>
      <w:r w:rsidRPr="00E54D13">
        <w:t xml:space="preserve">all </w:t>
      </w:r>
      <w:r>
        <w:t xml:space="preserve">LVC </w:t>
      </w:r>
      <w:r w:rsidRPr="00E54D13">
        <w:t>countries.</w:t>
      </w:r>
      <w:r>
        <w:t xml:space="preserve"> It is to be noted that surveys were not submitted by the largest consuming countries, including Brazil, China and India.</w:t>
      </w:r>
    </w:p>
  </w:footnote>
  <w:footnote w:id="25">
    <w:p w14:paraId="7088B5B1" w14:textId="77777777" w:rsidR="00B44FB0" w:rsidRPr="005E5F60" w:rsidRDefault="00B44FB0" w:rsidP="001D074D">
      <w:pPr>
        <w:pStyle w:val="FootnoteText"/>
      </w:pPr>
      <w:r w:rsidRPr="005E5F60">
        <w:rPr>
          <w:rStyle w:val="FootnoteReference"/>
        </w:rPr>
        <w:footnoteRef/>
      </w:r>
      <w:r w:rsidRPr="005E5F60">
        <w:t xml:space="preserve"> As a reference, the HCFC baseline for consumption in Article 5 countries amounted to 538,749 </w:t>
      </w:r>
      <w:r w:rsidRPr="00D80604">
        <w:t>mt, mainly constituted of three HCFCs: HCFC</w:t>
      </w:r>
      <w:r w:rsidRPr="00D80604">
        <w:noBreakHyphen/>
        <w:t>22, representing the only HCFC used by all Article 5 countries (395,413 mt); HCFC-141b (107,971 mt); and HCFC-142b (31,580 mt).</w:t>
      </w:r>
    </w:p>
  </w:footnote>
  <w:footnote w:id="26">
    <w:p w14:paraId="0FBE34DF" w14:textId="65CECC70" w:rsidR="00B44FB0" w:rsidRPr="006C7B71" w:rsidRDefault="00B44FB0">
      <w:pPr>
        <w:pStyle w:val="FootnoteText"/>
      </w:pPr>
      <w:r>
        <w:rPr>
          <w:rStyle w:val="FootnoteReference"/>
        </w:rPr>
        <w:footnoteRef/>
      </w:r>
      <w:r>
        <w:t xml:space="preserve"> The surveys of </w:t>
      </w:r>
      <w:r w:rsidRPr="006C7B71">
        <w:t xml:space="preserve">ODS alternative were a first attempt to collect </w:t>
      </w:r>
      <w:r>
        <w:t xml:space="preserve">consumption </w:t>
      </w:r>
      <w:r w:rsidRPr="006C7B71">
        <w:t>data</w:t>
      </w:r>
      <w:r>
        <w:t xml:space="preserve"> of substances that were not yet controlled by the Montreal Protocol; furthermore, the </w:t>
      </w:r>
      <w:r w:rsidRPr="006C7B71">
        <w:t xml:space="preserve">methodology </w:t>
      </w:r>
      <w:r>
        <w:t xml:space="preserve">for collecting and analysing the data </w:t>
      </w:r>
      <w:r w:rsidRPr="006C7B71">
        <w:t>was not standardized</w:t>
      </w:r>
      <w:r>
        <w:t xml:space="preserve">. Therefore, the overview resulting from the surveys </w:t>
      </w:r>
      <w:r w:rsidRPr="006C7B71">
        <w:t>should be considered “best estimates”</w:t>
      </w:r>
      <w:r>
        <w:t>.</w:t>
      </w:r>
    </w:p>
  </w:footnote>
  <w:footnote w:id="27">
    <w:p w14:paraId="47AF437F" w14:textId="5ED6C96A" w:rsidR="00B44FB0" w:rsidRPr="0010007E" w:rsidRDefault="00B44FB0" w:rsidP="001D074D">
      <w:pPr>
        <w:pStyle w:val="FootnoteText"/>
      </w:pPr>
      <w:r>
        <w:rPr>
          <w:rStyle w:val="FootnoteReference"/>
        </w:rPr>
        <w:footnoteRef/>
      </w:r>
      <w:r>
        <w:t xml:space="preserve"> </w:t>
      </w:r>
      <w:r>
        <w:rPr>
          <w:lang w:val="en-CA"/>
        </w:rPr>
        <w:t>T</w:t>
      </w:r>
      <w:r w:rsidRPr="00AC2011">
        <w:rPr>
          <w:lang w:val="en-CA"/>
        </w:rPr>
        <w:t xml:space="preserve">he CFC and HCFC baselines for compliance of the </w:t>
      </w:r>
      <w:r>
        <w:rPr>
          <w:lang w:val="en-CA"/>
        </w:rPr>
        <w:t>77</w:t>
      </w:r>
      <w:r w:rsidRPr="00AC2011">
        <w:rPr>
          <w:lang w:val="en-CA"/>
        </w:rPr>
        <w:t xml:space="preserve"> LVC countries that submitted reports on ODS alternatives represented </w:t>
      </w:r>
      <w:r>
        <w:rPr>
          <w:lang w:val="en-CA"/>
        </w:rPr>
        <w:t>92 and 91</w:t>
      </w:r>
      <w:r w:rsidRPr="00AC2011">
        <w:rPr>
          <w:lang w:val="en-CA"/>
        </w:rPr>
        <w:t xml:space="preserve"> per cent, respectively</w:t>
      </w:r>
      <w:r>
        <w:rPr>
          <w:lang w:val="en-CA"/>
        </w:rPr>
        <w:t>,</w:t>
      </w:r>
      <w:r w:rsidRPr="00AC2011">
        <w:rPr>
          <w:lang w:val="en-CA"/>
        </w:rPr>
        <w:t xml:space="preserve"> of all LVC countries, while the CFC and HCFC baselines of the </w:t>
      </w:r>
      <w:r>
        <w:rPr>
          <w:lang w:val="en-CA"/>
        </w:rPr>
        <w:t>42</w:t>
      </w:r>
      <w:r w:rsidR="00A6060E">
        <w:rPr>
          <w:lang w:val="en-CA"/>
        </w:rPr>
        <w:t> </w:t>
      </w:r>
      <w:r w:rsidRPr="00AC2011">
        <w:rPr>
          <w:lang w:val="en-CA"/>
        </w:rPr>
        <w:t>non</w:t>
      </w:r>
      <w:r>
        <w:rPr>
          <w:lang w:val="en-CA"/>
        </w:rPr>
        <w:noBreakHyphen/>
      </w:r>
      <w:r w:rsidRPr="00AC2011">
        <w:rPr>
          <w:lang w:val="en-CA"/>
        </w:rPr>
        <w:t xml:space="preserve">LVC countries that submitted reports represented </w:t>
      </w:r>
      <w:r>
        <w:rPr>
          <w:lang w:val="en-CA"/>
        </w:rPr>
        <w:t>35</w:t>
      </w:r>
      <w:r w:rsidRPr="00AC2011">
        <w:rPr>
          <w:lang w:val="en-CA"/>
        </w:rPr>
        <w:t xml:space="preserve"> and </w:t>
      </w:r>
      <w:r>
        <w:rPr>
          <w:lang w:val="en-CA"/>
        </w:rPr>
        <w:t>24</w:t>
      </w:r>
      <w:r w:rsidRPr="00AC2011">
        <w:rPr>
          <w:lang w:val="en-CA"/>
        </w:rPr>
        <w:t xml:space="preserve"> per cent, respectively</w:t>
      </w:r>
      <w:r>
        <w:rPr>
          <w:lang w:val="en-CA"/>
        </w:rPr>
        <w:t>,</w:t>
      </w:r>
      <w:r w:rsidRPr="00AC2011">
        <w:rPr>
          <w:lang w:val="en-CA"/>
        </w:rPr>
        <w:t xml:space="preserve"> of all non-LVC countries.</w:t>
      </w:r>
    </w:p>
  </w:footnote>
  <w:footnote w:id="28">
    <w:p w14:paraId="29BD287E" w14:textId="77777777" w:rsidR="00B44FB0" w:rsidRPr="005E5F60" w:rsidRDefault="00B44FB0" w:rsidP="00FA1504">
      <w:pPr>
        <w:pStyle w:val="FootnoteText"/>
        <w:jc w:val="left"/>
      </w:pPr>
      <w:r w:rsidRPr="005E5F60">
        <w:rPr>
          <w:rStyle w:val="FootnoteReference"/>
        </w:rPr>
        <w:footnoteRef/>
      </w:r>
      <w:r w:rsidRPr="00B000DF">
        <w:t xml:space="preserve"> </w:t>
      </w:r>
      <w:hyperlink r:id="rId1" w:history="1">
        <w:r w:rsidRPr="005E5F60">
          <w:rPr>
            <w:rStyle w:val="Hyperlink"/>
          </w:rPr>
          <w:t>http://www.asme.org/engineering-topics/articles/technology-and-society/global-cooling-the-history-of-air-conditioning</w:t>
        </w:r>
      </w:hyperlink>
    </w:p>
  </w:footnote>
  <w:footnote w:id="29">
    <w:p w14:paraId="58C73CF1" w14:textId="77777777" w:rsidR="00B44FB0" w:rsidRPr="00FA1504" w:rsidRDefault="00B44FB0" w:rsidP="005A389C">
      <w:pPr>
        <w:pStyle w:val="FootnoteText"/>
      </w:pPr>
      <w:r w:rsidRPr="005E5F60">
        <w:rPr>
          <w:rStyle w:val="FootnoteReference"/>
        </w:rPr>
        <w:footnoteRef/>
      </w:r>
      <w:r w:rsidRPr="005E5F60">
        <w:t xml:space="preserve"> TEAP Task Force report under decisions XXV/5 and XXVI/9.</w:t>
      </w:r>
    </w:p>
  </w:footnote>
  <w:footnote w:id="30">
    <w:p w14:paraId="6E79DB37" w14:textId="77777777" w:rsidR="00B44FB0" w:rsidRPr="0089351C" w:rsidRDefault="00B44FB0" w:rsidP="00924689">
      <w:pPr>
        <w:pStyle w:val="FootnoteText"/>
      </w:pPr>
      <w:r w:rsidRPr="005E5F60">
        <w:rPr>
          <w:rStyle w:val="FootnoteReference"/>
        </w:rPr>
        <w:footnoteRef/>
      </w:r>
      <w:r w:rsidRPr="00B000DF">
        <w:t xml:space="preserve"> For example, at its 49</w:t>
      </w:r>
      <w:r w:rsidRPr="00B000DF">
        <w:rPr>
          <w:vertAlign w:val="superscript"/>
        </w:rPr>
        <w:t>th</w:t>
      </w:r>
      <w:r w:rsidRPr="00B000DF">
        <w:t xml:space="preserve"> meeting (July 2006)</w:t>
      </w:r>
      <w:r>
        <w:t>,</w:t>
      </w:r>
      <w:r w:rsidRPr="00B000DF">
        <w:t xml:space="preserve"> the Executive Committee considered document UNEP/Oz</w:t>
      </w:r>
      <w:r w:rsidRPr="000268D1">
        <w:t xml:space="preserve">L.Pro/ExCom/49/7 containing a compendium of recommendations relevant to the evaluation of RMPs and NPPs, prepared pursuant to decision 48/10. As a result, additional guidance was given </w:t>
      </w:r>
      <w:r w:rsidRPr="00A71422">
        <w:t>when planning and implementing such plans</w:t>
      </w:r>
      <w:r>
        <w:t xml:space="preserve"> and</w:t>
      </w:r>
      <w:r w:rsidRPr="00A71422">
        <w:t xml:space="preserve"> included </w:t>
      </w:r>
      <w:r w:rsidRPr="0089351C">
        <w:rPr>
          <w:i/>
        </w:rPr>
        <w:t>inter alia</w:t>
      </w:r>
      <w:r w:rsidRPr="00A71422">
        <w:t xml:space="preserve"> cooperation with other government agencies; updating legislative measures; updating trainin</w:t>
      </w:r>
      <w:r w:rsidRPr="00D52ABB">
        <w:t xml:space="preserve">g programmes for technicians to include the latest information with regard to </w:t>
      </w:r>
      <w:r>
        <w:t xml:space="preserve">the </w:t>
      </w:r>
      <w:r w:rsidRPr="00D52ABB">
        <w:t xml:space="preserve">application of good </w:t>
      </w:r>
      <w:r w:rsidRPr="005E5F60">
        <w:t xml:space="preserve">practices to reduce usage of controlled substances and to promote the use of alternative refrigerants, paying full attention to safety aspects in countries where training in the use of </w:t>
      </w:r>
      <w:r>
        <w:t xml:space="preserve">flammable refrigerants </w:t>
      </w:r>
      <w:r w:rsidRPr="005E5F60">
        <w:t xml:space="preserve">was carried out; mandatory certification of technicians; and taking into account decision 41/100 on recovery and recycling schemes. </w:t>
      </w:r>
    </w:p>
  </w:footnote>
  <w:footnote w:id="31">
    <w:p w14:paraId="53DBBBE0" w14:textId="77777777" w:rsidR="00B44FB0" w:rsidRPr="00A71422" w:rsidRDefault="00B44FB0" w:rsidP="00E81E25">
      <w:pPr>
        <w:pStyle w:val="FootnoteText"/>
      </w:pPr>
      <w:r w:rsidRPr="000D7645">
        <w:rPr>
          <w:rStyle w:val="FootnoteReference"/>
        </w:rPr>
        <w:footnoteRef/>
      </w:r>
      <w:r w:rsidRPr="000D7645">
        <w:t xml:space="preserve"> UNEP publication on HCFC policy and legislative options provides a comprehensive analysis of legislative and regulatory options that have been used by NOUs in designing and implementing their phase-out plans in the refrigeration servicing sector.</w:t>
      </w:r>
    </w:p>
  </w:footnote>
  <w:footnote w:id="32">
    <w:p w14:paraId="2FC3539F" w14:textId="0962ECFF" w:rsidR="00B44FB0" w:rsidRPr="005E5F60" w:rsidRDefault="00B44FB0" w:rsidP="007906E2">
      <w:pPr>
        <w:pStyle w:val="FootnoteText"/>
      </w:pPr>
      <w:r w:rsidRPr="00FF428B">
        <w:rPr>
          <w:rStyle w:val="FootnoteReference"/>
        </w:rPr>
        <w:footnoteRef/>
      </w:r>
      <w:r w:rsidRPr="00C6466D">
        <w:t xml:space="preserve"> </w:t>
      </w:r>
      <w:r w:rsidRPr="0089351C">
        <w:t>The Twenty</w:t>
      </w:r>
      <w:r w:rsidRPr="0089351C">
        <w:noBreakHyphen/>
        <w:t>sixth Meeting of the Parties (November 2014) requested the Ozone Secretariat to liaise with the World Customs Organization to examine the possibility of designating individual Harmonized System codes for the most commonly traded fluorinated substitutes for HCFCs and CFCs classified under Harmonized System code 2903.39, and encouraged parties to take the necessary steps to recommend such international customs classifications and consider establishing domestic customs codes for the relevant substitutes (decision XXVI/8).</w:t>
      </w:r>
      <w:r>
        <w:t xml:space="preserve"> T</w:t>
      </w:r>
      <w:r w:rsidRPr="00DB0036">
        <w:t xml:space="preserve">he HS codes are updated every five years, therefore the earliest date for new HFC codes </w:t>
      </w:r>
      <w:r>
        <w:t xml:space="preserve">would be </w:t>
      </w:r>
      <w:r w:rsidRPr="00DB0036">
        <w:t>2</w:t>
      </w:r>
      <w:r w:rsidRPr="00A523F1">
        <w:t>022</w:t>
      </w:r>
      <w:r w:rsidRPr="00DB0036">
        <w:t>.</w:t>
      </w:r>
    </w:p>
  </w:footnote>
  <w:footnote w:id="33">
    <w:p w14:paraId="736BCD08" w14:textId="77777777" w:rsidR="00B44FB0" w:rsidRPr="00EB0C0F" w:rsidRDefault="00B44FB0" w:rsidP="00E81E25">
      <w:pPr>
        <w:pStyle w:val="FootnoteText"/>
        <w:rPr>
          <w:lang w:val="en-CA"/>
        </w:rPr>
      </w:pPr>
      <w:r>
        <w:rPr>
          <w:rStyle w:val="FootnoteReference"/>
        </w:rPr>
        <w:footnoteRef/>
      </w:r>
      <w:r>
        <w:t xml:space="preserve"> </w:t>
      </w:r>
      <w:r>
        <w:rPr>
          <w:lang w:val="en-CA"/>
        </w:rPr>
        <w:t xml:space="preserve">UNEP publication on Legislative and policy options to control HFCs, provides a comprehensive set of policy and regulatory options that could be considered when implementing HFC phase-down plans. </w:t>
      </w:r>
    </w:p>
  </w:footnote>
  <w:footnote w:id="34">
    <w:p w14:paraId="09A596AF" w14:textId="77777777" w:rsidR="00B44FB0" w:rsidRPr="0007301A" w:rsidRDefault="00B44FB0" w:rsidP="0007301A">
      <w:pPr>
        <w:pStyle w:val="FootnoteText"/>
      </w:pPr>
      <w:r>
        <w:rPr>
          <w:rStyle w:val="FootnoteReference"/>
        </w:rPr>
        <w:footnoteRef/>
      </w:r>
      <w:r>
        <w:t xml:space="preserve"> For </w:t>
      </w:r>
      <w:r w:rsidRPr="0007301A">
        <w:t>substances, for equipment, for refrigerant containers,</w:t>
      </w:r>
      <w:r>
        <w:t xml:space="preserve"> and on</w:t>
      </w:r>
      <w:r w:rsidRPr="0007301A">
        <w:t xml:space="preserve"> storage, transportation, design of systems and components, maximum refrigerant charge, installation, servicing and disposal of equipment</w:t>
      </w:r>
      <w:r>
        <w:t>, among others.</w:t>
      </w:r>
    </w:p>
  </w:footnote>
  <w:footnote w:id="35">
    <w:p w14:paraId="309264E8" w14:textId="77777777" w:rsidR="00B44FB0" w:rsidRPr="00286094" w:rsidRDefault="00B44FB0" w:rsidP="005F4968">
      <w:pPr>
        <w:pStyle w:val="FootnoteText"/>
        <w:rPr>
          <w:sz w:val="18"/>
          <w:szCs w:val="18"/>
          <w:lang w:val="en-CA"/>
        </w:rPr>
      </w:pPr>
      <w:r w:rsidRPr="00286094">
        <w:rPr>
          <w:rStyle w:val="FootnoteReference"/>
          <w:sz w:val="18"/>
          <w:szCs w:val="18"/>
        </w:rPr>
        <w:footnoteRef/>
      </w:r>
      <w:r w:rsidRPr="00286094">
        <w:rPr>
          <w:sz w:val="18"/>
          <w:szCs w:val="18"/>
        </w:rPr>
        <w:t xml:space="preserve"> </w:t>
      </w:r>
      <w:r>
        <w:rPr>
          <w:lang w:val="en-CA"/>
        </w:rPr>
        <w:t>UNEP publication on i</w:t>
      </w:r>
      <w:r w:rsidRPr="00F37EF5">
        <w:rPr>
          <w:lang w:val="en-CA"/>
        </w:rPr>
        <w:t xml:space="preserve">nternational </w:t>
      </w:r>
      <w:r>
        <w:rPr>
          <w:lang w:val="en-CA"/>
        </w:rPr>
        <w:t>s</w:t>
      </w:r>
      <w:r w:rsidRPr="00F37EF5">
        <w:rPr>
          <w:lang w:val="en-CA"/>
        </w:rPr>
        <w:t xml:space="preserve">tandards in </w:t>
      </w:r>
      <w:r>
        <w:rPr>
          <w:lang w:val="en-CA"/>
        </w:rPr>
        <w:t>r</w:t>
      </w:r>
      <w:r w:rsidRPr="00F37EF5">
        <w:rPr>
          <w:lang w:val="en-CA"/>
        </w:rPr>
        <w:t xml:space="preserve">efrigeration and </w:t>
      </w:r>
      <w:r>
        <w:rPr>
          <w:lang w:val="en-CA"/>
        </w:rPr>
        <w:t>a</w:t>
      </w:r>
      <w:r w:rsidRPr="00F37EF5">
        <w:rPr>
          <w:lang w:val="en-CA"/>
        </w:rPr>
        <w:t>ir</w:t>
      </w:r>
      <w:r>
        <w:rPr>
          <w:lang w:val="en-CA"/>
        </w:rPr>
        <w:t>-c</w:t>
      </w:r>
      <w:r w:rsidRPr="00F37EF5">
        <w:rPr>
          <w:lang w:val="en-CA"/>
        </w:rPr>
        <w:t>onditioning</w:t>
      </w:r>
      <w:r>
        <w:rPr>
          <w:lang w:val="en-CA"/>
        </w:rPr>
        <w:t>, presents a</w:t>
      </w:r>
      <w:r w:rsidRPr="00F37EF5">
        <w:rPr>
          <w:lang w:val="en-CA"/>
        </w:rPr>
        <w:t xml:space="preserve">n introduction </w:t>
      </w:r>
      <w:r>
        <w:rPr>
          <w:lang w:val="en-CA"/>
        </w:rPr>
        <w:t xml:space="preserve">of the </w:t>
      </w:r>
      <w:r w:rsidRPr="00F37EF5">
        <w:rPr>
          <w:lang w:val="en-CA"/>
        </w:rPr>
        <w:t xml:space="preserve">role </w:t>
      </w:r>
      <w:r>
        <w:rPr>
          <w:lang w:val="en-CA"/>
        </w:rPr>
        <w:t xml:space="preserve">of standards </w:t>
      </w:r>
      <w:r w:rsidRPr="00F37EF5">
        <w:rPr>
          <w:lang w:val="en-CA"/>
        </w:rPr>
        <w:t>in the context of the HCFC phase-out in developing countries</w:t>
      </w:r>
      <w:r>
        <w:rPr>
          <w:lang w:val="en-CA"/>
        </w:rPr>
        <w:t xml:space="preserve"> (</w:t>
      </w:r>
      <w:r w:rsidRPr="00F37EF5">
        <w:rPr>
          <w:lang w:val="en-CA"/>
        </w:rPr>
        <w:t>2014</w:t>
      </w:r>
      <w:r>
        <w:rPr>
          <w:lang w:val="en-CA"/>
        </w:rPr>
        <w:t>)</w:t>
      </w:r>
      <w:r w:rsidRPr="00F37EF5">
        <w:rPr>
          <w:lang w:val="en-CA"/>
        </w:rPr>
        <w:t>.</w:t>
      </w:r>
    </w:p>
  </w:footnote>
  <w:footnote w:id="36">
    <w:p w14:paraId="7B35EDFF" w14:textId="77777777" w:rsidR="00B44FB0" w:rsidRPr="00B000DF" w:rsidRDefault="00B44FB0" w:rsidP="003D1739">
      <w:pPr>
        <w:pStyle w:val="FootnoteText"/>
      </w:pPr>
      <w:r w:rsidRPr="005E5F60">
        <w:rPr>
          <w:rStyle w:val="FootnoteReference"/>
        </w:rPr>
        <w:footnoteRef/>
      </w:r>
      <w:r w:rsidRPr="00B000DF">
        <w:t xml:space="preserve"> Final report on the evaluation of the implementation of RMPs (UNEP/OzL.Pro/ExCom/41/7).</w:t>
      </w:r>
    </w:p>
  </w:footnote>
  <w:footnote w:id="37">
    <w:p w14:paraId="5EF8480C" w14:textId="427A7D19" w:rsidR="00B44FB0" w:rsidRPr="00E01A8C" w:rsidRDefault="00B44FB0" w:rsidP="008B110E">
      <w:pPr>
        <w:pStyle w:val="FootnoteText"/>
      </w:pPr>
      <w:r w:rsidRPr="005E5F60">
        <w:rPr>
          <w:rStyle w:val="FootnoteReference"/>
        </w:rPr>
        <w:footnoteRef/>
      </w:r>
      <w:r w:rsidRPr="00B000DF">
        <w:t xml:space="preserve"> </w:t>
      </w:r>
      <w:r>
        <w:t>UNEP/OzL.Pro/ExCom/31/20</w:t>
      </w:r>
    </w:p>
  </w:footnote>
  <w:footnote w:id="38">
    <w:p w14:paraId="51863A05" w14:textId="77777777" w:rsidR="00B44FB0" w:rsidRPr="004E6D13" w:rsidRDefault="00B44FB0" w:rsidP="004E6D13">
      <w:pPr>
        <w:pStyle w:val="FootnoteText"/>
      </w:pPr>
      <w:r>
        <w:rPr>
          <w:rStyle w:val="FootnoteReference"/>
        </w:rPr>
        <w:footnoteRef/>
      </w:r>
      <w:r>
        <w:t xml:space="preserve"> UNEP/OzL.Pro/ExCom/</w:t>
      </w:r>
      <w:r w:rsidRPr="004E6D13">
        <w:t>81/7</w:t>
      </w:r>
      <w:r>
        <w:t xml:space="preserve"> (preliminary report</w:t>
      </w:r>
      <w:r w:rsidRPr="004E6D13">
        <w:t xml:space="preserve">) and </w:t>
      </w:r>
      <w:r>
        <w:t>UNEP/OzL.Pro/ExCom/82/11(</w:t>
      </w:r>
      <w:r w:rsidRPr="004E6D13">
        <w:t>synthesis report)</w:t>
      </w:r>
      <w:r>
        <w:t>.</w:t>
      </w:r>
    </w:p>
  </w:footnote>
  <w:footnote w:id="39">
    <w:p w14:paraId="75F0CA4D" w14:textId="240760DB" w:rsidR="00B44FB0" w:rsidRPr="007B2F17" w:rsidRDefault="00B44FB0">
      <w:pPr>
        <w:pStyle w:val="FootnoteText"/>
      </w:pPr>
      <w:r>
        <w:rPr>
          <w:rStyle w:val="FootnoteReference"/>
        </w:rPr>
        <w:footnoteRef/>
      </w:r>
      <w:r>
        <w:t xml:space="preserve"> An indicative, not exhaustive list of t</w:t>
      </w:r>
      <w:r w:rsidRPr="007B2F17">
        <w:t>ypical tool</w:t>
      </w:r>
      <w:r>
        <w:t xml:space="preserve">s </w:t>
      </w:r>
      <w:r w:rsidRPr="007B2F17">
        <w:t xml:space="preserve">include </w:t>
      </w:r>
      <w:r w:rsidRPr="007B2F17">
        <w:rPr>
          <w:i/>
        </w:rPr>
        <w:t>inter</w:t>
      </w:r>
      <w:r>
        <w:rPr>
          <w:i/>
        </w:rPr>
        <w:t xml:space="preserve"> </w:t>
      </w:r>
      <w:r w:rsidRPr="007B2F17">
        <w:rPr>
          <w:i/>
        </w:rPr>
        <w:t>alia</w:t>
      </w:r>
      <w:r w:rsidRPr="007B2F17">
        <w:t xml:space="preserve"> copper tube cutters, weighing scale, deburring tools, flaring tool, non-metallic abrasive pad, phosphorus brazing alloy, silver brazing alloy and flux, pipe calibration </w:t>
      </w:r>
      <w:r>
        <w:t xml:space="preserve">and pipe </w:t>
      </w:r>
      <w:r w:rsidRPr="007B2F17">
        <w:t>bending tools, wrench, torque wrench, vacuum gauge, tube expander tool and expander heads, vacuum pumps, oxy-acetylene torch set, electronic leak detector, calibrated leak test, torch igniter, rubber mallet, refrigeration ratchet, spray bottle (for leak detection), manifold gauge, and hoses. Personal protective equipment includes standard items such as goggles, gloves and fire extinguisher.</w:t>
      </w:r>
    </w:p>
  </w:footnote>
  <w:footnote w:id="40">
    <w:p w14:paraId="318DD2ED" w14:textId="4A1B69FB" w:rsidR="00B44FB0" w:rsidRPr="00DA53D8" w:rsidRDefault="00B44FB0">
      <w:pPr>
        <w:pStyle w:val="FootnoteText"/>
      </w:pPr>
      <w:r>
        <w:rPr>
          <w:rStyle w:val="FootnoteReference"/>
        </w:rPr>
        <w:footnoteRef/>
      </w:r>
      <w:r>
        <w:t xml:space="preserve"> </w:t>
      </w:r>
      <w:r w:rsidRPr="00234DA4">
        <w:t xml:space="preserve">An indicative, not exhaustive list of </w:t>
      </w:r>
      <w:r>
        <w:t xml:space="preserve">tools include </w:t>
      </w:r>
      <w:r>
        <w:rPr>
          <w:i/>
        </w:rPr>
        <w:t xml:space="preserve">inter alia </w:t>
      </w:r>
      <w:r w:rsidRPr="00DA53D8">
        <w:t>gas detectors, electronic manifold gauges</w:t>
      </w:r>
      <w:r>
        <w:t xml:space="preserve"> and hoses</w:t>
      </w:r>
      <w:r w:rsidRPr="00DA53D8">
        <w:t>, ammonia and CO</w:t>
      </w:r>
      <w:r w:rsidRPr="00FB5D02">
        <w:rPr>
          <w:vertAlign w:val="subscript"/>
        </w:rPr>
        <w:t>2</w:t>
      </w:r>
      <w:r w:rsidRPr="00DA53D8">
        <w:t>. Depending on the refrigerant, protective equipment may include special respiratory protection (e.g., canister type self-contained respirators or breathing equipment) and protective clothing.</w:t>
      </w:r>
    </w:p>
  </w:footnote>
  <w:footnote w:id="41">
    <w:p w14:paraId="28E197C1" w14:textId="77777777" w:rsidR="00B44FB0" w:rsidRPr="00E202BB" w:rsidRDefault="00B44FB0" w:rsidP="008B110E">
      <w:pPr>
        <w:pStyle w:val="FootnoteText"/>
      </w:pPr>
      <w:r w:rsidRPr="005E5F60">
        <w:rPr>
          <w:rStyle w:val="FootnoteReference"/>
        </w:rPr>
        <w:footnoteRef/>
      </w:r>
      <w:r w:rsidRPr="00E202BB">
        <w:t xml:space="preserve"> Paragraphs 31 to 33 of document UNEP/OzL.Pro/ExCom/31/18.</w:t>
      </w:r>
    </w:p>
  </w:footnote>
  <w:footnote w:id="42">
    <w:p w14:paraId="71878FCB" w14:textId="77777777" w:rsidR="00B44FB0" w:rsidRPr="00B000DF" w:rsidRDefault="00B44FB0" w:rsidP="008B110E">
      <w:pPr>
        <w:pStyle w:val="FootnoteText"/>
      </w:pPr>
      <w:r w:rsidRPr="005E5F60">
        <w:rPr>
          <w:rStyle w:val="FootnoteReference"/>
        </w:rPr>
        <w:footnoteRef/>
      </w:r>
      <w:r w:rsidRPr="00B000DF">
        <w:t xml:space="preserve"> AHRI Standard 700.</w:t>
      </w:r>
    </w:p>
  </w:footnote>
  <w:footnote w:id="43">
    <w:p w14:paraId="78A43FED" w14:textId="4FC5D955" w:rsidR="00B44FB0" w:rsidRPr="005E5F60" w:rsidRDefault="00B44FB0" w:rsidP="006E6412">
      <w:pPr>
        <w:pStyle w:val="FootnoteText"/>
      </w:pPr>
      <w:r w:rsidRPr="005E5F60">
        <w:rPr>
          <w:rStyle w:val="FootnoteReference"/>
        </w:rPr>
        <w:footnoteRef/>
      </w:r>
      <w:r w:rsidRPr="00B000DF">
        <w:t xml:space="preserve"> </w:t>
      </w:r>
      <w:r>
        <w:t xml:space="preserve">The guidelines </w:t>
      </w:r>
      <w:r w:rsidRPr="008D410F">
        <w:t>established the circumstances that must prevail before priority can be granted to end-user conversion</w:t>
      </w:r>
      <w:r>
        <w:t xml:space="preserve"> </w:t>
      </w:r>
      <w:r w:rsidRPr="00B000DF">
        <w:t xml:space="preserve">(a) production and import control on CFC and CFC-based equipment in place and effectively enforced, and </w:t>
      </w:r>
      <w:r w:rsidRPr="00A71422">
        <w:t>restricts the deployment of new CFC components; (b) the country’s major remaining consumption is for the servicing of refrigeration and air-conditioning equipment; (c)</w:t>
      </w:r>
      <w:r>
        <w:t xml:space="preserve"> </w:t>
      </w:r>
      <w:r w:rsidRPr="00A71422">
        <w:t>comprehensive data on the profile of all remaining consumption has been determined and made available to the E</w:t>
      </w:r>
      <w:r w:rsidRPr="00D52ABB">
        <w:t>xecutive Committee, and (d) either no other possible activities would allow the country to meet it</w:t>
      </w:r>
      <w:r w:rsidRPr="005E5F60">
        <w:t>s CFC control obligations, or the comparative consumer price of CFCs, relative to substitute refrigerants, has been high for at least 9 months and is predicted to continue to increase</w:t>
      </w:r>
      <w:r>
        <w:t xml:space="preserve"> </w:t>
      </w:r>
      <w:r w:rsidRPr="008D410F">
        <w:t>(decision 28/44</w:t>
      </w:r>
      <w:r>
        <w:t>)</w:t>
      </w:r>
      <w:r w:rsidRPr="005E5F60">
        <w:t>.</w:t>
      </w:r>
    </w:p>
  </w:footnote>
  <w:footnote w:id="44">
    <w:p w14:paraId="50355790" w14:textId="77777777" w:rsidR="00B44FB0" w:rsidRPr="005E5F60" w:rsidRDefault="00B44FB0" w:rsidP="006E6412">
      <w:pPr>
        <w:pStyle w:val="FootnoteText"/>
      </w:pPr>
      <w:r w:rsidRPr="005E5F60">
        <w:rPr>
          <w:rStyle w:val="FootnoteReference"/>
        </w:rPr>
        <w:footnoteRef/>
      </w:r>
      <w:r w:rsidRPr="005E5F60">
        <w:t xml:space="preserve"> The only HCFC-22 alternatives available for retrofit have high</w:t>
      </w:r>
      <w:r>
        <w:t xml:space="preserve"> </w:t>
      </w:r>
      <w:r w:rsidRPr="005E5F60">
        <w:t>GWP (such as HFC-407C/F, HFC-404A). HFC-32 does not qualify as</w:t>
      </w:r>
      <w:r>
        <w:t xml:space="preserve"> a </w:t>
      </w:r>
      <w:r w:rsidRPr="005E5F60">
        <w:t>retrofit candidate due to its higher operating pressures. The only low-GWP alternative that comes close to HCFC-22 is HC-290; however, its application is limited due to its flammability. HC-1270 (propylene) appears to have better volumetric capacity; but concerns about flammability and heat exchanger modifications remain.</w:t>
      </w:r>
    </w:p>
  </w:footnote>
  <w:footnote w:id="45">
    <w:p w14:paraId="296D21E1" w14:textId="18BD9369" w:rsidR="00B44FB0" w:rsidRPr="006E24FD" w:rsidRDefault="00B44FB0" w:rsidP="006E6412">
      <w:pPr>
        <w:pStyle w:val="FootnoteText"/>
      </w:pPr>
      <w:r w:rsidRPr="005E5F60">
        <w:rPr>
          <w:rStyle w:val="FootnoteReference"/>
        </w:rPr>
        <w:footnoteRef/>
      </w:r>
      <w:r w:rsidRPr="005E5F60">
        <w:t xml:space="preserve"> These include: the qualifications of the technicians undertaking the retrofits, the need to install </w:t>
      </w:r>
      <w:r>
        <w:t xml:space="preserve">sensors to detect </w:t>
      </w:r>
      <w:r w:rsidRPr="005E5F60">
        <w:t>leak</w:t>
      </w:r>
      <w:r>
        <w:t>s</w:t>
      </w:r>
      <w:r w:rsidRPr="005E5F60">
        <w:t>, the need for visual labels indicating the refrigerant, and the size of the equipment being retrofitted.</w:t>
      </w:r>
    </w:p>
  </w:footnote>
  <w:footnote w:id="46">
    <w:p w14:paraId="5AB98429" w14:textId="77777777" w:rsidR="00B44FB0" w:rsidRPr="00BF57E4" w:rsidRDefault="00B44FB0" w:rsidP="00D6621E">
      <w:pPr>
        <w:pStyle w:val="FootnoteText"/>
      </w:pPr>
      <w:r>
        <w:rPr>
          <w:rStyle w:val="FootnoteReference"/>
        </w:rPr>
        <w:footnoteRef/>
      </w:r>
      <w:r>
        <w:t xml:space="preserve"> </w:t>
      </w:r>
      <w:r w:rsidRPr="00BF57E4">
        <w:t xml:space="preserve">The </w:t>
      </w:r>
      <w:r>
        <w:t xml:space="preserve">Executive </w:t>
      </w:r>
      <w:r w:rsidRPr="00BF57E4">
        <w:t>Committee request</w:t>
      </w:r>
      <w:r>
        <w:t>ed</w:t>
      </w:r>
      <w:r w:rsidRPr="00BF57E4">
        <w:t xml:space="preserve"> agencies, when submitting projects related to the installation, assembly and charging subsector, to demonstrate that each of the enterprises participating in the project had invested in equipment, development of products, or training of personnel specific to HCFC technology significantly exceeding the level of such investments prevalent in the servic</w:t>
      </w:r>
      <w:r>
        <w:t>ing</w:t>
      </w:r>
      <w:r w:rsidRPr="00BF57E4">
        <w:t xml:space="preserve"> sector; and </w:t>
      </w:r>
      <w:r>
        <w:t>t</w:t>
      </w:r>
      <w:r w:rsidRPr="00BF57E4">
        <w:t>hat the activities foreseen for those enterprises represented incremental costs.</w:t>
      </w:r>
    </w:p>
  </w:footnote>
  <w:footnote w:id="47">
    <w:p w14:paraId="1A10076B" w14:textId="77777777" w:rsidR="00B44FB0" w:rsidRPr="00603E75" w:rsidRDefault="00B44FB0" w:rsidP="00603E75">
      <w:pPr>
        <w:pStyle w:val="FootnoteText"/>
      </w:pPr>
      <w:r>
        <w:rPr>
          <w:rStyle w:val="FootnoteReference"/>
        </w:rPr>
        <w:footnoteRef/>
      </w:r>
      <w:r>
        <w:t xml:space="preserve"> As an example, o</w:t>
      </w:r>
      <w:r w:rsidRPr="00603E75">
        <w:t>ne medium size</w:t>
      </w:r>
      <w:r>
        <w:t>d</w:t>
      </w:r>
      <w:r w:rsidRPr="00603E75">
        <w:t xml:space="preserve"> consuming country recently estimated that up to 25 per cent of the refrigerant bank has been installed by </w:t>
      </w:r>
      <w:r>
        <w:t>the sub</w:t>
      </w:r>
      <w:r w:rsidRPr="00603E75">
        <w:t>sector.</w:t>
      </w:r>
    </w:p>
  </w:footnote>
  <w:footnote w:id="48">
    <w:p w14:paraId="73F94446" w14:textId="77777777" w:rsidR="00B44FB0" w:rsidRPr="003D02C5" w:rsidRDefault="00B44FB0" w:rsidP="009F78C2">
      <w:pPr>
        <w:pStyle w:val="FootnoteText"/>
        <w:rPr>
          <w:lang w:val="en-CA"/>
        </w:rPr>
      </w:pPr>
      <w:r w:rsidRPr="00B000DF">
        <w:rPr>
          <w:rStyle w:val="FootnoteReference"/>
        </w:rPr>
        <w:footnoteRef/>
      </w:r>
      <w:r w:rsidRPr="00B000DF">
        <w:t xml:space="preserve"> </w:t>
      </w:r>
      <w:r w:rsidRPr="003D02C5">
        <w:rPr>
          <w:lang w:val="en-CA"/>
        </w:rPr>
        <w:t>For example, in one country, the minimum price of virgin refrigerant that allowed reclamation was US</w:t>
      </w:r>
      <w:r>
        <w:rPr>
          <w:lang w:val="en-CA"/>
        </w:rPr>
        <w:t> </w:t>
      </w:r>
      <w:r w:rsidRPr="003D02C5">
        <w:rPr>
          <w:lang w:val="en-CA"/>
        </w:rPr>
        <w:t>$7.00/kg.</w:t>
      </w:r>
      <w:r w:rsidRPr="0040462F">
        <w:t xml:space="preserve"> </w:t>
      </w:r>
      <w:r>
        <w:t xml:space="preserve">In estimating the amounts to be reclaimed, it is important to consider that </w:t>
      </w:r>
      <w:r w:rsidRPr="00DF2037">
        <w:t xml:space="preserve">large </w:t>
      </w:r>
      <w:r w:rsidRPr="0040462F">
        <w:rPr>
          <w:lang w:val="en-CA"/>
        </w:rPr>
        <w:t xml:space="preserve">unrecorded amounts of refrigerant are recovered, recycled with filters in-situ and reused without passing </w:t>
      </w:r>
      <w:r>
        <w:rPr>
          <w:lang w:val="en-CA"/>
        </w:rPr>
        <w:t>through</w:t>
      </w:r>
      <w:r w:rsidRPr="0040462F">
        <w:rPr>
          <w:lang w:val="en-CA"/>
        </w:rPr>
        <w:t xml:space="preserve"> a reclaiming centre</w:t>
      </w:r>
      <w:r>
        <w:rPr>
          <w:lang w:val="en-CA"/>
        </w:rPr>
        <w:t>.</w:t>
      </w:r>
    </w:p>
  </w:footnote>
  <w:footnote w:id="49">
    <w:p w14:paraId="3CBD184F" w14:textId="3E09F04E" w:rsidR="00B44FB0" w:rsidRPr="00F95C54" w:rsidRDefault="00B44FB0" w:rsidP="00DF2037">
      <w:pPr>
        <w:pStyle w:val="FootnoteText"/>
        <w:rPr>
          <w:lang w:val="en-CA"/>
        </w:rPr>
      </w:pPr>
      <w:r>
        <w:rPr>
          <w:rStyle w:val="FootnoteReference"/>
        </w:rPr>
        <w:footnoteRef/>
      </w:r>
      <w:r>
        <w:t xml:space="preserve"> Including </w:t>
      </w:r>
      <w:r w:rsidRPr="00C7440F">
        <w:rPr>
          <w:i/>
        </w:rPr>
        <w:t>inter</w:t>
      </w:r>
      <w:r>
        <w:rPr>
          <w:i/>
        </w:rPr>
        <w:t xml:space="preserve"> </w:t>
      </w:r>
      <w:r w:rsidRPr="00C7440F">
        <w:rPr>
          <w:i/>
        </w:rPr>
        <w:t>alia</w:t>
      </w:r>
      <w:r>
        <w:t xml:space="preserve"> ban/control on intentional venting of refrigerant during servicing, economic instruments that can help the economic feasibility of the operation (e.g., l</w:t>
      </w:r>
      <w:r w:rsidRPr="002B1782">
        <w:t xml:space="preserve">evy on the </w:t>
      </w:r>
      <w:r>
        <w:t xml:space="preserve">cost of the </w:t>
      </w:r>
      <w:r w:rsidRPr="002B1782">
        <w:t>refrigerant</w:t>
      </w:r>
      <w:r>
        <w:t>); b</w:t>
      </w:r>
      <w:r w:rsidRPr="00AC4B25">
        <w:rPr>
          <w:lang w:val="en-CA"/>
        </w:rPr>
        <w:t xml:space="preserve">an on the use of non-reusable cylinders; </w:t>
      </w:r>
      <w:r>
        <w:t>m</w:t>
      </w:r>
      <w:r w:rsidRPr="0003226C">
        <w:t>andatory leak testing</w:t>
      </w:r>
      <w:r>
        <w:t xml:space="preserve"> for all equipment with a certain size of refrigerant charge; and logging and records for end-users; or measures built from existing regulations (e.g., chemicals or hazardous substances, producers responsibility programmes).</w:t>
      </w:r>
    </w:p>
  </w:footnote>
  <w:footnote w:id="50">
    <w:p w14:paraId="4CEE2FE5" w14:textId="77777777" w:rsidR="00B44FB0" w:rsidRPr="00F466F4" w:rsidRDefault="00B44FB0" w:rsidP="005E2FC7">
      <w:pPr>
        <w:pStyle w:val="FootnoteText"/>
        <w:rPr>
          <w:lang w:val="en-CA"/>
        </w:rPr>
      </w:pPr>
      <w:r>
        <w:rPr>
          <w:rStyle w:val="FootnoteReference"/>
        </w:rPr>
        <w:footnoteRef/>
      </w:r>
      <w:r>
        <w:t xml:space="preserve"> </w:t>
      </w:r>
      <w:r>
        <w:rPr>
          <w:lang w:val="en-CA"/>
        </w:rPr>
        <w:t>Paragraph 11(b) of decision XIX/6.</w:t>
      </w:r>
    </w:p>
  </w:footnote>
  <w:footnote w:id="51">
    <w:p w14:paraId="5BFF9663" w14:textId="58F0D9C5" w:rsidR="00B44FB0" w:rsidRPr="00B36E75" w:rsidRDefault="00B44FB0" w:rsidP="001C337F">
      <w:pPr>
        <w:pStyle w:val="FootnoteText"/>
        <w:rPr>
          <w:lang w:val="en-CA"/>
        </w:rPr>
      </w:pPr>
      <w:r>
        <w:rPr>
          <w:rStyle w:val="FootnoteReference"/>
        </w:rPr>
        <w:footnoteRef/>
      </w:r>
      <w:r>
        <w:t xml:space="preserve"> </w:t>
      </w:r>
      <w:r>
        <w:rPr>
          <w:lang w:val="en-CA"/>
        </w:rPr>
        <w:t>UNEP/OzL.Pro/ExCom/80/9</w:t>
      </w:r>
    </w:p>
  </w:footnote>
  <w:footnote w:id="52">
    <w:p w14:paraId="4DF1F770" w14:textId="77777777" w:rsidR="00B44FB0" w:rsidRPr="0051549C" w:rsidRDefault="00B44FB0" w:rsidP="005E2FC7">
      <w:pPr>
        <w:pStyle w:val="FootnoteText"/>
      </w:pPr>
      <w:r>
        <w:rPr>
          <w:rStyle w:val="FootnoteReference"/>
        </w:rPr>
        <w:footnoteRef/>
      </w:r>
      <w:r>
        <w:t xml:space="preserve"> </w:t>
      </w:r>
      <w:r w:rsidRPr="0051549C">
        <w:t>Detailed information on the demonstration projects is available in UNEP/OzL.Pro/ExCom/78/6.</w:t>
      </w:r>
    </w:p>
  </w:footnote>
  <w:footnote w:id="53">
    <w:p w14:paraId="56AE60F9" w14:textId="32F6DD8F" w:rsidR="00B44FB0" w:rsidRPr="0051549C" w:rsidRDefault="00B44FB0" w:rsidP="005E2FC7">
      <w:pPr>
        <w:pStyle w:val="FootnoteText"/>
      </w:pPr>
      <w:r>
        <w:rPr>
          <w:rStyle w:val="FootnoteReference"/>
        </w:rPr>
        <w:footnoteRef/>
      </w:r>
      <w:r>
        <w:t xml:space="preserve"> UNEP/OzL.Pro/ExCom</w:t>
      </w:r>
      <w:r w:rsidRPr="0051549C">
        <w:t>/65/</w:t>
      </w:r>
      <w:r>
        <w:t>39/Rev.1.</w:t>
      </w:r>
    </w:p>
  </w:footnote>
  <w:footnote w:id="54">
    <w:p w14:paraId="7ACB0FC3" w14:textId="68103209" w:rsidR="00B44FB0" w:rsidRPr="0051549C" w:rsidRDefault="00B44FB0" w:rsidP="005E2FC7">
      <w:pPr>
        <w:pStyle w:val="FootnoteText"/>
      </w:pPr>
      <w:r>
        <w:rPr>
          <w:rStyle w:val="FootnoteReference"/>
        </w:rPr>
        <w:footnoteRef/>
      </w:r>
      <w:r>
        <w:t xml:space="preserve"> </w:t>
      </w:r>
      <w:r w:rsidRPr="0051549C">
        <w:t>UNEP/OzL.Pro/ExCom/</w:t>
      </w:r>
      <w:r>
        <w:t>68/41</w:t>
      </w:r>
      <w:r w:rsidRPr="0051549C">
        <w:t>.</w:t>
      </w:r>
    </w:p>
  </w:footnote>
  <w:footnote w:id="55">
    <w:p w14:paraId="2C1A78AC" w14:textId="77777777" w:rsidR="00B44FB0" w:rsidRPr="00BB30DF" w:rsidRDefault="00B44FB0" w:rsidP="00BB30DF">
      <w:pPr>
        <w:pStyle w:val="FootnoteText"/>
        <w:rPr>
          <w:lang w:val="en-CA"/>
        </w:rPr>
      </w:pPr>
      <w:r>
        <w:rPr>
          <w:rStyle w:val="FootnoteReference"/>
        </w:rPr>
        <w:footnoteRef/>
      </w:r>
      <w:r>
        <w:t xml:space="preserve"> </w:t>
      </w:r>
      <w:r>
        <w:rPr>
          <w:lang w:val="en-CA"/>
        </w:rPr>
        <w:t>TEAP Report: Volume 5, Decision XXIX/10. Task force on issues related to energy efficiency while phasing out HFCs (updated final report)</w:t>
      </w:r>
    </w:p>
  </w:footnote>
  <w:footnote w:id="56">
    <w:p w14:paraId="5B28ADD7" w14:textId="77777777" w:rsidR="00B44FB0" w:rsidRPr="00B2731E" w:rsidRDefault="00B44FB0" w:rsidP="005E2FC7">
      <w:pPr>
        <w:pStyle w:val="FootnoteText"/>
        <w:rPr>
          <w:lang w:val="en-CA"/>
        </w:rPr>
      </w:pPr>
      <w:r w:rsidRPr="00B2731E">
        <w:rPr>
          <w:rStyle w:val="FootnoteReference"/>
        </w:rPr>
        <w:footnoteRef/>
      </w:r>
      <w:r w:rsidRPr="00B2731E">
        <w:t xml:space="preserve"> UNEP/OzL.Pro/ExCom/77/70.</w:t>
      </w:r>
      <w:r>
        <w:t xml:space="preserve"> </w:t>
      </w:r>
      <w:r w:rsidRPr="00B2731E">
        <w:t xml:space="preserve">It may be noted that there are several technical studies that demonstrate linkage between good practices in servicing and maintenance </w:t>
      </w:r>
      <w:r>
        <w:t xml:space="preserve">and the </w:t>
      </w:r>
      <w:r w:rsidRPr="00B2731E">
        <w:t>energy</w:t>
      </w:r>
      <w:r>
        <w:t>-</w:t>
      </w:r>
      <w:r w:rsidRPr="00B2731E">
        <w:t>efficient operation of equipment.</w:t>
      </w:r>
    </w:p>
  </w:footnote>
  <w:footnote w:id="57">
    <w:p w14:paraId="42A1F0A4" w14:textId="5E8C86F4" w:rsidR="00B44FB0" w:rsidRPr="00A76E71" w:rsidRDefault="00B44FB0" w:rsidP="005E2FC7">
      <w:pPr>
        <w:pStyle w:val="FootnoteText"/>
        <w:rPr>
          <w:lang w:val="en-CA"/>
        </w:rPr>
      </w:pPr>
      <w:r w:rsidRPr="00B2731E">
        <w:rPr>
          <w:rStyle w:val="FootnoteReference"/>
        </w:rPr>
        <w:footnoteRef/>
      </w:r>
      <w:r w:rsidRPr="00B2731E">
        <w:t xml:space="preserve"> While this is not directly linked to energy efficiency, energy efficiency would be promoted through </w:t>
      </w:r>
      <w:r>
        <w:t xml:space="preserve">the </w:t>
      </w:r>
      <w:r w:rsidRPr="00B2731E">
        <w:t>safe adoption of low-GWP/zero</w:t>
      </w:r>
      <w:r>
        <w:t>-</w:t>
      </w:r>
      <w:r w:rsidRPr="00B2731E">
        <w:t>GWP refrigerants.</w:t>
      </w:r>
    </w:p>
  </w:footnote>
  <w:footnote w:id="58">
    <w:p w14:paraId="59998DC2" w14:textId="77777777" w:rsidR="00B44FB0" w:rsidRPr="00081717" w:rsidRDefault="00B44FB0" w:rsidP="00F42B5C">
      <w:pPr>
        <w:pStyle w:val="FootnoteText"/>
      </w:pPr>
      <w:r>
        <w:rPr>
          <w:rStyle w:val="FootnoteReference"/>
        </w:rPr>
        <w:footnoteRef/>
      </w:r>
      <w:r>
        <w:t xml:space="preserve"> It is to be noted that surveys on ODS alternatives were not submitted by the largest consuming countries, including Brazil, China and India. </w:t>
      </w:r>
    </w:p>
  </w:footnote>
  <w:footnote w:id="59">
    <w:p w14:paraId="72E01E92" w14:textId="77777777" w:rsidR="00B44FB0" w:rsidRPr="00C060B0" w:rsidRDefault="00B44FB0" w:rsidP="00C54F6D">
      <w:pPr>
        <w:pStyle w:val="FootnoteText"/>
      </w:pPr>
      <w:r>
        <w:rPr>
          <w:rStyle w:val="FootnoteReference"/>
        </w:rPr>
        <w:footnoteRef/>
      </w:r>
      <w:r>
        <w:t xml:space="preserve"> US $205,000 for countries with CFC baseline below 15 ODP tonnes, US $295,000 for countries with baselines between 15 to 30 ODP tonnes; US $345,000 for countries with baselines between 30 to 60 ODP tonnes; US $520,000 for countries with baselines between 60 to 120 ODP tonnes; and US $565,000 for countries with baselines above 120 ODP tonnes.</w:t>
      </w:r>
    </w:p>
  </w:footnote>
  <w:footnote w:id="60">
    <w:p w14:paraId="5E68661F" w14:textId="77777777" w:rsidR="00B44FB0" w:rsidRPr="002F10C2" w:rsidRDefault="00B44FB0">
      <w:pPr>
        <w:pStyle w:val="FootnoteText"/>
        <w:rPr>
          <w:lang w:val="en-CA"/>
        </w:rPr>
      </w:pPr>
      <w:r>
        <w:rPr>
          <w:rStyle w:val="FootnoteReference"/>
        </w:rPr>
        <w:footnoteRef/>
      </w:r>
      <w:r>
        <w:t xml:space="preserve"> </w:t>
      </w:r>
      <w:r>
        <w:rPr>
          <w:sz w:val="16"/>
          <w:szCs w:val="16"/>
        </w:rPr>
        <w:t xml:space="preserve">It does </w:t>
      </w:r>
      <w:r w:rsidRPr="008238B3">
        <w:rPr>
          <w:sz w:val="16"/>
          <w:szCs w:val="16"/>
        </w:rPr>
        <w:t>not include information publications an</w:t>
      </w:r>
      <w:r>
        <w:rPr>
          <w:sz w:val="16"/>
          <w:szCs w:val="16"/>
        </w:rPr>
        <w:t>d</w:t>
      </w:r>
      <w:r w:rsidRPr="008238B3">
        <w:rPr>
          <w:sz w:val="16"/>
          <w:szCs w:val="16"/>
        </w:rPr>
        <w:t xml:space="preserve"> events/functions that are develope</w:t>
      </w:r>
      <w:r>
        <w:rPr>
          <w:sz w:val="16"/>
          <w:szCs w:val="16"/>
        </w:rPr>
        <w:t>d in cooperation with partners, such as</w:t>
      </w:r>
      <w:r w:rsidRPr="008238B3">
        <w:rPr>
          <w:sz w:val="16"/>
          <w:szCs w:val="16"/>
        </w:rPr>
        <w:t xml:space="preserve"> factsheets, technology briefs, O2C Roadshows, technical symposia/events that are already listed in the document titled “OzonAction list of products and tools</w:t>
      </w:r>
      <w:r>
        <w:rPr>
          <w:sz w:val="16"/>
          <w:szCs w:val="16"/>
        </w:rPr>
        <w:t>.</w:t>
      </w:r>
      <w:r w:rsidRPr="008238B3">
        <w:rPr>
          <w:sz w:val="16"/>
          <w:szCs w:val="16"/>
        </w:rPr>
        <w:t>”</w:t>
      </w:r>
    </w:p>
  </w:footnote>
  <w:footnote w:id="61">
    <w:p w14:paraId="6622A0CE" w14:textId="77777777" w:rsidR="00B44FB0" w:rsidRPr="008D291C" w:rsidRDefault="00B44FB0">
      <w:pPr>
        <w:pStyle w:val="FootnoteText"/>
        <w:rPr>
          <w:rStyle w:val="FootnoteReference"/>
          <w:sz w:val="16"/>
          <w:szCs w:val="16"/>
        </w:rPr>
      </w:pPr>
      <w:r w:rsidRPr="008D291C">
        <w:rPr>
          <w:rStyle w:val="FootnoteReference"/>
          <w:sz w:val="16"/>
          <w:szCs w:val="16"/>
        </w:rPr>
        <w:footnoteRef/>
      </w:r>
      <w:r w:rsidRPr="008D291C">
        <w:rPr>
          <w:rStyle w:val="FootnoteReference"/>
          <w:sz w:val="16"/>
          <w:szCs w:val="16"/>
        </w:rPr>
        <w:t xml:space="preserve"> Bosnia and Herzegovina, Dominican Republic, Gabon, Guatemala, Honduras, Mali, Senegal and Sri Lanka</w:t>
      </w:r>
      <w:r>
        <w:rPr>
          <w:sz w:val="16"/>
          <w:szCs w:val="16"/>
        </w:rPr>
        <w:t>.</w:t>
      </w:r>
    </w:p>
  </w:footnote>
  <w:footnote w:id="62">
    <w:p w14:paraId="597FEE1A" w14:textId="77777777" w:rsidR="00B44FB0" w:rsidRPr="0061635F" w:rsidRDefault="00B44FB0" w:rsidP="00B44FB0">
      <w:pPr>
        <w:pStyle w:val="FootnoteText"/>
        <w:rPr>
          <w:rStyle w:val="FootnoteReference"/>
          <w:sz w:val="16"/>
          <w:szCs w:val="16"/>
        </w:rPr>
      </w:pPr>
      <w:r w:rsidRPr="008238B3">
        <w:rPr>
          <w:rStyle w:val="FootnoteReference"/>
          <w:sz w:val="16"/>
          <w:szCs w:val="16"/>
        </w:rPr>
        <w:footnoteRef/>
      </w:r>
      <w:r w:rsidRPr="008238B3">
        <w:rPr>
          <w:rStyle w:val="FootnoteReference"/>
          <w:sz w:val="16"/>
          <w:szCs w:val="16"/>
        </w:rPr>
        <w:t xml:space="preserve"> </w:t>
      </w:r>
      <w:r w:rsidRPr="008D291C">
        <w:rPr>
          <w:rStyle w:val="FootnoteReference"/>
          <w:sz w:val="16"/>
          <w:szCs w:val="16"/>
        </w:rPr>
        <w:t>G</w:t>
      </w:r>
      <w:r w:rsidRPr="008238B3">
        <w:rPr>
          <w:sz w:val="16"/>
          <w:szCs w:val="16"/>
        </w:rPr>
        <w:t>renada, Suriname, Trinidad &amp; Tobago, Rwanda, Maldives and Sri Lanka</w:t>
      </w:r>
      <w:r>
        <w:rPr>
          <w:sz w:val="16"/>
          <w:szCs w:val="16"/>
        </w:rPr>
        <w:t>.</w:t>
      </w:r>
    </w:p>
  </w:footnote>
  <w:footnote w:id="63">
    <w:p w14:paraId="1BDE5189" w14:textId="77777777" w:rsidR="00B44FB0" w:rsidRPr="008238B3" w:rsidRDefault="00B44FB0">
      <w:pPr>
        <w:pStyle w:val="FootnoteText"/>
        <w:rPr>
          <w:sz w:val="16"/>
          <w:szCs w:val="16"/>
        </w:rPr>
      </w:pPr>
      <w:r w:rsidRPr="008238B3">
        <w:rPr>
          <w:rStyle w:val="FootnoteReference"/>
          <w:sz w:val="16"/>
          <w:szCs w:val="16"/>
        </w:rPr>
        <w:footnoteRef/>
      </w:r>
      <w:r w:rsidRPr="008238B3">
        <w:rPr>
          <w:sz w:val="16"/>
          <w:szCs w:val="16"/>
        </w:rPr>
        <w:t xml:space="preserve"> RDL Industry supporting group includes: ABRAVA, ACAIRE, AREA, ASHRAE, EPEE, JRAIA, Refrigerant Australia, The Alliance</w:t>
      </w:r>
      <w:r>
        <w:rPr>
          <w:sz w:val="16"/>
          <w:szCs w:val="16"/>
        </w:rPr>
        <w:t>.</w:t>
      </w:r>
    </w:p>
  </w:footnote>
  <w:footnote w:id="64">
    <w:p w14:paraId="3AEAB270" w14:textId="77777777" w:rsidR="00B44FB0" w:rsidRPr="00CA05A6" w:rsidRDefault="00B44FB0">
      <w:pPr>
        <w:pStyle w:val="FootnoteText"/>
        <w:rPr>
          <w:lang w:val="en-CA"/>
        </w:rPr>
      </w:pPr>
      <w:r w:rsidRPr="00CA05A6">
        <w:rPr>
          <w:rStyle w:val="FootnoteReference"/>
          <w:sz w:val="18"/>
          <w:szCs w:val="18"/>
        </w:rPr>
        <w:footnoteRef/>
      </w:r>
      <w:r w:rsidRPr="00CA05A6">
        <w:rPr>
          <w:sz w:val="18"/>
          <w:szCs w:val="18"/>
        </w:rPr>
        <w:t xml:space="preserve"> The European association of refrigeration, air conditioning and heat pump (RACHP) contractors</w:t>
      </w:r>
      <w:r>
        <w:rPr>
          <w:sz w:val="18"/>
          <w:szCs w:val="18"/>
        </w:rPr>
        <w:t>.</w:t>
      </w:r>
    </w:p>
  </w:footnote>
  <w:footnote w:id="65">
    <w:p w14:paraId="58CC38F8" w14:textId="77777777" w:rsidR="00B44FB0" w:rsidRPr="00D574AC" w:rsidRDefault="00B44FB0" w:rsidP="00B44FB0">
      <w:pPr>
        <w:pStyle w:val="FootnoteText"/>
        <w:rPr>
          <w:sz w:val="18"/>
          <w:szCs w:val="18"/>
        </w:rPr>
      </w:pPr>
      <w:r w:rsidRPr="00D574AC">
        <w:rPr>
          <w:rStyle w:val="FootnoteReference"/>
          <w:sz w:val="18"/>
          <w:szCs w:val="18"/>
        </w:rPr>
        <w:footnoteRef/>
      </w:r>
      <w:r w:rsidRPr="00D574AC">
        <w:rPr>
          <w:sz w:val="18"/>
          <w:szCs w:val="18"/>
        </w:rPr>
        <w:t xml:space="preserve"> The Advisory Committee consists of: ABRAVA, ACAIRE, AREA, EPEE, JRAIA, Refrigerants Australia, the Alliance for Responsible Atmospheric Policy, the Russian Union of Refrigeration Enterprises and ASHRAE. ABRAVA: Brazilian trade association that represents refrigeration, air-conditioning, ventilation, heating, and air treatment equipment manufacturers. ACAIRE: Colombian air-conditioning and refrigeration association that represents business, institutes, professional members, technicians, correspondents, and students in the industry. AREA: Air conditioning and Refrigeration European Association. ASHRAE: American Society of Heating, Refrigerating and Air-Conditioning Engineers. EPEE: European Partnership for Energy and the Environment. JRAIA: Japan Refrigeration and Air Conditioning Industry Association.</w:t>
      </w:r>
    </w:p>
    <w:p w14:paraId="2DB26A78" w14:textId="77777777" w:rsidR="00B44FB0" w:rsidRPr="00D574AC" w:rsidRDefault="00B44FB0">
      <w:pPr>
        <w:pStyle w:val="FootnoteText"/>
      </w:pPr>
    </w:p>
  </w:footnote>
  <w:footnote w:id="66">
    <w:p w14:paraId="30AB5868" w14:textId="77777777" w:rsidR="00B44FB0" w:rsidRPr="00EE5986" w:rsidRDefault="00B44FB0">
      <w:pPr>
        <w:pStyle w:val="FootnoteText"/>
        <w:rPr>
          <w:lang w:val="en-CA"/>
        </w:rPr>
      </w:pPr>
      <w:r w:rsidRPr="00EE5986">
        <w:rPr>
          <w:rStyle w:val="FootnoteReference"/>
        </w:rPr>
        <w:footnoteRef/>
      </w:r>
      <w:r w:rsidRPr="00EE5986">
        <w:t xml:space="preserve"> </w:t>
      </w:r>
      <w:r w:rsidRPr="00EE5986">
        <w:rPr>
          <w:lang w:val="en-CA"/>
        </w:rPr>
        <w:t>Global Food Cold Chain Council.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9A383" w14:textId="26B45DF1" w:rsidR="00B44FB0" w:rsidRPr="0033525D" w:rsidRDefault="00B44FB0" w:rsidP="00311FD8">
    <w:pPr>
      <w:jc w:val="right"/>
    </w:pPr>
    <w:fldSimple w:instr=" DOCPROPERTY &quot;Document number&quot;  \* MERGEFORMAT ">
      <w:r w:rsidR="00724629">
        <w:t>UNEP/OzL.Pro/ExCom/82/64</w:t>
      </w:r>
    </w:fldSimple>
  </w:p>
  <w:p w14:paraId="56B01D2E" w14:textId="395F5D55" w:rsidR="00B44FB0" w:rsidRDefault="00B44FB0" w:rsidP="00311FD8">
    <w:pPr>
      <w:jc w:val="right"/>
    </w:pPr>
  </w:p>
  <w:p w14:paraId="1A8C6125" w14:textId="77777777" w:rsidR="00047489" w:rsidRPr="0033525D" w:rsidRDefault="00047489" w:rsidP="00311FD8">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C5F94" w14:textId="2DBEE60E" w:rsidR="00B44FB0" w:rsidRDefault="00B44FB0" w:rsidP="00311FD8">
    <w:pPr>
      <w:jc w:val="left"/>
    </w:pPr>
    <w:fldSimple w:instr=" DOCPROPERTY &quot;Document number&quot;  \* MERGEFORMAT ">
      <w:r w:rsidR="00724629">
        <w:t>UNEP/OzL.Pro/ExCom/82/64</w:t>
      </w:r>
    </w:fldSimple>
  </w:p>
  <w:p w14:paraId="2DBB7301" w14:textId="77777777" w:rsidR="00B44FB0" w:rsidRPr="0033525D" w:rsidRDefault="00B44FB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D420" w14:textId="1C0CD7D7" w:rsidR="00B44FB0" w:rsidRPr="00136D11" w:rsidRDefault="00B44FB0" w:rsidP="00B44FB0">
    <w:pPr>
      <w:contextualSpacing/>
    </w:pPr>
    <w:fldSimple w:instr=" DOCPROPERTY &quot;Document number&quot;  \* MERGEFORMAT ">
      <w:r w:rsidR="00724629">
        <w:t>UNEP/OzL.Pro/ExCom/82/64</w:t>
      </w:r>
    </w:fldSimple>
  </w:p>
  <w:p w14:paraId="1E46182C" w14:textId="77777777" w:rsidR="00B44FB0" w:rsidRPr="00136D11" w:rsidRDefault="00B44FB0" w:rsidP="00B44FB0">
    <w:pPr>
      <w:pStyle w:val="Header"/>
      <w:contextualSpacing/>
    </w:pPr>
    <w:r>
      <w:t>Annex I</w:t>
    </w:r>
  </w:p>
  <w:p w14:paraId="021A026A" w14:textId="77777777" w:rsidR="00B44FB0" w:rsidRPr="00382E78" w:rsidRDefault="00B44FB0" w:rsidP="00B44FB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F980F" w14:textId="1336E4FD" w:rsidR="00B44FB0" w:rsidRPr="00136D11" w:rsidRDefault="00B44FB0" w:rsidP="00B44FB0">
    <w:pPr>
      <w:contextualSpacing/>
      <w:jc w:val="right"/>
    </w:pPr>
    <w:fldSimple w:instr=" DOCPROPERTY &quot;Document number&quot;  \* MERGEFORMAT ">
      <w:r w:rsidR="00724629">
        <w:t>UNEP/OzL.Pro/ExCom/82/64</w:t>
      </w:r>
    </w:fldSimple>
  </w:p>
  <w:p w14:paraId="67793111" w14:textId="77777777" w:rsidR="00B44FB0" w:rsidRPr="00136D11" w:rsidRDefault="00B44FB0" w:rsidP="00B44FB0">
    <w:pPr>
      <w:pStyle w:val="Header"/>
      <w:contextualSpacing/>
      <w:jc w:val="right"/>
    </w:pPr>
    <w:r>
      <w:t>Annex I</w:t>
    </w:r>
  </w:p>
  <w:p w14:paraId="2F5C4D2B" w14:textId="77777777" w:rsidR="00B44FB0" w:rsidRPr="00382E78" w:rsidRDefault="00B44F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F010" w14:textId="38CF2DEA" w:rsidR="00B44FB0" w:rsidRPr="00136D11" w:rsidRDefault="00B44FB0" w:rsidP="00311FD8">
    <w:pPr>
      <w:contextualSpacing/>
      <w:jc w:val="right"/>
    </w:pPr>
    <w:fldSimple w:instr=" DOCPROPERTY &quot;Document number&quot;  \* MERGEFORMAT ">
      <w:r w:rsidR="00724629">
        <w:t>UNEP/OzL.Pro/ExCom/82/64</w:t>
      </w:r>
    </w:fldSimple>
  </w:p>
  <w:p w14:paraId="2EE643BF" w14:textId="77777777" w:rsidR="00B44FB0" w:rsidRPr="00136D11" w:rsidRDefault="00B44FB0" w:rsidP="00311FD8">
    <w:pPr>
      <w:pStyle w:val="Header"/>
      <w:contextualSpacing/>
      <w:jc w:val="right"/>
    </w:pPr>
    <w:r>
      <w:t>Annex I</w:t>
    </w:r>
  </w:p>
  <w:p w14:paraId="52C1CE5A" w14:textId="77777777" w:rsidR="00B44FB0" w:rsidRDefault="00B44FB0" w:rsidP="00311FD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A257" w14:textId="36C51514" w:rsidR="00B44FB0" w:rsidRPr="00136D11" w:rsidRDefault="00B44FB0" w:rsidP="00B44FB0">
    <w:pPr>
      <w:contextualSpacing/>
    </w:pPr>
    <w:fldSimple w:instr=" DOCPROPERTY &quot;Document number&quot;  \* MERGEFORMAT ">
      <w:r w:rsidR="00724629">
        <w:t>UNEP/OzL.Pro/ExCom/82/64</w:t>
      </w:r>
    </w:fldSimple>
  </w:p>
  <w:p w14:paraId="04EDBC1A" w14:textId="77777777" w:rsidR="00B44FB0" w:rsidRPr="00136D11" w:rsidRDefault="00B44FB0" w:rsidP="00B44FB0">
    <w:pPr>
      <w:pStyle w:val="Header"/>
      <w:contextualSpacing/>
    </w:pPr>
    <w:r w:rsidRPr="00136D11">
      <w:t>Annex II</w:t>
    </w:r>
  </w:p>
  <w:p w14:paraId="2F55D26A" w14:textId="77777777" w:rsidR="00B44FB0" w:rsidRDefault="00B44FB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5B2D" w14:textId="757838CA" w:rsidR="00B44FB0" w:rsidRPr="00136D11" w:rsidRDefault="00B44FB0" w:rsidP="00B44FB0">
    <w:pPr>
      <w:contextualSpacing/>
      <w:jc w:val="right"/>
    </w:pPr>
    <w:fldSimple w:instr=" DOCPROPERTY &quot;Document number&quot;  \* MERGEFORMAT ">
      <w:r w:rsidR="00724629">
        <w:t>UNEP/OzL.Pro/ExCom/82/64</w:t>
      </w:r>
    </w:fldSimple>
  </w:p>
  <w:p w14:paraId="6D95B220" w14:textId="77777777" w:rsidR="00B44FB0" w:rsidRPr="00136D11" w:rsidRDefault="00B44FB0" w:rsidP="00B44FB0">
    <w:pPr>
      <w:pStyle w:val="Header"/>
      <w:contextualSpacing/>
      <w:jc w:val="right"/>
    </w:pPr>
    <w:r w:rsidRPr="00136D11">
      <w:t>Annex II</w:t>
    </w:r>
  </w:p>
  <w:p w14:paraId="22DF5B4E" w14:textId="77777777" w:rsidR="00B44FB0" w:rsidRPr="00136D11" w:rsidRDefault="00B44FB0" w:rsidP="00B44FB0">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B6D51" w14:textId="77777777" w:rsidR="00B44FB0" w:rsidRPr="00136D11" w:rsidRDefault="00B44FB0" w:rsidP="00B44FB0">
    <w:pPr>
      <w:contextualSpacing/>
      <w:jc w:val="left"/>
    </w:pPr>
    <w:r>
      <w:t>UNEP/OzL.Pro/ExCom/82/64</w:t>
    </w:r>
  </w:p>
  <w:p w14:paraId="0C4D869C" w14:textId="77777777" w:rsidR="00B44FB0" w:rsidRDefault="00B44FB0" w:rsidP="00B44FB0">
    <w:pPr>
      <w:pStyle w:val="Header"/>
      <w:contextualSpacing/>
      <w:jc w:val="left"/>
    </w:pPr>
    <w:r w:rsidRPr="00136D11">
      <w:t>Annex II</w:t>
    </w:r>
    <w:r>
      <w:t>I</w:t>
    </w:r>
  </w:p>
  <w:p w14:paraId="1531BB68" w14:textId="77777777" w:rsidR="00B44FB0" w:rsidRPr="00136D11" w:rsidRDefault="00B44FB0" w:rsidP="00B44FB0">
    <w:pPr>
      <w:pStyle w:val="Header"/>
      <w:contextualSpacing/>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8418" w14:textId="77777777" w:rsidR="00B44FB0" w:rsidRDefault="00B44FB0" w:rsidP="00B44FB0">
    <w:pPr>
      <w:contextualSpacing/>
      <w:jc w:val="right"/>
    </w:pPr>
    <w:r>
      <w:t>UNEP/OzL.Pro/ExCom/82/64</w:t>
    </w:r>
  </w:p>
  <w:p w14:paraId="06456284" w14:textId="77777777" w:rsidR="00B44FB0" w:rsidRDefault="00B44FB0" w:rsidP="00B44FB0">
    <w:pPr>
      <w:contextualSpacing/>
      <w:jc w:val="right"/>
    </w:pPr>
    <w:r>
      <w:t>Annex III</w:t>
    </w:r>
  </w:p>
  <w:p w14:paraId="0BE0500F" w14:textId="4BEFCCCE" w:rsidR="00B44FB0" w:rsidRPr="0033525D" w:rsidRDefault="00B44FB0">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25F1" w14:textId="77777777" w:rsidR="00B44FB0" w:rsidRPr="00136D11" w:rsidRDefault="00B44FB0" w:rsidP="00B44FB0">
    <w:pPr>
      <w:contextualSpacing/>
      <w:jc w:val="right"/>
    </w:pPr>
    <w:r>
      <w:t>UNEP/OzL.Pro/ExCom/82/64</w:t>
    </w:r>
  </w:p>
  <w:p w14:paraId="71004C4A" w14:textId="77777777" w:rsidR="00B44FB0" w:rsidRDefault="00B44FB0" w:rsidP="00B44FB0">
    <w:pPr>
      <w:pStyle w:val="Header"/>
      <w:contextualSpacing/>
      <w:jc w:val="right"/>
    </w:pPr>
    <w:r w:rsidRPr="00136D11">
      <w:t>Annex II</w:t>
    </w:r>
    <w:r>
      <w:t>I</w:t>
    </w:r>
  </w:p>
  <w:p w14:paraId="337BA680" w14:textId="77777777" w:rsidR="00B44FB0" w:rsidRDefault="00B44F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2672DA2"/>
    <w:multiLevelType w:val="multilevel"/>
    <w:tmpl w:val="0060DEF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12"/>
  </w:num>
  <w:num w:numId="6">
    <w:abstractNumId w:val="19"/>
  </w:num>
  <w:num w:numId="7">
    <w:abstractNumId w:val="20"/>
  </w:num>
  <w:num w:numId="8">
    <w:abstractNumId w:val="25"/>
  </w:num>
  <w:num w:numId="9">
    <w:abstractNumId w:val="15"/>
  </w:num>
  <w:num w:numId="10">
    <w:abstractNumId w:val="6"/>
  </w:num>
  <w:num w:numId="11">
    <w:abstractNumId w:val="17"/>
  </w:num>
  <w:num w:numId="12">
    <w:abstractNumId w:val="16"/>
  </w:num>
  <w:num w:numId="13">
    <w:abstractNumId w:val="11"/>
  </w:num>
  <w:num w:numId="14">
    <w:abstractNumId w:val="1"/>
  </w:num>
  <w:num w:numId="15">
    <w:abstractNumId w:val="21"/>
  </w:num>
  <w:num w:numId="16">
    <w:abstractNumId w:val="22"/>
  </w:num>
  <w:num w:numId="17">
    <w:abstractNumId w:val="14"/>
  </w:num>
  <w:num w:numId="18">
    <w:abstractNumId w:val="3"/>
  </w:num>
  <w:num w:numId="19">
    <w:abstractNumId w:val="5"/>
  </w:num>
  <w:num w:numId="20">
    <w:abstractNumId w:val="8"/>
  </w:num>
  <w:num w:numId="21">
    <w:abstractNumId w:val="24"/>
  </w:num>
  <w:num w:numId="22">
    <w:abstractNumId w:val="18"/>
  </w:num>
  <w:num w:numId="23">
    <w:abstractNumId w:val="7"/>
  </w:num>
  <w:num w:numId="24">
    <w:abstractNumId w:val="10"/>
  </w:num>
  <w:num w:numId="2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 w:numId="28">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3"/>
  </w:num>
  <w:num w:numId="3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9"/>
  </w:num>
  <w:num w:numId="36">
    <w:abstractNumId w:val="2"/>
  </w:num>
  <w:num w:numId="3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14739"/>
    <w:rsid w:val="0001508E"/>
    <w:rsid w:val="00017BF2"/>
    <w:rsid w:val="000211A9"/>
    <w:rsid w:val="000219E1"/>
    <w:rsid w:val="00023A2A"/>
    <w:rsid w:val="00024A6D"/>
    <w:rsid w:val="000268D1"/>
    <w:rsid w:val="00031260"/>
    <w:rsid w:val="00034CA2"/>
    <w:rsid w:val="00035059"/>
    <w:rsid w:val="0003620A"/>
    <w:rsid w:val="0003681A"/>
    <w:rsid w:val="0004077C"/>
    <w:rsid w:val="00041697"/>
    <w:rsid w:val="00045E26"/>
    <w:rsid w:val="00046D1A"/>
    <w:rsid w:val="00047489"/>
    <w:rsid w:val="00056BD5"/>
    <w:rsid w:val="000571CC"/>
    <w:rsid w:val="000579E7"/>
    <w:rsid w:val="00061EC2"/>
    <w:rsid w:val="00062BEA"/>
    <w:rsid w:val="00066C0A"/>
    <w:rsid w:val="00067A3C"/>
    <w:rsid w:val="0007301A"/>
    <w:rsid w:val="00074D15"/>
    <w:rsid w:val="0007596E"/>
    <w:rsid w:val="00077B80"/>
    <w:rsid w:val="00080ED0"/>
    <w:rsid w:val="000836D7"/>
    <w:rsid w:val="0008504A"/>
    <w:rsid w:val="00085B8F"/>
    <w:rsid w:val="00086CC0"/>
    <w:rsid w:val="00090481"/>
    <w:rsid w:val="0009141C"/>
    <w:rsid w:val="000A1E5F"/>
    <w:rsid w:val="000A364B"/>
    <w:rsid w:val="000A6C26"/>
    <w:rsid w:val="000A6DE9"/>
    <w:rsid w:val="000B0DA1"/>
    <w:rsid w:val="000B5B1A"/>
    <w:rsid w:val="000D4B60"/>
    <w:rsid w:val="000D52A4"/>
    <w:rsid w:val="000D54E6"/>
    <w:rsid w:val="000D7645"/>
    <w:rsid w:val="000E025D"/>
    <w:rsid w:val="000E07BC"/>
    <w:rsid w:val="000E2E64"/>
    <w:rsid w:val="000E58C0"/>
    <w:rsid w:val="000E5DF9"/>
    <w:rsid w:val="000E7B4E"/>
    <w:rsid w:val="000F08ED"/>
    <w:rsid w:val="000F1CD4"/>
    <w:rsid w:val="000F255C"/>
    <w:rsid w:val="000F4103"/>
    <w:rsid w:val="000F70A7"/>
    <w:rsid w:val="000F7194"/>
    <w:rsid w:val="00100EDF"/>
    <w:rsid w:val="001011BD"/>
    <w:rsid w:val="00106A7C"/>
    <w:rsid w:val="00113CCA"/>
    <w:rsid w:val="00120A8E"/>
    <w:rsid w:val="00122D93"/>
    <w:rsid w:val="00122F25"/>
    <w:rsid w:val="00125EC8"/>
    <w:rsid w:val="00135980"/>
    <w:rsid w:val="001376EF"/>
    <w:rsid w:val="0014310E"/>
    <w:rsid w:val="001439CC"/>
    <w:rsid w:val="001504E5"/>
    <w:rsid w:val="00152AE0"/>
    <w:rsid w:val="00154BF3"/>
    <w:rsid w:val="00160F9F"/>
    <w:rsid w:val="00162E04"/>
    <w:rsid w:val="00163E11"/>
    <w:rsid w:val="00164719"/>
    <w:rsid w:val="001664BD"/>
    <w:rsid w:val="00166FC4"/>
    <w:rsid w:val="0016730E"/>
    <w:rsid w:val="001677AC"/>
    <w:rsid w:val="00171C1C"/>
    <w:rsid w:val="00176235"/>
    <w:rsid w:val="001804EA"/>
    <w:rsid w:val="00187443"/>
    <w:rsid w:val="00190A61"/>
    <w:rsid w:val="00192E3D"/>
    <w:rsid w:val="00193A50"/>
    <w:rsid w:val="00193D48"/>
    <w:rsid w:val="00194A13"/>
    <w:rsid w:val="001A1163"/>
    <w:rsid w:val="001A3342"/>
    <w:rsid w:val="001A3E3D"/>
    <w:rsid w:val="001A63FB"/>
    <w:rsid w:val="001A7049"/>
    <w:rsid w:val="001A7647"/>
    <w:rsid w:val="001A7C7C"/>
    <w:rsid w:val="001B088E"/>
    <w:rsid w:val="001B1E40"/>
    <w:rsid w:val="001B4D90"/>
    <w:rsid w:val="001B5A9B"/>
    <w:rsid w:val="001B68E7"/>
    <w:rsid w:val="001B7F04"/>
    <w:rsid w:val="001C2699"/>
    <w:rsid w:val="001C337F"/>
    <w:rsid w:val="001C3BF4"/>
    <w:rsid w:val="001C4D93"/>
    <w:rsid w:val="001C5C9E"/>
    <w:rsid w:val="001C5E78"/>
    <w:rsid w:val="001C764E"/>
    <w:rsid w:val="001D074D"/>
    <w:rsid w:val="001D0F43"/>
    <w:rsid w:val="001D4357"/>
    <w:rsid w:val="001D4B5B"/>
    <w:rsid w:val="001D51C0"/>
    <w:rsid w:val="001D7B2F"/>
    <w:rsid w:val="001E1052"/>
    <w:rsid w:val="001E19B0"/>
    <w:rsid w:val="001E21B1"/>
    <w:rsid w:val="001E2F93"/>
    <w:rsid w:val="001E3A54"/>
    <w:rsid w:val="001E3C3C"/>
    <w:rsid w:val="001E61E5"/>
    <w:rsid w:val="001E6362"/>
    <w:rsid w:val="001E7DC2"/>
    <w:rsid w:val="001F0499"/>
    <w:rsid w:val="001F158B"/>
    <w:rsid w:val="001F2159"/>
    <w:rsid w:val="001F26C6"/>
    <w:rsid w:val="001F3EDC"/>
    <w:rsid w:val="001F708A"/>
    <w:rsid w:val="002002D4"/>
    <w:rsid w:val="00202301"/>
    <w:rsid w:val="002026A7"/>
    <w:rsid w:val="002026D4"/>
    <w:rsid w:val="00206290"/>
    <w:rsid w:val="00210EF9"/>
    <w:rsid w:val="00212DBC"/>
    <w:rsid w:val="00213975"/>
    <w:rsid w:val="00214863"/>
    <w:rsid w:val="002156B4"/>
    <w:rsid w:val="002174F7"/>
    <w:rsid w:val="002206A0"/>
    <w:rsid w:val="00220AFF"/>
    <w:rsid w:val="002257EC"/>
    <w:rsid w:val="00226B68"/>
    <w:rsid w:val="00234DA4"/>
    <w:rsid w:val="0024162B"/>
    <w:rsid w:val="00244A7F"/>
    <w:rsid w:val="00246DEE"/>
    <w:rsid w:val="002471D2"/>
    <w:rsid w:val="002479DC"/>
    <w:rsid w:val="00253113"/>
    <w:rsid w:val="00253222"/>
    <w:rsid w:val="00255F6C"/>
    <w:rsid w:val="0026036D"/>
    <w:rsid w:val="00261C15"/>
    <w:rsid w:val="00262847"/>
    <w:rsid w:val="002629E1"/>
    <w:rsid w:val="00264B7C"/>
    <w:rsid w:val="002742AD"/>
    <w:rsid w:val="00274F24"/>
    <w:rsid w:val="0027538A"/>
    <w:rsid w:val="0027568C"/>
    <w:rsid w:val="002760A3"/>
    <w:rsid w:val="00276100"/>
    <w:rsid w:val="00281BB2"/>
    <w:rsid w:val="00290D59"/>
    <w:rsid w:val="00292300"/>
    <w:rsid w:val="00294ACF"/>
    <w:rsid w:val="0029767D"/>
    <w:rsid w:val="002977E4"/>
    <w:rsid w:val="002B3377"/>
    <w:rsid w:val="002B5559"/>
    <w:rsid w:val="002B72E9"/>
    <w:rsid w:val="002B75C8"/>
    <w:rsid w:val="002C7998"/>
    <w:rsid w:val="002D07CC"/>
    <w:rsid w:val="002D22C3"/>
    <w:rsid w:val="002D2678"/>
    <w:rsid w:val="002D36F5"/>
    <w:rsid w:val="002D47EC"/>
    <w:rsid w:val="002F0067"/>
    <w:rsid w:val="002F01DF"/>
    <w:rsid w:val="002F1E53"/>
    <w:rsid w:val="002F2623"/>
    <w:rsid w:val="002F2CAA"/>
    <w:rsid w:val="002F4A57"/>
    <w:rsid w:val="002F5DA8"/>
    <w:rsid w:val="002F7B75"/>
    <w:rsid w:val="0030052C"/>
    <w:rsid w:val="00303D33"/>
    <w:rsid w:val="003049F8"/>
    <w:rsid w:val="00304B16"/>
    <w:rsid w:val="00305C66"/>
    <w:rsid w:val="00311FD8"/>
    <w:rsid w:val="00325A15"/>
    <w:rsid w:val="003260D5"/>
    <w:rsid w:val="00327F0C"/>
    <w:rsid w:val="003306E1"/>
    <w:rsid w:val="003320E4"/>
    <w:rsid w:val="0033525D"/>
    <w:rsid w:val="003379AD"/>
    <w:rsid w:val="003405B4"/>
    <w:rsid w:val="003414F3"/>
    <w:rsid w:val="00350A0C"/>
    <w:rsid w:val="00351C26"/>
    <w:rsid w:val="00352262"/>
    <w:rsid w:val="0035613E"/>
    <w:rsid w:val="00357ACB"/>
    <w:rsid w:val="00362A0F"/>
    <w:rsid w:val="00363EE9"/>
    <w:rsid w:val="003739AC"/>
    <w:rsid w:val="00374896"/>
    <w:rsid w:val="003760C7"/>
    <w:rsid w:val="00376128"/>
    <w:rsid w:val="0037742E"/>
    <w:rsid w:val="00380B17"/>
    <w:rsid w:val="00381A38"/>
    <w:rsid w:val="0038245A"/>
    <w:rsid w:val="00385CFC"/>
    <w:rsid w:val="00387E8E"/>
    <w:rsid w:val="0039337A"/>
    <w:rsid w:val="00395545"/>
    <w:rsid w:val="003A2396"/>
    <w:rsid w:val="003A3189"/>
    <w:rsid w:val="003A320F"/>
    <w:rsid w:val="003A394B"/>
    <w:rsid w:val="003B33BD"/>
    <w:rsid w:val="003B42A6"/>
    <w:rsid w:val="003B569D"/>
    <w:rsid w:val="003B5C17"/>
    <w:rsid w:val="003C3C0E"/>
    <w:rsid w:val="003C3C1D"/>
    <w:rsid w:val="003D1739"/>
    <w:rsid w:val="003D1D4D"/>
    <w:rsid w:val="003D4041"/>
    <w:rsid w:val="003D4FAC"/>
    <w:rsid w:val="003D640A"/>
    <w:rsid w:val="003E18D7"/>
    <w:rsid w:val="003E516C"/>
    <w:rsid w:val="003E7906"/>
    <w:rsid w:val="003F0173"/>
    <w:rsid w:val="003F3C50"/>
    <w:rsid w:val="00400B1F"/>
    <w:rsid w:val="00400D0C"/>
    <w:rsid w:val="0040462F"/>
    <w:rsid w:val="00405A4A"/>
    <w:rsid w:val="004064D5"/>
    <w:rsid w:val="00406A6A"/>
    <w:rsid w:val="00406B22"/>
    <w:rsid w:val="00407FA1"/>
    <w:rsid w:val="00412D4C"/>
    <w:rsid w:val="00422103"/>
    <w:rsid w:val="0042656D"/>
    <w:rsid w:val="00426A50"/>
    <w:rsid w:val="00426FCE"/>
    <w:rsid w:val="00431B86"/>
    <w:rsid w:val="004328A7"/>
    <w:rsid w:val="00433B24"/>
    <w:rsid w:val="00434C74"/>
    <w:rsid w:val="00437A4C"/>
    <w:rsid w:val="00442531"/>
    <w:rsid w:val="0045009C"/>
    <w:rsid w:val="004539DE"/>
    <w:rsid w:val="00456EB4"/>
    <w:rsid w:val="004616B0"/>
    <w:rsid w:val="00465A3E"/>
    <w:rsid w:val="00466B87"/>
    <w:rsid w:val="004675D2"/>
    <w:rsid w:val="004718F3"/>
    <w:rsid w:val="00475040"/>
    <w:rsid w:val="00485933"/>
    <w:rsid w:val="004917D0"/>
    <w:rsid w:val="00492DD3"/>
    <w:rsid w:val="0049391A"/>
    <w:rsid w:val="00493D40"/>
    <w:rsid w:val="004967B6"/>
    <w:rsid w:val="00497296"/>
    <w:rsid w:val="00497708"/>
    <w:rsid w:val="004A3EB7"/>
    <w:rsid w:val="004A427D"/>
    <w:rsid w:val="004A504B"/>
    <w:rsid w:val="004A6911"/>
    <w:rsid w:val="004B54E0"/>
    <w:rsid w:val="004B7384"/>
    <w:rsid w:val="004C0689"/>
    <w:rsid w:val="004C4269"/>
    <w:rsid w:val="004C6489"/>
    <w:rsid w:val="004C77FF"/>
    <w:rsid w:val="004D0700"/>
    <w:rsid w:val="004D1A9E"/>
    <w:rsid w:val="004D2D73"/>
    <w:rsid w:val="004D4302"/>
    <w:rsid w:val="004D561C"/>
    <w:rsid w:val="004D6236"/>
    <w:rsid w:val="004D69E1"/>
    <w:rsid w:val="004D7929"/>
    <w:rsid w:val="004D7F90"/>
    <w:rsid w:val="004E0F23"/>
    <w:rsid w:val="004E0FEB"/>
    <w:rsid w:val="004E3DF0"/>
    <w:rsid w:val="004E4DBB"/>
    <w:rsid w:val="004E4E41"/>
    <w:rsid w:val="004E51A2"/>
    <w:rsid w:val="004E64CA"/>
    <w:rsid w:val="004E6D13"/>
    <w:rsid w:val="004E7F9C"/>
    <w:rsid w:val="004F00C6"/>
    <w:rsid w:val="004F129E"/>
    <w:rsid w:val="004F1E9E"/>
    <w:rsid w:val="004F3493"/>
    <w:rsid w:val="004F3654"/>
    <w:rsid w:val="004F4FF8"/>
    <w:rsid w:val="004F5143"/>
    <w:rsid w:val="00502A9A"/>
    <w:rsid w:val="005034FF"/>
    <w:rsid w:val="0050632E"/>
    <w:rsid w:val="00506808"/>
    <w:rsid w:val="00512A38"/>
    <w:rsid w:val="00512B09"/>
    <w:rsid w:val="005152E2"/>
    <w:rsid w:val="00515EB2"/>
    <w:rsid w:val="005206E2"/>
    <w:rsid w:val="005216DB"/>
    <w:rsid w:val="005246D4"/>
    <w:rsid w:val="005268E0"/>
    <w:rsid w:val="00532424"/>
    <w:rsid w:val="00533796"/>
    <w:rsid w:val="00534029"/>
    <w:rsid w:val="005344C7"/>
    <w:rsid w:val="00547006"/>
    <w:rsid w:val="00551B10"/>
    <w:rsid w:val="00552ECF"/>
    <w:rsid w:val="00553724"/>
    <w:rsid w:val="00553A2D"/>
    <w:rsid w:val="00555AC1"/>
    <w:rsid w:val="00555D75"/>
    <w:rsid w:val="005567E7"/>
    <w:rsid w:val="00560DF0"/>
    <w:rsid w:val="00561BFA"/>
    <w:rsid w:val="00562CD0"/>
    <w:rsid w:val="005638B9"/>
    <w:rsid w:val="00565C41"/>
    <w:rsid w:val="0056747C"/>
    <w:rsid w:val="0056759C"/>
    <w:rsid w:val="00567C13"/>
    <w:rsid w:val="00567DA3"/>
    <w:rsid w:val="00571128"/>
    <w:rsid w:val="00574524"/>
    <w:rsid w:val="00577CC3"/>
    <w:rsid w:val="00577E30"/>
    <w:rsid w:val="00582B5F"/>
    <w:rsid w:val="0058385E"/>
    <w:rsid w:val="00586581"/>
    <w:rsid w:val="00593074"/>
    <w:rsid w:val="0059409A"/>
    <w:rsid w:val="0059513E"/>
    <w:rsid w:val="005A3467"/>
    <w:rsid w:val="005A389C"/>
    <w:rsid w:val="005B0C0B"/>
    <w:rsid w:val="005B48FF"/>
    <w:rsid w:val="005B4D21"/>
    <w:rsid w:val="005B64DC"/>
    <w:rsid w:val="005B6900"/>
    <w:rsid w:val="005C3754"/>
    <w:rsid w:val="005C427D"/>
    <w:rsid w:val="005C679F"/>
    <w:rsid w:val="005D6894"/>
    <w:rsid w:val="005E0B81"/>
    <w:rsid w:val="005E2FC7"/>
    <w:rsid w:val="005E38E5"/>
    <w:rsid w:val="005E5B49"/>
    <w:rsid w:val="005E5F60"/>
    <w:rsid w:val="005E7F21"/>
    <w:rsid w:val="005F489B"/>
    <w:rsid w:val="005F4968"/>
    <w:rsid w:val="005F5198"/>
    <w:rsid w:val="00600DD4"/>
    <w:rsid w:val="006010E5"/>
    <w:rsid w:val="00603C4E"/>
    <w:rsid w:val="00603E75"/>
    <w:rsid w:val="00604C15"/>
    <w:rsid w:val="006158D5"/>
    <w:rsid w:val="006171C7"/>
    <w:rsid w:val="00625D83"/>
    <w:rsid w:val="0063016C"/>
    <w:rsid w:val="0063219C"/>
    <w:rsid w:val="006333C8"/>
    <w:rsid w:val="0063542A"/>
    <w:rsid w:val="006372AF"/>
    <w:rsid w:val="00637667"/>
    <w:rsid w:val="00643C15"/>
    <w:rsid w:val="0064419B"/>
    <w:rsid w:val="00645F36"/>
    <w:rsid w:val="006502D8"/>
    <w:rsid w:val="00652869"/>
    <w:rsid w:val="00652A35"/>
    <w:rsid w:val="006566A3"/>
    <w:rsid w:val="00660E2B"/>
    <w:rsid w:val="00662306"/>
    <w:rsid w:val="006623E7"/>
    <w:rsid w:val="00662B80"/>
    <w:rsid w:val="006703AC"/>
    <w:rsid w:val="00670F6C"/>
    <w:rsid w:val="00676A4B"/>
    <w:rsid w:val="00684164"/>
    <w:rsid w:val="006852C7"/>
    <w:rsid w:val="006A3349"/>
    <w:rsid w:val="006A3DC2"/>
    <w:rsid w:val="006A4DE3"/>
    <w:rsid w:val="006A67CE"/>
    <w:rsid w:val="006A78A4"/>
    <w:rsid w:val="006B0ACE"/>
    <w:rsid w:val="006B1556"/>
    <w:rsid w:val="006B55FD"/>
    <w:rsid w:val="006B6C45"/>
    <w:rsid w:val="006B7E5D"/>
    <w:rsid w:val="006C0310"/>
    <w:rsid w:val="006C1727"/>
    <w:rsid w:val="006C2957"/>
    <w:rsid w:val="006C32FD"/>
    <w:rsid w:val="006C39CE"/>
    <w:rsid w:val="006C44A9"/>
    <w:rsid w:val="006C7B71"/>
    <w:rsid w:val="006D0FCC"/>
    <w:rsid w:val="006D184F"/>
    <w:rsid w:val="006D31D5"/>
    <w:rsid w:val="006D481B"/>
    <w:rsid w:val="006D7E6B"/>
    <w:rsid w:val="006D7F4C"/>
    <w:rsid w:val="006E1FC3"/>
    <w:rsid w:val="006E24FD"/>
    <w:rsid w:val="006E3DDC"/>
    <w:rsid w:val="006E6412"/>
    <w:rsid w:val="006E6FE9"/>
    <w:rsid w:val="006F1686"/>
    <w:rsid w:val="006F3665"/>
    <w:rsid w:val="00702341"/>
    <w:rsid w:val="007027AB"/>
    <w:rsid w:val="00702C0C"/>
    <w:rsid w:val="0070490C"/>
    <w:rsid w:val="0070616B"/>
    <w:rsid w:val="00706FDA"/>
    <w:rsid w:val="00707CB0"/>
    <w:rsid w:val="00711F9A"/>
    <w:rsid w:val="00712FF5"/>
    <w:rsid w:val="00713810"/>
    <w:rsid w:val="00714A90"/>
    <w:rsid w:val="00714CE0"/>
    <w:rsid w:val="0071622B"/>
    <w:rsid w:val="007163BF"/>
    <w:rsid w:val="00717049"/>
    <w:rsid w:val="007173CC"/>
    <w:rsid w:val="0072026B"/>
    <w:rsid w:val="0072219F"/>
    <w:rsid w:val="00722271"/>
    <w:rsid w:val="00724629"/>
    <w:rsid w:val="007303A5"/>
    <w:rsid w:val="00730B3E"/>
    <w:rsid w:val="00730D76"/>
    <w:rsid w:val="00732161"/>
    <w:rsid w:val="007334EC"/>
    <w:rsid w:val="0073420B"/>
    <w:rsid w:val="00734F46"/>
    <w:rsid w:val="00735EED"/>
    <w:rsid w:val="00737CF7"/>
    <w:rsid w:val="007444A1"/>
    <w:rsid w:val="007445B5"/>
    <w:rsid w:val="007461B2"/>
    <w:rsid w:val="007471CE"/>
    <w:rsid w:val="0074760E"/>
    <w:rsid w:val="00751285"/>
    <w:rsid w:val="00754ABA"/>
    <w:rsid w:val="0076063D"/>
    <w:rsid w:val="00761FD8"/>
    <w:rsid w:val="0077604E"/>
    <w:rsid w:val="00780F27"/>
    <w:rsid w:val="007827FB"/>
    <w:rsid w:val="00783B3D"/>
    <w:rsid w:val="007906E2"/>
    <w:rsid w:val="00790F08"/>
    <w:rsid w:val="007935C9"/>
    <w:rsid w:val="007938B4"/>
    <w:rsid w:val="00797671"/>
    <w:rsid w:val="007A1546"/>
    <w:rsid w:val="007A228C"/>
    <w:rsid w:val="007A368E"/>
    <w:rsid w:val="007A521B"/>
    <w:rsid w:val="007A5868"/>
    <w:rsid w:val="007A6E8C"/>
    <w:rsid w:val="007A72B9"/>
    <w:rsid w:val="007A761F"/>
    <w:rsid w:val="007A7E60"/>
    <w:rsid w:val="007B04CE"/>
    <w:rsid w:val="007B1F65"/>
    <w:rsid w:val="007B2F17"/>
    <w:rsid w:val="007B30D3"/>
    <w:rsid w:val="007B337C"/>
    <w:rsid w:val="007B6871"/>
    <w:rsid w:val="007B7A2F"/>
    <w:rsid w:val="007C1AAC"/>
    <w:rsid w:val="007C1F4F"/>
    <w:rsid w:val="007C28B1"/>
    <w:rsid w:val="007C2AD7"/>
    <w:rsid w:val="007C3A3D"/>
    <w:rsid w:val="007C3D33"/>
    <w:rsid w:val="007C4B60"/>
    <w:rsid w:val="007C7FA4"/>
    <w:rsid w:val="007D294A"/>
    <w:rsid w:val="007D47D2"/>
    <w:rsid w:val="007D5457"/>
    <w:rsid w:val="007D6EC0"/>
    <w:rsid w:val="007D6EE7"/>
    <w:rsid w:val="007D7E1D"/>
    <w:rsid w:val="007E1ECB"/>
    <w:rsid w:val="007E4B0D"/>
    <w:rsid w:val="007E4C98"/>
    <w:rsid w:val="007E5119"/>
    <w:rsid w:val="007E7210"/>
    <w:rsid w:val="007E74B6"/>
    <w:rsid w:val="007E7758"/>
    <w:rsid w:val="008102F3"/>
    <w:rsid w:val="00811949"/>
    <w:rsid w:val="00812E76"/>
    <w:rsid w:val="00820EE1"/>
    <w:rsid w:val="00824E62"/>
    <w:rsid w:val="00824F74"/>
    <w:rsid w:val="00825BF3"/>
    <w:rsid w:val="00826EBE"/>
    <w:rsid w:val="00831979"/>
    <w:rsid w:val="0083422F"/>
    <w:rsid w:val="00834553"/>
    <w:rsid w:val="00847B48"/>
    <w:rsid w:val="00851352"/>
    <w:rsid w:val="00852D00"/>
    <w:rsid w:val="0085650D"/>
    <w:rsid w:val="00857504"/>
    <w:rsid w:val="0086042D"/>
    <w:rsid w:val="0086136F"/>
    <w:rsid w:val="00863230"/>
    <w:rsid w:val="008640AA"/>
    <w:rsid w:val="00864AE5"/>
    <w:rsid w:val="008707FD"/>
    <w:rsid w:val="008708AF"/>
    <w:rsid w:val="00871330"/>
    <w:rsid w:val="008717D8"/>
    <w:rsid w:val="0087215C"/>
    <w:rsid w:val="00876229"/>
    <w:rsid w:val="00880E35"/>
    <w:rsid w:val="00882244"/>
    <w:rsid w:val="008875FE"/>
    <w:rsid w:val="00887F8E"/>
    <w:rsid w:val="0089351C"/>
    <w:rsid w:val="00896234"/>
    <w:rsid w:val="00897E43"/>
    <w:rsid w:val="008A45DA"/>
    <w:rsid w:val="008A486C"/>
    <w:rsid w:val="008B110E"/>
    <w:rsid w:val="008B1D03"/>
    <w:rsid w:val="008B46FD"/>
    <w:rsid w:val="008C207D"/>
    <w:rsid w:val="008C28BF"/>
    <w:rsid w:val="008C366D"/>
    <w:rsid w:val="008C5738"/>
    <w:rsid w:val="008C6C3A"/>
    <w:rsid w:val="008C7EAD"/>
    <w:rsid w:val="008D0CFE"/>
    <w:rsid w:val="008D1B34"/>
    <w:rsid w:val="008D410F"/>
    <w:rsid w:val="008D52DD"/>
    <w:rsid w:val="008D6152"/>
    <w:rsid w:val="008D6518"/>
    <w:rsid w:val="008E2072"/>
    <w:rsid w:val="008E59EA"/>
    <w:rsid w:val="008E5A99"/>
    <w:rsid w:val="008E7529"/>
    <w:rsid w:val="008F0F81"/>
    <w:rsid w:val="008F27BF"/>
    <w:rsid w:val="008F3D9A"/>
    <w:rsid w:val="008F5327"/>
    <w:rsid w:val="008F79AD"/>
    <w:rsid w:val="00904118"/>
    <w:rsid w:val="009069B2"/>
    <w:rsid w:val="00906BA4"/>
    <w:rsid w:val="0090782D"/>
    <w:rsid w:val="009128AA"/>
    <w:rsid w:val="009142EC"/>
    <w:rsid w:val="009154C3"/>
    <w:rsid w:val="00923540"/>
    <w:rsid w:val="00923C07"/>
    <w:rsid w:val="00923FC0"/>
    <w:rsid w:val="00924689"/>
    <w:rsid w:val="00925675"/>
    <w:rsid w:val="00926767"/>
    <w:rsid w:val="00930CF1"/>
    <w:rsid w:val="009323FC"/>
    <w:rsid w:val="00933143"/>
    <w:rsid w:val="00934FFC"/>
    <w:rsid w:val="009357ED"/>
    <w:rsid w:val="00935B28"/>
    <w:rsid w:val="009361D5"/>
    <w:rsid w:val="00941A96"/>
    <w:rsid w:val="00942860"/>
    <w:rsid w:val="009428A4"/>
    <w:rsid w:val="009430EC"/>
    <w:rsid w:val="009447D9"/>
    <w:rsid w:val="00944BCF"/>
    <w:rsid w:val="0095657D"/>
    <w:rsid w:val="00960F21"/>
    <w:rsid w:val="00962935"/>
    <w:rsid w:val="009637BA"/>
    <w:rsid w:val="00963F80"/>
    <w:rsid w:val="009659F4"/>
    <w:rsid w:val="00966185"/>
    <w:rsid w:val="00966837"/>
    <w:rsid w:val="00970D60"/>
    <w:rsid w:val="00972DA9"/>
    <w:rsid w:val="00974485"/>
    <w:rsid w:val="009812D0"/>
    <w:rsid w:val="009842AA"/>
    <w:rsid w:val="009876E5"/>
    <w:rsid w:val="00987F48"/>
    <w:rsid w:val="00990DEE"/>
    <w:rsid w:val="009960E5"/>
    <w:rsid w:val="00996D06"/>
    <w:rsid w:val="00997AAB"/>
    <w:rsid w:val="00997D1B"/>
    <w:rsid w:val="009A5553"/>
    <w:rsid w:val="009A7ADC"/>
    <w:rsid w:val="009B4838"/>
    <w:rsid w:val="009B6503"/>
    <w:rsid w:val="009C19B7"/>
    <w:rsid w:val="009C3AAD"/>
    <w:rsid w:val="009C3F54"/>
    <w:rsid w:val="009C7664"/>
    <w:rsid w:val="009D0F2A"/>
    <w:rsid w:val="009D358E"/>
    <w:rsid w:val="009D7660"/>
    <w:rsid w:val="009D7C51"/>
    <w:rsid w:val="009D7D08"/>
    <w:rsid w:val="009E0822"/>
    <w:rsid w:val="009E1451"/>
    <w:rsid w:val="009E196C"/>
    <w:rsid w:val="009F0025"/>
    <w:rsid w:val="009F2784"/>
    <w:rsid w:val="009F36BF"/>
    <w:rsid w:val="009F6C6B"/>
    <w:rsid w:val="009F78C2"/>
    <w:rsid w:val="009F7C61"/>
    <w:rsid w:val="00A048AE"/>
    <w:rsid w:val="00A072B2"/>
    <w:rsid w:val="00A10A7C"/>
    <w:rsid w:val="00A111B6"/>
    <w:rsid w:val="00A114C8"/>
    <w:rsid w:val="00A130DB"/>
    <w:rsid w:val="00A13666"/>
    <w:rsid w:val="00A14EAF"/>
    <w:rsid w:val="00A24A69"/>
    <w:rsid w:val="00A26D27"/>
    <w:rsid w:val="00A303A3"/>
    <w:rsid w:val="00A32145"/>
    <w:rsid w:val="00A33821"/>
    <w:rsid w:val="00A372C4"/>
    <w:rsid w:val="00A376EE"/>
    <w:rsid w:val="00A40134"/>
    <w:rsid w:val="00A42A99"/>
    <w:rsid w:val="00A42A9C"/>
    <w:rsid w:val="00A449E8"/>
    <w:rsid w:val="00A464F5"/>
    <w:rsid w:val="00A470DE"/>
    <w:rsid w:val="00A4712D"/>
    <w:rsid w:val="00A477A5"/>
    <w:rsid w:val="00A50F43"/>
    <w:rsid w:val="00A513C9"/>
    <w:rsid w:val="00A5151A"/>
    <w:rsid w:val="00A523F1"/>
    <w:rsid w:val="00A557B9"/>
    <w:rsid w:val="00A568DB"/>
    <w:rsid w:val="00A57E0A"/>
    <w:rsid w:val="00A605E6"/>
    <w:rsid w:val="00A6060E"/>
    <w:rsid w:val="00A65434"/>
    <w:rsid w:val="00A670D6"/>
    <w:rsid w:val="00A71422"/>
    <w:rsid w:val="00A728B6"/>
    <w:rsid w:val="00A72E66"/>
    <w:rsid w:val="00A737F8"/>
    <w:rsid w:val="00A8103E"/>
    <w:rsid w:val="00A8117B"/>
    <w:rsid w:val="00A823F6"/>
    <w:rsid w:val="00A82821"/>
    <w:rsid w:val="00A832A7"/>
    <w:rsid w:val="00A85BCD"/>
    <w:rsid w:val="00A86AA9"/>
    <w:rsid w:val="00A923AD"/>
    <w:rsid w:val="00A94388"/>
    <w:rsid w:val="00A94A6E"/>
    <w:rsid w:val="00AA051F"/>
    <w:rsid w:val="00AA0A89"/>
    <w:rsid w:val="00AA1B37"/>
    <w:rsid w:val="00AA51F0"/>
    <w:rsid w:val="00AA6429"/>
    <w:rsid w:val="00AB0E1E"/>
    <w:rsid w:val="00AB10D8"/>
    <w:rsid w:val="00AB12A9"/>
    <w:rsid w:val="00AB3A59"/>
    <w:rsid w:val="00AB3B17"/>
    <w:rsid w:val="00AB5699"/>
    <w:rsid w:val="00AB6223"/>
    <w:rsid w:val="00AB7386"/>
    <w:rsid w:val="00AB7D5A"/>
    <w:rsid w:val="00AC01AA"/>
    <w:rsid w:val="00AC1EB1"/>
    <w:rsid w:val="00AC3866"/>
    <w:rsid w:val="00AC4117"/>
    <w:rsid w:val="00AC4B25"/>
    <w:rsid w:val="00AC4F72"/>
    <w:rsid w:val="00AC7685"/>
    <w:rsid w:val="00AD1509"/>
    <w:rsid w:val="00AD4793"/>
    <w:rsid w:val="00AD4BEF"/>
    <w:rsid w:val="00AD74A6"/>
    <w:rsid w:val="00AE356F"/>
    <w:rsid w:val="00AE370E"/>
    <w:rsid w:val="00AE3FEC"/>
    <w:rsid w:val="00AE60C5"/>
    <w:rsid w:val="00AE688E"/>
    <w:rsid w:val="00AF3484"/>
    <w:rsid w:val="00AF3B66"/>
    <w:rsid w:val="00AF4799"/>
    <w:rsid w:val="00AF54D8"/>
    <w:rsid w:val="00AF6B07"/>
    <w:rsid w:val="00AF741A"/>
    <w:rsid w:val="00B000DF"/>
    <w:rsid w:val="00B015D5"/>
    <w:rsid w:val="00B01ADB"/>
    <w:rsid w:val="00B02D01"/>
    <w:rsid w:val="00B04161"/>
    <w:rsid w:val="00B04FF6"/>
    <w:rsid w:val="00B056F9"/>
    <w:rsid w:val="00B05859"/>
    <w:rsid w:val="00B06100"/>
    <w:rsid w:val="00B11E3D"/>
    <w:rsid w:val="00B138D5"/>
    <w:rsid w:val="00B17E82"/>
    <w:rsid w:val="00B20264"/>
    <w:rsid w:val="00B31DD4"/>
    <w:rsid w:val="00B33B2B"/>
    <w:rsid w:val="00B34C29"/>
    <w:rsid w:val="00B4157B"/>
    <w:rsid w:val="00B44FB0"/>
    <w:rsid w:val="00B4575A"/>
    <w:rsid w:val="00B46699"/>
    <w:rsid w:val="00B53E75"/>
    <w:rsid w:val="00B5592A"/>
    <w:rsid w:val="00B56A3B"/>
    <w:rsid w:val="00B575BA"/>
    <w:rsid w:val="00B606BC"/>
    <w:rsid w:val="00B63576"/>
    <w:rsid w:val="00B65C00"/>
    <w:rsid w:val="00B76429"/>
    <w:rsid w:val="00B819B7"/>
    <w:rsid w:val="00B83CFD"/>
    <w:rsid w:val="00B87EA0"/>
    <w:rsid w:val="00B94810"/>
    <w:rsid w:val="00B956D4"/>
    <w:rsid w:val="00B97446"/>
    <w:rsid w:val="00BA7432"/>
    <w:rsid w:val="00BB07EA"/>
    <w:rsid w:val="00BB1154"/>
    <w:rsid w:val="00BB133D"/>
    <w:rsid w:val="00BB17E4"/>
    <w:rsid w:val="00BB30DF"/>
    <w:rsid w:val="00BB3A47"/>
    <w:rsid w:val="00BC1AA0"/>
    <w:rsid w:val="00BC2495"/>
    <w:rsid w:val="00BC46BB"/>
    <w:rsid w:val="00BC5261"/>
    <w:rsid w:val="00BC7EB9"/>
    <w:rsid w:val="00BD04BC"/>
    <w:rsid w:val="00BD2643"/>
    <w:rsid w:val="00BD56B1"/>
    <w:rsid w:val="00BD6558"/>
    <w:rsid w:val="00BE0923"/>
    <w:rsid w:val="00BE45A5"/>
    <w:rsid w:val="00BE56C8"/>
    <w:rsid w:val="00BF3022"/>
    <w:rsid w:val="00BF3214"/>
    <w:rsid w:val="00BF3BF7"/>
    <w:rsid w:val="00BF471D"/>
    <w:rsid w:val="00BF5573"/>
    <w:rsid w:val="00BF638D"/>
    <w:rsid w:val="00C05066"/>
    <w:rsid w:val="00C076F3"/>
    <w:rsid w:val="00C10196"/>
    <w:rsid w:val="00C11400"/>
    <w:rsid w:val="00C12A5D"/>
    <w:rsid w:val="00C15867"/>
    <w:rsid w:val="00C2296D"/>
    <w:rsid w:val="00C23155"/>
    <w:rsid w:val="00C33DA5"/>
    <w:rsid w:val="00C34E33"/>
    <w:rsid w:val="00C35527"/>
    <w:rsid w:val="00C357A0"/>
    <w:rsid w:val="00C35BFF"/>
    <w:rsid w:val="00C35C5B"/>
    <w:rsid w:val="00C408E4"/>
    <w:rsid w:val="00C40C41"/>
    <w:rsid w:val="00C41BF0"/>
    <w:rsid w:val="00C45885"/>
    <w:rsid w:val="00C460B0"/>
    <w:rsid w:val="00C46BA4"/>
    <w:rsid w:val="00C50F22"/>
    <w:rsid w:val="00C5329B"/>
    <w:rsid w:val="00C54F6D"/>
    <w:rsid w:val="00C57971"/>
    <w:rsid w:val="00C62C6C"/>
    <w:rsid w:val="00C6416C"/>
    <w:rsid w:val="00C6466D"/>
    <w:rsid w:val="00C65BD7"/>
    <w:rsid w:val="00C7440F"/>
    <w:rsid w:val="00C76B8C"/>
    <w:rsid w:val="00C76BA4"/>
    <w:rsid w:val="00C803A9"/>
    <w:rsid w:val="00C80E9B"/>
    <w:rsid w:val="00C83A48"/>
    <w:rsid w:val="00C84A1E"/>
    <w:rsid w:val="00C85865"/>
    <w:rsid w:val="00C85E85"/>
    <w:rsid w:val="00C90045"/>
    <w:rsid w:val="00C9111C"/>
    <w:rsid w:val="00C92FB8"/>
    <w:rsid w:val="00C95D45"/>
    <w:rsid w:val="00C970A4"/>
    <w:rsid w:val="00CA2EAE"/>
    <w:rsid w:val="00CA4777"/>
    <w:rsid w:val="00CA4AC1"/>
    <w:rsid w:val="00CA5CF8"/>
    <w:rsid w:val="00CB0316"/>
    <w:rsid w:val="00CB0B11"/>
    <w:rsid w:val="00CB5167"/>
    <w:rsid w:val="00CB5354"/>
    <w:rsid w:val="00CB6E67"/>
    <w:rsid w:val="00CC0271"/>
    <w:rsid w:val="00CC0A47"/>
    <w:rsid w:val="00CC5033"/>
    <w:rsid w:val="00CC6A14"/>
    <w:rsid w:val="00CC70A3"/>
    <w:rsid w:val="00CD14B0"/>
    <w:rsid w:val="00CD1F0A"/>
    <w:rsid w:val="00CD1FBB"/>
    <w:rsid w:val="00CD3E4D"/>
    <w:rsid w:val="00CD4442"/>
    <w:rsid w:val="00CD53C3"/>
    <w:rsid w:val="00CD574E"/>
    <w:rsid w:val="00CE170A"/>
    <w:rsid w:val="00CE2844"/>
    <w:rsid w:val="00CE4C22"/>
    <w:rsid w:val="00CE4FE1"/>
    <w:rsid w:val="00CE5768"/>
    <w:rsid w:val="00CF05FF"/>
    <w:rsid w:val="00CF41EC"/>
    <w:rsid w:val="00CF5D04"/>
    <w:rsid w:val="00CF61D0"/>
    <w:rsid w:val="00CF7E3B"/>
    <w:rsid w:val="00D017D7"/>
    <w:rsid w:val="00D03D33"/>
    <w:rsid w:val="00D04DE4"/>
    <w:rsid w:val="00D063F1"/>
    <w:rsid w:val="00D06DD8"/>
    <w:rsid w:val="00D10EF9"/>
    <w:rsid w:val="00D14F22"/>
    <w:rsid w:val="00D16FCB"/>
    <w:rsid w:val="00D243A0"/>
    <w:rsid w:val="00D2509E"/>
    <w:rsid w:val="00D31065"/>
    <w:rsid w:val="00D33CDA"/>
    <w:rsid w:val="00D35FD4"/>
    <w:rsid w:val="00D42117"/>
    <w:rsid w:val="00D4741C"/>
    <w:rsid w:val="00D52313"/>
    <w:rsid w:val="00D52ABB"/>
    <w:rsid w:val="00D57918"/>
    <w:rsid w:val="00D6621E"/>
    <w:rsid w:val="00D73DC6"/>
    <w:rsid w:val="00D74C1A"/>
    <w:rsid w:val="00D754C1"/>
    <w:rsid w:val="00D75947"/>
    <w:rsid w:val="00D762D0"/>
    <w:rsid w:val="00D77393"/>
    <w:rsid w:val="00D77A35"/>
    <w:rsid w:val="00D8052F"/>
    <w:rsid w:val="00D80604"/>
    <w:rsid w:val="00D80A5D"/>
    <w:rsid w:val="00D818B6"/>
    <w:rsid w:val="00D81B3E"/>
    <w:rsid w:val="00D841F0"/>
    <w:rsid w:val="00D84DD3"/>
    <w:rsid w:val="00D87490"/>
    <w:rsid w:val="00D90650"/>
    <w:rsid w:val="00D90C70"/>
    <w:rsid w:val="00D90E49"/>
    <w:rsid w:val="00D93A71"/>
    <w:rsid w:val="00D96ADE"/>
    <w:rsid w:val="00DA0CE2"/>
    <w:rsid w:val="00DA53D8"/>
    <w:rsid w:val="00DB0036"/>
    <w:rsid w:val="00DB0E83"/>
    <w:rsid w:val="00DB7C8D"/>
    <w:rsid w:val="00DC2C69"/>
    <w:rsid w:val="00DC4210"/>
    <w:rsid w:val="00DC64DD"/>
    <w:rsid w:val="00DC6A10"/>
    <w:rsid w:val="00DD182F"/>
    <w:rsid w:val="00DD2114"/>
    <w:rsid w:val="00DD2652"/>
    <w:rsid w:val="00DD4B05"/>
    <w:rsid w:val="00DD7954"/>
    <w:rsid w:val="00DE1FB3"/>
    <w:rsid w:val="00DE2C77"/>
    <w:rsid w:val="00DE43EF"/>
    <w:rsid w:val="00DE657E"/>
    <w:rsid w:val="00DF0E62"/>
    <w:rsid w:val="00DF2037"/>
    <w:rsid w:val="00DF4704"/>
    <w:rsid w:val="00DF77C4"/>
    <w:rsid w:val="00E01A8C"/>
    <w:rsid w:val="00E0215B"/>
    <w:rsid w:val="00E024AA"/>
    <w:rsid w:val="00E0552A"/>
    <w:rsid w:val="00E06DB7"/>
    <w:rsid w:val="00E07376"/>
    <w:rsid w:val="00E078E8"/>
    <w:rsid w:val="00E202BB"/>
    <w:rsid w:val="00E250F1"/>
    <w:rsid w:val="00E25642"/>
    <w:rsid w:val="00E27275"/>
    <w:rsid w:val="00E323AA"/>
    <w:rsid w:val="00E33E92"/>
    <w:rsid w:val="00E3550D"/>
    <w:rsid w:val="00E36ABA"/>
    <w:rsid w:val="00E37405"/>
    <w:rsid w:val="00E407B4"/>
    <w:rsid w:val="00E4214D"/>
    <w:rsid w:val="00E45A36"/>
    <w:rsid w:val="00E475E2"/>
    <w:rsid w:val="00E476C3"/>
    <w:rsid w:val="00E47FAF"/>
    <w:rsid w:val="00E5284C"/>
    <w:rsid w:val="00E52A46"/>
    <w:rsid w:val="00E53F98"/>
    <w:rsid w:val="00E54F1D"/>
    <w:rsid w:val="00E57FF8"/>
    <w:rsid w:val="00E614E0"/>
    <w:rsid w:val="00E63B27"/>
    <w:rsid w:val="00E67C38"/>
    <w:rsid w:val="00E70009"/>
    <w:rsid w:val="00E71004"/>
    <w:rsid w:val="00E73F7F"/>
    <w:rsid w:val="00E8096F"/>
    <w:rsid w:val="00E81E25"/>
    <w:rsid w:val="00E85245"/>
    <w:rsid w:val="00E85409"/>
    <w:rsid w:val="00E85C1E"/>
    <w:rsid w:val="00E85F7B"/>
    <w:rsid w:val="00E862A6"/>
    <w:rsid w:val="00E8769C"/>
    <w:rsid w:val="00E905D0"/>
    <w:rsid w:val="00E92DB0"/>
    <w:rsid w:val="00E9677A"/>
    <w:rsid w:val="00EA115C"/>
    <w:rsid w:val="00EA17A6"/>
    <w:rsid w:val="00EA3E19"/>
    <w:rsid w:val="00EA429F"/>
    <w:rsid w:val="00EA4BC1"/>
    <w:rsid w:val="00EA4F9E"/>
    <w:rsid w:val="00EA63CA"/>
    <w:rsid w:val="00EA6D3B"/>
    <w:rsid w:val="00EB00AD"/>
    <w:rsid w:val="00EB0C0F"/>
    <w:rsid w:val="00EB136C"/>
    <w:rsid w:val="00EB480E"/>
    <w:rsid w:val="00EB5EC6"/>
    <w:rsid w:val="00EB5F26"/>
    <w:rsid w:val="00EB7FC9"/>
    <w:rsid w:val="00EC0159"/>
    <w:rsid w:val="00EC2DEE"/>
    <w:rsid w:val="00EC504C"/>
    <w:rsid w:val="00EC75F4"/>
    <w:rsid w:val="00ED0596"/>
    <w:rsid w:val="00ED1C83"/>
    <w:rsid w:val="00ED27E8"/>
    <w:rsid w:val="00ED7137"/>
    <w:rsid w:val="00EE3B03"/>
    <w:rsid w:val="00EE50AA"/>
    <w:rsid w:val="00EE6234"/>
    <w:rsid w:val="00EE669C"/>
    <w:rsid w:val="00EF0EE9"/>
    <w:rsid w:val="00EF0F05"/>
    <w:rsid w:val="00EF720B"/>
    <w:rsid w:val="00F0408A"/>
    <w:rsid w:val="00F17864"/>
    <w:rsid w:val="00F21088"/>
    <w:rsid w:val="00F21ABB"/>
    <w:rsid w:val="00F221BB"/>
    <w:rsid w:val="00F2535E"/>
    <w:rsid w:val="00F26C17"/>
    <w:rsid w:val="00F32136"/>
    <w:rsid w:val="00F327E7"/>
    <w:rsid w:val="00F330E4"/>
    <w:rsid w:val="00F35746"/>
    <w:rsid w:val="00F37EF5"/>
    <w:rsid w:val="00F37FCA"/>
    <w:rsid w:val="00F40E7F"/>
    <w:rsid w:val="00F42B5C"/>
    <w:rsid w:val="00F447C7"/>
    <w:rsid w:val="00F46115"/>
    <w:rsid w:val="00F5211B"/>
    <w:rsid w:val="00F554A9"/>
    <w:rsid w:val="00F578FE"/>
    <w:rsid w:val="00F6477A"/>
    <w:rsid w:val="00F716FD"/>
    <w:rsid w:val="00F80355"/>
    <w:rsid w:val="00F83C7C"/>
    <w:rsid w:val="00F84E15"/>
    <w:rsid w:val="00F86EB0"/>
    <w:rsid w:val="00F87C43"/>
    <w:rsid w:val="00F908B3"/>
    <w:rsid w:val="00F92A6C"/>
    <w:rsid w:val="00F95C54"/>
    <w:rsid w:val="00FA1504"/>
    <w:rsid w:val="00FA1FED"/>
    <w:rsid w:val="00FA224A"/>
    <w:rsid w:val="00FA7ECA"/>
    <w:rsid w:val="00FB0C81"/>
    <w:rsid w:val="00FB1EB0"/>
    <w:rsid w:val="00FB2392"/>
    <w:rsid w:val="00FB325A"/>
    <w:rsid w:val="00FB3E86"/>
    <w:rsid w:val="00FB5D02"/>
    <w:rsid w:val="00FC0FED"/>
    <w:rsid w:val="00FC2200"/>
    <w:rsid w:val="00FC2540"/>
    <w:rsid w:val="00FC413E"/>
    <w:rsid w:val="00FC4309"/>
    <w:rsid w:val="00FC5F64"/>
    <w:rsid w:val="00FC612D"/>
    <w:rsid w:val="00FC6F26"/>
    <w:rsid w:val="00FD1311"/>
    <w:rsid w:val="00FD14CE"/>
    <w:rsid w:val="00FD7AD5"/>
    <w:rsid w:val="00FE01AA"/>
    <w:rsid w:val="00FE3B1B"/>
    <w:rsid w:val="00FF0204"/>
    <w:rsid w:val="00FF0DF1"/>
    <w:rsid w:val="00FF3767"/>
    <w:rsid w:val="00FF3AED"/>
    <w:rsid w:val="00FF3D70"/>
    <w:rsid w:val="00FF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6A40BF0"/>
  <w15:docId w15:val="{79006DB2-3B63-4352-8AA9-255CE9D2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multilateralfund.org/sites/ExComMeeting41/Document%20Library2/1/4107.pdf" TargetMode="External"/><Relationship Id="rId39" Type="http://schemas.openxmlformats.org/officeDocument/2006/relationships/hyperlink" Target="http://www.multilateralfund.org/81/English/1/8107.pdf" TargetMode="External"/><Relationship Id="rId21" Type="http://schemas.openxmlformats.org/officeDocument/2006/relationships/header" Target="header5.xml"/><Relationship Id="rId34" Type="http://schemas.openxmlformats.org/officeDocument/2006/relationships/hyperlink" Target="http://www.multilateralfund.org/sites/58th/Document%20Library2/1/5808.pdf" TargetMode="External"/><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www.multilateralfund.org/sites/45/Document%20Library2/1/4512.pdf" TargetMode="External"/><Relationship Id="rId11" Type="http://schemas.openxmlformats.org/officeDocument/2006/relationships/image" Target="media/image4.jpeg"/><Relationship Id="rId24" Type="http://schemas.openxmlformats.org/officeDocument/2006/relationships/hyperlink" Target="http://www.multilateralfund.org/sites/31/Document%20Library2/1/3120.PDF" TargetMode="External"/><Relationship Id="rId32" Type="http://schemas.openxmlformats.org/officeDocument/2006/relationships/hyperlink" Target="http://www.multilateralfund.org/sites/52nd/Document%20Library2/1/5208.pdf" TargetMode="External"/><Relationship Id="rId37" Type="http://schemas.openxmlformats.org/officeDocument/2006/relationships/hyperlink" Target="http://www.multilateralfund.org/77/English/1/7709.pdf" TargetMode="External"/><Relationship Id="rId40" Type="http://schemas.openxmlformats.org/officeDocument/2006/relationships/header" Target="header6.xml"/><Relationship Id="rId45" Type="http://schemas.openxmlformats.org/officeDocument/2006/relationships/footer" Target="footer8.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footer" Target="footer4.xml"/><Relationship Id="rId31" Type="http://schemas.openxmlformats.org/officeDocument/2006/relationships/hyperlink" Target="http://www.multilateralfund.org/sites/51/Document%20Library2/1/5113.pdf" TargetMode="External"/><Relationship Id="rId44" Type="http://schemas.openxmlformats.org/officeDocument/2006/relationships/header" Target="header9.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www.multilateralfund.org/sites/44/Document%20Library2/1/4412.pdf" TargetMode="External"/><Relationship Id="rId30" Type="http://schemas.openxmlformats.org/officeDocument/2006/relationships/hyperlink" Target="http://www.multilateralfund.org/sites/48/Document%20Library2/1/4813.pdf" TargetMode="External"/><Relationship Id="rId35" Type="http://schemas.openxmlformats.org/officeDocument/2006/relationships/hyperlink" Target="http://www.multilateralfund.org/71/English/1/7114.pdf" TargetMode="External"/><Relationship Id="rId43" Type="http://schemas.openxmlformats.org/officeDocument/2006/relationships/header" Target="header8.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www.multilateralfund.org/sites/39th/Document%20Library2/1/3914.pdf" TargetMode="External"/><Relationship Id="rId33" Type="http://schemas.openxmlformats.org/officeDocument/2006/relationships/hyperlink" Target="http://www.multilateralfund.org/sites/55th/Document%20Library2/1/5508.pdf" TargetMode="External"/><Relationship Id="rId38" Type="http://schemas.openxmlformats.org/officeDocument/2006/relationships/hyperlink" Target="http://www.multilateralfund.org/80/Document%20Library1/1/8010.pdf" TargetMode="External"/><Relationship Id="rId46" Type="http://schemas.openxmlformats.org/officeDocument/2006/relationships/footer" Target="footer9.xml"/><Relationship Id="rId20" Type="http://schemas.openxmlformats.org/officeDocument/2006/relationships/footer" Target="footer5.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multilateralfund.org/sites/31/Document%20Library2/1/3118.PDF" TargetMode="External"/><Relationship Id="rId28" Type="http://schemas.openxmlformats.org/officeDocument/2006/relationships/hyperlink" Target="http://ozone.unep.org/Meeting_Documents/oewg/25oewg/25oewg-6.e.pdf" TargetMode="External"/><Relationship Id="rId36" Type="http://schemas.openxmlformats.org/officeDocument/2006/relationships/hyperlink" Target="http://www.multilateralfund.org/75/English/1/7509.pdf" TargetMode="External"/><Relationship Id="rId4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me.org/engineering-topics/articles/technology-and-society/global-cooling-the-history-of-air-condi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UNEP/OzL.Pro/ExCom/82/64</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8CA0F9B8-53E3-495A-B561-44D59FEDF261}"/>
</file>

<file path=customXml/itemProps2.xml><?xml version="1.0" encoding="utf-8"?>
<ds:datastoreItem xmlns:ds="http://schemas.openxmlformats.org/officeDocument/2006/customXml" ds:itemID="{5D9D1E63-CF8F-42D3-B505-4E4348DB9890}"/>
</file>

<file path=customXml/itemProps3.xml><?xml version="1.0" encoding="utf-8"?>
<ds:datastoreItem xmlns:ds="http://schemas.openxmlformats.org/officeDocument/2006/customXml" ds:itemID="{66512CA3-4FF5-4E38-8630-AF1E43691817}"/>
</file>

<file path=customXml/itemProps4.xml><?xml version="1.0" encoding="utf-8"?>
<ds:datastoreItem xmlns:ds="http://schemas.openxmlformats.org/officeDocument/2006/customXml" ds:itemID="{BCB434BB-9B6C-433B-975D-4FE7DD8BB3A2}"/>
</file>

<file path=docProps/app.xml><?xml version="1.0" encoding="utf-8"?>
<Properties xmlns="http://schemas.openxmlformats.org/officeDocument/2006/extended-properties" xmlns:vt="http://schemas.openxmlformats.org/officeDocument/2006/docPropsVTypes">
  <Template>normal</Template>
  <TotalTime>1</TotalTime>
  <Pages>72</Pages>
  <Words>42695</Words>
  <Characters>243365</Characters>
  <Application>Microsoft Office Word</Application>
  <DocSecurity>0</DocSecurity>
  <Lines>2028</Lines>
  <Paragraphs>570</Paragraphs>
  <ScaleCrop>false</ScaleCrop>
  <HeadingPairs>
    <vt:vector size="2" baseType="variant">
      <vt:variant>
        <vt:lpstr>Title</vt:lpstr>
      </vt:variant>
      <vt:variant>
        <vt:i4>1</vt:i4>
      </vt:variant>
    </vt:vector>
  </HeadingPairs>
  <TitlesOfParts>
    <vt:vector size="1" baseType="lpstr">
      <vt:lpstr>All aspects related to the refrigeration servicing sector that support the HFC phase-down</vt:lpstr>
    </vt:vector>
  </TitlesOfParts>
  <Company>UNMFS</Company>
  <LinksUpToDate>false</LinksUpToDate>
  <CharactersWithSpaces>285490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report on all aspects related to the refrigeration servicing sector that support the HFC phase-down</dc:title>
  <dc:creator>Bouthena Bendahmane</dc:creator>
  <cp:lastModifiedBy>Despina Psillou</cp:lastModifiedBy>
  <cp:revision>2</cp:revision>
  <cp:lastPrinted>2018-11-03T00:20:00Z</cp:lastPrinted>
  <dcterms:created xsi:type="dcterms:W3CDTF">2018-11-03T00:26:00Z</dcterms:created>
  <dcterms:modified xsi:type="dcterms:W3CDTF">2018-11-03T00:26:00Z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11/02/2018</vt:lpwstr>
  </property>
  <property fmtid="{D5CDD505-2E9C-101B-9397-08002B2CF9AE}" pid="4" name="ContentTypeId">
    <vt:lpwstr>0x010100E84C8415FE8D8F42AA10616BA921B3F7</vt:lpwstr>
  </property>
</Properties>
</file>