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9B0D30" w14:paraId="0DC358CF" w14:textId="77777777" w:rsidTr="00E552AA">
        <w:trPr>
          <w:trHeight w:val="720"/>
        </w:trPr>
        <w:tc>
          <w:tcPr>
            <w:tcW w:w="5961" w:type="dxa"/>
            <w:gridSpan w:val="2"/>
            <w:tcBorders>
              <w:bottom w:val="single" w:sz="18" w:space="0" w:color="auto"/>
            </w:tcBorders>
          </w:tcPr>
          <w:p w14:paraId="487A9F4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33D9D2C"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415C8F90" w14:textId="77777777" w:rsidTr="00E55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32BD0A" w14:textId="77777777" w:rsidR="00C15867" w:rsidRPr="009B0D30"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7A768DBB" wp14:editId="31283F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83635D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tcPr>
          <w:p w14:paraId="158F49B4" w14:textId="77777777" w:rsidR="00E552AA" w:rsidRDefault="00E552A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78AF92F" w14:textId="428C25B4"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9863DA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DF8886F" w14:textId="77777777" w:rsidR="00C15867" w:rsidRPr="009B0D30" w:rsidRDefault="00C15867" w:rsidP="00C0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5296F6D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BE50235" w14:textId="77777777" w:rsidR="00E552AA" w:rsidRDefault="00E552AA" w:rsidP="009C59F7"/>
          <w:p w14:paraId="0487B0BB" w14:textId="019713F3" w:rsidR="00C15867" w:rsidRPr="009B0D30" w:rsidRDefault="00C15867" w:rsidP="009C59F7">
            <w:proofErr w:type="spellStart"/>
            <w:r>
              <w:t>Distr</w:t>
            </w:r>
            <w:proofErr w:type="spellEnd"/>
            <w:r>
              <w:t>.</w:t>
            </w:r>
          </w:p>
          <w:p w14:paraId="6493B2A0" w14:textId="77777777" w:rsidR="00923540" w:rsidRPr="009B0D30" w:rsidRDefault="00923540" w:rsidP="00923540">
            <w:r>
              <w:t>GENERAL</w:t>
            </w:r>
          </w:p>
          <w:p w14:paraId="4002F5DE" w14:textId="77777777" w:rsidR="00C15867" w:rsidRPr="009B0D30" w:rsidRDefault="00C15867" w:rsidP="009C59F7"/>
          <w:p w14:paraId="4C9F1B97" w14:textId="4A24088D" w:rsidR="00C15867" w:rsidRPr="00E552AA" w:rsidRDefault="00C06079" w:rsidP="009C59F7">
            <w:pPr>
              <w:rPr>
                <w:lang w:val="en-CA"/>
              </w:rPr>
            </w:pPr>
            <w:r w:rsidRPr="009B0D30">
              <w:fldChar w:fldCharType="begin"/>
            </w:r>
            <w:r w:rsidRPr="00E552AA">
              <w:rPr>
                <w:lang w:val="en-CA"/>
              </w:rPr>
              <w:instrText xml:space="preserve"> DOCPROPERTY "Document number"  \* MERGEFORMAT </w:instrText>
            </w:r>
            <w:r w:rsidRPr="009B0D30">
              <w:fldChar w:fldCharType="separate"/>
            </w:r>
            <w:r w:rsidRPr="00E552AA">
              <w:rPr>
                <w:lang w:val="en-CA"/>
              </w:rPr>
              <w:t>UNEP/</w:t>
            </w:r>
            <w:proofErr w:type="spellStart"/>
            <w:r w:rsidRPr="00E552AA">
              <w:rPr>
                <w:lang w:val="en-CA"/>
              </w:rPr>
              <w:t>OzL.Pro</w:t>
            </w:r>
            <w:proofErr w:type="spellEnd"/>
            <w:r w:rsidRPr="00E552AA">
              <w:rPr>
                <w:lang w:val="en-CA"/>
              </w:rPr>
              <w:t>/</w:t>
            </w:r>
            <w:proofErr w:type="spellStart"/>
            <w:r w:rsidRPr="00E552AA">
              <w:rPr>
                <w:lang w:val="en-CA"/>
              </w:rPr>
              <w:t>ExCom</w:t>
            </w:r>
            <w:proofErr w:type="spellEnd"/>
            <w:r w:rsidRPr="00E552AA">
              <w:rPr>
                <w:lang w:val="en-CA"/>
              </w:rPr>
              <w:t>/88/2/Add.1</w:t>
            </w:r>
            <w:r w:rsidRPr="009B0D30">
              <w:fldChar w:fldCharType="end"/>
            </w:r>
          </w:p>
          <w:p w14:paraId="0EF256CF" w14:textId="3BC7A41C" w:rsidR="00C15867" w:rsidRPr="009B0D30" w:rsidRDefault="00272B3F" w:rsidP="009C59F7">
            <w:r>
              <w:t>11 de noviembre de 2021</w:t>
            </w:r>
          </w:p>
          <w:p w14:paraId="01F90CB5" w14:textId="77777777" w:rsidR="00C15867" w:rsidRPr="009B0D30" w:rsidRDefault="00C15867" w:rsidP="009C59F7">
            <w:pPr>
              <w:rPr>
                <w:caps/>
              </w:rPr>
            </w:pPr>
          </w:p>
          <w:p w14:paraId="52AD9D72" w14:textId="77777777" w:rsidR="00E552AA" w:rsidRPr="00FE7F03" w:rsidRDefault="00E552AA" w:rsidP="00E552AA">
            <w:r w:rsidRPr="00FE7F03">
              <w:t xml:space="preserve">ESPAÑOL </w:t>
            </w:r>
          </w:p>
          <w:p w14:paraId="4A69367F" w14:textId="697DEFC9" w:rsidR="00C15867" w:rsidRPr="009B0D30" w:rsidRDefault="00E552AA" w:rsidP="00E552AA">
            <w:r w:rsidRPr="00FE7F03">
              <w:t>ORIGINAL: INGLÉS</w:t>
            </w:r>
          </w:p>
        </w:tc>
      </w:tr>
    </w:tbl>
    <w:p w14:paraId="16FC6799" w14:textId="77777777" w:rsidR="00B86471" w:rsidRPr="00CC6E10" w:rsidRDefault="00C15867" w:rsidP="00B86471">
      <w:pPr>
        <w:jc w:val="left"/>
      </w:pPr>
      <w:r>
        <w:t>COMITÉ EJECUTIVO DEL FONDO MULTILATERAL</w:t>
      </w:r>
      <w:r>
        <w:br/>
        <w:t xml:space="preserve">  PARA LA APLICACIÓN DEL</w:t>
      </w:r>
      <w:r>
        <w:br/>
        <w:t xml:space="preserve">  PROTOCOLO DE MONTREAL</w:t>
      </w:r>
      <w:r>
        <w:br/>
        <w:t>Octogésima octava Reunión</w:t>
      </w:r>
    </w:p>
    <w:p w14:paraId="6C1F1BB7" w14:textId="77777777" w:rsidR="00066CE8" w:rsidRPr="009B0D30" w:rsidRDefault="00B86471" w:rsidP="00B86471">
      <w:pPr>
        <w:jc w:val="left"/>
      </w:pPr>
      <w:r>
        <w:t>Montreal, 15-19 de noviembre de 2021</w:t>
      </w:r>
      <w:r>
        <w:rPr>
          <w:rStyle w:val="FootnoteReference"/>
        </w:rPr>
        <w:footnoteReference w:id="1"/>
      </w:r>
    </w:p>
    <w:p w14:paraId="77C98ADF" w14:textId="77777777" w:rsidR="00066CE8" w:rsidRPr="009B0D30" w:rsidRDefault="00066CE8" w:rsidP="00857077">
      <w:pPr>
        <w:jc w:val="left"/>
      </w:pPr>
    </w:p>
    <w:p w14:paraId="09E18A26" w14:textId="5B92511D" w:rsidR="00066CE8" w:rsidRPr="00272B3F" w:rsidRDefault="00272B3F" w:rsidP="00272B3F">
      <w:pPr>
        <w:jc w:val="center"/>
        <w:rPr>
          <w:b/>
          <w:bCs/>
        </w:rPr>
      </w:pPr>
      <w:proofErr w:type="spellStart"/>
      <w:r>
        <w:rPr>
          <w:b/>
          <w:bCs/>
        </w:rPr>
        <w:t>Ad</w:t>
      </w:r>
      <w:r w:rsidR="00E552AA">
        <w:rPr>
          <w:b/>
          <w:bCs/>
        </w:rPr>
        <w:t>dendum</w:t>
      </w:r>
      <w:proofErr w:type="spellEnd"/>
    </w:p>
    <w:p w14:paraId="2C7D797F" w14:textId="4485D151" w:rsidR="004E7F9C" w:rsidRPr="007B03BF" w:rsidRDefault="004E7F9C" w:rsidP="004E7F9C">
      <w:pPr>
        <w:pStyle w:val="Title1"/>
      </w:pPr>
    </w:p>
    <w:p w14:paraId="64AABE9F" w14:textId="66DCED3B" w:rsidR="004E7F9C" w:rsidRPr="009B0D30" w:rsidRDefault="00272B3F" w:rsidP="004E7F9C">
      <w:pPr>
        <w:pStyle w:val="Title1"/>
      </w:pPr>
      <w:r>
        <w:t>ACTIVIDADES DE LA SECRETARÍA</w:t>
      </w:r>
    </w:p>
    <w:p w14:paraId="055FD087" w14:textId="77777777" w:rsidR="008C5738" w:rsidRPr="009B0D30" w:rsidRDefault="008C5738" w:rsidP="00DE2982">
      <w:pPr>
        <w:pStyle w:val="StyleHeader4Para4Left0Firstline0"/>
        <w:numPr>
          <w:ilvl w:val="0"/>
          <w:numId w:val="0"/>
        </w:numPr>
        <w:spacing w:after="0"/>
        <w:jc w:val="left"/>
        <w:rPr>
          <w:sz w:val="22"/>
        </w:rPr>
      </w:pPr>
    </w:p>
    <w:p w14:paraId="7A77E0FD" w14:textId="258FDB5F" w:rsidR="00CD027C" w:rsidRDefault="00272B3F" w:rsidP="00CB6B78">
      <w:pPr>
        <w:pStyle w:val="Heading1"/>
        <w:keepNext/>
        <w:numPr>
          <w:ilvl w:val="0"/>
          <w:numId w:val="0"/>
        </w:numPr>
        <w:jc w:val="center"/>
        <w:rPr>
          <w:b/>
          <w:u w:val="single"/>
        </w:rPr>
      </w:pPr>
      <w:r>
        <w:rPr>
          <w:b/>
          <w:u w:val="single"/>
        </w:rPr>
        <w:t>Auditoría del Fondo Multilateral por la Oficina de Servicios de Supervisión Interna (OSSI)</w:t>
      </w:r>
    </w:p>
    <w:p w14:paraId="1ADF819D" w14:textId="77777777" w:rsidR="00E552AA" w:rsidRPr="00E552AA" w:rsidRDefault="00E552AA" w:rsidP="00E552AA"/>
    <w:p w14:paraId="63FF33DB" w14:textId="77777777" w:rsidR="00CD027C" w:rsidRPr="006452CE" w:rsidRDefault="00CD027C" w:rsidP="00AE3CD5">
      <w:pPr>
        <w:tabs>
          <w:tab w:val="left" w:pos="720"/>
          <w:tab w:val="left" w:pos="1440"/>
          <w:tab w:val="left" w:pos="2160"/>
        </w:tabs>
        <w:spacing w:after="240"/>
        <w:outlineLvl w:val="1"/>
        <w:rPr>
          <w:b/>
          <w:bCs/>
        </w:rPr>
      </w:pPr>
      <w:r>
        <w:rPr>
          <w:b/>
          <w:bCs/>
        </w:rPr>
        <w:t>Antecedentes</w:t>
      </w:r>
    </w:p>
    <w:p w14:paraId="507552C4" w14:textId="30549759" w:rsidR="00CD027C" w:rsidRPr="003A678F" w:rsidRDefault="00CD027C" w:rsidP="00CB6B78">
      <w:pPr>
        <w:pStyle w:val="Heading1"/>
      </w:pPr>
      <w:r>
        <w:t>Como parte de los procedimientos estándar de salida establecidos por los dos antiguos directores del Fondo Multilateral, el director solicitó al PNUMA que realizara, antes de marcharse por jubilación, una auditoría de la Secretaría del Fondo, en su función de facilitar el trabajo del Comité Ejecutivo. A raíz de esta solicitud, la Oficina de Servicios de Supervisión Interna (OSSI) realizó una auditoría de la Secretaría del Fondo Multilateral para la Aplicación del Protocolo de Montreal ("la Secretaría del Fondo"), que abarcó el período comprendido entre enero de 2018 y diciembre de 2020. El objetivo de la auditoría, según la OSSI, era evaluar la adecuación y eficacia de los procesos de gobernanza, gestión de riesgos y control para la prestación de servicios por parte de la Secretaría del Fondo. Abarcó áreas de riesgo relacionadas con la planificación estratégica, la gestión del rendimiento y la gestión financiera.</w:t>
      </w:r>
    </w:p>
    <w:p w14:paraId="3FF50CDC" w14:textId="77777777" w:rsidR="00CD027C" w:rsidRDefault="00CD027C" w:rsidP="003731BC">
      <w:pPr>
        <w:pStyle w:val="Heading1"/>
      </w:pPr>
      <w:r>
        <w:t>La auditor</w:t>
      </w:r>
      <w:bookmarkStart w:id="0" w:name="_GoBack"/>
      <w:r>
        <w:t>í</w:t>
      </w:r>
      <w:bookmarkEnd w:id="0"/>
      <w:r>
        <w:t>a se realizó de enero a mayo de 2021. La metodología utilizada incluyó entrevistas con el personal clave; examen de la documentación pertinente; examen analítico de los datos de Umoja</w:t>
      </w:r>
      <w:r>
        <w:rPr>
          <w:rStyle w:val="FootnoteReference"/>
        </w:rPr>
        <w:footnoteReference w:id="2"/>
      </w:r>
      <w:r>
        <w:t>; y pruebas de muestreo de las transacciones. Debido a las limitaciones impuestas por la pandemia de COVID-19, el equipo de auditoría no pudo viajar a Montreal (Canadá), sede de la Secretaría del Fondo. Por lo tanto, el equipo se basó en la información y la documentación proporcionada por la Secretaría del Fondo, además de los datos de Umoja, y una serie de reuniones en línea. La auditoría se realizó de acuerdo con las Normas Internacionales para la Práctica Profesional de la Auditoría Interna.</w:t>
      </w:r>
    </w:p>
    <w:p w14:paraId="7691F4DB" w14:textId="77777777" w:rsidR="00E552AA" w:rsidRDefault="00E552AA">
      <w:pPr>
        <w:jc w:val="left"/>
        <w:rPr>
          <w:b/>
        </w:rPr>
      </w:pPr>
      <w:r>
        <w:rPr>
          <w:b/>
        </w:rPr>
        <w:br w:type="page"/>
      </w:r>
    </w:p>
    <w:p w14:paraId="36FB1DBA" w14:textId="11153B55" w:rsidR="00CD027C" w:rsidRPr="00A868E7" w:rsidRDefault="00CD027C" w:rsidP="00DE2982">
      <w:pPr>
        <w:widowControl w:val="0"/>
        <w:rPr>
          <w:b/>
        </w:rPr>
      </w:pPr>
      <w:r>
        <w:rPr>
          <w:b/>
        </w:rPr>
        <w:lastRenderedPageBreak/>
        <w:t>Resultados de la auditoría</w:t>
      </w:r>
    </w:p>
    <w:p w14:paraId="5AB03F30" w14:textId="77777777" w:rsidR="00CD027C" w:rsidRDefault="00CD027C" w:rsidP="00DE2982">
      <w:pPr>
        <w:widowControl w:val="0"/>
      </w:pPr>
    </w:p>
    <w:p w14:paraId="3674ED61" w14:textId="77777777" w:rsidR="00CD027C" w:rsidRPr="00775245" w:rsidRDefault="00CD027C" w:rsidP="00DE2982">
      <w:pPr>
        <w:pStyle w:val="Heading1"/>
        <w:widowControl w:val="0"/>
      </w:pPr>
      <w:r>
        <w:t>Al concluir la auditoría, la OSSI formuló las siguientes seis recomendaciones, clasificadas como "importantes"</w:t>
      </w:r>
      <w:r>
        <w:rPr>
          <w:rStyle w:val="FootnoteReference"/>
        </w:rPr>
        <w:footnoteReference w:id="3"/>
      </w:r>
      <w:r>
        <w:t>, que deberían ser atendidas por la Secretaría del Fondo (cinco recomendaciones) y por el PNUMA en su calidad de Tesorero del Fondo Multilateral (una recomendación):</w:t>
      </w:r>
    </w:p>
    <w:p w14:paraId="3EC36D04" w14:textId="77777777" w:rsidR="00CD027C" w:rsidRPr="00775245" w:rsidRDefault="00CD027C" w:rsidP="00CD027C">
      <w:pPr>
        <w:pStyle w:val="Heading2"/>
        <w:numPr>
          <w:ilvl w:val="1"/>
          <w:numId w:val="1"/>
        </w:numPr>
      </w:pPr>
      <w:r>
        <w:t>Señalar al Comité Ejecutivo la necesidad de seguir mejorando los indicadores de rendimiento que miden el logro de los resultados de sus actividades de integración de la perspectiva de género;</w:t>
      </w:r>
    </w:p>
    <w:p w14:paraId="6A3A16EE" w14:textId="77777777" w:rsidR="00CD027C" w:rsidRPr="00775245" w:rsidRDefault="00CD027C" w:rsidP="00CD027C">
      <w:pPr>
        <w:pStyle w:val="Heading2"/>
        <w:numPr>
          <w:ilvl w:val="1"/>
          <w:numId w:val="1"/>
        </w:numPr>
      </w:pPr>
      <w:r>
        <w:t>Señalar al Comité Ejecutivo la necesidad de desarrollar un marco de gestión del riesgo institucional para identificar, evaluar y gestionar más eficazmente los riesgos;</w:t>
      </w:r>
    </w:p>
    <w:p w14:paraId="518E988E" w14:textId="77777777" w:rsidR="00CD027C" w:rsidRPr="00775245" w:rsidRDefault="00CD027C" w:rsidP="00CD027C">
      <w:pPr>
        <w:pStyle w:val="Heading2"/>
        <w:numPr>
          <w:ilvl w:val="1"/>
          <w:numId w:val="1"/>
        </w:numPr>
      </w:pPr>
      <w:r>
        <w:t>Señalar a la atención del Comité Ejecutivo la necesidad de un análisis más eficaz de las causas fundamentales de los retrasos en la ejecución de los proyectos y adoptar medidas correctivas para abordar los problemas sistémicos;</w:t>
      </w:r>
    </w:p>
    <w:p w14:paraId="667F4F3C" w14:textId="77777777" w:rsidR="00CD027C" w:rsidRPr="00775245" w:rsidRDefault="00CD027C" w:rsidP="00CD027C">
      <w:pPr>
        <w:pStyle w:val="Heading2"/>
        <w:numPr>
          <w:ilvl w:val="1"/>
          <w:numId w:val="1"/>
        </w:numPr>
      </w:pPr>
      <w:r>
        <w:t>Recordar a los organismos de ejecución que deben garantizar el cumplimiento de las decisiones del Comité Ejecutivo sobre la finalización de los proyectos y la presentación de informes;</w:t>
      </w:r>
    </w:p>
    <w:p w14:paraId="3D0F8DDC" w14:textId="77777777" w:rsidR="00CD027C" w:rsidRPr="00775245" w:rsidRDefault="00CD027C" w:rsidP="00CD027C">
      <w:pPr>
        <w:pStyle w:val="Heading2"/>
        <w:numPr>
          <w:ilvl w:val="1"/>
          <w:numId w:val="1"/>
        </w:numPr>
      </w:pPr>
      <w:r>
        <w:t>Aplicar su plan de acción para abordar las demoras en el cierre financiero de los proyectos más allá del límite de doce meses estipulado por el Comité Ejecutivo; y</w:t>
      </w:r>
    </w:p>
    <w:p w14:paraId="18C1FB54" w14:textId="77777777" w:rsidR="00CD027C" w:rsidRPr="00775245" w:rsidRDefault="00CD027C" w:rsidP="00CD027C">
      <w:pPr>
        <w:pStyle w:val="Heading2"/>
        <w:numPr>
          <w:ilvl w:val="1"/>
          <w:numId w:val="1"/>
        </w:numPr>
      </w:pPr>
      <w:r>
        <w:t>Elaborar un plan de acción para abordar los avances pendientes desde hace tiempo en relación con el Fondo Multilateral para la Aplicación del Protocolo de Montreal y resolverlos.</w:t>
      </w:r>
    </w:p>
    <w:p w14:paraId="64D38727" w14:textId="77777777" w:rsidR="00CD027C" w:rsidRDefault="00CD027C" w:rsidP="003731BC">
      <w:pPr>
        <w:pStyle w:val="Heading1"/>
      </w:pPr>
      <w:r>
        <w:t xml:space="preserve">Tras estudiar detenidamente las recomendaciones y mantener conversaciones con el equipo de auditores, el director, en nombre de la Secretaría del Fondo, aceptó las recomendaciones de los auditores, formuló comentarios e indicó que antes del 31 de diciembre de 2021 se abordarían las seis recomendaciones. </w:t>
      </w:r>
    </w:p>
    <w:p w14:paraId="21F4C181" w14:textId="77777777" w:rsidR="00CD027C" w:rsidRPr="0087474A" w:rsidRDefault="00CD027C" w:rsidP="003731BC">
      <w:pPr>
        <w:pStyle w:val="Heading1"/>
      </w:pPr>
      <w:r>
        <w:t>El informe de la auditoría de la Secretaría del Programa de las Naciones Unidas para el Medio Ambiente para el Fondo Multilateral para la Aplicación del Protocolo de Montreal se adjunta al presente documento.</w:t>
      </w:r>
    </w:p>
    <w:p w14:paraId="45B03FA4" w14:textId="77777777" w:rsidR="00CD027C" w:rsidRPr="00060E9B" w:rsidRDefault="00CD027C" w:rsidP="00A868E7">
      <w:pPr>
        <w:rPr>
          <w:b/>
        </w:rPr>
      </w:pPr>
      <w:r>
        <w:rPr>
          <w:b/>
        </w:rPr>
        <w:t xml:space="preserve">Medidas adoptadas para atender las recomendaciones de la auditoría </w:t>
      </w:r>
    </w:p>
    <w:p w14:paraId="15863EE3" w14:textId="77777777" w:rsidR="00CD027C" w:rsidRDefault="00CD027C" w:rsidP="00A868E7"/>
    <w:p w14:paraId="5A2748CE" w14:textId="7932E3A8" w:rsidR="00CD027C" w:rsidRDefault="00CD027C" w:rsidP="00060E9B">
      <w:pPr>
        <w:pStyle w:val="Heading1"/>
      </w:pPr>
      <w:r>
        <w:t>En la tabla 1 se presentan, para cada una de las seis recomendaciones, los comentarios formulados a la OSSI por la Secretaría del Fondo (en el caso de las recomendaciones 1 a 5) y por el Tesorero (en el caso de la recomendación 6), las medidas que se han adoptado desde la finalización de la auditoría y las fechas correspondientes. De acuerdo con los procedimientos establecidos, la Secretaría del Fondo informará al PNUMA de la aplicación de las recomendaciones para que solicite formalmente su cierre a la OSSI.</w:t>
      </w:r>
    </w:p>
    <w:p w14:paraId="0E3CF117" w14:textId="77777777" w:rsidR="00E552AA" w:rsidRDefault="00E552AA">
      <w:pPr>
        <w:jc w:val="left"/>
        <w:rPr>
          <w:b/>
        </w:rPr>
      </w:pPr>
      <w:r>
        <w:rPr>
          <w:b/>
        </w:rPr>
        <w:br w:type="page"/>
      </w:r>
    </w:p>
    <w:p w14:paraId="3020E579" w14:textId="5FB718BD" w:rsidR="00CD027C" w:rsidRPr="00CB7150" w:rsidRDefault="00CD027C" w:rsidP="00CB7150">
      <w:pPr>
        <w:pStyle w:val="Heading1"/>
        <w:numPr>
          <w:ilvl w:val="0"/>
          <w:numId w:val="0"/>
        </w:numPr>
        <w:spacing w:after="0"/>
        <w:rPr>
          <w:b/>
        </w:rPr>
      </w:pPr>
      <w:r>
        <w:rPr>
          <w:b/>
        </w:rPr>
        <w:lastRenderedPageBreak/>
        <w:t>Tabla 1. Comentarios y medidas adoptadas sobre las recomendaciones del informe de la OSSI</w:t>
      </w:r>
    </w:p>
    <w:tbl>
      <w:tblPr>
        <w:tblStyle w:val="TableGrid"/>
        <w:tblW w:w="9360" w:type="dxa"/>
        <w:tblCellMar>
          <w:top w:w="43" w:type="dxa"/>
          <w:left w:w="115" w:type="dxa"/>
          <w:bottom w:w="43" w:type="dxa"/>
          <w:right w:w="115" w:type="dxa"/>
        </w:tblCellMar>
        <w:tblLook w:val="01E0" w:firstRow="1" w:lastRow="1" w:firstColumn="1" w:lastColumn="1" w:noHBand="0" w:noVBand="0"/>
      </w:tblPr>
      <w:tblGrid>
        <w:gridCol w:w="3389"/>
        <w:gridCol w:w="5971"/>
      </w:tblGrid>
      <w:tr w:rsidR="00CD027C" w:rsidRPr="0027004E" w14:paraId="1403D409" w14:textId="77777777" w:rsidTr="00DE2982">
        <w:trPr>
          <w:tblHeader/>
        </w:trPr>
        <w:tc>
          <w:tcPr>
            <w:tcW w:w="3415" w:type="dxa"/>
          </w:tcPr>
          <w:p w14:paraId="7910163D" w14:textId="77777777" w:rsidR="00CD027C" w:rsidRPr="0027004E" w:rsidRDefault="00CD027C" w:rsidP="000F7664">
            <w:pPr>
              <w:spacing w:after="60"/>
              <w:jc w:val="left"/>
              <w:rPr>
                <w:b/>
                <w:sz w:val="20"/>
                <w:szCs w:val="20"/>
              </w:rPr>
            </w:pPr>
            <w:r>
              <w:rPr>
                <w:b/>
                <w:sz w:val="20"/>
                <w:szCs w:val="20"/>
              </w:rPr>
              <w:t>Recomendación</w:t>
            </w:r>
          </w:p>
        </w:tc>
        <w:tc>
          <w:tcPr>
            <w:tcW w:w="6030" w:type="dxa"/>
            <w:vAlign w:val="center"/>
          </w:tcPr>
          <w:p w14:paraId="793226B5" w14:textId="77777777" w:rsidR="00CD027C" w:rsidRPr="0027004E" w:rsidRDefault="00CD027C" w:rsidP="000F7664">
            <w:pPr>
              <w:spacing w:after="60"/>
              <w:jc w:val="center"/>
              <w:rPr>
                <w:b/>
                <w:sz w:val="20"/>
                <w:szCs w:val="20"/>
              </w:rPr>
            </w:pPr>
            <w:r>
              <w:rPr>
                <w:b/>
                <w:sz w:val="20"/>
                <w:szCs w:val="20"/>
              </w:rPr>
              <w:t>Comentarios y medidas adoptadas</w:t>
            </w:r>
          </w:p>
        </w:tc>
      </w:tr>
      <w:tr w:rsidR="00CD027C" w:rsidRPr="0027004E" w14:paraId="65AF968F" w14:textId="77777777" w:rsidTr="00DE2982">
        <w:tc>
          <w:tcPr>
            <w:tcW w:w="3415" w:type="dxa"/>
          </w:tcPr>
          <w:p w14:paraId="71EA0E7F" w14:textId="77777777" w:rsidR="00CD027C" w:rsidRPr="0027004E" w:rsidRDefault="00CD027C" w:rsidP="000F7664">
            <w:pPr>
              <w:tabs>
                <w:tab w:val="left" w:pos="720"/>
              </w:tabs>
              <w:spacing w:after="60"/>
              <w:jc w:val="left"/>
              <w:rPr>
                <w:iCs/>
                <w:sz w:val="20"/>
                <w:szCs w:val="20"/>
              </w:rPr>
            </w:pPr>
            <w:r>
              <w:rPr>
                <w:bCs/>
                <w:i/>
                <w:sz w:val="20"/>
                <w:szCs w:val="20"/>
              </w:rPr>
              <w:t>1:</w:t>
            </w:r>
            <w:r>
              <w:rPr>
                <w:bCs/>
                <w:sz w:val="20"/>
                <w:szCs w:val="20"/>
              </w:rPr>
              <w:t xml:space="preserve"> </w:t>
            </w:r>
            <w:r>
              <w:rPr>
                <w:i/>
                <w:sz w:val="20"/>
                <w:szCs w:val="20"/>
              </w:rPr>
              <w:t>La Secretaría del Fondo debería señalar al Comité Ejecutivo la necesidad de seguir mejorando los indicadores de rendimiento que miden el logro de los resultados de sus actividades de integración de la perspectiva de género.</w:t>
            </w:r>
          </w:p>
        </w:tc>
        <w:tc>
          <w:tcPr>
            <w:tcW w:w="6030" w:type="dxa"/>
          </w:tcPr>
          <w:p w14:paraId="3B3B04F0" w14:textId="77777777" w:rsidR="00CD027C" w:rsidRPr="0027004E" w:rsidRDefault="00CD027C" w:rsidP="00032666">
            <w:pPr>
              <w:spacing w:after="60"/>
              <w:rPr>
                <w:sz w:val="20"/>
                <w:szCs w:val="20"/>
              </w:rPr>
            </w:pPr>
            <w:r>
              <w:rPr>
                <w:sz w:val="20"/>
                <w:szCs w:val="20"/>
              </w:rPr>
              <w:t>Durante el periodo de la auditoría, la Secretaría del Fondo informó a los auditores de que la política de integración de la perspectiva de género en los proyectos apoyados por el Fondo Multilateral fue aprobada por el Comité Ejecutivo en su 84ª reunión. Inmediatamente después de la adopción de la política, todos los proyectos presentados a partir de la 85ª reunión han incluido una referencia a la aplicación de la política de género, incluyendo, en varios casos, indicadores y resultados de las actividades propuestas, así como logros de acuerdo con la política de género. Tras estudiar esta información, los auditores consideraron pertinente mantener la Recomendación 1 en su informe.</w:t>
            </w:r>
          </w:p>
          <w:p w14:paraId="62394D1E" w14:textId="66B0386D" w:rsidR="00CD027C" w:rsidRPr="0027004E" w:rsidRDefault="00CD027C" w:rsidP="00032666">
            <w:pPr>
              <w:spacing w:after="60"/>
              <w:rPr>
                <w:rFonts w:eastAsiaTheme="minorHAnsi"/>
                <w:bCs/>
                <w:sz w:val="20"/>
                <w:szCs w:val="20"/>
              </w:rPr>
            </w:pPr>
            <w:r>
              <w:rPr>
                <w:sz w:val="20"/>
                <w:szCs w:val="20"/>
              </w:rPr>
              <w:t>En respuesta a la Recomendación 1, el 12 de noviembre de 2021 la Secretaría del Fondo envió una comunicación oficial a los organismos bilaterales y de ejecución, informándoles de la necesidad de seguir mejorando los indicadores de rendimiento que miden la consecución de los resultados de las actividades de integración de la perspectiva de género y de informar según los indicadores en las futuras propuestas de proyectos.</w:t>
            </w:r>
          </w:p>
          <w:p w14:paraId="4B50613F" w14:textId="77777777" w:rsidR="00CD027C" w:rsidRPr="0027004E" w:rsidRDefault="00CD027C" w:rsidP="00032666">
            <w:pPr>
              <w:spacing w:after="60"/>
              <w:rPr>
                <w:sz w:val="20"/>
                <w:szCs w:val="20"/>
              </w:rPr>
            </w:pPr>
            <w:r>
              <w:rPr>
                <w:bCs/>
                <w:sz w:val="20"/>
                <w:szCs w:val="20"/>
              </w:rPr>
              <w:t xml:space="preserve">El Comité Ejecutivo podría también tomar nota de que, de acuerdo con la decisión 84/92(e), la Secretaría examinará la aplicación de la política operativa de integración de la perspectiva de género y preparará un informe para su consideración en la 89ª reunión. El informe se referirá a los indicadores de rendimiento utilizados por los organismos que miden la consecución de los resultados de las actividades de integración de la perspectiva de género en las propuestas de proyectos. </w:t>
            </w:r>
          </w:p>
        </w:tc>
      </w:tr>
      <w:tr w:rsidR="00CD027C" w:rsidRPr="0027004E" w14:paraId="6212B36A" w14:textId="77777777" w:rsidTr="00DE2982">
        <w:tc>
          <w:tcPr>
            <w:tcW w:w="3415" w:type="dxa"/>
          </w:tcPr>
          <w:p w14:paraId="1C2FE2A3" w14:textId="77777777" w:rsidR="00CD027C" w:rsidRPr="0027004E" w:rsidRDefault="00CD027C" w:rsidP="000F7664">
            <w:pPr>
              <w:tabs>
                <w:tab w:val="left" w:pos="720"/>
              </w:tabs>
              <w:spacing w:after="60"/>
              <w:jc w:val="left"/>
              <w:rPr>
                <w:i/>
                <w:iCs/>
                <w:sz w:val="20"/>
                <w:szCs w:val="20"/>
              </w:rPr>
            </w:pPr>
            <w:r>
              <w:rPr>
                <w:i/>
                <w:iCs/>
                <w:sz w:val="20"/>
                <w:szCs w:val="20"/>
              </w:rPr>
              <w:t>2. La Secretaría del Fondo debería señalar al Comité Ejecutivo la necesidad de desarrollar un marco de gestión del riesgo institucional para identificar, evaluar y gestionar más eficazmente los riesgos.</w:t>
            </w:r>
          </w:p>
        </w:tc>
        <w:tc>
          <w:tcPr>
            <w:tcW w:w="6030" w:type="dxa"/>
          </w:tcPr>
          <w:p w14:paraId="74165643" w14:textId="77777777" w:rsidR="00CD027C" w:rsidRDefault="00CD027C" w:rsidP="00032666">
            <w:pPr>
              <w:spacing w:after="60"/>
              <w:rPr>
                <w:sz w:val="20"/>
                <w:szCs w:val="20"/>
              </w:rPr>
            </w:pPr>
            <w:r>
              <w:rPr>
                <w:sz w:val="20"/>
                <w:szCs w:val="20"/>
              </w:rPr>
              <w:t>Durante el período de la auditoría, la Secretaría del Fondo informó a los auditores de que había preguntado a los organismos de ejecución si disponían de un marco de gestión del riesgo institucional (GRI) operativo; los organismos confirmaron que tenían y aplicaban sus propios marcos de GRI.</w:t>
            </w:r>
          </w:p>
          <w:p w14:paraId="17F83A62" w14:textId="77777777" w:rsidR="00CD027C" w:rsidRPr="00027A28" w:rsidRDefault="00CD027C" w:rsidP="00032666">
            <w:pPr>
              <w:spacing w:after="60"/>
              <w:rPr>
                <w:sz w:val="20"/>
                <w:szCs w:val="20"/>
              </w:rPr>
            </w:pPr>
            <w:r>
              <w:rPr>
                <w:sz w:val="20"/>
                <w:szCs w:val="20"/>
              </w:rPr>
              <w:t>El Comité Ejecutivo puede considerar oportuno tomar nota de que el PNUMA está aplicando actualmente su plan para elaborar un marco de GRI</w:t>
            </w:r>
            <w:r w:rsidRPr="0027004E">
              <w:rPr>
                <w:rStyle w:val="FootnoteReference"/>
                <w:sz w:val="20"/>
                <w:szCs w:val="20"/>
              </w:rPr>
              <w:footnoteReference w:id="4"/>
            </w:r>
            <w:r>
              <w:rPr>
                <w:sz w:val="20"/>
                <w:szCs w:val="20"/>
              </w:rPr>
              <w:t xml:space="preserve"> en consonancia con la política y el marco de gestión del riesgo institucional y de control interno de la Secretaría de las Naciones Unidas adoptados por el Secretario General en mayo de 2011, según los cuales la GRI está vinculada con el marco de rendición de cuentas, el marco de control interno, la delegación de autoridad y la gestión basada en los resultados.</w:t>
            </w:r>
          </w:p>
          <w:p w14:paraId="28E486C3" w14:textId="77777777" w:rsidR="00CD027C" w:rsidRPr="0027004E" w:rsidRDefault="00CD027C" w:rsidP="00032666">
            <w:pPr>
              <w:spacing w:after="60"/>
              <w:rPr>
                <w:sz w:val="20"/>
                <w:szCs w:val="20"/>
              </w:rPr>
            </w:pPr>
            <w:r>
              <w:rPr>
                <w:sz w:val="20"/>
                <w:szCs w:val="20"/>
              </w:rPr>
              <w:t>Al abordar la Recomendación 2, la Secretaría del Fondo seguirá las políticas y disposiciones pertinentes del PNUMA en esta materia, incluida la designación de dos miembros del personal como puntos focales en materia de GRI.</w:t>
            </w:r>
          </w:p>
        </w:tc>
      </w:tr>
      <w:tr w:rsidR="00CD027C" w:rsidRPr="0027004E" w14:paraId="178E25EC" w14:textId="77777777" w:rsidTr="00DE2982">
        <w:tc>
          <w:tcPr>
            <w:tcW w:w="3415" w:type="dxa"/>
          </w:tcPr>
          <w:p w14:paraId="0279DBC7" w14:textId="77777777" w:rsidR="00CD027C" w:rsidRPr="00384B95" w:rsidRDefault="00CD027C" w:rsidP="00CF0CCE">
            <w:pPr>
              <w:tabs>
                <w:tab w:val="left" w:pos="720"/>
              </w:tabs>
              <w:spacing w:after="60"/>
              <w:jc w:val="left"/>
              <w:rPr>
                <w:i/>
                <w:iCs/>
                <w:sz w:val="20"/>
                <w:szCs w:val="20"/>
              </w:rPr>
            </w:pPr>
            <w:r>
              <w:rPr>
                <w:i/>
                <w:iCs/>
                <w:sz w:val="20"/>
                <w:szCs w:val="20"/>
              </w:rPr>
              <w:t xml:space="preserve">3. La Secretaría del Fondo debería señalar a la atención del Comité Ejecutivo la necesidad de un análisis más eficaz de las causas fundamentales de los retrasos en la </w:t>
            </w:r>
            <w:r>
              <w:rPr>
                <w:i/>
                <w:iCs/>
                <w:sz w:val="20"/>
                <w:szCs w:val="20"/>
              </w:rPr>
              <w:lastRenderedPageBreak/>
              <w:t>ejecución de los proyectos y adoptar medidas correctivas para abordar los problemas sistémicos.</w:t>
            </w:r>
          </w:p>
        </w:tc>
        <w:tc>
          <w:tcPr>
            <w:tcW w:w="6030" w:type="dxa"/>
          </w:tcPr>
          <w:p w14:paraId="17F114D9" w14:textId="77777777" w:rsidR="00CD027C" w:rsidRPr="0027004E" w:rsidRDefault="00CD027C" w:rsidP="00032666">
            <w:pPr>
              <w:spacing w:after="60"/>
              <w:rPr>
                <w:sz w:val="20"/>
                <w:szCs w:val="20"/>
              </w:rPr>
            </w:pPr>
            <w:r>
              <w:rPr>
                <w:sz w:val="20"/>
                <w:szCs w:val="20"/>
              </w:rPr>
              <w:lastRenderedPageBreak/>
              <w:t>Durante el periodo de la auditoría, la Secretaría del Fondo informó a los auditores de que las causas de los retrasos en la ejecución de los proyectos se señalaron continuamente a la atención del Comité Ejecutivo en, entre otros, los siguientes documentos de reunión:</w:t>
            </w:r>
          </w:p>
          <w:p w14:paraId="16B97B1D" w14:textId="77777777" w:rsidR="00CD027C" w:rsidRPr="0027004E" w:rsidRDefault="00CD027C" w:rsidP="00032666">
            <w:pPr>
              <w:pStyle w:val="ListParagraph"/>
              <w:numPr>
                <w:ilvl w:val="0"/>
                <w:numId w:val="21"/>
              </w:numPr>
              <w:tabs>
                <w:tab w:val="clear" w:pos="850"/>
                <w:tab w:val="clear" w:pos="1191"/>
                <w:tab w:val="clear" w:pos="1531"/>
              </w:tabs>
              <w:spacing w:after="60"/>
              <w:ind w:left="288" w:hanging="288"/>
              <w:contextualSpacing w:val="0"/>
              <w:rPr>
                <w:rFonts w:ascii="Times New Roman" w:hAnsi="Times New Roman" w:cs="Times New Roman"/>
                <w:sz w:val="20"/>
                <w:szCs w:val="20"/>
              </w:rPr>
            </w:pPr>
            <w:r>
              <w:rPr>
                <w:rFonts w:ascii="Times New Roman" w:hAnsi="Times New Roman"/>
                <w:sz w:val="20"/>
                <w:szCs w:val="20"/>
              </w:rPr>
              <w:lastRenderedPageBreak/>
              <w:t xml:space="preserve">Informe sobre los proyectos con requisitos específicos de presentación de informes, en el que se exponen los motivos de los retrasos y se proponen medidas correctivas por parte de los gobiernos de los países afectados y/o los organismos bilaterales y de ejecución; </w:t>
            </w:r>
          </w:p>
          <w:p w14:paraId="64B4CD71" w14:textId="77777777" w:rsidR="00CD027C" w:rsidRPr="0027004E" w:rsidRDefault="00CD027C" w:rsidP="00032666">
            <w:pPr>
              <w:pStyle w:val="ListParagraph"/>
              <w:numPr>
                <w:ilvl w:val="0"/>
                <w:numId w:val="21"/>
              </w:numPr>
              <w:tabs>
                <w:tab w:val="clear" w:pos="850"/>
                <w:tab w:val="clear" w:pos="1191"/>
                <w:tab w:val="clear" w:pos="1531"/>
              </w:tabs>
              <w:spacing w:after="60"/>
              <w:ind w:left="288" w:hanging="288"/>
              <w:contextualSpacing w:val="0"/>
              <w:rPr>
                <w:rFonts w:ascii="Times New Roman" w:hAnsi="Times New Roman" w:cs="Times New Roman"/>
                <w:sz w:val="20"/>
                <w:szCs w:val="20"/>
              </w:rPr>
            </w:pPr>
            <w:r>
              <w:rPr>
                <w:rFonts w:ascii="Times New Roman" w:hAnsi="Times New Roman"/>
                <w:sz w:val="20"/>
                <w:szCs w:val="20"/>
              </w:rPr>
              <w:t>Retrasos en la ejecución de los tramos, que presenta un análisis de cada uno de los tramos de los proyectos de acuerdos plurianuales que deben presentarse pero no se han presentado a la reunión correspondiente, las razones de los retrasos, el impacto en el cumplimiento de las obligaciones de los países en virtud del Protocolo de Montreal y las medidas correctivas;</w:t>
            </w:r>
          </w:p>
          <w:p w14:paraId="073A53F4" w14:textId="77777777" w:rsidR="00CD027C" w:rsidRDefault="00CD027C" w:rsidP="00032666">
            <w:pPr>
              <w:pStyle w:val="ListParagraph"/>
              <w:numPr>
                <w:ilvl w:val="0"/>
                <w:numId w:val="21"/>
              </w:numPr>
              <w:tabs>
                <w:tab w:val="clear" w:pos="850"/>
                <w:tab w:val="clear" w:pos="1191"/>
                <w:tab w:val="clear" w:pos="1531"/>
              </w:tabs>
              <w:spacing w:after="60"/>
              <w:ind w:left="288" w:hanging="288"/>
              <w:contextualSpacing w:val="0"/>
              <w:rPr>
                <w:rFonts w:ascii="Times New Roman" w:hAnsi="Times New Roman" w:cs="Times New Roman"/>
                <w:sz w:val="20"/>
                <w:szCs w:val="20"/>
              </w:rPr>
            </w:pPr>
            <w:r>
              <w:rPr>
                <w:rFonts w:ascii="Times New Roman" w:hAnsi="Times New Roman"/>
                <w:sz w:val="20"/>
                <w:szCs w:val="20"/>
              </w:rPr>
              <w:t>Informes sobre la marcha de las actividades, durante cuya elaboración la Secretaría discute en detalle con el organismo correspondiente cada proyecto con retrasos en su ejecución y propone medidas correctivas.</w:t>
            </w:r>
          </w:p>
          <w:p w14:paraId="63B35A55" w14:textId="77777777" w:rsidR="00CD027C" w:rsidRPr="0082270B" w:rsidRDefault="00CD027C" w:rsidP="00032666">
            <w:pPr>
              <w:spacing w:after="60"/>
              <w:ind w:left="26"/>
              <w:rPr>
                <w:sz w:val="20"/>
                <w:szCs w:val="20"/>
              </w:rPr>
            </w:pPr>
            <w:r>
              <w:rPr>
                <w:sz w:val="20"/>
                <w:szCs w:val="20"/>
              </w:rPr>
              <w:t>Tras estudiar la información contenida en los documentos mencionados, los auditores consideraron pertinente mantener la Recomendación 3 en su informe.</w:t>
            </w:r>
          </w:p>
          <w:p w14:paraId="729D4C89" w14:textId="0F8D1739" w:rsidR="00CD027C" w:rsidRPr="0027004E" w:rsidRDefault="00CD027C" w:rsidP="00032666">
            <w:pPr>
              <w:spacing w:after="60"/>
              <w:rPr>
                <w:sz w:val="20"/>
                <w:szCs w:val="20"/>
              </w:rPr>
            </w:pPr>
            <w:r>
              <w:rPr>
                <w:sz w:val="20"/>
                <w:szCs w:val="20"/>
              </w:rPr>
              <w:t>En respuesta a la Recomendación 3, el 12 de noviembre de 2021 la Secretaría del Fondo envió una comunicación oficial a los organismos bilaterales y de ejecución en la que les pedía que ampliaran el análisis de las causas fundamentales de los retrasos en la ejecución de los proyectos y que aportaran más pruebas de que se estaban tomando medidas para resolver los problemas sistemáticos. Estas medidas se recogerán en los documentos de las reuniones pertinentes que aborden los retrasos en la ejecución de los proyectos.</w:t>
            </w:r>
          </w:p>
        </w:tc>
      </w:tr>
      <w:tr w:rsidR="00CD027C" w:rsidRPr="0027004E" w14:paraId="7A6C1BC4" w14:textId="77777777" w:rsidTr="00DE2982">
        <w:tc>
          <w:tcPr>
            <w:tcW w:w="3415" w:type="dxa"/>
          </w:tcPr>
          <w:p w14:paraId="435195D7" w14:textId="77777777" w:rsidR="00CD027C" w:rsidRPr="00384B95" w:rsidRDefault="00CD027C" w:rsidP="00384B95">
            <w:pPr>
              <w:tabs>
                <w:tab w:val="left" w:pos="720"/>
              </w:tabs>
              <w:spacing w:after="60"/>
              <w:jc w:val="left"/>
              <w:rPr>
                <w:bCs/>
                <w:i/>
                <w:color w:val="000000"/>
                <w:sz w:val="20"/>
                <w:szCs w:val="20"/>
              </w:rPr>
            </w:pPr>
            <w:r>
              <w:rPr>
                <w:bCs/>
                <w:i/>
                <w:sz w:val="20"/>
                <w:szCs w:val="20"/>
              </w:rPr>
              <w:lastRenderedPageBreak/>
              <w:t xml:space="preserve">4. </w:t>
            </w:r>
            <w:r>
              <w:rPr>
                <w:i/>
                <w:sz w:val="20"/>
                <w:szCs w:val="20"/>
              </w:rPr>
              <w:t>La Secretaría del Fondo debería recordar a los organismos de ejecución que deben mejorar el cumplimiento de las decisiones del Comité Ejecutivo sobre la finalización de los proyectos y la presentación de informes.</w:t>
            </w:r>
          </w:p>
        </w:tc>
        <w:tc>
          <w:tcPr>
            <w:tcW w:w="6030" w:type="dxa"/>
          </w:tcPr>
          <w:p w14:paraId="2BEE4168" w14:textId="1D67CB50" w:rsidR="00CD027C" w:rsidRDefault="00CD027C" w:rsidP="00032666">
            <w:pPr>
              <w:spacing w:after="60"/>
              <w:rPr>
                <w:sz w:val="20"/>
                <w:szCs w:val="20"/>
              </w:rPr>
            </w:pPr>
            <w:r>
              <w:rPr>
                <w:sz w:val="20"/>
                <w:szCs w:val="20"/>
              </w:rPr>
              <w:t xml:space="preserve">Durante el periodo de la auditoría, la Secretaría del Fondo informó a los auditores de que, antes de cada reunión del Comité Ejecutivo, la Secretaría del Fondo organiza reuniones de coordinación interinstitucional (RCII) con los organismos bilaterales y de ejecución. Durante estas reuniones, se mantienen extensas deliberaciones en las que se abordan asuntos pertinentes, incluyendo el estado de finalización de los proyectos y la presentación de informes. </w:t>
            </w:r>
          </w:p>
          <w:p w14:paraId="6E5006A0" w14:textId="77777777" w:rsidR="00CD027C" w:rsidRPr="0027004E" w:rsidRDefault="00CD027C" w:rsidP="00032666">
            <w:pPr>
              <w:spacing w:after="60"/>
              <w:rPr>
                <w:sz w:val="20"/>
                <w:szCs w:val="20"/>
              </w:rPr>
            </w:pPr>
            <w:r>
              <w:rPr>
                <w:sz w:val="20"/>
                <w:szCs w:val="20"/>
              </w:rPr>
              <w:t>Como resultado de las conversaciones con los organismos bilaterales y de ejecución, se ha reducido el número de informes pendientes (esto es, sólo 9 informes pendientes para proyectos plurianuales de los 208 que se han completado; sólo 3 informes pendientes para proyectos individuales de los 1 856 que se han completado; y 13 informes pendientes para proyectos ajenos a la inversión de los 1 234 que se han completado).</w:t>
            </w:r>
          </w:p>
          <w:p w14:paraId="0F1B0BC8" w14:textId="77777777" w:rsidR="00CD027C" w:rsidRPr="0027004E" w:rsidRDefault="00CD027C" w:rsidP="00032666">
            <w:pPr>
              <w:spacing w:after="60"/>
              <w:rPr>
                <w:sz w:val="20"/>
                <w:szCs w:val="20"/>
              </w:rPr>
            </w:pPr>
            <w:r>
              <w:rPr>
                <w:sz w:val="20"/>
                <w:szCs w:val="20"/>
              </w:rPr>
              <w:t>Tras estudiar esta información, los auditores consideraron pertinente mantener la Recomendación 4 en su informe.</w:t>
            </w:r>
          </w:p>
          <w:p w14:paraId="1B9FC19D" w14:textId="6F5B4FB1" w:rsidR="00CD027C" w:rsidRDefault="00CD027C" w:rsidP="00032666">
            <w:pPr>
              <w:spacing w:after="60"/>
              <w:rPr>
                <w:sz w:val="20"/>
                <w:szCs w:val="20"/>
              </w:rPr>
            </w:pPr>
            <w:r>
              <w:rPr>
                <w:sz w:val="20"/>
                <w:szCs w:val="20"/>
              </w:rPr>
              <w:t>En respuesta a la Recomendación 4, el 12 de noviembre de 2021 la Secretaría del Fondo envió una comunicación oficial a los organismos bilaterales y de ejecución recordándoles la necesidad de seguir mejorando el cumplimiento de las decisiones del Comité Ejecutivo sobre la finalización de los proyectos y la presentación de informes.</w:t>
            </w:r>
          </w:p>
          <w:p w14:paraId="5AD36239" w14:textId="77777777" w:rsidR="00CD027C" w:rsidRPr="0027004E" w:rsidRDefault="00CD027C" w:rsidP="00032666">
            <w:pPr>
              <w:spacing w:after="60"/>
              <w:rPr>
                <w:sz w:val="20"/>
                <w:szCs w:val="20"/>
              </w:rPr>
            </w:pPr>
            <w:r>
              <w:rPr>
                <w:sz w:val="20"/>
                <w:szCs w:val="20"/>
              </w:rPr>
              <w:t>El Comité Ejecutivo también puede considerar oportuno tomar nota de que la Secretaría del Fondo continuará discutiendo este asunto con los organismos bilaterales y de ejecución durante las RCII y cuando se discutan los documentos pertinentes de las reuniones.</w:t>
            </w:r>
          </w:p>
        </w:tc>
      </w:tr>
      <w:tr w:rsidR="00CD027C" w:rsidRPr="0027004E" w14:paraId="407B17D1" w14:textId="77777777" w:rsidTr="00DE2982">
        <w:tc>
          <w:tcPr>
            <w:tcW w:w="3415" w:type="dxa"/>
          </w:tcPr>
          <w:p w14:paraId="20722019" w14:textId="77777777" w:rsidR="00CD027C" w:rsidRPr="00A93ECD" w:rsidRDefault="00CD027C" w:rsidP="00A93ECD">
            <w:pPr>
              <w:tabs>
                <w:tab w:val="left" w:pos="720"/>
              </w:tabs>
              <w:spacing w:after="60"/>
              <w:jc w:val="left"/>
              <w:rPr>
                <w:bCs/>
                <w:i/>
                <w:color w:val="000000"/>
                <w:sz w:val="20"/>
                <w:szCs w:val="20"/>
              </w:rPr>
            </w:pPr>
            <w:r>
              <w:rPr>
                <w:bCs/>
                <w:i/>
                <w:sz w:val="20"/>
                <w:szCs w:val="20"/>
              </w:rPr>
              <w:t xml:space="preserve">5. </w:t>
            </w:r>
            <w:r>
              <w:rPr>
                <w:i/>
                <w:sz w:val="20"/>
                <w:szCs w:val="20"/>
              </w:rPr>
              <w:t xml:space="preserve">La Secretaría del Fondo debería aplicar los elementos del plan de </w:t>
            </w:r>
            <w:r>
              <w:rPr>
                <w:i/>
                <w:sz w:val="20"/>
                <w:szCs w:val="20"/>
              </w:rPr>
              <w:lastRenderedPageBreak/>
              <w:t>acción para abordar las demoras en el cierre financiero de los proyectos más allá del límite de doce meses estipulado por el Comité Ejecutivo.</w:t>
            </w:r>
          </w:p>
        </w:tc>
        <w:tc>
          <w:tcPr>
            <w:tcW w:w="6030" w:type="dxa"/>
          </w:tcPr>
          <w:p w14:paraId="55461627" w14:textId="77777777" w:rsidR="00CD027C" w:rsidRPr="0027004E" w:rsidRDefault="00CD027C" w:rsidP="00032666">
            <w:pPr>
              <w:spacing w:after="60"/>
              <w:rPr>
                <w:sz w:val="20"/>
                <w:szCs w:val="20"/>
              </w:rPr>
            </w:pPr>
            <w:r>
              <w:rPr>
                <w:sz w:val="20"/>
                <w:szCs w:val="20"/>
              </w:rPr>
              <w:lastRenderedPageBreak/>
              <w:t xml:space="preserve">Durante el periodo de la auditoría, la Secretaría del Fondo informó a los auditores de que los elementos de un plan de acción para abordar el cierre </w:t>
            </w:r>
            <w:r>
              <w:rPr>
                <w:sz w:val="20"/>
                <w:szCs w:val="20"/>
              </w:rPr>
              <w:lastRenderedPageBreak/>
              <w:t xml:space="preserve">de los proyectos están en marcha desde la 28ª reunión, y se han aplicado desde entonces. Concretamente: </w:t>
            </w:r>
          </w:p>
          <w:p w14:paraId="7CCCC369" w14:textId="77777777" w:rsidR="00CD027C" w:rsidRPr="0027004E" w:rsidRDefault="00CD027C" w:rsidP="00032666">
            <w:pPr>
              <w:pStyle w:val="ListParagraph"/>
              <w:numPr>
                <w:ilvl w:val="0"/>
                <w:numId w:val="22"/>
              </w:numPr>
              <w:tabs>
                <w:tab w:val="clear" w:pos="850"/>
                <w:tab w:val="clear" w:pos="1191"/>
                <w:tab w:val="clear" w:pos="1531"/>
              </w:tabs>
              <w:spacing w:after="60"/>
              <w:ind w:left="288" w:hanging="288"/>
              <w:contextualSpacing w:val="0"/>
              <w:rPr>
                <w:rFonts w:ascii="Times New Roman" w:hAnsi="Times New Roman" w:cs="Times New Roman"/>
                <w:sz w:val="20"/>
                <w:szCs w:val="20"/>
              </w:rPr>
            </w:pPr>
            <w:r>
              <w:rPr>
                <w:rFonts w:ascii="Times New Roman" w:hAnsi="Times New Roman"/>
                <w:sz w:val="20"/>
                <w:szCs w:val="20"/>
              </w:rPr>
              <w:t>Los proyectos finalizados operativamente se supervisan de cerca hasta que se cierran financieramente y se devuelven los saldos al Fondo Multilateral;</w:t>
            </w:r>
          </w:p>
          <w:p w14:paraId="56718CE7" w14:textId="77777777" w:rsidR="00CD027C" w:rsidRPr="0027004E" w:rsidRDefault="00CD027C" w:rsidP="00032666">
            <w:pPr>
              <w:pStyle w:val="ListParagraph"/>
              <w:numPr>
                <w:ilvl w:val="0"/>
                <w:numId w:val="22"/>
              </w:numPr>
              <w:tabs>
                <w:tab w:val="clear" w:pos="850"/>
                <w:tab w:val="clear" w:pos="1191"/>
                <w:tab w:val="clear" w:pos="1531"/>
              </w:tabs>
              <w:spacing w:after="60"/>
              <w:ind w:left="288" w:hanging="288"/>
              <w:contextualSpacing w:val="0"/>
              <w:rPr>
                <w:rFonts w:ascii="Times New Roman" w:hAnsi="Times New Roman" w:cs="Times New Roman"/>
                <w:sz w:val="20"/>
                <w:szCs w:val="20"/>
              </w:rPr>
            </w:pPr>
            <w:r>
              <w:rPr>
                <w:rFonts w:ascii="Times New Roman" w:hAnsi="Times New Roman"/>
                <w:sz w:val="20"/>
                <w:szCs w:val="20"/>
              </w:rPr>
              <w:t>En el caso de los proyectos cuyo cierre financiero ha sobrepasado el límite de doce meses, la Secretaría del Fondo discute con el organismo correspondiente las razones de dichos retrasos y acuerda una fecha de finalización e informa de ello al Comité Ejecutivo; y</w:t>
            </w:r>
          </w:p>
          <w:p w14:paraId="5D375A33" w14:textId="77777777" w:rsidR="00CD027C" w:rsidRPr="0027004E" w:rsidRDefault="00CD027C" w:rsidP="00032666">
            <w:pPr>
              <w:pStyle w:val="ListParagraph"/>
              <w:numPr>
                <w:ilvl w:val="0"/>
                <w:numId w:val="22"/>
              </w:numPr>
              <w:tabs>
                <w:tab w:val="clear" w:pos="850"/>
                <w:tab w:val="clear" w:pos="1191"/>
                <w:tab w:val="clear" w:pos="1531"/>
              </w:tabs>
              <w:spacing w:after="60"/>
              <w:ind w:left="288" w:hanging="288"/>
              <w:contextualSpacing w:val="0"/>
              <w:rPr>
                <w:rFonts w:ascii="Times New Roman" w:hAnsi="Times New Roman" w:cs="Times New Roman"/>
                <w:sz w:val="20"/>
                <w:szCs w:val="20"/>
              </w:rPr>
            </w:pPr>
            <w:r>
              <w:rPr>
                <w:rFonts w:ascii="Times New Roman" w:hAnsi="Times New Roman"/>
                <w:sz w:val="20"/>
                <w:szCs w:val="20"/>
              </w:rPr>
              <w:t xml:space="preserve">En cada reunión del Comité Ejecutivo se presenta un informe sobre los saldos y la disponibilidad de recursos, con información sobre el cierre financiero y la devolución de fondos de los proyectos terminados. </w:t>
            </w:r>
          </w:p>
          <w:p w14:paraId="2F8C4007" w14:textId="657FB7BD" w:rsidR="00CD027C" w:rsidRPr="0027004E" w:rsidRDefault="00CD027C" w:rsidP="00032666">
            <w:pPr>
              <w:spacing w:after="60"/>
              <w:rPr>
                <w:sz w:val="20"/>
                <w:szCs w:val="20"/>
              </w:rPr>
            </w:pPr>
            <w:r>
              <w:rPr>
                <w:sz w:val="20"/>
                <w:szCs w:val="20"/>
              </w:rPr>
              <w:t>En su informe, los auditores mencionaron que la Secretaría del Fondo señaló que la cuestión del cierre financiero de los proyectos es una de las principales preocupaciones del Comité Ejecutivo. Por ello, el Comité Ejecutivo ha adoptado varias decisiones específicas. La Secretaría del Fondo ha mantenido conversaciones periódicas con los organismos bilaterales y de ejecución y ha elaborado un plan de acción para poder cerrar financieramente los proyectos ya finalizados. Como resultado de estos esfuerzos, se ha devuelto un total de 32,1 millones $EUA al Fondo Multilateral desde 2018. Estos fondos se han reprogramado para actividades adicionales de eliminación en los países que operan al amparo del artículo 5.</w:t>
            </w:r>
          </w:p>
          <w:p w14:paraId="32811CCB" w14:textId="77777777" w:rsidR="00CD027C" w:rsidRDefault="00CD027C" w:rsidP="00032666">
            <w:pPr>
              <w:spacing w:after="60"/>
              <w:rPr>
                <w:sz w:val="20"/>
                <w:szCs w:val="20"/>
              </w:rPr>
            </w:pPr>
            <w:r>
              <w:rPr>
                <w:sz w:val="20"/>
                <w:szCs w:val="20"/>
              </w:rPr>
              <w:t>Tras estudiar esta información, los auditores consideraron pertinente mantener la Recomendación 5 en su informe.</w:t>
            </w:r>
          </w:p>
          <w:p w14:paraId="1E3A5FD4" w14:textId="40B3B4ED" w:rsidR="00CD027C" w:rsidRPr="0027004E" w:rsidRDefault="00CD027C" w:rsidP="00032666">
            <w:pPr>
              <w:spacing w:after="60"/>
              <w:rPr>
                <w:sz w:val="20"/>
                <w:szCs w:val="20"/>
              </w:rPr>
            </w:pPr>
            <w:r>
              <w:rPr>
                <w:sz w:val="20"/>
                <w:szCs w:val="20"/>
              </w:rPr>
              <w:t>En respuesta a la Recomendación 5, el 12 de noviembre de 2021 la Secretaría del Fondo envió una comunicación oficial a los organismos bilaterales y de ejecución recordándoles que debían aplicar rigurosamente todos los elementos del plan de acción en vigor desde la 28ª reunión y adherirse a todas las decisiones posteriores, así como cerrar financieramente todos los proyectos a más tardar en el plazo de doce meses estipulado por el Comité Ejecutivo.</w:t>
            </w:r>
          </w:p>
        </w:tc>
      </w:tr>
      <w:tr w:rsidR="00CD027C" w:rsidRPr="0027004E" w14:paraId="3C9701B5" w14:textId="77777777" w:rsidTr="00DE2982">
        <w:tc>
          <w:tcPr>
            <w:tcW w:w="3415" w:type="dxa"/>
          </w:tcPr>
          <w:p w14:paraId="4D4D718F" w14:textId="77777777" w:rsidR="00CD027C" w:rsidRPr="001D0DC6" w:rsidRDefault="00CD027C" w:rsidP="000F7664">
            <w:pPr>
              <w:tabs>
                <w:tab w:val="left" w:pos="720"/>
              </w:tabs>
              <w:spacing w:after="60"/>
              <w:jc w:val="left"/>
              <w:rPr>
                <w:i/>
                <w:iCs/>
                <w:sz w:val="20"/>
                <w:szCs w:val="20"/>
              </w:rPr>
            </w:pPr>
            <w:r>
              <w:rPr>
                <w:i/>
                <w:iCs/>
                <w:sz w:val="20"/>
                <w:szCs w:val="20"/>
              </w:rPr>
              <w:lastRenderedPageBreak/>
              <w:t xml:space="preserve">6. </w:t>
            </w:r>
            <w:r>
              <w:rPr>
                <w:i/>
                <w:sz w:val="20"/>
                <w:szCs w:val="20"/>
              </w:rPr>
              <w:t>El PNUMA debería elaborar un plan de acción para abordar los avances pendientes desde hace tiempo en relación con el Fondo Multilateral para la Aplicación del Protocolo de Montreal y resolverlos.</w:t>
            </w:r>
          </w:p>
        </w:tc>
        <w:tc>
          <w:tcPr>
            <w:tcW w:w="6030" w:type="dxa"/>
          </w:tcPr>
          <w:p w14:paraId="2F0A637A" w14:textId="77777777" w:rsidR="00CD027C" w:rsidRPr="001D0DC6" w:rsidRDefault="00CD027C" w:rsidP="00032666">
            <w:pPr>
              <w:spacing w:after="60"/>
              <w:rPr>
                <w:sz w:val="20"/>
                <w:szCs w:val="20"/>
              </w:rPr>
            </w:pPr>
            <w:r>
              <w:rPr>
                <w:sz w:val="20"/>
                <w:szCs w:val="20"/>
              </w:rPr>
              <w:t>Al abordar la Recomendación 6, el Tesorero informó de que ha estado trabajando estrechamente con la Oficina de las Naciones Unidas en Nairobi y la Sede de la ONU para compensar los anticipos pendientes desde 2015, contrastándolos con los informes de gastos anuales recibidos de los organismos de ejecución.</w:t>
            </w:r>
            <w:r>
              <w:rPr>
                <w:snapToGrid w:val="0"/>
                <w:sz w:val="20"/>
                <w:szCs w:val="20"/>
              </w:rPr>
              <w:t xml:space="preserve"> Este ejercicio también cubrirá el ajuste puntual realizado en 2015 para rectificar el registro de gastos de algunos organismos cuando se convirtieron de las Normas de Contabilidad del Sistema de las Naciones Unidas (UNSAS) a las Normas Internacionales de Contabilidad del Sector Público (IPSAS). </w:t>
            </w:r>
          </w:p>
        </w:tc>
      </w:tr>
    </w:tbl>
    <w:p w14:paraId="0829540D" w14:textId="77777777" w:rsidR="00CD027C" w:rsidRPr="0087474A" w:rsidRDefault="00CD027C" w:rsidP="00A868E7"/>
    <w:p w14:paraId="348A1B4A" w14:textId="77777777" w:rsidR="00CD027C" w:rsidRDefault="00CD027C" w:rsidP="00956FE9">
      <w:pPr>
        <w:rPr>
          <w:b/>
          <w:bCs/>
        </w:rPr>
      </w:pPr>
      <w:r>
        <w:rPr>
          <w:b/>
          <w:bCs/>
        </w:rPr>
        <w:t>Recomendación</w:t>
      </w:r>
    </w:p>
    <w:p w14:paraId="3145B1F0" w14:textId="77777777" w:rsidR="00CD027C" w:rsidRDefault="00CD027C" w:rsidP="00956FE9">
      <w:pPr>
        <w:rPr>
          <w:b/>
          <w:bCs/>
        </w:rPr>
      </w:pPr>
    </w:p>
    <w:p w14:paraId="59C805AC" w14:textId="77777777" w:rsidR="00CD027C" w:rsidRDefault="00CD027C" w:rsidP="00C34136">
      <w:pPr>
        <w:pStyle w:val="Heading1"/>
      </w:pPr>
      <w:r>
        <w:t>El Comité Ejecutivo puede considerar oportuno:</w:t>
      </w:r>
    </w:p>
    <w:p w14:paraId="698E8E3E" w14:textId="77777777" w:rsidR="00CD027C" w:rsidRDefault="00CD027C" w:rsidP="00CD027C">
      <w:pPr>
        <w:pStyle w:val="Heading2"/>
        <w:numPr>
          <w:ilvl w:val="1"/>
          <w:numId w:val="1"/>
        </w:numPr>
      </w:pPr>
      <w:r>
        <w:t>Tomar nota del informe de la auditoría de la Secretaría del Programa de las Naciones Unidas para el Medio Ambiente del Fondo Multilateral para la Aplicación del Protocolo de Montreal (asignación n.º AA2021-220-01) realizada por la Oficina de Servicios de Supervisión Interna (OSSI), que se adjunta al documento UNEP/OzL.Pro/ExCom/88/2/Add.1;</w:t>
      </w:r>
    </w:p>
    <w:p w14:paraId="1CF3DCE8" w14:textId="77777777" w:rsidR="00CD027C" w:rsidRDefault="00CD027C" w:rsidP="00C06079">
      <w:pPr>
        <w:pStyle w:val="Heading2"/>
        <w:keepNext/>
        <w:keepLines/>
        <w:numPr>
          <w:ilvl w:val="1"/>
          <w:numId w:val="1"/>
        </w:numPr>
      </w:pPr>
      <w:r>
        <w:lastRenderedPageBreak/>
        <w:t>Tomar nota de que la Secretaría del Fondo y el Tesorero han adoptado medidas específicas para abordar las seis recomendaciones contenidas en el informe mencionado en el apartado (a) anterior;</w:t>
      </w:r>
    </w:p>
    <w:p w14:paraId="526E77D6" w14:textId="77777777" w:rsidR="00CD027C" w:rsidRDefault="00CD027C" w:rsidP="00CD027C">
      <w:pPr>
        <w:pStyle w:val="Heading2"/>
        <w:numPr>
          <w:ilvl w:val="1"/>
          <w:numId w:val="1"/>
        </w:numPr>
      </w:pPr>
      <w:r>
        <w:t xml:space="preserve">Pedir a la Secretaría del Fondo, al Tesorero y a los organismos bilaterales y de ejecución que apliquen las recomendaciones formuladas por la OSSI y que incluyan información al respecto en los documentos pertinentes de las reuniones; y </w:t>
      </w:r>
    </w:p>
    <w:p w14:paraId="5ABC0772" w14:textId="196D2184" w:rsidR="00E85409" w:rsidRPr="009B0D30" w:rsidRDefault="00CD027C" w:rsidP="00E552AA">
      <w:pPr>
        <w:pStyle w:val="Heading2"/>
        <w:numPr>
          <w:ilvl w:val="1"/>
          <w:numId w:val="1"/>
        </w:numPr>
      </w:pPr>
      <w:r>
        <w:t xml:space="preserve">Pedir a la Secretaría del Fondo que comunique a la OSSI, a través del director ejecutivo del PNUMA, que el Comité Ejecutivo ha prestado la debida atención a las recomendaciones contenidas en el informe de la OSSI, y ha tomado nota de las medidas que la Secretaría del Fondo, el Tesorero y los organismos bilaterales y de ejecución han adoptado para abordarlas. </w:t>
      </w: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A8973" w14:textId="77777777" w:rsidR="00840B92" w:rsidRDefault="00840B92" w:rsidP="004A504B">
      <w:r>
        <w:separator/>
      </w:r>
    </w:p>
  </w:endnote>
  <w:endnote w:type="continuationSeparator" w:id="0">
    <w:p w14:paraId="0534E6EE" w14:textId="77777777" w:rsidR="00840B92" w:rsidRDefault="00840B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E467" w14:textId="4D4D943C" w:rsidR="00DC6A10" w:rsidRPr="0033525D" w:rsidRDefault="00BC2495">
    <w:pPr>
      <w:jc w:val="center"/>
    </w:pPr>
    <w:r>
      <w:fldChar w:fldCharType="begin"/>
    </w:r>
    <w:r w:rsidR="00851352">
      <w:instrText xml:space="preserve"> PAGE </w:instrText>
    </w:r>
    <w:r>
      <w:fldChar w:fldCharType="separate"/>
    </w:r>
    <w:r w:rsidR="00D72480">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3DE42" w14:textId="00713B01" w:rsidR="00DC6A10" w:rsidRPr="0033525D" w:rsidRDefault="00BC2495">
    <w:pPr>
      <w:jc w:val="center"/>
    </w:pPr>
    <w:r>
      <w:fldChar w:fldCharType="begin"/>
    </w:r>
    <w:r w:rsidR="00851352">
      <w:instrText xml:space="preserve"> PAGE </w:instrText>
    </w:r>
    <w:r>
      <w:fldChar w:fldCharType="separate"/>
    </w:r>
    <w:r w:rsidR="00D72480">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32E72" w14:textId="77777777" w:rsidR="004E7F9C" w:rsidRPr="00E552AA"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E552AA">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A398F8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3D784" w14:textId="77777777" w:rsidR="00840B92" w:rsidRDefault="00840B92" w:rsidP="004A504B">
      <w:r>
        <w:separator/>
      </w:r>
    </w:p>
  </w:footnote>
  <w:footnote w:type="continuationSeparator" w:id="0">
    <w:p w14:paraId="75044725" w14:textId="77777777" w:rsidR="00840B92" w:rsidRDefault="00840B92" w:rsidP="004A504B">
      <w:r>
        <w:continuationSeparator/>
      </w:r>
    </w:p>
  </w:footnote>
  <w:footnote w:id="1">
    <w:p w14:paraId="394D66C2" w14:textId="2724EEA6" w:rsidR="00B86471" w:rsidRPr="00B86471" w:rsidRDefault="00B86471">
      <w:pPr>
        <w:pStyle w:val="FootnoteText"/>
      </w:pPr>
      <w:r>
        <w:rPr>
          <w:rStyle w:val="FootnoteReference"/>
        </w:rPr>
        <w:footnoteRef/>
      </w:r>
      <w:r>
        <w:t xml:space="preserve"> En noviembre y diciembre de 2021 se celebrarán reuniones en línea y se llevará a cabo el proceso de aprobación entre períodos de sesiones, debido al coronavirus (COVID-19).</w:t>
      </w:r>
    </w:p>
  </w:footnote>
  <w:footnote w:id="2">
    <w:p w14:paraId="12FA8BA1" w14:textId="63E964CE" w:rsidR="00CD027C" w:rsidRDefault="00CD027C">
      <w:pPr>
        <w:pStyle w:val="FootnoteText"/>
      </w:pPr>
      <w:r>
        <w:rPr>
          <w:rStyle w:val="FootnoteReference"/>
        </w:rPr>
        <w:footnoteRef/>
      </w:r>
      <w:r>
        <w:t xml:space="preserve"> El sistema de planificación de recursos institucionales de las Naciones Unidas.</w:t>
      </w:r>
    </w:p>
    <w:p w14:paraId="0BCD2388" w14:textId="2EDFFD79" w:rsidR="00E552AA" w:rsidRDefault="00E552AA">
      <w:pPr>
        <w:pStyle w:val="FootnoteText"/>
      </w:pPr>
    </w:p>
    <w:p w14:paraId="620BC8D9" w14:textId="77777777" w:rsidR="00E552AA" w:rsidRDefault="00E552AA">
      <w:pPr>
        <w:pStyle w:val="FootnoteText"/>
      </w:pPr>
    </w:p>
  </w:footnote>
  <w:footnote w:id="3">
    <w:p w14:paraId="30CB609A" w14:textId="77777777" w:rsidR="00CD027C" w:rsidRDefault="00CD027C" w:rsidP="00060E9B">
      <w:pPr>
        <w:pStyle w:val="FootnoteText"/>
      </w:pPr>
      <w:r>
        <w:rPr>
          <w:rStyle w:val="FootnoteReference"/>
        </w:rPr>
        <w:footnoteRef/>
      </w:r>
      <w:r>
        <w:t xml:space="preserve"> Según la clasificación de la OSSI, las "recomendaciones importantes" se refieren a las cuestiones de riesgo que requieren una atención oportuna por parte de la dirección; la no adopción de medidas podría tener un impacto adverso alto o moderado en la organización. </w:t>
      </w:r>
      <w:r>
        <w:rPr>
          <w:rStyle w:val="FootnoteReference"/>
        </w:rPr>
        <w:footnoteRef/>
      </w:r>
      <w:r>
        <w:t xml:space="preserve"> Las "recomendaciones críticas" se refieren a los problemas de riesgo que requieren una atención inmediata por parte de la dirección; la no adopción de medidas podría tener un impacto adverso crítico o significativo en la organización.</w:t>
      </w:r>
    </w:p>
  </w:footnote>
  <w:footnote w:id="4">
    <w:p w14:paraId="0545C7DE" w14:textId="77777777" w:rsidR="00CD027C" w:rsidRDefault="00CD027C" w:rsidP="0082270B">
      <w:pPr>
        <w:pStyle w:val="FootnoteText"/>
      </w:pPr>
      <w:r>
        <w:rPr>
          <w:rStyle w:val="FootnoteReference"/>
        </w:rPr>
        <w:footnoteRef/>
      </w:r>
      <w:r>
        <w:t xml:space="preserve"> La GRI facilita la toma de decisiones estratégicas eficaces, ya que proporciona a la dirección las herramientas necesarias para comprender plenamente las causas fundamentales del riesgo y diseñar estrategias de respuesta. La GRI ha surgido como un enfoque estructurado y disciplinado que armoniza la estrategia, los procesos, las personas, la tecnología y el conocimiento con el propósito de evaluar y gestionar las incertidumbres a las que se enfrenta una organización para alcanzar sus objetivos.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F16E7" w14:textId="67338ECE" w:rsidR="00DC6A10" w:rsidRPr="007B03BF" w:rsidRDefault="00E77BA7">
    <w:pPr>
      <w:rPr>
        <w:lang w:val="en-CA"/>
      </w:rPr>
    </w:pPr>
    <w:r>
      <w:fldChar w:fldCharType="begin"/>
    </w:r>
    <w:r w:rsidRPr="007B03BF">
      <w:rPr>
        <w:lang w:val="en-CA"/>
      </w:rPr>
      <w:instrText xml:space="preserve"> DOCPROPERTY "Document number"  \* MERGEFORMAT </w:instrText>
    </w:r>
    <w:r>
      <w:fldChar w:fldCharType="separate"/>
    </w:r>
    <w:r w:rsidR="00C06079">
      <w:rPr>
        <w:lang w:val="en-CA"/>
      </w:rPr>
      <w:t>UNEP/</w:t>
    </w:r>
    <w:proofErr w:type="spellStart"/>
    <w:r w:rsidR="00C06079">
      <w:rPr>
        <w:lang w:val="en-CA"/>
      </w:rPr>
      <w:t>OzL.Pro</w:t>
    </w:r>
    <w:proofErr w:type="spellEnd"/>
    <w:r w:rsidR="00C06079">
      <w:rPr>
        <w:lang w:val="en-CA"/>
      </w:rPr>
      <w:t>/</w:t>
    </w:r>
    <w:proofErr w:type="spellStart"/>
    <w:r w:rsidR="00C06079">
      <w:rPr>
        <w:lang w:val="en-CA"/>
      </w:rPr>
      <w:t>ExCom</w:t>
    </w:r>
    <w:proofErr w:type="spellEnd"/>
    <w:r w:rsidR="00C06079">
      <w:rPr>
        <w:lang w:val="en-CA"/>
      </w:rPr>
      <w:t>/88/2/Add.1</w:t>
    </w:r>
    <w:r>
      <w:fldChar w:fldCharType="end"/>
    </w:r>
  </w:p>
  <w:p w14:paraId="272E8B30" w14:textId="77777777" w:rsidR="00DC6A10" w:rsidRPr="007B03BF" w:rsidRDefault="00DC6A10">
    <w:pPr>
      <w:rPr>
        <w:lang w:val="en-CA"/>
      </w:rPr>
    </w:pPr>
  </w:p>
  <w:p w14:paraId="3F9E8029" w14:textId="77777777" w:rsidR="00DC6A10" w:rsidRPr="007B03BF" w:rsidRDefault="00DC6A10">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CB262" w14:textId="07218494" w:rsidR="00DC6A10" w:rsidRPr="007B03BF" w:rsidRDefault="00E77BA7">
    <w:pPr>
      <w:jc w:val="right"/>
      <w:rPr>
        <w:lang w:val="en-CA"/>
      </w:rPr>
    </w:pPr>
    <w:r>
      <w:fldChar w:fldCharType="begin"/>
    </w:r>
    <w:r w:rsidRPr="007B03BF">
      <w:rPr>
        <w:lang w:val="en-CA"/>
      </w:rPr>
      <w:instrText xml:space="preserve"> DOCPROPERTY "Document number"  \* MERGEFORMAT </w:instrText>
    </w:r>
    <w:r>
      <w:fldChar w:fldCharType="separate"/>
    </w:r>
    <w:r w:rsidR="00C06079">
      <w:rPr>
        <w:lang w:val="en-CA"/>
      </w:rPr>
      <w:t>UNEP/</w:t>
    </w:r>
    <w:proofErr w:type="spellStart"/>
    <w:r w:rsidR="00C06079">
      <w:rPr>
        <w:lang w:val="en-CA"/>
      </w:rPr>
      <w:t>OzL.Pro</w:t>
    </w:r>
    <w:proofErr w:type="spellEnd"/>
    <w:r w:rsidR="00C06079">
      <w:rPr>
        <w:lang w:val="en-CA"/>
      </w:rPr>
      <w:t>/</w:t>
    </w:r>
    <w:proofErr w:type="spellStart"/>
    <w:r w:rsidR="00C06079">
      <w:rPr>
        <w:lang w:val="en-CA"/>
      </w:rPr>
      <w:t>ExCom</w:t>
    </w:r>
    <w:proofErr w:type="spellEnd"/>
    <w:r w:rsidR="00C06079">
      <w:rPr>
        <w:lang w:val="en-CA"/>
      </w:rPr>
      <w:t>/88/2/Add.1</w:t>
    </w:r>
    <w:r>
      <w:fldChar w:fldCharType="end"/>
    </w:r>
  </w:p>
  <w:p w14:paraId="7F941B9C" w14:textId="77777777" w:rsidR="00DC6A10" w:rsidRPr="007B03BF" w:rsidRDefault="00DC6A10">
    <w:pPr>
      <w:rPr>
        <w:lang w:val="en-CA"/>
      </w:rPr>
    </w:pPr>
  </w:p>
  <w:p w14:paraId="6FF430D8" w14:textId="77777777" w:rsidR="00DC6A10" w:rsidRPr="007B03BF" w:rsidRDefault="00DC6A10">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6F612F"/>
    <w:multiLevelType w:val="hybridMultilevel"/>
    <w:tmpl w:val="FCB07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1A58E3"/>
    <w:multiLevelType w:val="hybridMultilevel"/>
    <w:tmpl w:val="A6E29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3"/>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D027C"/>
    <w:rsid w:val="00000FED"/>
    <w:rsid w:val="0000434E"/>
    <w:rsid w:val="000211A9"/>
    <w:rsid w:val="00031260"/>
    <w:rsid w:val="00032666"/>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72B3F"/>
    <w:rsid w:val="00281BB2"/>
    <w:rsid w:val="002B254E"/>
    <w:rsid w:val="002B261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678F"/>
    <w:rsid w:val="003B33BD"/>
    <w:rsid w:val="003B569D"/>
    <w:rsid w:val="003C3C0E"/>
    <w:rsid w:val="003D42A6"/>
    <w:rsid w:val="003D4F21"/>
    <w:rsid w:val="003D4FAC"/>
    <w:rsid w:val="003E7906"/>
    <w:rsid w:val="003F3C50"/>
    <w:rsid w:val="00406A6A"/>
    <w:rsid w:val="00406B22"/>
    <w:rsid w:val="004328A7"/>
    <w:rsid w:val="00434C74"/>
    <w:rsid w:val="004423AC"/>
    <w:rsid w:val="00456EB4"/>
    <w:rsid w:val="004718F3"/>
    <w:rsid w:val="00475040"/>
    <w:rsid w:val="00493D40"/>
    <w:rsid w:val="004967B6"/>
    <w:rsid w:val="004A504B"/>
    <w:rsid w:val="004A6911"/>
    <w:rsid w:val="004B54E0"/>
    <w:rsid w:val="004B7384"/>
    <w:rsid w:val="004C4269"/>
    <w:rsid w:val="004D34DC"/>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D789B"/>
    <w:rsid w:val="006E126D"/>
    <w:rsid w:val="006E1FC3"/>
    <w:rsid w:val="006F4552"/>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3BF"/>
    <w:rsid w:val="007B04CE"/>
    <w:rsid w:val="007B6871"/>
    <w:rsid w:val="007B7A2F"/>
    <w:rsid w:val="007C3D33"/>
    <w:rsid w:val="007D294A"/>
    <w:rsid w:val="007D47D2"/>
    <w:rsid w:val="007D6EC0"/>
    <w:rsid w:val="007D7E1D"/>
    <w:rsid w:val="00831979"/>
    <w:rsid w:val="00840B92"/>
    <w:rsid w:val="00851352"/>
    <w:rsid w:val="00857077"/>
    <w:rsid w:val="00863230"/>
    <w:rsid w:val="00865BD0"/>
    <w:rsid w:val="008717D8"/>
    <w:rsid w:val="0087215C"/>
    <w:rsid w:val="00875D25"/>
    <w:rsid w:val="00880E35"/>
    <w:rsid w:val="008875FE"/>
    <w:rsid w:val="00887F8E"/>
    <w:rsid w:val="00896234"/>
    <w:rsid w:val="00897E43"/>
    <w:rsid w:val="008A0BF9"/>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1537E"/>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4B1A"/>
    <w:rsid w:val="00B4575A"/>
    <w:rsid w:val="00B575BA"/>
    <w:rsid w:val="00B71608"/>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6079"/>
    <w:rsid w:val="00C15867"/>
    <w:rsid w:val="00C2296D"/>
    <w:rsid w:val="00C23155"/>
    <w:rsid w:val="00C37874"/>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027C"/>
    <w:rsid w:val="00CD4442"/>
    <w:rsid w:val="00CD53C3"/>
    <w:rsid w:val="00CD574E"/>
    <w:rsid w:val="00CE4C22"/>
    <w:rsid w:val="00CE76E5"/>
    <w:rsid w:val="00CF41EC"/>
    <w:rsid w:val="00CF5D04"/>
    <w:rsid w:val="00D04DE4"/>
    <w:rsid w:val="00D063F1"/>
    <w:rsid w:val="00D14F22"/>
    <w:rsid w:val="00D4741C"/>
    <w:rsid w:val="00D57918"/>
    <w:rsid w:val="00D72480"/>
    <w:rsid w:val="00D73DC6"/>
    <w:rsid w:val="00D74C1A"/>
    <w:rsid w:val="00D754C1"/>
    <w:rsid w:val="00D77393"/>
    <w:rsid w:val="00D77A35"/>
    <w:rsid w:val="00D81B3E"/>
    <w:rsid w:val="00D90C70"/>
    <w:rsid w:val="00D90E49"/>
    <w:rsid w:val="00D96ADE"/>
    <w:rsid w:val="00DA0CE2"/>
    <w:rsid w:val="00DC6A10"/>
    <w:rsid w:val="00DE2982"/>
    <w:rsid w:val="00DE657E"/>
    <w:rsid w:val="00DF4704"/>
    <w:rsid w:val="00E024AA"/>
    <w:rsid w:val="00E15C77"/>
    <w:rsid w:val="00E250F1"/>
    <w:rsid w:val="00E3550D"/>
    <w:rsid w:val="00E52838"/>
    <w:rsid w:val="00E552AA"/>
    <w:rsid w:val="00E614E0"/>
    <w:rsid w:val="00E73F7F"/>
    <w:rsid w:val="00E77BA7"/>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24587"/>
    <w:rsid w:val="00F327E7"/>
    <w:rsid w:val="00F35746"/>
    <w:rsid w:val="00F447C7"/>
    <w:rsid w:val="00F459B4"/>
    <w:rsid w:val="00F5211B"/>
    <w:rsid w:val="00F53339"/>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7E709"/>
  <w15:docId w15:val="{E3F6A78D-E41C-4BF7-B1B4-F0071F9B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rsid w:val="006E126D"/>
    <w:rPr>
      <w:lang w:val="es-ES"/>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D027C"/>
    <w:rPr>
      <w:sz w:val="22"/>
      <w:szCs w:val="22"/>
      <w:lang w:val="es-ES"/>
    </w:rPr>
  </w:style>
  <w:style w:type="paragraph" w:styleId="ListParagraph">
    <w:name w:val="List Paragraph"/>
    <w:aliases w:val="F5 List Paragraph,List Paragraph1,Dot pt,No Spacing1,List Paragraph Char Char Char,Indicator Text,Numbered Para 1,List Paragraph11,Colorful List - Accent 11,Bullet 1,Bullet Points,MAIN CONTENT,Paragraph"/>
    <w:basedOn w:val="Normal"/>
    <w:link w:val="ListParagraphChar"/>
    <w:uiPriority w:val="34"/>
    <w:qFormat/>
    <w:rsid w:val="00CD027C"/>
    <w:pPr>
      <w:tabs>
        <w:tab w:val="left" w:pos="850"/>
        <w:tab w:val="left" w:pos="1191"/>
        <w:tab w:val="left" w:pos="1531"/>
      </w:tabs>
      <w:ind w:left="720"/>
      <w:contextualSpacing/>
    </w:pPr>
    <w:rPr>
      <w:rFonts w:asciiTheme="minorHAnsi" w:eastAsiaTheme="minorEastAsia" w:hAnsiTheme="minorHAnsi" w:cstheme="minorBidi"/>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basedOn w:val="DefaultParagraphFont"/>
    <w:link w:val="ListParagraph"/>
    <w:uiPriority w:val="34"/>
    <w:locked/>
    <w:rsid w:val="00CD027C"/>
    <w:rPr>
      <w:rFonts w:asciiTheme="minorHAnsi" w:eastAsiaTheme="minorEastAsia" w:hAnsiTheme="minorHAnsi" w:cstheme="minorBidi"/>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D027C"/>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UNEP/OzL.Pro/ExCom/88/2/Add.1</Document_x0020_Number>
  </documentManagement>
</p:properties>
</file>

<file path=customXml/itemProps1.xml><?xml version="1.0" encoding="utf-8"?>
<ds:datastoreItem xmlns:ds="http://schemas.openxmlformats.org/officeDocument/2006/customXml" ds:itemID="{38808ABD-CF82-424E-919A-9586A35D50B7}"/>
</file>

<file path=customXml/itemProps2.xml><?xml version="1.0" encoding="utf-8"?>
<ds:datastoreItem xmlns:ds="http://schemas.openxmlformats.org/officeDocument/2006/customXml" ds:itemID="{C8A894F6-24E2-493B-A424-40531651D5C5}"/>
</file>

<file path=customXml/itemProps3.xml><?xml version="1.0" encoding="utf-8"?>
<ds:datastoreItem xmlns:ds="http://schemas.openxmlformats.org/officeDocument/2006/customXml" ds:itemID="{111DBC5D-3582-4837-B698-4716D6623F9E}"/>
</file>

<file path=customXml/itemProps4.xml><?xml version="1.0" encoding="utf-8"?>
<ds:datastoreItem xmlns:ds="http://schemas.openxmlformats.org/officeDocument/2006/customXml" ds:itemID="{A9B61E29-00C9-42CE-96C8-C3EC7DFADA77}"/>
</file>

<file path=docProps/app.xml><?xml version="1.0" encoding="utf-8"?>
<Properties xmlns="http://schemas.openxmlformats.org/officeDocument/2006/extended-properties" xmlns:vt="http://schemas.openxmlformats.org/officeDocument/2006/docPropsVTypes">
  <Template>Normal</Template>
  <TotalTime>6</TotalTime>
  <Pages>6</Pages>
  <Words>2400</Words>
  <Characters>13682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Actividades de la Secretaría - Addendum 1</vt:lpstr>
    </vt:vector>
  </TitlesOfParts>
  <Company>UNMFS</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Addendum 1</dc:title>
  <dc:creator>Elina Yuen</dc:creator>
  <cp:lastModifiedBy>HBE</cp:lastModifiedBy>
  <cp:revision>6</cp:revision>
  <cp:lastPrinted>2001-05-26T16:40:00Z</cp:lastPrinted>
  <dcterms:created xsi:type="dcterms:W3CDTF">2021-11-08T13:29:00Z</dcterms:created>
  <dcterms:modified xsi:type="dcterms:W3CDTF">2021-11-21T23:19:00Z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UNEP/OzL.Pro/ExCom/88/2/Add.1</vt:lpwstr>
  </property>
  <property fmtid="{D5CDD505-2E9C-101B-9397-08002B2CF9AE}" pid="3" name="Revision date">
    <vt:lpwstr>11/11/2021</vt:lpwstr>
  </property>
  <property fmtid="{D5CDD505-2E9C-101B-9397-08002B2CF9AE}" pid="4" name="ContentTypeId">
    <vt:lpwstr>0x010100F9B34BAB91CF9C49929DFB9E017C6363</vt:lpwstr>
  </property>
</Properties>
</file>