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6A24A7" w14:paraId="0EFB6C32" w14:textId="77777777" w:rsidTr="00C503FA">
        <w:trPr>
          <w:trHeight w:val="720"/>
        </w:trPr>
        <w:tc>
          <w:tcPr>
            <w:tcW w:w="6494" w:type="dxa"/>
            <w:gridSpan w:val="2"/>
            <w:tcBorders>
              <w:bottom w:val="single" w:sz="18" w:space="0" w:color="auto"/>
            </w:tcBorders>
          </w:tcPr>
          <w:p w14:paraId="012BB1F7"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04570CFA"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856" w:type="dxa"/>
            <w:tcBorders>
              <w:bottom w:val="single" w:sz="18" w:space="0" w:color="auto"/>
            </w:tcBorders>
          </w:tcPr>
          <w:p w14:paraId="1A9987CC" w14:textId="77777777" w:rsidR="006A24A7" w:rsidRDefault="006A24A7" w:rsidP="00C503FA">
            <w:pPr>
              <w:jc w:val="right"/>
              <w:rPr>
                <w:rFonts w:asciiTheme="minorBidi" w:hAnsiTheme="minorBidi" w:cstheme="minorBidi"/>
                <w:sz w:val="52"/>
                <w:szCs w:val="52"/>
              </w:rPr>
            </w:pPr>
            <w:r>
              <w:rPr>
                <w:rFonts w:asciiTheme="minorBidi" w:hAnsiTheme="minorBidi" w:cstheme="minorBidi"/>
                <w:b/>
                <w:sz w:val="72"/>
              </w:rPr>
              <w:t>EP</w:t>
            </w:r>
          </w:p>
        </w:tc>
      </w:tr>
      <w:tr w:rsidR="006A24A7" w:rsidRPr="00057C8F" w14:paraId="3DBE0E8A" w14:textId="77777777" w:rsidTr="006A24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5E726E85" w14:textId="77777777" w:rsidR="006A24A7" w:rsidRDefault="00724E7A" w:rsidP="00C503FA">
            <w:pPr>
              <w:spacing w:before="120"/>
            </w:pPr>
            <w:r>
              <w:rPr>
                <w:noProof/>
                <w:lang w:eastAsia="en-CA"/>
              </w:rPr>
              <w:drawing>
                <wp:anchor distT="0" distB="0" distL="114300" distR="114300" simplePos="0" relativeHeight="251659264" behindDoc="0" locked="0" layoutInCell="1" allowOverlap="1" wp14:anchorId="70028261" wp14:editId="2B50BE59">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53A32097" wp14:editId="34262CE7">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6706C4BA"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9B612E1"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28FEE628"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55D04AA5" w14:textId="77777777" w:rsidR="006A24A7"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32CC8C09" w14:textId="77777777" w:rsidR="006A24A7" w:rsidRDefault="006A24A7" w:rsidP="00C503FA">
            <w:pPr>
              <w:spacing w:before="720"/>
              <w:rPr>
                <w:lang w:val="es-ES"/>
              </w:rPr>
            </w:pPr>
          </w:p>
        </w:tc>
        <w:tc>
          <w:tcPr>
            <w:tcW w:w="3856" w:type="dxa"/>
            <w:tcBorders>
              <w:top w:val="nil"/>
              <w:left w:val="nil"/>
              <w:bottom w:val="single" w:sz="36" w:space="0" w:color="auto"/>
              <w:right w:val="nil"/>
            </w:tcBorders>
          </w:tcPr>
          <w:p w14:paraId="6C2504EA" w14:textId="77777777" w:rsidR="006A24A7" w:rsidRDefault="006A24A7" w:rsidP="00C503FA">
            <w:pPr>
              <w:rPr>
                <w:lang w:val="es-ES"/>
              </w:rPr>
            </w:pPr>
          </w:p>
          <w:p w14:paraId="633A886E" w14:textId="77777777" w:rsidR="006A24A7" w:rsidRDefault="006A24A7" w:rsidP="00C503FA">
            <w:pPr>
              <w:rPr>
                <w:lang w:val="es-ES"/>
              </w:rPr>
            </w:pPr>
            <w:proofErr w:type="spellStart"/>
            <w:r>
              <w:rPr>
                <w:lang w:val="es-ES"/>
              </w:rPr>
              <w:t>Distr</w:t>
            </w:r>
            <w:proofErr w:type="spellEnd"/>
            <w:r>
              <w:rPr>
                <w:lang w:val="es-ES"/>
              </w:rPr>
              <w:t>.</w:t>
            </w:r>
          </w:p>
          <w:p w14:paraId="5790D4E0" w14:textId="77777777" w:rsidR="006A24A7" w:rsidRDefault="006A24A7" w:rsidP="00C503FA">
            <w:pPr>
              <w:rPr>
                <w:lang w:val="es-ES"/>
              </w:rPr>
            </w:pPr>
            <w:r>
              <w:rPr>
                <w:lang w:val="es-ES"/>
              </w:rPr>
              <w:t>GENERAL</w:t>
            </w:r>
          </w:p>
          <w:p w14:paraId="6A438B4F" w14:textId="77777777" w:rsidR="006A24A7" w:rsidRDefault="006A24A7" w:rsidP="00C503FA">
            <w:pPr>
              <w:rPr>
                <w:lang w:val="es-ES"/>
              </w:rPr>
            </w:pPr>
          </w:p>
          <w:p w14:paraId="3C445228" w14:textId="11DE265D" w:rsidR="006A24A7" w:rsidRPr="00064429" w:rsidRDefault="006A24A7" w:rsidP="00C503FA">
            <w:pPr>
              <w:rPr>
                <w:lang w:val="es-AR"/>
              </w:rPr>
            </w:pPr>
            <w:r>
              <w:fldChar w:fldCharType="begin"/>
            </w:r>
            <w:r w:rsidRPr="00064429">
              <w:rPr>
                <w:lang w:val="es-AR"/>
              </w:rPr>
              <w:instrText xml:space="preserve"> DOCPROPERTY "Document number"  \* MERGEFORMAT </w:instrText>
            </w:r>
            <w:r>
              <w:fldChar w:fldCharType="separate"/>
            </w:r>
            <w:r w:rsidR="002B7A86">
              <w:rPr>
                <w:lang w:val="es-AR"/>
              </w:rPr>
              <w:t>UNEP/</w:t>
            </w:r>
            <w:proofErr w:type="spellStart"/>
            <w:r w:rsidR="002B7A86">
              <w:rPr>
                <w:lang w:val="es-AR"/>
              </w:rPr>
              <w:t>OzL.Pro</w:t>
            </w:r>
            <w:proofErr w:type="spellEnd"/>
            <w:r w:rsidR="002B7A86">
              <w:rPr>
                <w:lang w:val="es-AR"/>
              </w:rPr>
              <w:t>/</w:t>
            </w:r>
            <w:proofErr w:type="spellStart"/>
            <w:r w:rsidR="002B7A86">
              <w:rPr>
                <w:lang w:val="es-AR"/>
              </w:rPr>
              <w:t>ExCom</w:t>
            </w:r>
            <w:proofErr w:type="spellEnd"/>
            <w:r w:rsidR="002B7A86">
              <w:rPr>
                <w:lang w:val="es-AR"/>
              </w:rPr>
              <w:t>/95/</w:t>
            </w:r>
            <w:r w:rsidR="00F55255">
              <w:rPr>
                <w:lang w:val="es-AR"/>
              </w:rPr>
              <w:t>86</w:t>
            </w:r>
            <w:r>
              <w:fldChar w:fldCharType="end"/>
            </w:r>
          </w:p>
          <w:p w14:paraId="2410970F" w14:textId="25CDAB11" w:rsidR="006A24A7" w:rsidRPr="002B7A86" w:rsidRDefault="00F55255" w:rsidP="00C503FA">
            <w:pPr>
              <w:rPr>
                <w:lang w:val="es-ES"/>
              </w:rPr>
            </w:pPr>
            <w:r>
              <w:rPr>
                <w:lang w:val="es-ES"/>
              </w:rPr>
              <w:t>9</w:t>
            </w:r>
            <w:r w:rsidR="006A24A7" w:rsidRPr="002B7A86">
              <w:rPr>
                <w:lang w:val="es-ES"/>
              </w:rPr>
              <w:t xml:space="preserve"> de octubre de 2024</w:t>
            </w:r>
          </w:p>
          <w:p w14:paraId="2B7FDBB7" w14:textId="77777777" w:rsidR="006A24A7" w:rsidRPr="002B7A86" w:rsidRDefault="006A24A7" w:rsidP="00C503FA">
            <w:pPr>
              <w:rPr>
                <w:caps/>
                <w:lang w:val="es-ES"/>
              </w:rPr>
            </w:pPr>
          </w:p>
          <w:p w14:paraId="631CB6F9" w14:textId="77777777" w:rsidR="006A24A7" w:rsidRDefault="006A24A7" w:rsidP="00C503FA">
            <w:pPr>
              <w:rPr>
                <w:lang w:val="es-MX"/>
              </w:rPr>
            </w:pPr>
            <w:r>
              <w:rPr>
                <w:lang w:val="es-MX"/>
              </w:rPr>
              <w:t xml:space="preserve">ESPAÑOL </w:t>
            </w:r>
          </w:p>
          <w:p w14:paraId="5FA450D6" w14:textId="77777777" w:rsidR="006A24A7" w:rsidRDefault="006A24A7" w:rsidP="00C503FA">
            <w:pPr>
              <w:rPr>
                <w:lang w:val="es-ES"/>
              </w:rPr>
            </w:pPr>
            <w:r>
              <w:rPr>
                <w:lang w:val="es-ES"/>
              </w:rPr>
              <w:t xml:space="preserve">ORIGINAL: </w:t>
            </w:r>
            <w:r>
              <w:rPr>
                <w:lang w:val="es-MX"/>
              </w:rPr>
              <w:t>INGLÉS</w:t>
            </w:r>
          </w:p>
        </w:tc>
      </w:tr>
    </w:tbl>
    <w:p w14:paraId="3F409415" w14:textId="77777777" w:rsidR="006A24A7" w:rsidRPr="009B1A3A" w:rsidRDefault="006A24A7" w:rsidP="006A24A7">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6A24A7">
        <w:rPr>
          <w:lang w:val="es-ES"/>
        </w:rPr>
        <w:t>Nonagésim</w:t>
      </w:r>
      <w:r w:rsidR="00BF0D67">
        <w:rPr>
          <w:lang w:val="es-ES"/>
        </w:rPr>
        <w:t>a</w:t>
      </w:r>
      <w:r w:rsidRPr="006A24A7">
        <w:rPr>
          <w:lang w:val="es-ES"/>
        </w:rPr>
        <w:t xml:space="preserve"> quinta reunión</w:t>
      </w:r>
    </w:p>
    <w:p w14:paraId="2B7DBC34" w14:textId="77777777" w:rsidR="006A24A7" w:rsidRDefault="006A24A7" w:rsidP="006A24A7">
      <w:pPr>
        <w:jc w:val="left"/>
        <w:rPr>
          <w:lang w:val="es-ES"/>
        </w:rPr>
      </w:pPr>
      <w:r w:rsidRPr="009B1A3A">
        <w:rPr>
          <w:lang w:val="es-ES"/>
        </w:rPr>
        <w:t xml:space="preserve">Montreal, </w:t>
      </w:r>
      <w:r w:rsidRPr="006A24A7">
        <w:rPr>
          <w:lang w:val="es-ES"/>
        </w:rPr>
        <w:t xml:space="preserve">4 - </w:t>
      </w:r>
      <w:r w:rsidR="00B33C2F">
        <w:rPr>
          <w:lang w:val="es-ES"/>
        </w:rPr>
        <w:t>8</w:t>
      </w:r>
      <w:r w:rsidRPr="006A24A7">
        <w:rPr>
          <w:lang w:val="es-ES"/>
        </w:rPr>
        <w:t xml:space="preserve"> de diciembre de 2024</w:t>
      </w:r>
    </w:p>
    <w:p w14:paraId="11A9D0D0" w14:textId="445DEB5F" w:rsidR="006A24A7" w:rsidRPr="002B7A86" w:rsidRDefault="006A24A7" w:rsidP="006A24A7">
      <w:pPr>
        <w:jc w:val="left"/>
        <w:rPr>
          <w:lang w:val="es-ES"/>
        </w:rPr>
      </w:pPr>
      <w:r w:rsidRPr="002B7A86">
        <w:rPr>
          <w:lang w:val="es-ES"/>
        </w:rPr>
        <w:t xml:space="preserve">Cuestión </w:t>
      </w:r>
      <w:r w:rsidR="00F55255">
        <w:rPr>
          <w:lang w:val="es-ES"/>
        </w:rPr>
        <w:t>11 a)</w:t>
      </w:r>
      <w:r w:rsidRPr="002B7A86">
        <w:rPr>
          <w:lang w:val="es-ES"/>
        </w:rPr>
        <w:t xml:space="preserve"> del orden del día provisional</w:t>
      </w:r>
      <w:r w:rsidRPr="00512BEF">
        <w:rPr>
          <w:rStyle w:val="FootnoteReference"/>
        </w:rPr>
        <w:footnoteReference w:id="1"/>
      </w:r>
    </w:p>
    <w:p w14:paraId="3ABC7EB3" w14:textId="77777777" w:rsidR="00C15867" w:rsidRPr="002B7A86" w:rsidRDefault="00C15867" w:rsidP="00CA59FB">
      <w:pPr>
        <w:jc w:val="left"/>
        <w:rPr>
          <w:lang w:val="es-ES"/>
        </w:rPr>
      </w:pPr>
    </w:p>
    <w:p w14:paraId="6C556946" w14:textId="77777777" w:rsidR="00BF0D67" w:rsidRPr="00A606EC" w:rsidRDefault="00BF0D67" w:rsidP="004A4734">
      <w:pPr>
        <w:pStyle w:val="Title1"/>
        <w:rPr>
          <w:lang w:val="es-ES_tradnl"/>
        </w:rPr>
      </w:pPr>
    </w:p>
    <w:p w14:paraId="56C1CC76" w14:textId="77777777" w:rsidR="00F55255" w:rsidRPr="00F55255" w:rsidRDefault="00F55255" w:rsidP="00F55255">
      <w:pPr>
        <w:pStyle w:val="Heading1"/>
        <w:numPr>
          <w:ilvl w:val="0"/>
          <w:numId w:val="0"/>
        </w:numPr>
        <w:ind w:left="360"/>
        <w:jc w:val="center"/>
        <w:rPr>
          <w:b/>
          <w:caps/>
          <w:lang w:val="es-ES_tradnl"/>
        </w:rPr>
      </w:pPr>
      <w:bookmarkStart w:id="0" w:name="_Hlk129628306"/>
      <w:r w:rsidRPr="00F55255">
        <w:rPr>
          <w:b/>
          <w:caps/>
          <w:lang w:val="es-ES_tradnl"/>
        </w:rPr>
        <w:t>PROYECTO DE DIRECTRICES PARA LA FINANCIACIÓN DE LA REDUCCIÓN DE LOS HFC EN LOS PAÍSES DEL ARTÍCULO 5, INCLUIDA LA CONSIDERACIÓN DE LA PUESTA EN PRÁCTICA DEL PÁRRAFO 24 DE LA DECISIÓN xxviii/2</w:t>
      </w:r>
      <w:bookmarkEnd w:id="0"/>
    </w:p>
    <w:p w14:paraId="6126B152" w14:textId="77777777" w:rsidR="004A4734" w:rsidRPr="00A606EC" w:rsidRDefault="004A4734" w:rsidP="004A4734">
      <w:pPr>
        <w:pStyle w:val="Heading1"/>
        <w:numPr>
          <w:ilvl w:val="0"/>
          <w:numId w:val="0"/>
        </w:numPr>
        <w:rPr>
          <w:lang w:val="es-ES_tradnl"/>
        </w:rPr>
      </w:pPr>
    </w:p>
    <w:p w14:paraId="5E2917B4" w14:textId="77777777" w:rsidR="00F55255" w:rsidRPr="00F55255" w:rsidRDefault="00F55255" w:rsidP="00F55255">
      <w:pPr>
        <w:pStyle w:val="Heading1"/>
        <w:numPr>
          <w:ilvl w:val="0"/>
          <w:numId w:val="0"/>
        </w:numPr>
        <w:rPr>
          <w:b/>
          <w:lang w:val="es-ES_tradnl"/>
        </w:rPr>
      </w:pPr>
      <w:r w:rsidRPr="00F55255">
        <w:rPr>
          <w:b/>
          <w:lang w:val="es-ES_tradnl"/>
        </w:rPr>
        <w:t>Introducción</w:t>
      </w:r>
    </w:p>
    <w:p w14:paraId="697F3C8A" w14:textId="77777777" w:rsidR="00F55255" w:rsidRPr="00F55255" w:rsidRDefault="00F55255" w:rsidP="00F55255">
      <w:pPr>
        <w:pStyle w:val="Heading1"/>
        <w:numPr>
          <w:ilvl w:val="0"/>
          <w:numId w:val="22"/>
        </w:numPr>
        <w:rPr>
          <w:lang w:val="es-ES_tradnl"/>
        </w:rPr>
      </w:pPr>
      <w:r w:rsidRPr="00F55255">
        <w:rPr>
          <w:lang w:val="es-ES_tradnl"/>
        </w:rPr>
        <w:t xml:space="preserve">Desde la adopción de la Enmienda de Kigali en la 28ª Reunión de las Partes en el Protocolo de Montreal en 2016, el Comité Ejecutivo ha estado trabajando en la elaboración de directrices para financiar la reducción del consumo y la producción de </w:t>
      </w:r>
      <w:proofErr w:type="spellStart"/>
      <w:r w:rsidRPr="00F55255">
        <w:rPr>
          <w:lang w:val="es-ES_tradnl"/>
        </w:rPr>
        <w:t>hidrofluorocarburos</w:t>
      </w:r>
      <w:proofErr w:type="spellEnd"/>
      <w:r w:rsidRPr="00F55255">
        <w:rPr>
          <w:lang w:val="es-ES_tradnl"/>
        </w:rPr>
        <w:t xml:space="preserve"> (HFC), incluidos los umbrales de relación de costo a eficacia, y la Secretaría ha elaborado una serie de documentos para prestar asistencia al Comité en sus deliberaciones en curso. En consonancia con las decisiones XXVIII/2 y XXX/4</w:t>
      </w:r>
      <w:r w:rsidRPr="00F55255">
        <w:rPr>
          <w:vertAlign w:val="superscript"/>
          <w:lang w:val="es-ES_tradnl"/>
        </w:rPr>
        <w:footnoteReference w:id="2"/>
      </w:r>
      <w:r w:rsidRPr="00F55255">
        <w:rPr>
          <w:lang w:val="es-ES_tradnl"/>
        </w:rPr>
        <w:t>, el Comité Ejecutivo proporciona a las Partes actualizaciones anuales sobre los avances en sus deliberaciones y presentará el proyecto de directrices para que las Partes lo examinen y aporten sus opiniones antes de su finalización. En el documento UNEP/</w:t>
      </w:r>
      <w:proofErr w:type="spellStart"/>
      <w:r w:rsidRPr="00F55255">
        <w:rPr>
          <w:lang w:val="es-ES_tradnl"/>
        </w:rPr>
        <w:t>OzL.Pro</w:t>
      </w:r>
      <w:proofErr w:type="spellEnd"/>
      <w:r w:rsidRPr="00F55255">
        <w:rPr>
          <w:lang w:val="es-ES_tradnl"/>
        </w:rPr>
        <w:t>/</w:t>
      </w:r>
      <w:proofErr w:type="spellStart"/>
      <w:r w:rsidRPr="00F55255">
        <w:rPr>
          <w:lang w:val="es-ES_tradnl"/>
        </w:rPr>
        <w:t>ExCom</w:t>
      </w:r>
      <w:proofErr w:type="spellEnd"/>
      <w:r w:rsidRPr="00F55255">
        <w:rPr>
          <w:lang w:val="es-ES_tradnl"/>
        </w:rPr>
        <w:t>/94/60 puede encontrarse la información relativa a las discusiones que han tenido lugar entre la 80</w:t>
      </w:r>
      <w:r w:rsidRPr="00F55255">
        <w:rPr>
          <w:vertAlign w:val="superscript"/>
          <w:lang w:val="es-ES_tradnl"/>
        </w:rPr>
        <w:t>a</w:t>
      </w:r>
      <w:r w:rsidRPr="00F55255">
        <w:rPr>
          <w:lang w:val="es-ES_tradnl"/>
        </w:rPr>
        <w:t xml:space="preserve"> y la 91</w:t>
      </w:r>
      <w:r w:rsidRPr="00F55255">
        <w:rPr>
          <w:vertAlign w:val="superscript"/>
          <w:lang w:val="es-ES_tradnl"/>
        </w:rPr>
        <w:t>a</w:t>
      </w:r>
      <w:r w:rsidRPr="00F55255">
        <w:rPr>
          <w:lang w:val="es-ES_tradnl"/>
        </w:rPr>
        <w:t> reuniones.</w:t>
      </w:r>
    </w:p>
    <w:p w14:paraId="51426667" w14:textId="77777777" w:rsidR="00F55255" w:rsidRPr="00F55255" w:rsidRDefault="00F55255" w:rsidP="00F55255">
      <w:pPr>
        <w:pStyle w:val="Heading1"/>
        <w:numPr>
          <w:ilvl w:val="0"/>
          <w:numId w:val="22"/>
        </w:numPr>
        <w:rPr>
          <w:lang w:val="es-ES_tradnl"/>
        </w:rPr>
      </w:pPr>
      <w:r w:rsidRPr="00F55255">
        <w:rPr>
          <w:lang w:val="es-ES_tradnl"/>
        </w:rPr>
        <w:t>En la 92</w:t>
      </w:r>
      <w:r w:rsidRPr="00F55255">
        <w:rPr>
          <w:vertAlign w:val="superscript"/>
          <w:lang w:val="es-ES_tradnl"/>
        </w:rPr>
        <w:t>a</w:t>
      </w:r>
      <w:r w:rsidRPr="00F55255">
        <w:rPr>
          <w:lang w:val="es-ES_tradnl"/>
        </w:rPr>
        <w:t> reunión, el grupo de contacto establecido para debatir las directrices sobre costos examinó los umbrales de relación de costo a eficacia, el punto de partida para las reducciones acumuladas sostenidas del consumo de HFC a partir de la información presentada en el documento UNEP/</w:t>
      </w:r>
      <w:proofErr w:type="spellStart"/>
      <w:r w:rsidRPr="00F55255">
        <w:rPr>
          <w:lang w:val="es-ES_tradnl"/>
        </w:rPr>
        <w:t>OzL.Pro</w:t>
      </w:r>
      <w:proofErr w:type="spellEnd"/>
      <w:r w:rsidRPr="00F55255">
        <w:rPr>
          <w:lang w:val="es-ES_tradnl"/>
        </w:rPr>
        <w:t>/</w:t>
      </w:r>
      <w:proofErr w:type="spellStart"/>
      <w:r w:rsidRPr="00F55255">
        <w:rPr>
          <w:lang w:val="es-ES_tradnl"/>
        </w:rPr>
        <w:t>ExCom</w:t>
      </w:r>
      <w:proofErr w:type="spellEnd"/>
      <w:r w:rsidRPr="00F55255">
        <w:rPr>
          <w:lang w:val="es-ES_tradnl"/>
        </w:rPr>
        <w:t>/92/46, y la definición de qué constituyen pequeñas y medianas empresas (pymes) en los sectores de fabricación de equipos comerciales de aire acondicionado y de refrigeración tomando como base la información presentada en el documento UNEP/</w:t>
      </w:r>
      <w:proofErr w:type="spellStart"/>
      <w:r w:rsidRPr="00F55255">
        <w:rPr>
          <w:lang w:val="es-ES_tradnl"/>
        </w:rPr>
        <w:t>OzL.Pro</w:t>
      </w:r>
      <w:proofErr w:type="spellEnd"/>
      <w:r w:rsidRPr="00F55255">
        <w:rPr>
          <w:lang w:val="es-ES_tradnl"/>
        </w:rPr>
        <w:t>/</w:t>
      </w:r>
      <w:proofErr w:type="spellStart"/>
      <w:r w:rsidRPr="00F55255">
        <w:rPr>
          <w:lang w:val="es-ES_tradnl"/>
        </w:rPr>
        <w:t>ExCom</w:t>
      </w:r>
      <w:proofErr w:type="spellEnd"/>
      <w:r w:rsidRPr="00F55255">
        <w:rPr>
          <w:lang w:val="es-ES_tradnl"/>
        </w:rPr>
        <w:t xml:space="preserve">/92/45 (que se reproduce en la sección II del presente documento). Otro grupo de contacto diferente, establecido para discutir las modalidades y los niveles de </w:t>
      </w:r>
      <w:r w:rsidRPr="00F55255">
        <w:rPr>
          <w:lang w:val="es-ES_tradnl"/>
        </w:rPr>
        <w:lastRenderedPageBreak/>
        <w:t>financiación para el sector de mantenimiento de equipos de refrigeración llegó a un acuerdo sobre la cuestión, tal como queda reflejado en la decisión 92/37.</w:t>
      </w:r>
    </w:p>
    <w:p w14:paraId="7B5F6950" w14:textId="79D4A0E5" w:rsidR="00F55255" w:rsidRPr="00A606EC" w:rsidRDefault="00F55255" w:rsidP="00F55255">
      <w:pPr>
        <w:pStyle w:val="Heading1"/>
        <w:numPr>
          <w:ilvl w:val="0"/>
          <w:numId w:val="22"/>
        </w:numPr>
        <w:rPr>
          <w:lang w:val="es-ES_tradnl"/>
        </w:rPr>
      </w:pPr>
      <w:r w:rsidRPr="00A606EC">
        <w:rPr>
          <w:lang w:val="es-ES_tradnl"/>
        </w:rPr>
        <w:t>En la 93</w:t>
      </w:r>
      <w:r w:rsidRPr="00A606EC">
        <w:rPr>
          <w:vertAlign w:val="superscript"/>
          <w:lang w:val="es-ES_tradnl"/>
        </w:rPr>
        <w:t>a</w:t>
      </w:r>
      <w:r w:rsidRPr="00A606EC">
        <w:rPr>
          <w:lang w:val="es-ES_tradnl"/>
        </w:rPr>
        <w:t> reunión, se presentaron en el grupo de contacto dos propuestas distintas sobre los elementos pendientes de las directrices sobre costos de los HFC, una por parte de países que no operan al amparo del artículo 5 y la otra por parte de países del artículo 5. Además, el Gobierno de Australia presentó una propuesta relacionada con el punto de partida. En cuanto a los umbrales de relación de costo a eficacia, algunos países que no operan al amparo del artículo 5 sugirieron que podría concederse una bonificación porcentual adicional para fomentar la transición a alternativas con un potencial de calentamiento atmosférico (PCA) bajo o nulo. El Comité Ejecutivo acordó seguir examinando el asunto en la 94ª reunión utilizando los documentos de trabajo que figuran en el anexo LXII del informe de la 93ª reunión.</w:t>
      </w:r>
    </w:p>
    <w:p w14:paraId="1658117C" w14:textId="08006920" w:rsidR="00F55255" w:rsidRPr="00F55255" w:rsidRDefault="00F55255" w:rsidP="00F55255">
      <w:pPr>
        <w:pStyle w:val="Heading1"/>
        <w:numPr>
          <w:ilvl w:val="0"/>
          <w:numId w:val="21"/>
        </w:numPr>
        <w:rPr>
          <w:lang w:val="es-ES_tradnl"/>
        </w:rPr>
      </w:pPr>
      <w:r w:rsidRPr="00F55255">
        <w:rPr>
          <w:lang w:val="es-ES_tradnl"/>
        </w:rPr>
        <w:t>En la 94ª reunión, el grupo de contacto discutió las propuestas sobre los elementos pendientes de las directrices sobre costos de los HFC que se habían presentado en la 93</w:t>
      </w:r>
      <w:r w:rsidRPr="00F55255">
        <w:rPr>
          <w:vertAlign w:val="superscript"/>
          <w:lang w:val="es-ES_tradnl"/>
        </w:rPr>
        <w:t>a</w:t>
      </w:r>
      <w:r w:rsidRPr="00F55255">
        <w:rPr>
          <w:lang w:val="es-ES_tradnl"/>
        </w:rPr>
        <w:t> reunión por parte de países que no operan al amparo del artículo 5 y por parte de países acogidos al artículo 5. La cuestión de los elementos de costo se debatió en un grupo más pequeño integrado por representantes de cuatro Partes que operan al amparo del artículo 5 y cuatro Partes que no operan al amparo del artículo 5, y el grupo de contacto preparó un documento de trabajo final consolidado con las últimas propuestas sobre los umbrales de relación de costo a eficacia y costos adicionales de explotación, junto con los valores acordados hasta la fecha, que se incluyen en el anexo I del presente documento. El cuadro que contiene es resultado de los debates sobre propuestas anteriores que se habían ido presentando durante la semana por países que no operan al amparo del artículo 5 y por países del artículo 5, que se adjuntan como referencia en los anexos II y III (respectivamente) del presente documento. El grupo de contacto convino en que el sector de equipos de refrigeración domésticos mantuviera el umbral de relación de costo a eficacia acordado anteriormente, de 13,76 $EUA por kilogramo, con un valor de 5,75 $EUA por kilogramo para los costos adicionales de explotación. Para el sector de equipos de refrigeración comerciales, los costos adicionales de explotación se acordaron en 5,50 $EUA por kilogramo. En el caso del sector de espumas de poliuretano (PU), se mantuvo el umbral de relación de costo a eficacia acordado anteriormente, de 9,00 $EUA por kilogramo, y se acordó que los costos adicionales de explotación fueran de 5,20 $EUA por kilogramo. Los debates sobre las grandes empresas en el sector de equipos fijos de aire acondicionado, la definición de qué constituía pequeñas y medianas empresas y las consideraciones especiales para su financiación, y el punto de partida continuarán en la 95</w:t>
      </w:r>
      <w:r w:rsidRPr="00F55255">
        <w:rPr>
          <w:vertAlign w:val="superscript"/>
          <w:lang w:val="es-ES_tradnl"/>
        </w:rPr>
        <w:t>a</w:t>
      </w:r>
      <w:r w:rsidRPr="00F55255">
        <w:rPr>
          <w:lang w:val="es-ES_tradnl"/>
        </w:rPr>
        <w:t> reunión. El Comité Ejecutivo acordó proseguir, en su 95</w:t>
      </w:r>
      <w:r w:rsidRPr="00F55255">
        <w:rPr>
          <w:vertAlign w:val="superscript"/>
          <w:lang w:val="es-ES_tradnl"/>
        </w:rPr>
        <w:t>a</w:t>
      </w:r>
      <w:r w:rsidRPr="00F55255">
        <w:rPr>
          <w:lang w:val="es-ES_tradnl"/>
        </w:rPr>
        <w:t> reunión, el examen del proyecto de directrices para financiar la reducción de los HFC en los países del artículo 5, incluido el considerar la puesta en práctica del párrafo 24 de la decisión XXVIII/2, utilizando los documentos de trabajo que figuran en el anexo XLVI del informe final de la 94</w:t>
      </w:r>
      <w:r w:rsidRPr="00F55255">
        <w:rPr>
          <w:vertAlign w:val="superscript"/>
          <w:lang w:val="es-ES_tradnl"/>
        </w:rPr>
        <w:t>a</w:t>
      </w:r>
      <w:r w:rsidRPr="00F55255">
        <w:rPr>
          <w:lang w:val="es-ES_tradnl"/>
        </w:rPr>
        <w:t> reunión.</w:t>
      </w:r>
    </w:p>
    <w:p w14:paraId="4BA3796B" w14:textId="77777777" w:rsidR="00F55255" w:rsidRPr="00F55255" w:rsidRDefault="00F55255" w:rsidP="00F55255">
      <w:pPr>
        <w:pStyle w:val="Heading1"/>
        <w:numPr>
          <w:ilvl w:val="0"/>
          <w:numId w:val="22"/>
        </w:numPr>
        <w:rPr>
          <w:lang w:val="es-ES_tradnl"/>
        </w:rPr>
      </w:pPr>
      <w:r w:rsidRPr="00F55255">
        <w:rPr>
          <w:lang w:val="es-ES_tradnl"/>
        </w:rPr>
        <w:t>Los documentos de trabajo emitidos para su examen por el Comité Ejecutivo en la 95</w:t>
      </w:r>
      <w:r w:rsidRPr="00F55255">
        <w:rPr>
          <w:vertAlign w:val="superscript"/>
          <w:lang w:val="es-ES_tradnl"/>
        </w:rPr>
        <w:t>a</w:t>
      </w:r>
      <w:r w:rsidRPr="00F55255">
        <w:rPr>
          <w:lang w:val="es-ES_tradnl"/>
        </w:rPr>
        <w:t> reunión son:</w:t>
      </w:r>
    </w:p>
    <w:p w14:paraId="5975E0A0" w14:textId="77777777" w:rsidR="00F55255" w:rsidRPr="00A606EC" w:rsidRDefault="00F55255" w:rsidP="00BF4B61">
      <w:pPr>
        <w:pStyle w:val="Heading2"/>
        <w:rPr>
          <w:lang w:val="es-ES_tradnl"/>
        </w:rPr>
      </w:pPr>
      <w:r w:rsidRPr="00A606EC">
        <w:rPr>
          <w:lang w:val="es-ES_tradnl"/>
        </w:rPr>
        <w:t>Textos de trabajo sobre:</w:t>
      </w:r>
    </w:p>
    <w:p w14:paraId="1A374367" w14:textId="64162372" w:rsidR="00F55255" w:rsidRPr="00A606EC" w:rsidRDefault="00F55255" w:rsidP="000420DC">
      <w:pPr>
        <w:pStyle w:val="Heading3"/>
        <w:numPr>
          <w:ilvl w:val="2"/>
          <w:numId w:val="22"/>
        </w:numPr>
        <w:rPr>
          <w:lang w:val="es-ES_tradnl"/>
        </w:rPr>
      </w:pPr>
      <w:r w:rsidRPr="00A606EC">
        <w:rPr>
          <w:lang w:val="es-ES_tradnl"/>
        </w:rPr>
        <w:t>Propuestas finales de países del artículo 5 y de países no acogidos a este artículo para grandes empresas y sobre los costos adicionales de explotación, tal como quedaron en la 94</w:t>
      </w:r>
      <w:r w:rsidRPr="00A606EC">
        <w:rPr>
          <w:vertAlign w:val="superscript"/>
          <w:lang w:val="es-ES_tradnl"/>
        </w:rPr>
        <w:t>a</w:t>
      </w:r>
      <w:r w:rsidRPr="00A606EC">
        <w:rPr>
          <w:lang w:val="es-ES_tradnl"/>
        </w:rPr>
        <w:t> reunión (anexo I)</w:t>
      </w:r>
      <w:r w:rsidR="000420DC" w:rsidRPr="00A606EC">
        <w:rPr>
          <w:lang w:val="es-ES_tradnl"/>
        </w:rPr>
        <w:t>;</w:t>
      </w:r>
    </w:p>
    <w:p w14:paraId="552181C3" w14:textId="77777777" w:rsidR="00F55255" w:rsidRPr="00A606EC" w:rsidRDefault="00F55255" w:rsidP="000420DC">
      <w:pPr>
        <w:pStyle w:val="Heading3"/>
        <w:numPr>
          <w:ilvl w:val="2"/>
          <w:numId w:val="22"/>
        </w:numPr>
        <w:rPr>
          <w:lang w:val="es-ES_tradnl"/>
        </w:rPr>
      </w:pPr>
      <w:r w:rsidRPr="00A606EC">
        <w:rPr>
          <w:lang w:val="es-ES_tradnl"/>
        </w:rPr>
        <w:t>Propuestas anteriores realizadas durante la 94</w:t>
      </w:r>
      <w:r w:rsidRPr="00A606EC">
        <w:rPr>
          <w:vertAlign w:val="superscript"/>
          <w:lang w:val="es-ES_tradnl"/>
        </w:rPr>
        <w:t>a</w:t>
      </w:r>
      <w:r w:rsidRPr="00A606EC">
        <w:rPr>
          <w:lang w:val="es-ES_tradnl"/>
        </w:rPr>
        <w:t> reunión por parte de países que no operan al amparo del artículo 5 y de países del artículo 5 sobre los elementos pendientes de las directrices sobre costos, únicamente como referencia (anexos II y III, respectivamente);</w:t>
      </w:r>
    </w:p>
    <w:p w14:paraId="017BEA4A" w14:textId="77777777" w:rsidR="00F55255" w:rsidRPr="00A606EC" w:rsidRDefault="00F55255" w:rsidP="000420DC">
      <w:pPr>
        <w:pStyle w:val="Heading3"/>
        <w:numPr>
          <w:ilvl w:val="2"/>
          <w:numId w:val="22"/>
        </w:numPr>
        <w:rPr>
          <w:lang w:val="es-ES_tradnl"/>
        </w:rPr>
      </w:pPr>
      <w:r w:rsidRPr="00A606EC">
        <w:rPr>
          <w:lang w:val="es-ES_tradnl"/>
        </w:rPr>
        <w:t>La definición de pequeñas y medianas empresas (anexo IV);</w:t>
      </w:r>
    </w:p>
    <w:p w14:paraId="09D7C133" w14:textId="77777777" w:rsidR="00F55255" w:rsidRPr="00A606EC" w:rsidRDefault="00F55255" w:rsidP="000420DC">
      <w:pPr>
        <w:pStyle w:val="Heading3"/>
        <w:numPr>
          <w:ilvl w:val="2"/>
          <w:numId w:val="22"/>
        </w:numPr>
        <w:rPr>
          <w:lang w:val="es-ES_tradnl"/>
        </w:rPr>
      </w:pPr>
      <w:r w:rsidRPr="00A606EC">
        <w:rPr>
          <w:lang w:val="es-ES_tradnl"/>
        </w:rPr>
        <w:t>El punto de partida para las reducciones sostenidas del consumo de HFC presentado por el Gobierno de Australia (anexo V);</w:t>
      </w:r>
    </w:p>
    <w:p w14:paraId="351B6A5E" w14:textId="77777777" w:rsidR="00F55255" w:rsidRPr="00A606EC" w:rsidRDefault="00F55255" w:rsidP="00BF4B61">
      <w:pPr>
        <w:pStyle w:val="Heading2"/>
        <w:rPr>
          <w:lang w:val="es-ES_tradnl"/>
        </w:rPr>
      </w:pPr>
      <w:r w:rsidRPr="00A606EC">
        <w:rPr>
          <w:lang w:val="es-ES_tradnl"/>
        </w:rPr>
        <w:lastRenderedPageBreak/>
        <w:t>La propuesta de plantilla de las directrices sobre costos, aprobada inicialmente en la 78</w:t>
      </w:r>
      <w:r w:rsidRPr="00A606EC">
        <w:rPr>
          <w:vertAlign w:val="superscript"/>
          <w:lang w:val="es-ES_tradnl"/>
        </w:rPr>
        <w:t>a</w:t>
      </w:r>
      <w:r w:rsidRPr="00A606EC">
        <w:rPr>
          <w:lang w:val="es-ES_tradnl"/>
        </w:rPr>
        <w:t> reunión y actualizada a partir de la 94ª reunión (anexo VI); y</w:t>
      </w:r>
    </w:p>
    <w:p w14:paraId="77CC56E6" w14:textId="77777777" w:rsidR="00F55255" w:rsidRPr="00A606EC" w:rsidRDefault="00F55255" w:rsidP="00BF4B61">
      <w:pPr>
        <w:pStyle w:val="Heading2"/>
        <w:rPr>
          <w:lang w:val="es-ES_tradnl"/>
        </w:rPr>
      </w:pPr>
      <w:r w:rsidRPr="00A606EC">
        <w:rPr>
          <w:lang w:val="es-ES_tradnl"/>
        </w:rPr>
        <w:t>El documento sobre el punto de partida de las reducciones acumuladas sostenidas, preparado para la 92</w:t>
      </w:r>
      <w:r w:rsidRPr="00A606EC">
        <w:rPr>
          <w:vertAlign w:val="superscript"/>
          <w:lang w:val="es-ES_tradnl"/>
        </w:rPr>
        <w:t xml:space="preserve">a </w:t>
      </w:r>
      <w:r w:rsidRPr="00A606EC">
        <w:rPr>
          <w:lang w:val="es-ES_tradnl"/>
        </w:rPr>
        <w:t>reunión</w:t>
      </w:r>
      <w:r w:rsidRPr="00A606EC">
        <w:rPr>
          <w:vertAlign w:val="superscript"/>
          <w:lang w:val="es-ES_tradnl"/>
        </w:rPr>
        <w:footnoteReference w:id="3"/>
      </w:r>
      <w:r w:rsidRPr="00A606EC">
        <w:rPr>
          <w:lang w:val="es-ES_tradnl"/>
        </w:rPr>
        <w:t>, debatido en el grupo de contacto sobre las directrices de costos para la reducción de los HFC, y reeditado en la 93ª reunión como el documento UNEP/</w:t>
      </w:r>
      <w:proofErr w:type="spellStart"/>
      <w:r w:rsidRPr="00A606EC">
        <w:rPr>
          <w:lang w:val="es-ES_tradnl"/>
        </w:rPr>
        <w:t>OzL.Pro</w:t>
      </w:r>
      <w:proofErr w:type="spellEnd"/>
      <w:r w:rsidRPr="00A606EC">
        <w:rPr>
          <w:lang w:val="es-ES_tradnl"/>
        </w:rPr>
        <w:t>/</w:t>
      </w:r>
      <w:proofErr w:type="spellStart"/>
      <w:r w:rsidRPr="00A606EC">
        <w:rPr>
          <w:lang w:val="es-ES_tradnl"/>
        </w:rPr>
        <w:t>ExCom</w:t>
      </w:r>
      <w:proofErr w:type="spellEnd"/>
      <w:r w:rsidRPr="00A606EC">
        <w:rPr>
          <w:lang w:val="es-ES_tradnl"/>
        </w:rPr>
        <w:t xml:space="preserve">/93/97, estará disponible como información de contexto para esta reunión. </w:t>
      </w:r>
    </w:p>
    <w:p w14:paraId="752EA755" w14:textId="77777777" w:rsidR="00F55255" w:rsidRPr="00F55255" w:rsidRDefault="00F55255" w:rsidP="00F55255">
      <w:pPr>
        <w:pStyle w:val="Heading1"/>
        <w:numPr>
          <w:ilvl w:val="0"/>
          <w:numId w:val="22"/>
        </w:numPr>
        <w:rPr>
          <w:lang w:val="es-ES_tradnl"/>
        </w:rPr>
      </w:pPr>
      <w:r w:rsidRPr="00F55255">
        <w:rPr>
          <w:lang w:val="es-ES_tradnl"/>
        </w:rPr>
        <w:t>El presente resumen de los progresos logrados en las deliberaciones relativas a las directrices sobre los costos para la reducción de los HFC</w:t>
      </w:r>
      <w:r w:rsidRPr="00F55255">
        <w:rPr>
          <w:vertAlign w:val="superscript"/>
          <w:lang w:val="es-ES_tradnl"/>
        </w:rPr>
        <w:footnoteReference w:id="4"/>
      </w:r>
      <w:r w:rsidRPr="00F55255">
        <w:rPr>
          <w:lang w:val="es-ES_tradnl"/>
        </w:rPr>
        <w:t xml:space="preserve"> consta de las secciones siguientes:</w:t>
      </w:r>
    </w:p>
    <w:p w14:paraId="6F92FF9D" w14:textId="77777777" w:rsidR="00F55255" w:rsidRPr="00A606EC" w:rsidRDefault="00F55255" w:rsidP="00F55255">
      <w:pPr>
        <w:spacing w:after="240"/>
        <w:ind w:left="1412" w:hanging="706"/>
        <w:rPr>
          <w:lang w:val="es-ES_tradnl"/>
        </w:rPr>
      </w:pPr>
      <w:r w:rsidRPr="00A606EC">
        <w:rPr>
          <w:lang w:val="es-ES_tradnl"/>
        </w:rPr>
        <w:t>I.</w:t>
      </w:r>
      <w:r w:rsidRPr="00A606EC">
        <w:rPr>
          <w:lang w:val="es-ES_tradnl"/>
        </w:rPr>
        <w:tab/>
        <w:t>Progresos realizados y cuestiones pendientes en la elaboración de las directrices sobre costos para la reducción de los HFC</w:t>
      </w:r>
    </w:p>
    <w:p w14:paraId="756524EA" w14:textId="77777777" w:rsidR="00F55255" w:rsidRPr="00A606EC" w:rsidRDefault="00F55255" w:rsidP="00F55255">
      <w:pPr>
        <w:spacing w:after="240"/>
        <w:ind w:left="1418" w:hanging="709"/>
        <w:rPr>
          <w:lang w:val="es-ES_tradnl"/>
        </w:rPr>
      </w:pPr>
      <w:r w:rsidRPr="00A606EC">
        <w:rPr>
          <w:lang w:val="es-ES_tradnl"/>
        </w:rPr>
        <w:t>II.</w:t>
      </w:r>
      <w:r w:rsidRPr="00A606EC">
        <w:rPr>
          <w:lang w:val="es-ES_tradnl"/>
        </w:rPr>
        <w:tab/>
        <w:t>Información para asistir al Comité Ejecutivo en la definición de pequeñas y medianas empresas en los sectores de fabricación de equipos comerciales de aire acondicionado y equipos comerciales de refrigeración.</w:t>
      </w:r>
    </w:p>
    <w:p w14:paraId="44462104" w14:textId="77777777" w:rsidR="00F55255" w:rsidRPr="00A606EC" w:rsidRDefault="00F55255" w:rsidP="00F55255">
      <w:pPr>
        <w:ind w:left="1418" w:hanging="709"/>
        <w:rPr>
          <w:lang w:val="es-ES_tradnl"/>
        </w:rPr>
      </w:pPr>
      <w:r w:rsidRPr="00A606EC">
        <w:rPr>
          <w:lang w:val="es-ES_tradnl"/>
        </w:rPr>
        <w:t>III.</w:t>
      </w:r>
      <w:r w:rsidRPr="00A606EC">
        <w:rPr>
          <w:lang w:val="es-ES_tradnl"/>
        </w:rPr>
        <w:tab/>
        <w:t>Recomendación</w:t>
      </w:r>
    </w:p>
    <w:p w14:paraId="393387BE" w14:textId="77777777" w:rsidR="00F55255" w:rsidRPr="00A606EC" w:rsidRDefault="00F55255" w:rsidP="00F55255">
      <w:pPr>
        <w:ind w:left="1418" w:hanging="709"/>
        <w:rPr>
          <w:lang w:val="es-ES_tradnl"/>
        </w:rPr>
      </w:pPr>
    </w:p>
    <w:p w14:paraId="14638515" w14:textId="77777777" w:rsidR="00BF4B61" w:rsidRPr="00BF4B61" w:rsidRDefault="00BF4B61" w:rsidP="00BF4B61">
      <w:pPr>
        <w:pStyle w:val="Heading1"/>
        <w:numPr>
          <w:ilvl w:val="0"/>
          <w:numId w:val="0"/>
        </w:numPr>
        <w:ind w:left="709" w:hanging="709"/>
        <w:rPr>
          <w:b/>
          <w:bCs/>
          <w:lang w:val="es-ES_tradnl"/>
        </w:rPr>
      </w:pPr>
      <w:r w:rsidRPr="00BF4B61">
        <w:rPr>
          <w:b/>
          <w:lang w:val="es-ES_tradnl"/>
        </w:rPr>
        <w:t>I.</w:t>
      </w:r>
      <w:r w:rsidRPr="00BF4B61">
        <w:rPr>
          <w:b/>
          <w:lang w:val="es-ES_tradnl"/>
        </w:rPr>
        <w:tab/>
        <w:t>Progresos realizados y cuestiones pendientes en la elaboración de las directrices sobre costos para la reducción de los HFC</w:t>
      </w:r>
    </w:p>
    <w:p w14:paraId="0F48F573" w14:textId="77777777" w:rsidR="00F55255" w:rsidRPr="00F55255" w:rsidRDefault="00F55255" w:rsidP="00BF4B61">
      <w:pPr>
        <w:pStyle w:val="Heading1"/>
        <w:numPr>
          <w:ilvl w:val="0"/>
          <w:numId w:val="0"/>
        </w:numPr>
        <w:ind w:left="709" w:hanging="709"/>
        <w:rPr>
          <w:b/>
          <w:bCs/>
          <w:lang w:val="es-ES_tradnl"/>
        </w:rPr>
      </w:pPr>
      <w:r w:rsidRPr="00F55255">
        <w:rPr>
          <w:b/>
          <w:lang w:val="es-ES_tradnl"/>
        </w:rPr>
        <w:t>A.</w:t>
      </w:r>
      <w:r w:rsidRPr="00F55255">
        <w:rPr>
          <w:b/>
          <w:lang w:val="es-ES_tradnl"/>
        </w:rPr>
        <w:tab/>
        <w:t>Situación de las deliberaciones y posibles medidas adicionales sobre las directrices sobre costos para la reducción de los HFC</w:t>
      </w:r>
    </w:p>
    <w:p w14:paraId="04C3221F" w14:textId="77777777" w:rsidR="00F55255" w:rsidRPr="00A606EC" w:rsidRDefault="00F55255" w:rsidP="00F55255">
      <w:pPr>
        <w:keepNext/>
        <w:keepLines/>
        <w:rPr>
          <w:b/>
          <w:szCs w:val="21"/>
          <w:lang w:val="es-ES_tradnl"/>
        </w:rPr>
      </w:pPr>
      <w:bookmarkStart w:id="1" w:name="_Hlk118106184"/>
      <w:r w:rsidRPr="00A606EC">
        <w:rPr>
          <w:b/>
          <w:lang w:val="es-ES_tradnl"/>
        </w:rPr>
        <w:t>Cuadro 1. Estado de las deliberaciones sobre las directrices sobre costos para la reducción de los HFC tal como quedaron en la 94ª reunión</w:t>
      </w:r>
    </w:p>
    <w:tbl>
      <w:tblPr>
        <w:tblStyle w:val="TableGrid"/>
        <w:tblW w:w="5000" w:type="pct"/>
        <w:tblCellMar>
          <w:top w:w="29" w:type="dxa"/>
          <w:left w:w="58" w:type="dxa"/>
          <w:right w:w="58" w:type="dxa"/>
        </w:tblCellMar>
        <w:tblLook w:val="04A0" w:firstRow="1" w:lastRow="0" w:firstColumn="1" w:lastColumn="0" w:noHBand="0" w:noVBand="1"/>
      </w:tblPr>
      <w:tblGrid>
        <w:gridCol w:w="1696"/>
        <w:gridCol w:w="993"/>
        <w:gridCol w:w="4110"/>
        <w:gridCol w:w="2551"/>
      </w:tblGrid>
      <w:tr w:rsidR="00F55255" w:rsidRPr="00A606EC" w14:paraId="5432E40A" w14:textId="77777777" w:rsidTr="00F55255">
        <w:trPr>
          <w:tblHeader/>
        </w:trPr>
        <w:tc>
          <w:tcPr>
            <w:tcW w:w="907" w:type="pct"/>
            <w:tcBorders>
              <w:top w:val="single" w:sz="4" w:space="0" w:color="auto"/>
              <w:left w:val="single" w:sz="4" w:space="0" w:color="auto"/>
              <w:bottom w:val="single" w:sz="4" w:space="0" w:color="auto"/>
              <w:right w:val="single" w:sz="4" w:space="0" w:color="auto"/>
            </w:tcBorders>
            <w:tcMar>
              <w:top w:w="29" w:type="dxa"/>
              <w:left w:w="0" w:type="dxa"/>
              <w:bottom w:w="0" w:type="dxa"/>
              <w:right w:w="0" w:type="dxa"/>
            </w:tcMar>
            <w:hideMark/>
          </w:tcPr>
          <w:p w14:paraId="4D00AA6C" w14:textId="77777777" w:rsidR="00F55255" w:rsidRPr="00A606EC" w:rsidRDefault="00F55255">
            <w:pPr>
              <w:keepNext/>
              <w:spacing w:after="40"/>
              <w:jc w:val="center"/>
              <w:outlineLvl w:val="0"/>
              <w:rPr>
                <w:b/>
                <w:sz w:val="20"/>
                <w:szCs w:val="20"/>
                <w:lang w:val="es-ES_tradnl"/>
              </w:rPr>
            </w:pPr>
            <w:r w:rsidRPr="00A606EC">
              <w:rPr>
                <w:b/>
                <w:sz w:val="20"/>
                <w:lang w:val="es-ES_tradnl"/>
              </w:rPr>
              <w:t>Elementos de la decisión XXVIII/2</w:t>
            </w:r>
          </w:p>
        </w:tc>
        <w:tc>
          <w:tcPr>
            <w:tcW w:w="531" w:type="pct"/>
            <w:tcBorders>
              <w:top w:val="single" w:sz="4" w:space="0" w:color="auto"/>
              <w:left w:val="single" w:sz="4" w:space="0" w:color="auto"/>
              <w:bottom w:val="single" w:sz="4" w:space="0" w:color="auto"/>
              <w:right w:val="single" w:sz="4" w:space="0" w:color="auto"/>
            </w:tcBorders>
            <w:tcMar>
              <w:top w:w="29" w:type="dxa"/>
              <w:left w:w="0" w:type="dxa"/>
              <w:bottom w:w="0" w:type="dxa"/>
              <w:right w:w="0" w:type="dxa"/>
            </w:tcMar>
            <w:vAlign w:val="center"/>
            <w:hideMark/>
          </w:tcPr>
          <w:p w14:paraId="2D96BCB0" w14:textId="77777777" w:rsidR="00F55255" w:rsidRPr="00A606EC" w:rsidRDefault="00F55255">
            <w:pPr>
              <w:keepNext/>
              <w:spacing w:after="40"/>
              <w:jc w:val="center"/>
              <w:outlineLvl w:val="0"/>
              <w:rPr>
                <w:b/>
                <w:sz w:val="19"/>
                <w:szCs w:val="19"/>
                <w:lang w:val="es-ES_tradnl"/>
              </w:rPr>
            </w:pPr>
            <w:r w:rsidRPr="00A606EC">
              <w:rPr>
                <w:b/>
                <w:sz w:val="19"/>
                <w:lang w:val="es-ES_tradnl"/>
              </w:rPr>
              <w:t>Párrafo</w:t>
            </w:r>
          </w:p>
        </w:tc>
        <w:tc>
          <w:tcPr>
            <w:tcW w:w="2198" w:type="pct"/>
            <w:tcBorders>
              <w:top w:val="single" w:sz="4" w:space="0" w:color="auto"/>
              <w:left w:val="single" w:sz="4" w:space="0" w:color="auto"/>
              <w:bottom w:val="single" w:sz="4" w:space="0" w:color="auto"/>
              <w:right w:val="single" w:sz="4" w:space="0" w:color="auto"/>
            </w:tcBorders>
            <w:tcMar>
              <w:top w:w="29" w:type="dxa"/>
              <w:left w:w="0" w:type="dxa"/>
              <w:bottom w:w="0" w:type="dxa"/>
              <w:right w:w="0" w:type="dxa"/>
            </w:tcMar>
            <w:vAlign w:val="center"/>
            <w:hideMark/>
          </w:tcPr>
          <w:p w14:paraId="0AD18269" w14:textId="77777777" w:rsidR="00F55255" w:rsidRPr="00A606EC" w:rsidRDefault="00F55255">
            <w:pPr>
              <w:keepNext/>
              <w:spacing w:after="40"/>
              <w:jc w:val="center"/>
              <w:outlineLvl w:val="0"/>
              <w:rPr>
                <w:b/>
                <w:sz w:val="20"/>
                <w:szCs w:val="20"/>
                <w:lang w:val="es-ES_tradnl"/>
              </w:rPr>
            </w:pPr>
            <w:r w:rsidRPr="00A606EC">
              <w:rPr>
                <w:b/>
                <w:sz w:val="20"/>
                <w:lang w:val="es-ES_tradnl"/>
              </w:rPr>
              <w:t>Estado de las deliberaciones</w:t>
            </w:r>
          </w:p>
        </w:tc>
        <w:tc>
          <w:tcPr>
            <w:tcW w:w="1364" w:type="pct"/>
            <w:tcBorders>
              <w:top w:val="single" w:sz="4" w:space="0" w:color="auto"/>
              <w:left w:val="single" w:sz="4" w:space="0" w:color="auto"/>
              <w:bottom w:val="single" w:sz="4" w:space="0" w:color="auto"/>
              <w:right w:val="single" w:sz="4" w:space="0" w:color="auto"/>
            </w:tcBorders>
            <w:tcMar>
              <w:top w:w="29" w:type="dxa"/>
              <w:left w:w="0" w:type="dxa"/>
              <w:bottom w:w="0" w:type="dxa"/>
              <w:right w:w="0" w:type="dxa"/>
            </w:tcMar>
            <w:vAlign w:val="center"/>
            <w:hideMark/>
          </w:tcPr>
          <w:p w14:paraId="22849AC9" w14:textId="77777777" w:rsidR="00F55255" w:rsidRPr="00A606EC" w:rsidRDefault="00F55255">
            <w:pPr>
              <w:keepNext/>
              <w:spacing w:after="40"/>
              <w:jc w:val="center"/>
              <w:outlineLvl w:val="0"/>
              <w:rPr>
                <w:b/>
                <w:sz w:val="20"/>
                <w:szCs w:val="20"/>
                <w:lang w:val="es-ES_tradnl"/>
              </w:rPr>
            </w:pPr>
            <w:r w:rsidRPr="00A606EC">
              <w:rPr>
                <w:b/>
                <w:sz w:val="20"/>
                <w:lang w:val="es-ES_tradnl"/>
              </w:rPr>
              <w:t>Medidas adicionales</w:t>
            </w:r>
          </w:p>
        </w:tc>
      </w:tr>
      <w:tr w:rsidR="00F55255" w:rsidRPr="00A606EC" w14:paraId="5C4FBB8E" w14:textId="77777777" w:rsidTr="00F55255">
        <w:tc>
          <w:tcPr>
            <w:tcW w:w="5000" w:type="pct"/>
            <w:gridSpan w:val="4"/>
            <w:tcBorders>
              <w:top w:val="single" w:sz="4" w:space="0" w:color="auto"/>
              <w:left w:val="single" w:sz="4" w:space="0" w:color="auto"/>
              <w:bottom w:val="single" w:sz="4" w:space="0" w:color="auto"/>
              <w:right w:val="single" w:sz="4" w:space="0" w:color="auto"/>
            </w:tcBorders>
            <w:hideMark/>
          </w:tcPr>
          <w:p w14:paraId="3F63375D" w14:textId="77777777" w:rsidR="00F55255" w:rsidRPr="00A606EC" w:rsidRDefault="00F55255">
            <w:pPr>
              <w:keepNext/>
              <w:spacing w:after="40"/>
              <w:ind w:left="507"/>
              <w:jc w:val="left"/>
              <w:outlineLvl w:val="0"/>
              <w:rPr>
                <w:b/>
                <w:i/>
                <w:sz w:val="20"/>
                <w:szCs w:val="20"/>
                <w:lang w:val="es-ES_tradnl"/>
              </w:rPr>
            </w:pPr>
            <w:r w:rsidRPr="00A606EC">
              <w:rPr>
                <w:b/>
                <w:i/>
                <w:sz w:val="20"/>
                <w:lang w:val="es-ES_tradnl"/>
              </w:rPr>
              <w:t>Discutido</w:t>
            </w:r>
          </w:p>
        </w:tc>
      </w:tr>
      <w:tr w:rsidR="00F55255" w:rsidRPr="00A606EC" w14:paraId="7404DD99" w14:textId="77777777" w:rsidTr="00F55255">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9DB2F71" w14:textId="77777777" w:rsidR="00F55255" w:rsidRPr="00A606EC" w:rsidRDefault="00F55255">
            <w:pPr>
              <w:widowControl w:val="0"/>
              <w:spacing w:after="40"/>
              <w:jc w:val="left"/>
              <w:outlineLvl w:val="0"/>
              <w:rPr>
                <w:sz w:val="20"/>
                <w:szCs w:val="20"/>
                <w:lang w:val="es-ES_tradnl"/>
              </w:rPr>
            </w:pPr>
            <w:r w:rsidRPr="00A606EC">
              <w:rPr>
                <w:sz w:val="20"/>
                <w:lang w:val="es-ES_tradnl"/>
              </w:rPr>
              <w:t>Flexibilidad en la ejecución que permita a las Partes determinar sus propias estrategias y prioridades sectoriales y tecnológicas</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8B801BA" w14:textId="77777777" w:rsidR="00F55255" w:rsidRPr="00A606EC" w:rsidRDefault="00F55255">
            <w:pPr>
              <w:widowControl w:val="0"/>
              <w:spacing w:after="40"/>
              <w:jc w:val="center"/>
              <w:outlineLvl w:val="0"/>
              <w:rPr>
                <w:sz w:val="20"/>
                <w:szCs w:val="20"/>
                <w:lang w:val="es-ES_tradnl"/>
              </w:rPr>
            </w:pPr>
            <w:r w:rsidRPr="00A606EC">
              <w:rPr>
                <w:sz w:val="20"/>
                <w:lang w:val="es-ES_tradnl"/>
              </w:rPr>
              <w:t>13</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6272A30" w14:textId="77777777" w:rsidR="00F55255" w:rsidRPr="00A606EC" w:rsidRDefault="00F55255">
            <w:pPr>
              <w:widowControl w:val="0"/>
              <w:spacing w:after="40"/>
              <w:jc w:val="left"/>
              <w:outlineLvl w:val="0"/>
              <w:rPr>
                <w:sz w:val="20"/>
                <w:szCs w:val="20"/>
                <w:lang w:val="es-ES_tradnl"/>
              </w:rPr>
            </w:pPr>
            <w:r w:rsidRPr="00A606EC">
              <w:rPr>
                <w:sz w:val="20"/>
                <w:lang w:val="es-ES_tradnl"/>
              </w:rPr>
              <w:t>Texto incluido en la propuesta de plantilla*</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78A69AC" w14:textId="77777777" w:rsidR="00F55255" w:rsidRPr="00A606EC" w:rsidRDefault="00F55255">
            <w:pPr>
              <w:widowControl w:val="0"/>
              <w:spacing w:after="40"/>
              <w:jc w:val="left"/>
              <w:outlineLvl w:val="0"/>
              <w:rPr>
                <w:sz w:val="20"/>
                <w:szCs w:val="20"/>
                <w:lang w:val="es-ES_tradnl"/>
              </w:rPr>
            </w:pPr>
            <w:r w:rsidRPr="00A606EC">
              <w:rPr>
                <w:sz w:val="20"/>
                <w:lang w:val="es-ES_tradnl"/>
              </w:rPr>
              <w:t>Ninguna</w:t>
            </w:r>
          </w:p>
        </w:tc>
      </w:tr>
      <w:tr w:rsidR="00F55255" w:rsidRPr="00A606EC" w14:paraId="5F8DEE56" w14:textId="77777777" w:rsidTr="00F55255">
        <w:tc>
          <w:tcPr>
            <w:tcW w:w="907" w:type="pct"/>
            <w:tcBorders>
              <w:top w:val="single" w:sz="4" w:space="0" w:color="auto"/>
              <w:left w:val="single" w:sz="4" w:space="0" w:color="auto"/>
              <w:bottom w:val="single" w:sz="4" w:space="0" w:color="auto"/>
              <w:right w:val="single" w:sz="4" w:space="0" w:color="auto"/>
            </w:tcBorders>
            <w:hideMark/>
          </w:tcPr>
          <w:p w14:paraId="79B628EB" w14:textId="77777777" w:rsidR="00F55255" w:rsidRPr="00A606EC" w:rsidRDefault="00F55255">
            <w:pPr>
              <w:widowControl w:val="0"/>
              <w:tabs>
                <w:tab w:val="left" w:pos="0"/>
              </w:tabs>
              <w:spacing w:after="40"/>
              <w:jc w:val="left"/>
              <w:outlineLvl w:val="0"/>
              <w:rPr>
                <w:sz w:val="20"/>
                <w:szCs w:val="20"/>
                <w:lang w:val="es-ES_tradnl"/>
              </w:rPr>
            </w:pPr>
            <w:r w:rsidRPr="00A606EC">
              <w:rPr>
                <w:sz w:val="20"/>
                <w:lang w:val="es-ES_tradnl"/>
              </w:rPr>
              <w:t>Costos adicionales admisibles, sector de producción</w:t>
            </w:r>
          </w:p>
        </w:tc>
        <w:tc>
          <w:tcPr>
            <w:tcW w:w="531" w:type="pct"/>
            <w:tcBorders>
              <w:top w:val="single" w:sz="4" w:space="0" w:color="auto"/>
              <w:left w:val="single" w:sz="4" w:space="0" w:color="auto"/>
              <w:bottom w:val="single" w:sz="4" w:space="0" w:color="auto"/>
              <w:right w:val="single" w:sz="4" w:space="0" w:color="auto"/>
            </w:tcBorders>
            <w:hideMark/>
          </w:tcPr>
          <w:p w14:paraId="5C4CC6C4" w14:textId="77777777" w:rsidR="00F55255" w:rsidRPr="00A606EC" w:rsidRDefault="00F55255">
            <w:pPr>
              <w:widowControl w:val="0"/>
              <w:spacing w:after="40"/>
              <w:jc w:val="center"/>
              <w:outlineLvl w:val="0"/>
              <w:rPr>
                <w:sz w:val="20"/>
                <w:szCs w:val="20"/>
                <w:lang w:val="es-ES_tradnl"/>
              </w:rPr>
            </w:pPr>
            <w:r w:rsidRPr="00A606EC">
              <w:rPr>
                <w:sz w:val="20"/>
                <w:lang w:val="es-ES_tradnl"/>
              </w:rPr>
              <w:t>15 b)</w:t>
            </w:r>
          </w:p>
        </w:tc>
        <w:tc>
          <w:tcPr>
            <w:tcW w:w="2198" w:type="pct"/>
            <w:tcBorders>
              <w:top w:val="single" w:sz="4" w:space="0" w:color="auto"/>
              <w:left w:val="single" w:sz="4" w:space="0" w:color="auto"/>
              <w:bottom w:val="single" w:sz="4" w:space="0" w:color="auto"/>
              <w:right w:val="single" w:sz="4" w:space="0" w:color="auto"/>
            </w:tcBorders>
            <w:hideMark/>
          </w:tcPr>
          <w:p w14:paraId="08722FBD" w14:textId="77777777" w:rsidR="00F55255" w:rsidRPr="00A606EC" w:rsidRDefault="00F55255">
            <w:pPr>
              <w:widowControl w:val="0"/>
              <w:spacing w:after="40"/>
              <w:jc w:val="left"/>
              <w:outlineLvl w:val="0"/>
              <w:rPr>
                <w:sz w:val="20"/>
                <w:szCs w:val="20"/>
                <w:lang w:val="es-ES_tradnl"/>
              </w:rPr>
            </w:pPr>
            <w:r w:rsidRPr="00A606EC">
              <w:rPr>
                <w:sz w:val="20"/>
                <w:lang w:val="es-ES_tradnl"/>
              </w:rPr>
              <w:t>Texto sobre categorías de costos admisibles incluido en la propuesta de plantilla*</w:t>
            </w:r>
          </w:p>
          <w:p w14:paraId="1F9E13AB" w14:textId="77777777" w:rsidR="00F55255" w:rsidRPr="00A606EC" w:rsidRDefault="00F55255">
            <w:pPr>
              <w:widowControl w:val="0"/>
              <w:spacing w:after="40"/>
              <w:jc w:val="left"/>
              <w:outlineLvl w:val="0"/>
              <w:rPr>
                <w:sz w:val="20"/>
                <w:szCs w:val="20"/>
                <w:lang w:val="es-ES_tradnl"/>
              </w:rPr>
            </w:pPr>
            <w:bookmarkStart w:id="2" w:name="_Hlk139444342"/>
            <w:r w:rsidRPr="00A606EC">
              <w:rPr>
                <w:sz w:val="20"/>
                <w:lang w:val="es-ES_tradnl"/>
              </w:rPr>
              <w:t>El Subgrupo sobre el Sector de Producción considerará establecer una compensación por las obligaciones de control relacionadas con el cumplimiento para el sector de producción, que se estudiará caso por caso, una vez que los países del artículo 5 hayan comunicado oficialmente su producción de HFC.</w:t>
            </w:r>
            <w:bookmarkEnd w:id="2"/>
          </w:p>
        </w:tc>
        <w:tc>
          <w:tcPr>
            <w:tcW w:w="1364" w:type="pct"/>
            <w:tcBorders>
              <w:top w:val="single" w:sz="4" w:space="0" w:color="auto"/>
              <w:left w:val="single" w:sz="4" w:space="0" w:color="auto"/>
              <w:bottom w:val="single" w:sz="4" w:space="0" w:color="auto"/>
              <w:right w:val="single" w:sz="4" w:space="0" w:color="auto"/>
            </w:tcBorders>
            <w:hideMark/>
          </w:tcPr>
          <w:p w14:paraId="0E654ED5" w14:textId="77777777" w:rsidR="00F55255" w:rsidRPr="00A606EC" w:rsidRDefault="00F55255">
            <w:pPr>
              <w:keepNext/>
              <w:keepLines/>
              <w:widowControl w:val="0"/>
              <w:spacing w:after="40"/>
              <w:jc w:val="left"/>
              <w:outlineLvl w:val="0"/>
              <w:rPr>
                <w:sz w:val="20"/>
                <w:szCs w:val="20"/>
                <w:lang w:val="es-ES_tradnl"/>
              </w:rPr>
            </w:pPr>
            <w:r w:rsidRPr="00A606EC">
              <w:rPr>
                <w:sz w:val="20"/>
                <w:lang w:val="es-ES_tradnl"/>
              </w:rPr>
              <w:t>Ninguna</w:t>
            </w:r>
          </w:p>
        </w:tc>
      </w:tr>
      <w:tr w:rsidR="00F55255" w:rsidRPr="00A606EC" w14:paraId="00B1BAE5" w14:textId="77777777" w:rsidTr="00F55255">
        <w:tc>
          <w:tcPr>
            <w:tcW w:w="907" w:type="pct"/>
            <w:tcBorders>
              <w:top w:val="single" w:sz="4" w:space="0" w:color="auto"/>
              <w:left w:val="single" w:sz="4" w:space="0" w:color="auto"/>
              <w:bottom w:val="single" w:sz="4" w:space="0" w:color="auto"/>
              <w:right w:val="single" w:sz="4" w:space="0" w:color="auto"/>
            </w:tcBorders>
            <w:hideMark/>
          </w:tcPr>
          <w:p w14:paraId="62FD327B" w14:textId="77777777" w:rsidR="00F55255" w:rsidRPr="00A606EC" w:rsidRDefault="00F55255">
            <w:pPr>
              <w:keepNext/>
              <w:widowControl w:val="0"/>
              <w:tabs>
                <w:tab w:val="left" w:pos="0"/>
              </w:tabs>
              <w:spacing w:after="40"/>
              <w:jc w:val="left"/>
              <w:outlineLvl w:val="0"/>
              <w:rPr>
                <w:sz w:val="20"/>
                <w:szCs w:val="20"/>
                <w:lang w:val="es-ES_tradnl"/>
              </w:rPr>
            </w:pPr>
            <w:r w:rsidRPr="00A606EC">
              <w:rPr>
                <w:sz w:val="20"/>
                <w:lang w:val="es-ES_tradnl"/>
              </w:rPr>
              <w:lastRenderedPageBreak/>
              <w:t>Costos adicionales admisibles, sector de mantenimiento de equipos de refrigeración</w:t>
            </w:r>
          </w:p>
        </w:tc>
        <w:tc>
          <w:tcPr>
            <w:tcW w:w="531" w:type="pct"/>
            <w:tcBorders>
              <w:top w:val="single" w:sz="4" w:space="0" w:color="auto"/>
              <w:left w:val="single" w:sz="4" w:space="0" w:color="auto"/>
              <w:bottom w:val="single" w:sz="4" w:space="0" w:color="auto"/>
              <w:right w:val="single" w:sz="4" w:space="0" w:color="auto"/>
            </w:tcBorders>
            <w:hideMark/>
          </w:tcPr>
          <w:p w14:paraId="26867F56" w14:textId="77777777" w:rsidR="00F55255" w:rsidRPr="00A606EC" w:rsidRDefault="00F55255">
            <w:pPr>
              <w:widowControl w:val="0"/>
              <w:spacing w:after="40"/>
              <w:jc w:val="center"/>
              <w:outlineLvl w:val="0"/>
              <w:rPr>
                <w:sz w:val="20"/>
                <w:szCs w:val="20"/>
                <w:lang w:val="es-ES_tradnl"/>
              </w:rPr>
            </w:pPr>
            <w:r w:rsidRPr="00A606EC">
              <w:rPr>
                <w:sz w:val="20"/>
                <w:lang w:val="es-ES_tradnl"/>
              </w:rPr>
              <w:t>15 c)</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0CFDA3D" w14:textId="77777777" w:rsidR="00F55255" w:rsidRPr="00A606EC" w:rsidRDefault="00F55255">
            <w:pPr>
              <w:widowControl w:val="0"/>
              <w:spacing w:after="40"/>
              <w:jc w:val="left"/>
              <w:outlineLvl w:val="0"/>
              <w:rPr>
                <w:sz w:val="20"/>
                <w:szCs w:val="20"/>
                <w:lang w:val="es-ES_tradnl"/>
              </w:rPr>
            </w:pPr>
            <w:r w:rsidRPr="00A606EC">
              <w:rPr>
                <w:sz w:val="20"/>
                <w:lang w:val="es-ES_tradnl"/>
              </w:rPr>
              <w:t>Han concluido las deliberaciones sobre los niveles de financiación para los países de bajo consumo y los países que no son de bajo consumo. El texto sobre las categorías de los costos admisibles y la decisión 92/37 sobre las modalidades y los niveles de financiación para el sector de mantenimiento de equipos de refrigeración se ha incluido en la propuesta de plantilla*.</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0F42164" w14:textId="77777777" w:rsidR="00F55255" w:rsidRPr="00A606EC" w:rsidRDefault="00F55255">
            <w:pPr>
              <w:widowControl w:val="0"/>
              <w:spacing w:after="40"/>
              <w:jc w:val="left"/>
              <w:rPr>
                <w:sz w:val="20"/>
                <w:szCs w:val="20"/>
                <w:lang w:val="es-ES_tradnl"/>
              </w:rPr>
            </w:pPr>
            <w:r w:rsidRPr="00A606EC">
              <w:rPr>
                <w:sz w:val="20"/>
                <w:lang w:val="es-ES_tradnl"/>
              </w:rPr>
              <w:t>Ninguna</w:t>
            </w:r>
          </w:p>
        </w:tc>
      </w:tr>
      <w:tr w:rsidR="00F55255" w:rsidRPr="00A606EC" w14:paraId="51F58345" w14:textId="77777777" w:rsidTr="00F55255">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D5B9432" w14:textId="77777777" w:rsidR="00F55255" w:rsidRPr="00A606EC" w:rsidRDefault="00F55255">
            <w:pPr>
              <w:widowControl w:val="0"/>
              <w:spacing w:after="40"/>
              <w:jc w:val="left"/>
              <w:outlineLvl w:val="0"/>
              <w:rPr>
                <w:sz w:val="20"/>
                <w:szCs w:val="20"/>
                <w:lang w:val="es-ES_tradnl"/>
              </w:rPr>
            </w:pPr>
            <w:r w:rsidRPr="00A606EC">
              <w:rPr>
                <w:sz w:val="20"/>
                <w:lang w:val="es-ES_tradnl"/>
              </w:rPr>
              <w:t>Fechas límite para capacidad admisible</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D51140F" w14:textId="77777777" w:rsidR="00F55255" w:rsidRPr="00A606EC" w:rsidRDefault="00F55255">
            <w:pPr>
              <w:widowControl w:val="0"/>
              <w:spacing w:after="40"/>
              <w:jc w:val="center"/>
              <w:outlineLvl w:val="0"/>
              <w:rPr>
                <w:sz w:val="20"/>
                <w:szCs w:val="20"/>
                <w:lang w:val="es-ES_tradnl"/>
              </w:rPr>
            </w:pPr>
            <w:r w:rsidRPr="00A606EC">
              <w:rPr>
                <w:sz w:val="20"/>
                <w:lang w:val="es-ES_tradnl"/>
              </w:rPr>
              <w:t>17</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A7B7D36" w14:textId="77777777" w:rsidR="00F55255" w:rsidRPr="00A606EC" w:rsidRDefault="00F55255">
            <w:pPr>
              <w:widowControl w:val="0"/>
              <w:spacing w:after="40"/>
              <w:jc w:val="left"/>
              <w:outlineLvl w:val="0"/>
              <w:rPr>
                <w:sz w:val="20"/>
                <w:szCs w:val="20"/>
                <w:lang w:val="es-ES_tradnl"/>
              </w:rPr>
            </w:pPr>
            <w:r w:rsidRPr="00A606EC">
              <w:rPr>
                <w:sz w:val="20"/>
                <w:lang w:val="es-ES_tradnl"/>
              </w:rPr>
              <w:t>Texto incluido en la propuesta de plantilla*</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E7F3A89" w14:textId="77777777" w:rsidR="00F55255" w:rsidRPr="00A606EC" w:rsidRDefault="00F55255">
            <w:pPr>
              <w:widowControl w:val="0"/>
              <w:spacing w:after="40"/>
              <w:jc w:val="left"/>
              <w:outlineLvl w:val="0"/>
              <w:rPr>
                <w:sz w:val="20"/>
                <w:szCs w:val="20"/>
                <w:lang w:val="es-ES_tradnl"/>
              </w:rPr>
            </w:pPr>
            <w:r w:rsidRPr="00A606EC">
              <w:rPr>
                <w:sz w:val="20"/>
                <w:lang w:val="es-ES_tradnl"/>
              </w:rPr>
              <w:t>Ninguna</w:t>
            </w:r>
          </w:p>
        </w:tc>
      </w:tr>
      <w:tr w:rsidR="00F55255" w:rsidRPr="00A606EC" w14:paraId="4A032BDF" w14:textId="77777777" w:rsidTr="00F55255">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2B9BE50" w14:textId="77777777" w:rsidR="00F55255" w:rsidRPr="00A606EC" w:rsidRDefault="00F55255">
            <w:pPr>
              <w:widowControl w:val="0"/>
              <w:spacing w:after="40"/>
              <w:jc w:val="left"/>
              <w:outlineLvl w:val="0"/>
              <w:rPr>
                <w:sz w:val="20"/>
                <w:szCs w:val="20"/>
                <w:lang w:val="es-ES_tradnl"/>
              </w:rPr>
            </w:pPr>
            <w:r w:rsidRPr="00A606EC">
              <w:rPr>
                <w:sz w:val="20"/>
                <w:lang w:val="es-ES_tradnl"/>
              </w:rPr>
              <w:t>Conversiones segunda y tercera</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AC6F182" w14:textId="77777777" w:rsidR="00F55255" w:rsidRPr="00A606EC" w:rsidRDefault="00F55255">
            <w:pPr>
              <w:widowControl w:val="0"/>
              <w:spacing w:after="40"/>
              <w:jc w:val="center"/>
              <w:outlineLvl w:val="0"/>
              <w:rPr>
                <w:sz w:val="20"/>
                <w:szCs w:val="20"/>
                <w:lang w:val="es-ES_tradnl"/>
              </w:rPr>
            </w:pPr>
            <w:r w:rsidRPr="00A606EC">
              <w:rPr>
                <w:sz w:val="20"/>
                <w:lang w:val="es-ES_tradnl"/>
              </w:rPr>
              <w:t>18</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D2BD806" w14:textId="77777777" w:rsidR="00F55255" w:rsidRPr="00A606EC" w:rsidRDefault="00F55255">
            <w:pPr>
              <w:widowControl w:val="0"/>
              <w:spacing w:after="40"/>
              <w:jc w:val="left"/>
              <w:outlineLvl w:val="0"/>
              <w:rPr>
                <w:sz w:val="20"/>
                <w:szCs w:val="20"/>
                <w:lang w:val="es-ES_tradnl"/>
              </w:rPr>
            </w:pPr>
            <w:r w:rsidRPr="00A606EC">
              <w:rPr>
                <w:sz w:val="20"/>
                <w:lang w:val="es-ES_tradnl"/>
              </w:rPr>
              <w:t>Texto incluido en la propuesta de plantilla*</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60B492E" w14:textId="77777777" w:rsidR="00F55255" w:rsidRPr="00A606EC" w:rsidRDefault="00F55255">
            <w:pPr>
              <w:widowControl w:val="0"/>
              <w:spacing w:after="40"/>
              <w:jc w:val="left"/>
              <w:outlineLvl w:val="0"/>
              <w:rPr>
                <w:sz w:val="20"/>
                <w:szCs w:val="20"/>
                <w:lang w:val="es-ES_tradnl"/>
              </w:rPr>
            </w:pPr>
            <w:r w:rsidRPr="00A606EC">
              <w:rPr>
                <w:sz w:val="20"/>
                <w:lang w:val="es-ES_tradnl"/>
              </w:rPr>
              <w:t>Ninguna</w:t>
            </w:r>
          </w:p>
        </w:tc>
      </w:tr>
      <w:tr w:rsidR="00F55255" w:rsidRPr="00A606EC" w14:paraId="0EDEDE00" w14:textId="77777777" w:rsidTr="00F55255">
        <w:tc>
          <w:tcPr>
            <w:tcW w:w="907" w:type="pct"/>
            <w:tcBorders>
              <w:top w:val="single" w:sz="4" w:space="0" w:color="auto"/>
              <w:left w:val="single" w:sz="4" w:space="0" w:color="auto"/>
              <w:bottom w:val="single" w:sz="4" w:space="0" w:color="auto"/>
              <w:right w:val="single" w:sz="4" w:space="0" w:color="auto"/>
            </w:tcBorders>
            <w:hideMark/>
          </w:tcPr>
          <w:p w14:paraId="76B6F2C2" w14:textId="77777777" w:rsidR="00F55255" w:rsidRPr="00A606EC" w:rsidRDefault="00F55255">
            <w:pPr>
              <w:keepNext/>
              <w:spacing w:after="40"/>
              <w:jc w:val="left"/>
              <w:outlineLvl w:val="0"/>
              <w:rPr>
                <w:sz w:val="20"/>
                <w:szCs w:val="20"/>
                <w:lang w:val="es-ES_tradnl"/>
              </w:rPr>
            </w:pPr>
            <w:r w:rsidRPr="00A606EC">
              <w:rPr>
                <w:sz w:val="20"/>
                <w:lang w:val="es-ES_tradnl"/>
              </w:rPr>
              <w:t>Mejora de la capacidad en materia de seguridad</w:t>
            </w:r>
          </w:p>
        </w:tc>
        <w:tc>
          <w:tcPr>
            <w:tcW w:w="531" w:type="pct"/>
            <w:tcBorders>
              <w:top w:val="single" w:sz="4" w:space="0" w:color="auto"/>
              <w:left w:val="single" w:sz="4" w:space="0" w:color="auto"/>
              <w:bottom w:val="single" w:sz="4" w:space="0" w:color="auto"/>
              <w:right w:val="single" w:sz="4" w:space="0" w:color="auto"/>
            </w:tcBorders>
            <w:hideMark/>
          </w:tcPr>
          <w:p w14:paraId="638BFA21" w14:textId="77777777" w:rsidR="00F55255" w:rsidRPr="00A606EC" w:rsidRDefault="00F55255">
            <w:pPr>
              <w:keepNext/>
              <w:spacing w:after="40"/>
              <w:jc w:val="center"/>
              <w:outlineLvl w:val="0"/>
              <w:rPr>
                <w:sz w:val="20"/>
                <w:szCs w:val="20"/>
                <w:lang w:val="es-ES_tradnl"/>
              </w:rPr>
            </w:pPr>
            <w:r w:rsidRPr="00A606EC">
              <w:rPr>
                <w:sz w:val="20"/>
                <w:lang w:val="es-ES_tradnl"/>
              </w:rPr>
              <w:t>23</w:t>
            </w:r>
          </w:p>
        </w:tc>
        <w:tc>
          <w:tcPr>
            <w:tcW w:w="2198" w:type="pct"/>
            <w:tcBorders>
              <w:top w:val="single" w:sz="4" w:space="0" w:color="auto"/>
              <w:left w:val="single" w:sz="4" w:space="0" w:color="auto"/>
              <w:bottom w:val="single" w:sz="4" w:space="0" w:color="auto"/>
              <w:right w:val="single" w:sz="4" w:space="0" w:color="auto"/>
            </w:tcBorders>
            <w:hideMark/>
          </w:tcPr>
          <w:p w14:paraId="0C07B55C" w14:textId="77777777" w:rsidR="00F55255" w:rsidRPr="00A606EC" w:rsidRDefault="00F55255">
            <w:pPr>
              <w:keepNext/>
              <w:spacing w:after="40"/>
              <w:jc w:val="left"/>
              <w:outlineLvl w:val="0"/>
              <w:rPr>
                <w:sz w:val="20"/>
                <w:szCs w:val="20"/>
                <w:lang w:val="es-ES_tradnl"/>
              </w:rPr>
            </w:pPr>
            <w:r w:rsidRPr="00A606EC">
              <w:rPr>
                <w:sz w:val="20"/>
                <w:lang w:val="es-ES_tradnl"/>
              </w:rPr>
              <w:t>Cuestión integrada en las deliberaciones sobre el sector de mantenimiento de equipos de refrigeración.</w:t>
            </w:r>
          </w:p>
        </w:tc>
        <w:tc>
          <w:tcPr>
            <w:tcW w:w="1364" w:type="pct"/>
            <w:tcBorders>
              <w:top w:val="single" w:sz="4" w:space="0" w:color="auto"/>
              <w:left w:val="single" w:sz="4" w:space="0" w:color="auto"/>
              <w:bottom w:val="single" w:sz="4" w:space="0" w:color="auto"/>
              <w:right w:val="single" w:sz="4" w:space="0" w:color="auto"/>
            </w:tcBorders>
            <w:hideMark/>
          </w:tcPr>
          <w:p w14:paraId="1EC53715" w14:textId="77777777" w:rsidR="00F55255" w:rsidRPr="00A606EC" w:rsidRDefault="00F55255">
            <w:pPr>
              <w:keepNext/>
              <w:spacing w:after="40"/>
              <w:jc w:val="left"/>
              <w:outlineLvl w:val="0"/>
              <w:rPr>
                <w:sz w:val="20"/>
                <w:szCs w:val="20"/>
                <w:lang w:val="es-ES_tradnl"/>
              </w:rPr>
            </w:pPr>
            <w:r w:rsidRPr="00A606EC">
              <w:rPr>
                <w:sz w:val="20"/>
                <w:lang w:val="es-ES_tradnl"/>
              </w:rPr>
              <w:t>Ninguna</w:t>
            </w:r>
          </w:p>
        </w:tc>
      </w:tr>
      <w:tr w:rsidR="00F55255" w:rsidRPr="00A606EC" w14:paraId="1F7EA5BA" w14:textId="77777777" w:rsidTr="00F55255">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6F7506A" w14:textId="77777777" w:rsidR="00F55255" w:rsidRPr="00A606EC" w:rsidRDefault="00F55255">
            <w:pPr>
              <w:widowControl w:val="0"/>
              <w:spacing w:after="40"/>
              <w:jc w:val="left"/>
              <w:outlineLvl w:val="0"/>
              <w:rPr>
                <w:sz w:val="20"/>
                <w:szCs w:val="20"/>
                <w:lang w:val="es-ES_tradnl"/>
              </w:rPr>
            </w:pPr>
            <w:r w:rsidRPr="00A606EC">
              <w:rPr>
                <w:sz w:val="20"/>
                <w:lang w:val="es-ES_tradnl"/>
              </w:rPr>
              <w:t>Otros costos</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8D49EA4" w14:textId="77777777" w:rsidR="00F55255" w:rsidRPr="00A606EC" w:rsidRDefault="00F55255">
            <w:pPr>
              <w:widowControl w:val="0"/>
              <w:spacing w:after="40"/>
              <w:jc w:val="center"/>
              <w:outlineLvl w:val="0"/>
              <w:rPr>
                <w:sz w:val="20"/>
                <w:szCs w:val="20"/>
                <w:lang w:val="es-ES_tradnl"/>
              </w:rPr>
            </w:pPr>
            <w:r w:rsidRPr="00A606EC">
              <w:rPr>
                <w:sz w:val="20"/>
                <w:lang w:val="es-ES_tradnl"/>
              </w:rPr>
              <w:t>25</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FD6D2E4" w14:textId="77777777" w:rsidR="00F55255" w:rsidRPr="00A606EC" w:rsidRDefault="00F55255">
            <w:pPr>
              <w:widowControl w:val="0"/>
              <w:spacing w:after="40"/>
              <w:jc w:val="left"/>
              <w:outlineLvl w:val="0"/>
              <w:rPr>
                <w:sz w:val="20"/>
                <w:szCs w:val="20"/>
                <w:lang w:val="es-ES_tradnl"/>
              </w:rPr>
            </w:pPr>
            <w:r w:rsidRPr="00A606EC">
              <w:rPr>
                <w:sz w:val="20"/>
                <w:lang w:val="es-ES_tradnl"/>
              </w:rPr>
              <w:t>Acuerdo de no incluir el texto en la propuesta de plantilla</w:t>
            </w:r>
            <w:r w:rsidRPr="00A606EC">
              <w:rPr>
                <w:rStyle w:val="FootnoteReference"/>
                <w:sz w:val="20"/>
                <w:szCs w:val="20"/>
                <w:lang w:val="es-ES_tradnl"/>
              </w:rPr>
              <w:footnoteReference w:id="5"/>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F656272" w14:textId="77777777" w:rsidR="00F55255" w:rsidRPr="00A606EC" w:rsidRDefault="00F55255">
            <w:pPr>
              <w:widowControl w:val="0"/>
              <w:spacing w:after="40"/>
              <w:jc w:val="left"/>
              <w:outlineLvl w:val="0"/>
              <w:rPr>
                <w:sz w:val="20"/>
                <w:szCs w:val="20"/>
                <w:lang w:val="es-ES_tradnl"/>
              </w:rPr>
            </w:pPr>
            <w:r w:rsidRPr="00A606EC">
              <w:rPr>
                <w:sz w:val="20"/>
                <w:lang w:val="es-ES_tradnl"/>
              </w:rPr>
              <w:t>Ninguna</w:t>
            </w:r>
          </w:p>
        </w:tc>
      </w:tr>
      <w:tr w:rsidR="00F55255" w:rsidRPr="00A606EC" w14:paraId="3BE6E9FF" w14:textId="77777777" w:rsidTr="00F55255">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8A8A337" w14:textId="77777777" w:rsidR="00F55255" w:rsidRPr="00A606EC" w:rsidRDefault="00F55255">
            <w:pPr>
              <w:widowControl w:val="0"/>
              <w:spacing w:after="40"/>
              <w:jc w:val="left"/>
              <w:outlineLvl w:val="0"/>
              <w:rPr>
                <w:sz w:val="20"/>
                <w:szCs w:val="20"/>
                <w:lang w:val="es-ES_tradnl"/>
              </w:rPr>
            </w:pPr>
            <w:r w:rsidRPr="00A606EC">
              <w:rPr>
                <w:sz w:val="20"/>
                <w:lang w:val="es-ES_tradnl"/>
              </w:rPr>
              <w:t>Admisibilidad de las sustancias del anexo F sujetas a exenciones por concepto de altas temperaturas ambiente</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88A5C3B" w14:textId="77777777" w:rsidR="00F55255" w:rsidRPr="00A606EC" w:rsidRDefault="00F55255">
            <w:pPr>
              <w:widowControl w:val="0"/>
              <w:spacing w:after="40"/>
              <w:jc w:val="center"/>
              <w:outlineLvl w:val="0"/>
              <w:rPr>
                <w:sz w:val="20"/>
                <w:szCs w:val="20"/>
                <w:lang w:val="es-ES_tradnl"/>
              </w:rPr>
            </w:pPr>
            <w:r w:rsidRPr="00A606EC">
              <w:rPr>
                <w:sz w:val="20"/>
                <w:lang w:val="es-ES_tradnl"/>
              </w:rPr>
              <w:t>35</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4F0128D0" w14:textId="77777777" w:rsidR="00F55255" w:rsidRPr="00A606EC" w:rsidRDefault="00F55255">
            <w:pPr>
              <w:widowControl w:val="0"/>
              <w:spacing w:after="40"/>
              <w:jc w:val="left"/>
              <w:outlineLvl w:val="0"/>
              <w:rPr>
                <w:sz w:val="20"/>
                <w:szCs w:val="20"/>
                <w:lang w:val="es-ES_tradnl"/>
              </w:rPr>
            </w:pPr>
            <w:r w:rsidRPr="00A606EC">
              <w:rPr>
                <w:sz w:val="20"/>
                <w:lang w:val="es-ES_tradnl"/>
              </w:rPr>
              <w:t>Texto incluido en la propuesta de plantilla*</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A87842F" w14:textId="77777777" w:rsidR="00F55255" w:rsidRPr="00A606EC" w:rsidRDefault="00F55255">
            <w:pPr>
              <w:widowControl w:val="0"/>
              <w:spacing w:after="40"/>
              <w:jc w:val="left"/>
              <w:outlineLvl w:val="0"/>
              <w:rPr>
                <w:sz w:val="20"/>
                <w:szCs w:val="20"/>
                <w:lang w:val="es-ES_tradnl"/>
              </w:rPr>
            </w:pPr>
            <w:r w:rsidRPr="00A606EC">
              <w:rPr>
                <w:sz w:val="20"/>
                <w:lang w:val="es-ES_tradnl"/>
              </w:rPr>
              <w:t>Ninguna</w:t>
            </w:r>
          </w:p>
        </w:tc>
      </w:tr>
      <w:tr w:rsidR="00F55255" w:rsidRPr="00A606EC" w14:paraId="6B88CD8A" w14:textId="77777777" w:rsidTr="00F55255">
        <w:tc>
          <w:tcPr>
            <w:tcW w:w="5000" w:type="pct"/>
            <w:gridSpan w:val="4"/>
            <w:tcBorders>
              <w:top w:val="single" w:sz="4" w:space="0" w:color="auto"/>
              <w:left w:val="single" w:sz="4" w:space="0" w:color="auto"/>
              <w:bottom w:val="single" w:sz="4" w:space="0" w:color="auto"/>
              <w:right w:val="single" w:sz="4" w:space="0" w:color="auto"/>
            </w:tcBorders>
            <w:hideMark/>
          </w:tcPr>
          <w:p w14:paraId="24ABBD45" w14:textId="77777777" w:rsidR="00F55255" w:rsidRPr="00A606EC" w:rsidRDefault="00F55255">
            <w:pPr>
              <w:widowControl w:val="0"/>
              <w:spacing w:after="40"/>
              <w:ind w:left="507"/>
              <w:jc w:val="left"/>
              <w:outlineLvl w:val="0"/>
              <w:rPr>
                <w:b/>
                <w:i/>
                <w:sz w:val="20"/>
                <w:szCs w:val="20"/>
                <w:lang w:val="es-ES_tradnl"/>
              </w:rPr>
            </w:pPr>
            <w:r w:rsidRPr="00A606EC">
              <w:rPr>
                <w:b/>
                <w:i/>
                <w:sz w:val="20"/>
                <w:lang w:val="es-ES_tradnl"/>
              </w:rPr>
              <w:t>En discusión</w:t>
            </w:r>
          </w:p>
        </w:tc>
      </w:tr>
      <w:tr w:rsidR="00F55255" w:rsidRPr="001B00D1" w14:paraId="28521DFD" w14:textId="77777777" w:rsidTr="00F55255">
        <w:tc>
          <w:tcPr>
            <w:tcW w:w="907" w:type="pct"/>
            <w:tcBorders>
              <w:top w:val="single" w:sz="4" w:space="0" w:color="auto"/>
              <w:left w:val="single" w:sz="4" w:space="0" w:color="auto"/>
              <w:bottom w:val="single" w:sz="4" w:space="0" w:color="auto"/>
              <w:right w:val="single" w:sz="4" w:space="0" w:color="auto"/>
            </w:tcBorders>
            <w:hideMark/>
          </w:tcPr>
          <w:p w14:paraId="7A42204A" w14:textId="77777777" w:rsidR="00F55255" w:rsidRPr="00A606EC" w:rsidRDefault="00F55255">
            <w:pPr>
              <w:widowControl w:val="0"/>
              <w:spacing w:after="40"/>
              <w:jc w:val="left"/>
              <w:outlineLvl w:val="0"/>
              <w:rPr>
                <w:sz w:val="20"/>
                <w:szCs w:val="20"/>
                <w:lang w:val="es-ES_tradnl"/>
              </w:rPr>
            </w:pPr>
            <w:r w:rsidRPr="00A606EC">
              <w:rPr>
                <w:sz w:val="20"/>
                <w:lang w:val="es-ES_tradnl"/>
              </w:rPr>
              <w:t>Reducciones acumuladas sostenidas de consumo</w:t>
            </w:r>
          </w:p>
        </w:tc>
        <w:tc>
          <w:tcPr>
            <w:tcW w:w="531" w:type="pct"/>
            <w:tcBorders>
              <w:top w:val="single" w:sz="4" w:space="0" w:color="auto"/>
              <w:left w:val="single" w:sz="4" w:space="0" w:color="auto"/>
              <w:bottom w:val="single" w:sz="4" w:space="0" w:color="auto"/>
              <w:right w:val="single" w:sz="4" w:space="0" w:color="auto"/>
            </w:tcBorders>
            <w:hideMark/>
          </w:tcPr>
          <w:p w14:paraId="55DDAC25" w14:textId="77777777" w:rsidR="00F55255" w:rsidRPr="00A606EC" w:rsidRDefault="00F55255">
            <w:pPr>
              <w:widowControl w:val="0"/>
              <w:spacing w:after="40"/>
              <w:jc w:val="center"/>
              <w:outlineLvl w:val="0"/>
              <w:rPr>
                <w:sz w:val="20"/>
                <w:szCs w:val="20"/>
                <w:lang w:val="es-ES_tradnl"/>
              </w:rPr>
            </w:pPr>
            <w:r w:rsidRPr="00A606EC">
              <w:rPr>
                <w:sz w:val="20"/>
                <w:lang w:val="es-ES_tradnl"/>
              </w:rPr>
              <w:t>19</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421EB9F" w14:textId="77777777" w:rsidR="00F55255" w:rsidRPr="00A606EC" w:rsidRDefault="00F55255">
            <w:pPr>
              <w:spacing w:after="40"/>
              <w:jc w:val="left"/>
              <w:rPr>
                <w:sz w:val="20"/>
                <w:szCs w:val="20"/>
                <w:lang w:val="es-ES_tradnl"/>
              </w:rPr>
            </w:pPr>
            <w:r w:rsidRPr="00A606EC">
              <w:rPr>
                <w:sz w:val="20"/>
                <w:lang w:val="es-ES_tradnl"/>
              </w:rPr>
              <w:t>Texto incluido en la propuesta de plantilla*</w:t>
            </w:r>
          </w:p>
          <w:p w14:paraId="145906FC" w14:textId="77777777" w:rsidR="00F55255" w:rsidRPr="00A606EC" w:rsidRDefault="00F55255">
            <w:pPr>
              <w:jc w:val="left"/>
              <w:rPr>
                <w:sz w:val="20"/>
                <w:szCs w:val="20"/>
                <w:lang w:val="es-ES_tradnl"/>
              </w:rPr>
            </w:pPr>
            <w:r w:rsidRPr="00A606EC">
              <w:rPr>
                <w:sz w:val="20"/>
                <w:lang w:val="es-ES_tradnl"/>
              </w:rPr>
              <w:t>Cuestión debatida entre las reuniones 89ª y 93ª; preparado documento sobre el punto de partida sobre la base de las deliberaciones que se celebraron en la 91ª reunión (decisión 91/64 a)), que fue reeditado en el documento UNEP/</w:t>
            </w:r>
            <w:proofErr w:type="spellStart"/>
            <w:r w:rsidRPr="00A606EC">
              <w:rPr>
                <w:sz w:val="20"/>
                <w:lang w:val="es-ES_tradnl"/>
              </w:rPr>
              <w:t>OzL.Pro</w:t>
            </w:r>
            <w:proofErr w:type="spellEnd"/>
            <w:r w:rsidRPr="00A606EC">
              <w:rPr>
                <w:sz w:val="20"/>
                <w:lang w:val="es-ES_tradnl"/>
              </w:rPr>
              <w:t>/</w:t>
            </w:r>
            <w:proofErr w:type="spellStart"/>
            <w:r w:rsidRPr="00A606EC">
              <w:rPr>
                <w:sz w:val="20"/>
                <w:lang w:val="es-ES_tradnl"/>
              </w:rPr>
              <w:t>ExCom</w:t>
            </w:r>
            <w:proofErr w:type="spellEnd"/>
            <w:r w:rsidRPr="00A606EC">
              <w:rPr>
                <w:sz w:val="20"/>
                <w:lang w:val="es-ES_tradnl"/>
              </w:rPr>
              <w:t>/93/97.</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66DAB51" w14:textId="77777777" w:rsidR="00F55255" w:rsidRPr="00A606EC" w:rsidRDefault="00F55255">
            <w:pPr>
              <w:jc w:val="left"/>
              <w:rPr>
                <w:sz w:val="20"/>
                <w:szCs w:val="20"/>
                <w:lang w:val="es-ES_tradnl"/>
              </w:rPr>
            </w:pPr>
            <w:r w:rsidRPr="00A606EC">
              <w:rPr>
                <w:sz w:val="20"/>
                <w:lang w:val="es-ES_tradnl"/>
              </w:rPr>
              <w:t>Acordar una metodología para establecer el punto de partida de las reducciones acumuladas sostenidas, teniendo en cuenta el texto de trabajo que figura en el anexo V.</w:t>
            </w:r>
          </w:p>
        </w:tc>
      </w:tr>
      <w:tr w:rsidR="00F55255" w:rsidRPr="001B00D1" w14:paraId="582847C7" w14:textId="77777777" w:rsidTr="00F55255">
        <w:tc>
          <w:tcPr>
            <w:tcW w:w="90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1554B66" w14:textId="77777777" w:rsidR="00F55255" w:rsidRPr="00A606EC" w:rsidRDefault="00F55255">
            <w:pPr>
              <w:widowControl w:val="0"/>
              <w:spacing w:after="40"/>
              <w:jc w:val="left"/>
              <w:outlineLvl w:val="0"/>
              <w:rPr>
                <w:sz w:val="20"/>
                <w:szCs w:val="20"/>
                <w:lang w:val="es-ES_tradnl"/>
              </w:rPr>
            </w:pPr>
            <w:r w:rsidRPr="00A606EC">
              <w:rPr>
                <w:sz w:val="20"/>
                <w:lang w:val="es-ES_tradnl"/>
              </w:rPr>
              <w:t>Costos adicionales admisibles, sectores de fabricación para el consumo</w:t>
            </w:r>
          </w:p>
        </w:tc>
        <w:tc>
          <w:tcPr>
            <w:tcW w:w="53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03A75BF" w14:textId="77777777" w:rsidR="00F55255" w:rsidRPr="00A606EC" w:rsidRDefault="00F55255">
            <w:pPr>
              <w:widowControl w:val="0"/>
              <w:spacing w:after="40"/>
              <w:jc w:val="center"/>
              <w:outlineLvl w:val="0"/>
              <w:rPr>
                <w:sz w:val="20"/>
                <w:szCs w:val="20"/>
                <w:lang w:val="es-ES_tradnl"/>
              </w:rPr>
            </w:pPr>
            <w:r w:rsidRPr="00A606EC">
              <w:rPr>
                <w:sz w:val="20"/>
                <w:lang w:val="es-ES_tradnl"/>
              </w:rPr>
              <w:t>15 a)</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DC41D98" w14:textId="77777777" w:rsidR="00F55255" w:rsidRPr="00A606EC" w:rsidRDefault="00F55255">
            <w:pPr>
              <w:widowControl w:val="0"/>
              <w:spacing w:after="40"/>
              <w:jc w:val="left"/>
              <w:outlineLvl w:val="0"/>
              <w:rPr>
                <w:sz w:val="20"/>
                <w:szCs w:val="20"/>
                <w:lang w:val="es-ES_tradnl"/>
              </w:rPr>
            </w:pPr>
            <w:r w:rsidRPr="00A606EC">
              <w:rPr>
                <w:sz w:val="20"/>
                <w:lang w:val="es-ES_tradnl"/>
              </w:rPr>
              <w:t>Texto sobre categorías de costos admisibles incluido en la propuesta de plantilla*</w:t>
            </w:r>
          </w:p>
          <w:p w14:paraId="37B017C7" w14:textId="77777777" w:rsidR="00F55255" w:rsidRPr="00A606EC" w:rsidRDefault="00F55255">
            <w:pPr>
              <w:widowControl w:val="0"/>
              <w:spacing w:after="40"/>
              <w:jc w:val="left"/>
              <w:outlineLvl w:val="0"/>
              <w:rPr>
                <w:sz w:val="20"/>
                <w:szCs w:val="20"/>
                <w:lang w:val="es-ES_tradnl"/>
              </w:rPr>
            </w:pPr>
            <w:r w:rsidRPr="00A606EC">
              <w:rPr>
                <w:sz w:val="20"/>
                <w:lang w:val="es-ES_tradnl"/>
              </w:rPr>
              <w:t xml:space="preserve">Acuerdo sobre los umbrales de relación de costo a eficacia para algunos sectores de fabricación alcanzado entre las reuniones 89ª y 93ª. </w:t>
            </w:r>
          </w:p>
          <w:p w14:paraId="798CF2AC" w14:textId="77777777" w:rsidR="00F55255" w:rsidRPr="00A606EC" w:rsidRDefault="00F55255">
            <w:pPr>
              <w:widowControl w:val="0"/>
              <w:spacing w:after="40"/>
              <w:jc w:val="left"/>
              <w:outlineLvl w:val="0"/>
              <w:rPr>
                <w:sz w:val="20"/>
                <w:szCs w:val="20"/>
                <w:lang w:val="es-ES_tradnl"/>
              </w:rPr>
            </w:pPr>
            <w:r w:rsidRPr="00A606EC">
              <w:rPr>
                <w:sz w:val="20"/>
                <w:lang w:val="es-ES_tradnl"/>
              </w:rPr>
              <w:t>La información relativa a las pequeñas y medianas empresas preparada para la 92ª reunión está disponible en la sección II del presente documento y el texto de trabajo que figura en el anexo IV.</w:t>
            </w:r>
          </w:p>
          <w:p w14:paraId="2F46B855" w14:textId="77777777" w:rsidR="00F55255" w:rsidRPr="00A606EC" w:rsidRDefault="00F55255">
            <w:pPr>
              <w:widowControl w:val="0"/>
              <w:spacing w:after="40"/>
              <w:jc w:val="left"/>
              <w:outlineLvl w:val="0"/>
              <w:rPr>
                <w:sz w:val="20"/>
                <w:szCs w:val="20"/>
                <w:lang w:val="es-ES_tradnl"/>
              </w:rPr>
            </w:pPr>
            <w:r w:rsidRPr="00A606EC">
              <w:rPr>
                <w:sz w:val="20"/>
                <w:lang w:val="es-ES_tradnl"/>
              </w:rPr>
              <w:t xml:space="preserve">Los textos de trabajo sobre los umbrales de relación de costo a eficacia y los costos adicionales de explotación están disponibles en el anexo I (propuestas finales de países que no operan al amparo del artículo 5 y de países del </w:t>
            </w:r>
            <w:r w:rsidRPr="00A606EC">
              <w:rPr>
                <w:sz w:val="20"/>
                <w:lang w:val="es-ES_tradnl"/>
              </w:rPr>
              <w:lastRenderedPageBreak/>
              <w:t>artículo 5, tal como quedaron en la 94</w:t>
            </w:r>
            <w:r w:rsidRPr="00A606EC">
              <w:rPr>
                <w:sz w:val="20"/>
                <w:vertAlign w:val="superscript"/>
                <w:lang w:val="es-ES_tradnl"/>
              </w:rPr>
              <w:t>a</w:t>
            </w:r>
            <w:r w:rsidRPr="00A606EC">
              <w:rPr>
                <w:sz w:val="20"/>
                <w:lang w:val="es-ES_tradnl"/>
              </w:rPr>
              <w:t> reunión).</w:t>
            </w:r>
          </w:p>
        </w:tc>
        <w:tc>
          <w:tcPr>
            <w:tcW w:w="1364" w:type="pct"/>
            <w:tcBorders>
              <w:top w:val="single" w:sz="4" w:space="0" w:color="auto"/>
              <w:left w:val="single" w:sz="4" w:space="0" w:color="auto"/>
              <w:bottom w:val="single" w:sz="4" w:space="0" w:color="auto"/>
              <w:right w:val="single" w:sz="4" w:space="0" w:color="auto"/>
            </w:tcBorders>
            <w:hideMark/>
          </w:tcPr>
          <w:p w14:paraId="471A547E" w14:textId="77777777" w:rsidR="00F55255" w:rsidRPr="00A606EC" w:rsidRDefault="00F55255">
            <w:pPr>
              <w:widowControl w:val="0"/>
              <w:spacing w:after="40"/>
              <w:jc w:val="left"/>
              <w:outlineLvl w:val="0"/>
              <w:rPr>
                <w:sz w:val="20"/>
                <w:szCs w:val="20"/>
                <w:lang w:val="es-ES_tradnl"/>
              </w:rPr>
            </w:pPr>
            <w:r w:rsidRPr="00A606EC">
              <w:rPr>
                <w:sz w:val="20"/>
                <w:lang w:val="es-ES_tradnl"/>
              </w:rPr>
              <w:lastRenderedPageBreak/>
              <w:t>Continuar los debates sobre el establecimiento de umbrales de relación de costo a eficacia y los costos adicionales de explotación en los sectores de fabricación, teniendo en cuenta el presente documento, incluida la información sobre las pequeñas y medianas empresas y los textos de trabajo que figuran en los anexos I y IV.</w:t>
            </w:r>
          </w:p>
        </w:tc>
      </w:tr>
      <w:tr w:rsidR="00F55255" w:rsidRPr="001B00D1" w14:paraId="6A0B790D" w14:textId="77777777" w:rsidTr="00F55255">
        <w:tc>
          <w:tcPr>
            <w:tcW w:w="907" w:type="pct"/>
            <w:tcBorders>
              <w:top w:val="single" w:sz="4" w:space="0" w:color="auto"/>
              <w:left w:val="single" w:sz="4" w:space="0" w:color="auto"/>
              <w:bottom w:val="single" w:sz="4" w:space="0" w:color="auto"/>
              <w:right w:val="single" w:sz="4" w:space="0" w:color="auto"/>
            </w:tcBorders>
            <w:hideMark/>
          </w:tcPr>
          <w:p w14:paraId="1C568D9D" w14:textId="77777777" w:rsidR="00F55255" w:rsidRPr="00A606EC" w:rsidRDefault="00F55255">
            <w:pPr>
              <w:widowControl w:val="0"/>
              <w:spacing w:after="40"/>
              <w:jc w:val="left"/>
              <w:rPr>
                <w:sz w:val="20"/>
                <w:szCs w:val="20"/>
                <w:lang w:val="es-ES_tradnl"/>
              </w:rPr>
            </w:pPr>
            <w:r w:rsidRPr="00A606EC">
              <w:rPr>
                <w:sz w:val="20"/>
                <w:lang w:val="es-ES_tradnl"/>
              </w:rPr>
              <w:t>Eficiencia energética</w:t>
            </w:r>
          </w:p>
        </w:tc>
        <w:tc>
          <w:tcPr>
            <w:tcW w:w="531" w:type="pct"/>
            <w:tcBorders>
              <w:top w:val="single" w:sz="4" w:space="0" w:color="auto"/>
              <w:left w:val="single" w:sz="4" w:space="0" w:color="auto"/>
              <w:bottom w:val="single" w:sz="4" w:space="0" w:color="auto"/>
              <w:right w:val="single" w:sz="4" w:space="0" w:color="auto"/>
            </w:tcBorders>
            <w:hideMark/>
          </w:tcPr>
          <w:p w14:paraId="3F837E3A" w14:textId="77777777" w:rsidR="00F55255" w:rsidRPr="00A606EC" w:rsidRDefault="00F55255">
            <w:pPr>
              <w:widowControl w:val="0"/>
              <w:spacing w:after="40"/>
              <w:jc w:val="center"/>
              <w:rPr>
                <w:sz w:val="20"/>
                <w:szCs w:val="20"/>
                <w:lang w:val="es-ES_tradnl"/>
              </w:rPr>
            </w:pPr>
            <w:r w:rsidRPr="00A606EC">
              <w:rPr>
                <w:sz w:val="20"/>
                <w:lang w:val="es-ES_tradnl"/>
              </w:rPr>
              <w:t>22</w:t>
            </w:r>
          </w:p>
        </w:tc>
        <w:tc>
          <w:tcPr>
            <w:tcW w:w="2198"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28E47C5" w14:textId="77777777" w:rsidR="00F55255" w:rsidRPr="00A606EC" w:rsidRDefault="00F55255">
            <w:pPr>
              <w:widowControl w:val="0"/>
              <w:spacing w:after="40"/>
              <w:jc w:val="left"/>
              <w:rPr>
                <w:sz w:val="20"/>
                <w:szCs w:val="20"/>
                <w:lang w:val="es-ES_tradnl"/>
              </w:rPr>
            </w:pPr>
            <w:r w:rsidRPr="00A606EC">
              <w:rPr>
                <w:sz w:val="20"/>
                <w:lang w:val="es-ES_tradnl"/>
              </w:rPr>
              <w:t>La eficiencia energética se discutió en un punto del orden del día independiente entre las reuniones 83ª y 94ª.</w:t>
            </w:r>
          </w:p>
          <w:p w14:paraId="17641C19" w14:textId="77777777" w:rsidR="00F55255" w:rsidRPr="00A606EC" w:rsidRDefault="00F55255">
            <w:pPr>
              <w:widowControl w:val="0"/>
              <w:spacing w:after="40"/>
              <w:jc w:val="left"/>
              <w:rPr>
                <w:sz w:val="20"/>
                <w:szCs w:val="20"/>
                <w:lang w:val="es-ES_tradnl"/>
              </w:rPr>
            </w:pPr>
            <w:r w:rsidRPr="00A606EC">
              <w:rPr>
                <w:sz w:val="20"/>
                <w:lang w:val="es-ES_tradnl"/>
              </w:rPr>
              <w:t>Se estableció una ventana de financiación para proyectos piloto destinados a mantener o mejorar la eficiencia energética en el contexto de la reducción de los HFC (decisión 91/65).</w:t>
            </w:r>
          </w:p>
          <w:p w14:paraId="7696A227" w14:textId="77777777" w:rsidR="00F55255" w:rsidRPr="00A606EC" w:rsidRDefault="00F55255">
            <w:pPr>
              <w:widowControl w:val="0"/>
              <w:spacing w:after="40"/>
              <w:jc w:val="left"/>
              <w:rPr>
                <w:sz w:val="20"/>
                <w:szCs w:val="20"/>
                <w:lang w:val="es-ES_tradnl"/>
              </w:rPr>
            </w:pPr>
            <w:r w:rsidRPr="00A606EC">
              <w:rPr>
                <w:sz w:val="20"/>
                <w:lang w:val="es-ES_tradnl"/>
              </w:rPr>
              <w:t>Se creó un marco operativo para apoyar el mantenimiento o el aumento de la eficiencia energética en los sectores de fabricación</w:t>
            </w:r>
            <w:r w:rsidRPr="00A606EC">
              <w:rPr>
                <w:rStyle w:val="FootnoteReference"/>
                <w:sz w:val="20"/>
                <w:szCs w:val="20"/>
                <w:lang w:val="es-ES_tradnl"/>
              </w:rPr>
              <w:footnoteReference w:id="6"/>
            </w:r>
            <w:r w:rsidRPr="00A606EC">
              <w:rPr>
                <w:sz w:val="20"/>
                <w:lang w:val="es-ES_tradnl"/>
              </w:rPr>
              <w:t>,para su uso durante tres años, con una ventana de financiación ampliable; en la 95</w:t>
            </w:r>
            <w:r w:rsidRPr="00A606EC">
              <w:rPr>
                <w:sz w:val="20"/>
                <w:vertAlign w:val="superscript"/>
                <w:lang w:val="es-ES_tradnl"/>
              </w:rPr>
              <w:t>a</w:t>
            </w:r>
            <w:r w:rsidRPr="00A606EC">
              <w:rPr>
                <w:sz w:val="20"/>
                <w:lang w:val="es-ES_tradnl"/>
              </w:rPr>
              <w:t> reunión continuará el debate sobre las actividades que no son de fabricación (decisión 94/60). Nuevo documento publicado como UNEP/</w:t>
            </w:r>
            <w:proofErr w:type="spellStart"/>
            <w:r w:rsidRPr="00A606EC">
              <w:rPr>
                <w:sz w:val="20"/>
                <w:lang w:val="es-ES_tradnl"/>
              </w:rPr>
              <w:t>OzL.Pro</w:t>
            </w:r>
            <w:proofErr w:type="spellEnd"/>
            <w:r w:rsidRPr="00A606EC">
              <w:rPr>
                <w:sz w:val="20"/>
                <w:lang w:val="es-ES_tradnl"/>
              </w:rPr>
              <w:t>/</w:t>
            </w:r>
            <w:proofErr w:type="spellStart"/>
            <w:r w:rsidRPr="00A606EC">
              <w:rPr>
                <w:sz w:val="20"/>
                <w:lang w:val="es-ES_tradnl"/>
              </w:rPr>
              <w:t>ExCom</w:t>
            </w:r>
            <w:proofErr w:type="spellEnd"/>
            <w:r w:rsidRPr="00A606EC">
              <w:rPr>
                <w:sz w:val="20"/>
                <w:lang w:val="es-ES_tradnl"/>
              </w:rPr>
              <w:t>/95/87.</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BD79F6B" w14:textId="77777777" w:rsidR="00F55255" w:rsidRPr="00A606EC" w:rsidRDefault="00F55255">
            <w:pPr>
              <w:widowControl w:val="0"/>
              <w:spacing w:after="40"/>
              <w:jc w:val="left"/>
              <w:rPr>
                <w:sz w:val="20"/>
                <w:szCs w:val="20"/>
                <w:lang w:val="es-ES_tradnl"/>
              </w:rPr>
            </w:pPr>
            <w:r w:rsidRPr="00A606EC">
              <w:rPr>
                <w:sz w:val="20"/>
                <w:lang w:val="es-ES_tradnl"/>
              </w:rPr>
              <w:t>Considerar si se incluye en las directrices sobre costos alguna decisión sobre eficiencia energética adoptada en el marco de la cuestión 11 b) del orden del día.</w:t>
            </w:r>
          </w:p>
        </w:tc>
      </w:tr>
      <w:tr w:rsidR="00F55255" w:rsidRPr="001B00D1" w14:paraId="10DB9AD6" w14:textId="77777777" w:rsidTr="00F55255">
        <w:tc>
          <w:tcPr>
            <w:tcW w:w="907" w:type="pct"/>
            <w:tcBorders>
              <w:top w:val="single" w:sz="4" w:space="0" w:color="auto"/>
              <w:left w:val="single" w:sz="4" w:space="0" w:color="auto"/>
              <w:bottom w:val="single" w:sz="4" w:space="0" w:color="auto"/>
              <w:right w:val="single" w:sz="4" w:space="0" w:color="auto"/>
            </w:tcBorders>
            <w:hideMark/>
          </w:tcPr>
          <w:p w14:paraId="552FD5DE" w14:textId="77777777" w:rsidR="00F55255" w:rsidRPr="00A606EC" w:rsidRDefault="00F55255">
            <w:pPr>
              <w:keepNext/>
              <w:spacing w:after="40"/>
              <w:jc w:val="left"/>
              <w:rPr>
                <w:sz w:val="20"/>
                <w:szCs w:val="20"/>
                <w:lang w:val="es-ES_tradnl"/>
              </w:rPr>
            </w:pPr>
            <w:r w:rsidRPr="00A606EC">
              <w:rPr>
                <w:sz w:val="20"/>
                <w:lang w:val="es-ES_tradnl"/>
              </w:rPr>
              <w:t>Eliminación</w:t>
            </w:r>
          </w:p>
        </w:tc>
        <w:tc>
          <w:tcPr>
            <w:tcW w:w="531" w:type="pct"/>
            <w:tcBorders>
              <w:top w:val="single" w:sz="4" w:space="0" w:color="auto"/>
              <w:left w:val="single" w:sz="4" w:space="0" w:color="auto"/>
              <w:bottom w:val="single" w:sz="4" w:space="0" w:color="auto"/>
              <w:right w:val="single" w:sz="4" w:space="0" w:color="auto"/>
            </w:tcBorders>
            <w:hideMark/>
          </w:tcPr>
          <w:p w14:paraId="272C7FF0" w14:textId="77777777" w:rsidR="00F55255" w:rsidRPr="00A606EC" w:rsidRDefault="00F55255">
            <w:pPr>
              <w:keepNext/>
              <w:spacing w:after="40"/>
              <w:jc w:val="center"/>
              <w:rPr>
                <w:sz w:val="20"/>
                <w:szCs w:val="20"/>
                <w:lang w:val="es-ES_tradnl"/>
              </w:rPr>
            </w:pPr>
            <w:r w:rsidRPr="00A606EC">
              <w:rPr>
                <w:sz w:val="20"/>
                <w:lang w:val="es-ES_tradnl"/>
              </w:rPr>
              <w:t>24</w:t>
            </w:r>
          </w:p>
        </w:tc>
        <w:tc>
          <w:tcPr>
            <w:tcW w:w="2198" w:type="pct"/>
            <w:tcBorders>
              <w:top w:val="single" w:sz="4" w:space="0" w:color="auto"/>
              <w:left w:val="single" w:sz="4" w:space="0" w:color="auto"/>
              <w:bottom w:val="single" w:sz="4" w:space="0" w:color="auto"/>
              <w:right w:val="single" w:sz="4" w:space="0" w:color="auto"/>
            </w:tcBorders>
            <w:hideMark/>
          </w:tcPr>
          <w:p w14:paraId="7134EF4E" w14:textId="77777777" w:rsidR="00F55255" w:rsidRPr="00A606EC" w:rsidRDefault="00F55255">
            <w:pPr>
              <w:keepNext/>
              <w:spacing w:after="40"/>
              <w:jc w:val="left"/>
              <w:rPr>
                <w:sz w:val="20"/>
                <w:szCs w:val="20"/>
                <w:lang w:val="es-ES_tradnl"/>
              </w:rPr>
            </w:pPr>
            <w:r w:rsidRPr="00A606EC">
              <w:rPr>
                <w:sz w:val="20"/>
                <w:lang w:val="es-ES_tradnl"/>
              </w:rPr>
              <w:t>Se ha proporcionado flexibilidad a los países que operan al amparo del artículo 5 para incluir en sus planes de gestión para la eliminación de los HCFC (PGEH) o sus planes de ejecución de Kigali para los HFC (KIP) actividades relacionadas con la gestión respetuosa con el medio ambiente de las sustancias controladas utilizadas o no deseadas, incluida su eliminación, teniendo en cuenta los párrafos 19 a 24 del documento UNEP/</w:t>
            </w:r>
            <w:proofErr w:type="spellStart"/>
            <w:r w:rsidRPr="00A606EC">
              <w:rPr>
                <w:sz w:val="20"/>
                <w:lang w:val="es-ES_tradnl"/>
              </w:rPr>
              <w:t>OzL.Pro</w:t>
            </w:r>
            <w:proofErr w:type="spellEnd"/>
            <w:r w:rsidRPr="00A606EC">
              <w:rPr>
                <w:sz w:val="20"/>
                <w:lang w:val="es-ES_tradnl"/>
              </w:rPr>
              <w:t>/</w:t>
            </w:r>
            <w:proofErr w:type="spellStart"/>
            <w:r w:rsidRPr="00A606EC">
              <w:rPr>
                <w:sz w:val="20"/>
                <w:lang w:val="es-ES_tradnl"/>
              </w:rPr>
              <w:t>ExCom</w:t>
            </w:r>
            <w:proofErr w:type="spellEnd"/>
            <w:r w:rsidRPr="00A606EC">
              <w:rPr>
                <w:sz w:val="20"/>
                <w:lang w:val="es-ES_tradnl"/>
              </w:rPr>
              <w:t>/89/9 y las experiencias adquiridas de proyectos anteriores de eliminación de SAO; las deliberaciones sobre la aplicación del párrafo 24 de la decisión XXVIII/2 continuarán en el contexto de las conversaciones relativas a las directrices sobre costos para la reducción de los HFC (decisión 90/49 b)).</w:t>
            </w:r>
          </w:p>
          <w:p w14:paraId="16CD6A5D" w14:textId="77777777" w:rsidR="00F55255" w:rsidRPr="00A606EC" w:rsidRDefault="00F55255">
            <w:pPr>
              <w:keepNext/>
              <w:spacing w:after="40"/>
              <w:jc w:val="left"/>
              <w:rPr>
                <w:sz w:val="20"/>
                <w:szCs w:val="20"/>
                <w:lang w:val="es-ES_tradnl"/>
              </w:rPr>
            </w:pPr>
            <w:r w:rsidRPr="00A606EC">
              <w:rPr>
                <w:sz w:val="20"/>
                <w:lang w:val="es-ES_tradnl"/>
              </w:rPr>
              <w:t>Se ha establecido una ventana de financiación para preparar inventarios de bancos de sustancias controladas usadas o no deseadas y elaborar planes para su acopio, transporte y eliminación (decisión 91/66)</w:t>
            </w:r>
            <w:r w:rsidRPr="00A606EC">
              <w:rPr>
                <w:rStyle w:val="FootnoteReference"/>
                <w:sz w:val="20"/>
                <w:szCs w:val="20"/>
                <w:lang w:val="es-ES_tradnl"/>
              </w:rPr>
              <w:footnoteReference w:id="7"/>
            </w:r>
            <w:r w:rsidRPr="00A606EC">
              <w:rPr>
                <w:sz w:val="20"/>
                <w:lang w:val="es-ES_tradnl"/>
              </w:rPr>
              <w:t>.</w:t>
            </w:r>
            <w:r w:rsidRPr="00A606EC">
              <w:rPr>
                <w:lang w:val="es-ES_tradnl"/>
              </w:rPr>
              <w:t xml:space="preserve"> </w:t>
            </w:r>
          </w:p>
        </w:tc>
        <w:tc>
          <w:tcPr>
            <w:tcW w:w="1364"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1764255" w14:textId="77777777" w:rsidR="00F55255" w:rsidRPr="00A606EC" w:rsidRDefault="00F55255">
            <w:pPr>
              <w:keepNext/>
              <w:spacing w:after="40"/>
              <w:jc w:val="left"/>
              <w:rPr>
                <w:sz w:val="20"/>
                <w:szCs w:val="20"/>
                <w:lang w:val="es-ES_tradnl"/>
              </w:rPr>
            </w:pPr>
            <w:r w:rsidRPr="00A606EC">
              <w:rPr>
                <w:sz w:val="20"/>
                <w:lang w:val="es-ES_tradnl"/>
              </w:rPr>
              <w:t xml:space="preserve">Proseguir con las deliberaciones sobre la puesta en práctica del párrafo 24 de la decisión XXVIII/2, en el contexto del debate sobre las directrices sobre costos para la reducción de los HFC en los países que operan al amparo del artículo 5. </w:t>
            </w:r>
          </w:p>
        </w:tc>
      </w:tr>
    </w:tbl>
    <w:p w14:paraId="53CFC30E" w14:textId="77777777" w:rsidR="00F55255" w:rsidRPr="00A606EC" w:rsidRDefault="00F55255" w:rsidP="00F55255">
      <w:pPr>
        <w:keepLines/>
        <w:rPr>
          <w:sz w:val="18"/>
          <w:lang w:val="es-ES_tradnl"/>
        </w:rPr>
      </w:pPr>
      <w:r w:rsidRPr="00A606EC">
        <w:rPr>
          <w:sz w:val="18"/>
          <w:lang w:val="es-ES_tradnl"/>
        </w:rPr>
        <w:t>*Anexo VI del presente documento</w:t>
      </w:r>
    </w:p>
    <w:p w14:paraId="4D6D6B89" w14:textId="77777777" w:rsidR="00F55255" w:rsidRPr="00A606EC" w:rsidRDefault="00F55255" w:rsidP="00F55255">
      <w:pPr>
        <w:keepLines/>
        <w:rPr>
          <w:sz w:val="18"/>
          <w:szCs w:val="18"/>
          <w:lang w:val="es-ES_tradnl"/>
        </w:rPr>
      </w:pPr>
    </w:p>
    <w:p w14:paraId="76461C9F" w14:textId="77777777" w:rsidR="000420DC" w:rsidRPr="00A606EC" w:rsidRDefault="000420DC" w:rsidP="00F55255">
      <w:pPr>
        <w:keepLines/>
        <w:rPr>
          <w:sz w:val="18"/>
          <w:szCs w:val="18"/>
          <w:lang w:val="es-ES_tradnl"/>
        </w:rPr>
      </w:pPr>
    </w:p>
    <w:p w14:paraId="6E74E853" w14:textId="77777777" w:rsidR="000420DC" w:rsidRPr="00A606EC" w:rsidRDefault="000420DC" w:rsidP="00F55255">
      <w:pPr>
        <w:keepLines/>
        <w:rPr>
          <w:sz w:val="18"/>
          <w:szCs w:val="18"/>
          <w:lang w:val="es-ES_tradnl"/>
        </w:rPr>
      </w:pPr>
    </w:p>
    <w:p w14:paraId="4D36BFB8" w14:textId="77777777" w:rsidR="00F55255" w:rsidRPr="00F55255" w:rsidRDefault="00F55255" w:rsidP="00BF4B61">
      <w:pPr>
        <w:pStyle w:val="Heading1"/>
        <w:numPr>
          <w:ilvl w:val="0"/>
          <w:numId w:val="0"/>
        </w:numPr>
        <w:ind w:left="720" w:hanging="720"/>
        <w:rPr>
          <w:b/>
          <w:lang w:val="es-ES_tradnl"/>
        </w:rPr>
      </w:pPr>
      <w:r w:rsidRPr="00F55255">
        <w:rPr>
          <w:b/>
          <w:lang w:val="es-ES_tradnl"/>
        </w:rPr>
        <w:t>B.</w:t>
      </w:r>
      <w:r w:rsidRPr="00F55255">
        <w:rPr>
          <w:b/>
          <w:lang w:val="es-ES_tradnl"/>
        </w:rPr>
        <w:tab/>
        <w:t>Resumen de las deliberaciones sobre los diversos componentes de las directrices sobre costos para la reducción de los HFC hasta la 94</w:t>
      </w:r>
      <w:r w:rsidRPr="00F55255">
        <w:rPr>
          <w:b/>
          <w:vertAlign w:val="superscript"/>
          <w:lang w:val="es-ES_tradnl"/>
        </w:rPr>
        <w:t>a</w:t>
      </w:r>
      <w:r w:rsidRPr="00F55255">
        <w:rPr>
          <w:b/>
          <w:lang w:val="es-ES_tradnl"/>
        </w:rPr>
        <w:t> reunión</w:t>
      </w:r>
    </w:p>
    <w:p w14:paraId="4865D826" w14:textId="77777777" w:rsidR="00F55255" w:rsidRPr="00F55255" w:rsidRDefault="00F55255" w:rsidP="00F55255">
      <w:pPr>
        <w:pStyle w:val="Heading1"/>
        <w:numPr>
          <w:ilvl w:val="0"/>
          <w:numId w:val="0"/>
        </w:numPr>
        <w:rPr>
          <w:b/>
          <w:lang w:val="es-ES_tradnl"/>
        </w:rPr>
      </w:pPr>
      <w:r w:rsidRPr="00F55255">
        <w:rPr>
          <w:b/>
          <w:lang w:val="es-ES_tradnl"/>
        </w:rPr>
        <w:lastRenderedPageBreak/>
        <w:t>Metodología para determinar el punto de partida de las reducciones acumuladas sostenidas</w:t>
      </w:r>
    </w:p>
    <w:p w14:paraId="06220FA3" w14:textId="77777777" w:rsidR="00F55255" w:rsidRPr="00F55255" w:rsidRDefault="00F55255" w:rsidP="00F55255">
      <w:pPr>
        <w:pStyle w:val="Heading1"/>
        <w:numPr>
          <w:ilvl w:val="0"/>
          <w:numId w:val="22"/>
        </w:numPr>
        <w:rPr>
          <w:lang w:val="es-ES_tradnl"/>
        </w:rPr>
      </w:pPr>
      <w:r w:rsidRPr="00F55255">
        <w:rPr>
          <w:lang w:val="es-ES_tradnl"/>
        </w:rPr>
        <w:t>En la 92</w:t>
      </w:r>
      <w:r w:rsidRPr="00F55255">
        <w:rPr>
          <w:vertAlign w:val="superscript"/>
          <w:lang w:val="es-ES_tradnl"/>
        </w:rPr>
        <w:t>a</w:t>
      </w:r>
      <w:r w:rsidRPr="00F55255">
        <w:rPr>
          <w:lang w:val="es-ES_tradnl"/>
        </w:rPr>
        <w:t> reunión, el Comité Ejecutivo, tras presentar el documento UNEP/</w:t>
      </w:r>
      <w:proofErr w:type="spellStart"/>
      <w:r w:rsidRPr="00F55255">
        <w:rPr>
          <w:lang w:val="es-ES_tradnl"/>
        </w:rPr>
        <w:t>OzL.Pro</w:t>
      </w:r>
      <w:proofErr w:type="spellEnd"/>
      <w:r w:rsidRPr="00F55255">
        <w:rPr>
          <w:lang w:val="es-ES_tradnl"/>
        </w:rPr>
        <w:t>/</w:t>
      </w:r>
      <w:proofErr w:type="spellStart"/>
      <w:r w:rsidRPr="00F55255">
        <w:rPr>
          <w:lang w:val="es-ES_tradnl"/>
        </w:rPr>
        <w:t>ExCom</w:t>
      </w:r>
      <w:proofErr w:type="spellEnd"/>
      <w:r w:rsidRPr="00F55255">
        <w:rPr>
          <w:lang w:val="es-ES_tradnl"/>
        </w:rPr>
        <w:t>/92/46, debatió la metodología para determinar el punto de partida de las reducciones acumuladas sostenidas. Durante las conversaciones, que posteriormente prosiguieron en un grupo de contacto, un miembro consideró interesante la metodología propuesta por la Secretaría y otro miembro mencionó que, aunque su delegación había estado a favor de que el punto de partida se midiera en toneladas métricas (t), la propuesta de la Secretaría incluía mecanismos apropiados que parecían resolver las inquietudes planteadas anteriormente sobre las obligaciones de financiación empleando un enfoque de toneladas de CO</w:t>
      </w:r>
      <w:r w:rsidRPr="00F55255">
        <w:rPr>
          <w:vertAlign w:val="subscript"/>
          <w:lang w:val="es-ES_tradnl"/>
        </w:rPr>
        <w:t>2</w:t>
      </w:r>
      <w:r w:rsidRPr="00F55255">
        <w:rPr>
          <w:lang w:val="es-ES_tradnl"/>
        </w:rPr>
        <w:t> equivalentes (CO</w:t>
      </w:r>
      <w:r w:rsidRPr="00F55255">
        <w:rPr>
          <w:vertAlign w:val="subscript"/>
          <w:lang w:val="es-ES_tradnl"/>
        </w:rPr>
        <w:t>2</w:t>
      </w:r>
      <w:r w:rsidRPr="00F55255">
        <w:rPr>
          <w:lang w:val="es-ES_tradnl"/>
        </w:rPr>
        <w:t> </w:t>
      </w:r>
      <w:proofErr w:type="spellStart"/>
      <w:r w:rsidRPr="00F55255">
        <w:rPr>
          <w:lang w:val="es-ES_tradnl"/>
        </w:rPr>
        <w:t>eq</w:t>
      </w:r>
      <w:proofErr w:type="spellEnd"/>
      <w:r w:rsidRPr="00F55255">
        <w:rPr>
          <w:lang w:val="es-ES_tradnl"/>
        </w:rPr>
        <w:t>). Por tanto, dicho miembro se mostraba abierto a los diferentes enfoques que pudieran tomarse. Entre las cuestiones que necesitaban más discusión y que habían planteado los miembros estaban: la necesidad de clarificar la metodología para incluir en el punto de partida el componente de HCFC de los niveles básicos de referencia de los HFC y un nivel apropiado para el punto de partida; que los criterios correspondientes a la última etapa de reducción aún se estaban examinando; que el apartado 18 e) y el párrafo 19 de la decisión XXVIII/2 debían leerse conjuntamente; que podría ser necesario un incentivo para que los países que operan al amparo del artículo 5 hagan la transición a refrigerantes con bajo PCA lo antes posible; que debe seguirse considerando la transferencia del consumo no admisible, incluido el de empresas no admisibles, desde el sector de fabricación al de mantenimiento, incluyendo enfoques distintos de los identificados en el documento; que podría ser conveniente revisar la metodología en 2029; abordar la eliminación lograda sin la ayuda del Fondo Multilateral; y la necesidad de redactar de una forma más precisa el apartado 6 a) del documento.</w:t>
      </w:r>
    </w:p>
    <w:p w14:paraId="63BE8DEB" w14:textId="77777777" w:rsidR="00F55255" w:rsidRPr="00F55255" w:rsidRDefault="00F55255" w:rsidP="00F55255">
      <w:pPr>
        <w:pStyle w:val="Heading1"/>
        <w:numPr>
          <w:ilvl w:val="0"/>
          <w:numId w:val="22"/>
        </w:numPr>
        <w:rPr>
          <w:lang w:val="es-ES_tradnl"/>
        </w:rPr>
      </w:pPr>
      <w:r w:rsidRPr="00F55255">
        <w:rPr>
          <w:lang w:val="es-ES_tradnl"/>
        </w:rPr>
        <w:t>El Comité Ejecutivo no concluyó sus deliberaciones sobre la metodología para determinar el punto de partida en la 92ª reunión y, por consiguiente, prosiguió sus debates al respecto en la 93ª reunión. Durante los debates del Comité en la 93ª reunión, algunos miembros reiteraron la necesidad de seguir avanzando en el acuerdo sobre una metodología para determinar el punto de partida. Se expresó apoyo a la medición del punto de partida en toneladas de CO</w:t>
      </w:r>
      <w:r w:rsidRPr="00F55255">
        <w:rPr>
          <w:vertAlign w:val="subscript"/>
          <w:lang w:val="es-ES_tradnl"/>
        </w:rPr>
        <w:t>2</w:t>
      </w:r>
      <w:r w:rsidRPr="00F55255">
        <w:rPr>
          <w:lang w:val="es-ES_tradnl"/>
        </w:rPr>
        <w:t> equivalentes, y un miembro señaló que dicho planteamiento garantizaría la coherencia con los KIP. Otro miembro dijo que era necesario tener en cuenta el impacto de la pandemia de COVID-19 en el consumo de HFC, incluso con respecto a la determinación del punto de partida. Otro miembro, recordando la disposición inicial de su delegación a considerar la metodología propuesta por la Secretaría para el punto de partida, dijo que esperaba con interés seguir debatiendo el asunto en un grupo de contacto. Además, el Gobierno de Australia presentó una propuesta relacionada con el punto de partida.</w:t>
      </w:r>
    </w:p>
    <w:p w14:paraId="205768EF" w14:textId="77777777" w:rsidR="00F55255" w:rsidRPr="00F55255" w:rsidRDefault="00F55255" w:rsidP="00F55255">
      <w:pPr>
        <w:pStyle w:val="Heading1"/>
        <w:numPr>
          <w:ilvl w:val="0"/>
          <w:numId w:val="22"/>
        </w:numPr>
        <w:rPr>
          <w:lang w:val="es-ES_tradnl"/>
        </w:rPr>
      </w:pPr>
      <w:r w:rsidRPr="00F55255">
        <w:rPr>
          <w:lang w:val="es-ES_tradnl"/>
        </w:rPr>
        <w:t>En la 94</w:t>
      </w:r>
      <w:r w:rsidRPr="00F55255">
        <w:rPr>
          <w:vertAlign w:val="superscript"/>
          <w:lang w:val="es-ES_tradnl"/>
        </w:rPr>
        <w:t>a</w:t>
      </w:r>
      <w:r w:rsidRPr="00F55255">
        <w:rPr>
          <w:lang w:val="es-ES_tradnl"/>
        </w:rPr>
        <w:t> reunión, el Comité Ejecutivo no tuvo ocasión de debatir el texto de trabajo sobre el punto de partida para las reducciones acumuladas sostenidas del consumo de HFC que el Gobierno de Australia había presentado en la 93</w:t>
      </w:r>
      <w:r w:rsidRPr="00F55255">
        <w:rPr>
          <w:vertAlign w:val="superscript"/>
          <w:lang w:val="es-ES_tradnl"/>
        </w:rPr>
        <w:t>a</w:t>
      </w:r>
      <w:r w:rsidRPr="00F55255">
        <w:rPr>
          <w:lang w:val="es-ES_tradnl"/>
        </w:rPr>
        <w:t xml:space="preserve"> reunión y acordó continuar su examen de la cuestión en la 95ª reunión utilizando dicho texto de trabajo, que se incluye como anexo V del presente documento.  </w:t>
      </w:r>
    </w:p>
    <w:p w14:paraId="54615644" w14:textId="77777777" w:rsidR="00F55255" w:rsidRPr="00F55255" w:rsidRDefault="00F55255" w:rsidP="00F55255">
      <w:pPr>
        <w:pStyle w:val="Heading1"/>
        <w:numPr>
          <w:ilvl w:val="0"/>
          <w:numId w:val="0"/>
        </w:numPr>
        <w:rPr>
          <w:b/>
          <w:bCs/>
          <w:lang w:val="es-ES_tradnl"/>
        </w:rPr>
      </w:pPr>
      <w:bookmarkStart w:id="3" w:name="_Hlk117682314"/>
      <w:bookmarkEnd w:id="1"/>
      <w:r w:rsidRPr="00F55255">
        <w:rPr>
          <w:b/>
          <w:lang w:val="es-ES_tradnl"/>
        </w:rPr>
        <w:t>Umbrales de relación de costo a eficacia y costos adicionales admisibles para el sector de fabricación para el consumo</w:t>
      </w:r>
    </w:p>
    <w:p w14:paraId="35374672" w14:textId="77777777" w:rsidR="00F55255" w:rsidRPr="00F55255" w:rsidRDefault="00F55255" w:rsidP="00F55255">
      <w:pPr>
        <w:pStyle w:val="Heading1"/>
        <w:numPr>
          <w:ilvl w:val="0"/>
          <w:numId w:val="22"/>
        </w:numPr>
        <w:rPr>
          <w:lang w:val="es-ES_tradnl"/>
        </w:rPr>
      </w:pPr>
      <w:bookmarkStart w:id="4" w:name="_Hlk118106273"/>
      <w:bookmarkEnd w:id="3"/>
      <w:r w:rsidRPr="00F55255">
        <w:rPr>
          <w:lang w:val="es-ES_tradnl"/>
        </w:rPr>
        <w:t>Como se describe en el párrafo 45 del documento UNEP/</w:t>
      </w:r>
      <w:proofErr w:type="spellStart"/>
      <w:r w:rsidRPr="00F55255">
        <w:rPr>
          <w:lang w:val="es-ES_tradnl"/>
        </w:rPr>
        <w:t>OzL.Pro</w:t>
      </w:r>
      <w:proofErr w:type="spellEnd"/>
      <w:r w:rsidRPr="00F55255">
        <w:rPr>
          <w:lang w:val="es-ES_tradnl"/>
        </w:rPr>
        <w:t>/</w:t>
      </w:r>
      <w:proofErr w:type="spellStart"/>
      <w:r w:rsidRPr="00F55255">
        <w:rPr>
          <w:lang w:val="es-ES_tradnl"/>
        </w:rPr>
        <w:t>ExCom</w:t>
      </w:r>
      <w:proofErr w:type="spellEnd"/>
      <w:r w:rsidRPr="00F55255">
        <w:rPr>
          <w:lang w:val="es-ES_tradnl"/>
        </w:rPr>
        <w:t>/78/5, la Secretaría siempre ha examinado las propuestas de proyectos sobre la base del costo adicional</w:t>
      </w:r>
      <w:r w:rsidRPr="00F55255">
        <w:rPr>
          <w:vertAlign w:val="superscript"/>
          <w:lang w:val="es-ES_tradnl"/>
        </w:rPr>
        <w:footnoteReference w:id="8"/>
      </w:r>
      <w:r w:rsidRPr="00F55255">
        <w:rPr>
          <w:lang w:val="es-ES_tradnl"/>
        </w:rPr>
        <w:t xml:space="preserve"> y en línea con las directrices y decisiones del Comité Ejecutivo. El costo adicional se evalúa teniendo en cuenta, entre otras cosas, los equipos de partida de la empresa, el número de productos fabricados, la cantidad de sustancias controladas y otras materias primas utilizadas, la consideración de las mejoras tecnológicas</w:t>
      </w:r>
      <w:r w:rsidRPr="00F55255">
        <w:rPr>
          <w:vertAlign w:val="superscript"/>
          <w:lang w:val="es-ES_tradnl"/>
        </w:rPr>
        <w:footnoteReference w:id="9"/>
      </w:r>
      <w:r w:rsidRPr="00F55255">
        <w:rPr>
          <w:lang w:val="es-ES_tradnl"/>
        </w:rPr>
        <w:t xml:space="preserve"> y la tecnología alternativa seleccionada. Una vez que se han abordado satisfactoriamente todas las cuestiones técnicas y de costos y se ha llegado a un acuerdo sobre el costo adicional entre la Secretaría y los organismos bilaterales </w:t>
      </w:r>
      <w:r w:rsidRPr="00F55255">
        <w:rPr>
          <w:lang w:val="es-ES_tradnl"/>
        </w:rPr>
        <w:lastRenderedPageBreak/>
        <w:t xml:space="preserve">o de ejecución pertinentes, se calcula la relación de costo a eficacia del proyecto dividiendo el nivel convenido de financiación entre la cantidad total de sustancias controladas que se eliminarán. </w:t>
      </w:r>
    </w:p>
    <w:p w14:paraId="249651CB" w14:textId="77777777" w:rsidR="00F55255" w:rsidRPr="00F55255" w:rsidRDefault="00F55255" w:rsidP="00F55255">
      <w:pPr>
        <w:pStyle w:val="Heading1"/>
        <w:numPr>
          <w:ilvl w:val="0"/>
          <w:numId w:val="22"/>
        </w:numPr>
        <w:rPr>
          <w:lang w:val="es-ES_tradnl"/>
        </w:rPr>
      </w:pPr>
      <w:r w:rsidRPr="00F55255">
        <w:rPr>
          <w:lang w:val="es-ES_tradnl"/>
        </w:rPr>
        <w:t>Las deliberaciones preliminares acerca de los umbrales de relación de costo a eficacia para la reducción de los HFC en el sector de fabricación para el consumo se iniciaron en la 78ª reunión, cuando los miembros señalaron, entre otras cosas, que los umbrales de relación de costo a eficacia para la eliminación de los CFC y los HCFC no necesariamente eran aplicables a los HFC, que el Fondo contaba con una experiencia limitada respecto a la eliminación de los HFC en determinados sectores</w:t>
      </w:r>
      <w:bookmarkEnd w:id="4"/>
      <w:r w:rsidRPr="00F55255">
        <w:rPr>
          <w:lang w:val="es-ES_tradnl"/>
        </w:rPr>
        <w:t xml:space="preserve"> y que los costos adicionales asociados podrían ser diferentes de aquellos relacionados con la eliminación de otras sustancias controladas. Por consiguiente, el Comité Ejecutivo consideró que era necesario contar con información adicional para llegar a una decisión sobre los costos adicionales admisibles y acordó considerar la posibilidad de aprobar un número limitado de proyectos de inversión independientes relacionados con los HFC.</w:t>
      </w:r>
    </w:p>
    <w:p w14:paraId="35CC8C13" w14:textId="77777777" w:rsidR="00F55255" w:rsidRPr="00F55255" w:rsidRDefault="00F55255" w:rsidP="00F55255">
      <w:pPr>
        <w:pStyle w:val="Heading1"/>
        <w:numPr>
          <w:ilvl w:val="0"/>
          <w:numId w:val="22"/>
        </w:numPr>
        <w:rPr>
          <w:lang w:val="es-ES_tradnl"/>
        </w:rPr>
      </w:pPr>
      <w:r w:rsidRPr="00F55255">
        <w:rPr>
          <w:lang w:val="es-ES_tradnl"/>
        </w:rPr>
        <w:t>De conformidad con las decisiones 78/3 g)</w:t>
      </w:r>
      <w:r w:rsidRPr="00F55255">
        <w:rPr>
          <w:vertAlign w:val="superscript"/>
          <w:lang w:val="es-ES_tradnl"/>
        </w:rPr>
        <w:footnoteReference w:id="10"/>
      </w:r>
      <w:r w:rsidRPr="00F55255">
        <w:rPr>
          <w:lang w:val="es-ES_tradnl"/>
        </w:rPr>
        <w:t>, 79/45</w:t>
      </w:r>
      <w:r w:rsidRPr="00F55255">
        <w:rPr>
          <w:vertAlign w:val="superscript"/>
          <w:lang w:val="es-ES_tradnl"/>
        </w:rPr>
        <w:footnoteReference w:id="11"/>
      </w:r>
      <w:r w:rsidRPr="00F55255">
        <w:rPr>
          <w:lang w:val="es-ES_tradnl"/>
        </w:rPr>
        <w:t>, 81/53</w:t>
      </w:r>
      <w:r w:rsidRPr="00F55255">
        <w:rPr>
          <w:vertAlign w:val="superscript"/>
          <w:lang w:val="es-ES_tradnl"/>
        </w:rPr>
        <w:footnoteReference w:id="12"/>
      </w:r>
      <w:r w:rsidRPr="00F55255">
        <w:rPr>
          <w:lang w:val="es-ES_tradnl"/>
        </w:rPr>
        <w:t xml:space="preserve"> y 84/53</w:t>
      </w:r>
      <w:r w:rsidRPr="00F55255">
        <w:rPr>
          <w:vertAlign w:val="superscript"/>
          <w:lang w:val="es-ES_tradnl"/>
        </w:rPr>
        <w:footnoteReference w:id="13"/>
      </w:r>
      <w:r w:rsidRPr="00F55255">
        <w:rPr>
          <w:lang w:val="es-ES_tradnl"/>
        </w:rPr>
        <w:t>, el Comité Ejecutivo ha aprobado 10 proyectos independientes de inversión relativos a los HFC en los sectores de fabricación de equipos de refrigeración domésticos y comerciales</w:t>
      </w:r>
      <w:r w:rsidRPr="00F55255">
        <w:rPr>
          <w:vertAlign w:val="superscript"/>
          <w:lang w:val="es-ES_tradnl"/>
        </w:rPr>
        <w:footnoteReference w:id="14"/>
      </w:r>
      <w:r w:rsidRPr="00F55255">
        <w:rPr>
          <w:lang w:val="es-ES_tradnl"/>
        </w:rPr>
        <w:t>.</w:t>
      </w:r>
    </w:p>
    <w:p w14:paraId="032678A4" w14:textId="77777777" w:rsidR="00F55255" w:rsidRPr="00F55255" w:rsidRDefault="00F55255" w:rsidP="00F55255">
      <w:pPr>
        <w:pStyle w:val="Heading1"/>
        <w:numPr>
          <w:ilvl w:val="0"/>
          <w:numId w:val="22"/>
        </w:numPr>
        <w:rPr>
          <w:lang w:val="es-ES_tradnl"/>
        </w:rPr>
      </w:pPr>
      <w:r w:rsidRPr="00F55255">
        <w:rPr>
          <w:lang w:val="es-ES_tradnl"/>
        </w:rPr>
        <w:t>En la 83</w:t>
      </w:r>
      <w:r w:rsidRPr="00F55255">
        <w:rPr>
          <w:vertAlign w:val="superscript"/>
          <w:lang w:val="es-ES_tradnl"/>
        </w:rPr>
        <w:t>a</w:t>
      </w:r>
      <w:r w:rsidRPr="00F55255">
        <w:rPr>
          <w:lang w:val="es-ES_tradnl"/>
        </w:rPr>
        <w:t xml:space="preserve"> y la 84</w:t>
      </w:r>
      <w:r w:rsidRPr="00F55255">
        <w:rPr>
          <w:vertAlign w:val="superscript"/>
          <w:lang w:val="es-ES_tradnl"/>
        </w:rPr>
        <w:t>a</w:t>
      </w:r>
      <w:r w:rsidRPr="00F55255">
        <w:rPr>
          <w:lang w:val="es-ES_tradnl"/>
        </w:rPr>
        <w:t> reuniones se mantuvieron deliberaciones adicionales en las que el Comité Ejecutivo solicitó a la Secretaría que preparara para su 86</w:t>
      </w:r>
      <w:r w:rsidRPr="00F55255">
        <w:rPr>
          <w:vertAlign w:val="superscript"/>
          <w:lang w:val="es-ES_tradnl"/>
        </w:rPr>
        <w:t>a</w:t>
      </w:r>
      <w:r w:rsidRPr="00F55255">
        <w:rPr>
          <w:lang w:val="es-ES_tradnl"/>
        </w:rPr>
        <w:t> reunión un análisis e información sobre los costos adicionales de capital y de explotación, así como sobre su duración, en el sector de fabricación para el consumo (decisión 84/87 a))).</w:t>
      </w:r>
    </w:p>
    <w:p w14:paraId="75EEE6D8" w14:textId="77777777" w:rsidR="00F55255" w:rsidRPr="00F55255" w:rsidRDefault="00F55255" w:rsidP="00F55255">
      <w:pPr>
        <w:pStyle w:val="Heading1"/>
        <w:numPr>
          <w:ilvl w:val="0"/>
          <w:numId w:val="22"/>
        </w:numPr>
        <w:rPr>
          <w:lang w:val="es-ES_tradnl"/>
        </w:rPr>
      </w:pPr>
      <w:r w:rsidRPr="00F55255">
        <w:rPr>
          <w:lang w:val="es-ES_tradnl"/>
        </w:rPr>
        <w:t>En la 89ª reunión, la Secretaría presentó el documento UNEP/</w:t>
      </w:r>
      <w:proofErr w:type="spellStart"/>
      <w:r w:rsidRPr="00F55255">
        <w:rPr>
          <w:lang w:val="es-ES_tradnl"/>
        </w:rPr>
        <w:t>OzL.Pro</w:t>
      </w:r>
      <w:proofErr w:type="spellEnd"/>
      <w:r w:rsidRPr="00F55255">
        <w:rPr>
          <w:lang w:val="es-ES_tradnl"/>
        </w:rPr>
        <w:t>/</w:t>
      </w:r>
      <w:proofErr w:type="spellStart"/>
      <w:r w:rsidRPr="00F55255">
        <w:rPr>
          <w:lang w:val="es-ES_tradnl"/>
        </w:rPr>
        <w:t>ExCom</w:t>
      </w:r>
      <w:proofErr w:type="spellEnd"/>
      <w:r w:rsidRPr="00F55255">
        <w:rPr>
          <w:lang w:val="es-ES_tradnl"/>
        </w:rPr>
        <w:t>/89/10/Rev.1, que contenía un resumen de los costos adicionales de capital, los costos adicionales de explotación y la relación de costo a eficacia de los proyectos de inversión aprobados en particular para los sectores de fabricación de espumas y de equipos de refrigeración y aire acondicionado; y el documento UNEP/</w:t>
      </w:r>
      <w:proofErr w:type="spellStart"/>
      <w:r w:rsidRPr="00F55255">
        <w:rPr>
          <w:lang w:val="es-ES_tradnl"/>
        </w:rPr>
        <w:t>OzL.Pro</w:t>
      </w:r>
      <w:proofErr w:type="spellEnd"/>
      <w:r w:rsidRPr="00F55255">
        <w:rPr>
          <w:lang w:val="es-ES_tradnl"/>
        </w:rPr>
        <w:t>/</w:t>
      </w:r>
      <w:proofErr w:type="spellStart"/>
      <w:r w:rsidRPr="00F55255">
        <w:rPr>
          <w:lang w:val="es-ES_tradnl"/>
        </w:rPr>
        <w:t>ExCom</w:t>
      </w:r>
      <w:proofErr w:type="spellEnd"/>
      <w:r w:rsidRPr="00F55255">
        <w:rPr>
          <w:lang w:val="es-ES_tradnl"/>
        </w:rPr>
        <w:t xml:space="preserve">/89/10/Add.1, que presentaba un análisis preliminar sobre los costos adicionales de capital y los costos adicionales de explotación incurridos en las conversiones llevadas a cabo en empresas que consumen HFC. La Secretaría solo ha recibido dos de los seis informes pendientes de los proyectos </w:t>
      </w:r>
      <w:r w:rsidRPr="00F55255">
        <w:rPr>
          <w:lang w:val="es-ES_tradnl"/>
        </w:rPr>
        <w:lastRenderedPageBreak/>
        <w:t>terminados aprobados de conformidad con la decisión 78/3 g). Una vez que la Secretaría reciba todos los informes pendientes, se actualizará el documento.</w:t>
      </w:r>
    </w:p>
    <w:p w14:paraId="691AE04F" w14:textId="77777777" w:rsidR="00F55255" w:rsidRPr="00F55255" w:rsidRDefault="00F55255" w:rsidP="00F55255">
      <w:pPr>
        <w:pStyle w:val="Heading1"/>
        <w:numPr>
          <w:ilvl w:val="0"/>
          <w:numId w:val="22"/>
        </w:numPr>
        <w:rPr>
          <w:lang w:val="es-ES_tradnl"/>
        </w:rPr>
      </w:pPr>
      <w:r w:rsidRPr="00F55255">
        <w:rPr>
          <w:lang w:val="es-ES_tradnl"/>
        </w:rPr>
        <w:t>En las reuniones 89ª, 90ª y 91</w:t>
      </w:r>
      <w:r w:rsidRPr="00F55255">
        <w:rPr>
          <w:vertAlign w:val="superscript"/>
          <w:lang w:val="es-ES_tradnl"/>
        </w:rPr>
        <w:t>a</w:t>
      </w:r>
      <w:r w:rsidRPr="00F55255">
        <w:rPr>
          <w:lang w:val="es-ES_tradnl"/>
        </w:rPr>
        <w:t>, el grupo de contacto establecido para tratar el asunto acordó que, en el período provisional, los umbrales de relación de costo a eficacia se establecerían en 13,76 $EUA/kg para el sector de equipos de refrigeración domésticos y en 9,00 $EUA/kg para el sector de espumas de poliuretano rígido, con un tratamiento especial para las pequeñas y medianas empresas, mientras que se consideraría caso por caso la relación de costo a eficacia de los proyectos del sector de espumas de poliuretano flexibles, revestimientos integrales, espumas de poliestireno extruido, aerosoles, extintores, inhaladores de dosis medidas, disolventes, equipos de aire acondicionado portátiles y refrigeración para el transporte.</w:t>
      </w:r>
    </w:p>
    <w:p w14:paraId="471C2093" w14:textId="77777777" w:rsidR="00F55255" w:rsidRPr="00F55255" w:rsidRDefault="00F55255" w:rsidP="00F55255">
      <w:pPr>
        <w:pStyle w:val="Heading1"/>
        <w:numPr>
          <w:ilvl w:val="0"/>
          <w:numId w:val="22"/>
        </w:numPr>
        <w:rPr>
          <w:lang w:val="es-ES_tradnl"/>
        </w:rPr>
      </w:pPr>
      <w:r w:rsidRPr="00F55255">
        <w:rPr>
          <w:lang w:val="es-ES_tradnl"/>
        </w:rPr>
        <w:t>El grupo no llegó a conclusiones con respecto a los umbrales de relación de costo a eficacia apropiados para los proyectos pertenecientes al sector de equipos de refrigeración comercial y los subsectores de fabricación de equipos fijos de aire acondicionado domésticos y comerciales, ni tampoco sobre si estos dos últimos subsectores debían considerarse juntos o por separado. Hubo consenso en dar un trato especial a las empresas pequeñas de fabricación de equipos de aire acondicionado y de refrigeración comerciales, pero era necesario disponer de información adicional sobre qué constituía una "pequeña empresa" en este sector. En la 91ª reunión, el Comité Ejecutivo acordó seguir debatiendo en la 92ª reunión acerca de los umbrales correspondientes a los equipos fijos de aire acondicionado y equipos comerciales de refrigeración, así como sobre los costos adicionales de explotación tomando como base el texto de trabajo utilizado por el grupo de contacto</w:t>
      </w:r>
      <w:r w:rsidRPr="00F55255">
        <w:rPr>
          <w:vertAlign w:val="superscript"/>
          <w:lang w:val="es-ES_tradnl"/>
        </w:rPr>
        <w:footnoteReference w:id="15"/>
      </w:r>
      <w:r w:rsidRPr="00F55255">
        <w:rPr>
          <w:lang w:val="es-ES_tradnl"/>
        </w:rPr>
        <w:t xml:space="preserve"> y pedir a la Secretaría que proporcione información para asistir al Comité Ejecutivo en su consideración de lo que constituirían pequeñas y medianas empresas en los sectores de fabricación de equipos de aire acondicionado comercial y de fabricación de equipos de refrigeración comercial</w:t>
      </w:r>
      <w:bookmarkStart w:id="5" w:name="_Hlk117698701"/>
      <w:r w:rsidRPr="00F55255">
        <w:rPr>
          <w:lang w:val="es-ES_tradnl"/>
        </w:rPr>
        <w:t xml:space="preserve"> (decisión 91/64 b).</w:t>
      </w:r>
    </w:p>
    <w:p w14:paraId="1D1A7422" w14:textId="77777777" w:rsidR="00F55255" w:rsidRPr="00F55255" w:rsidRDefault="00F55255" w:rsidP="00F55255">
      <w:pPr>
        <w:pStyle w:val="Heading1"/>
        <w:numPr>
          <w:ilvl w:val="0"/>
          <w:numId w:val="22"/>
        </w:numPr>
        <w:rPr>
          <w:lang w:val="es-ES_tradnl"/>
        </w:rPr>
      </w:pPr>
      <w:r w:rsidRPr="00F55255">
        <w:rPr>
          <w:lang w:val="es-ES_tradnl"/>
        </w:rPr>
        <w:t>En la 92ª reunión, el grupo de contacto debatió la información preparada por la Secretaría para asistir al Comité Ejecutivo en la definición de lo que se debía considerar pequeñas y medianas empresas en los sectores de fabricación de equipos de aire acondicionado comercial y de fabricación de equipos de refrigeración comercial. Esta información y la discusión pertinente se incluyen en la sección II del presente documento. El Comité Ejecutivo acordó continuar las deliberaciones en su 93</w:t>
      </w:r>
      <w:r w:rsidRPr="00F55255">
        <w:rPr>
          <w:vertAlign w:val="superscript"/>
          <w:lang w:val="es-ES_tradnl"/>
        </w:rPr>
        <w:t>a</w:t>
      </w:r>
      <w:r w:rsidRPr="00F55255">
        <w:rPr>
          <w:lang w:val="es-ES_tradnl"/>
        </w:rPr>
        <w:t> reunión.</w:t>
      </w:r>
    </w:p>
    <w:p w14:paraId="1AE5EFD4" w14:textId="77777777" w:rsidR="00F55255" w:rsidRPr="00F55255" w:rsidRDefault="00F55255" w:rsidP="00F55255">
      <w:pPr>
        <w:pStyle w:val="Heading1"/>
        <w:numPr>
          <w:ilvl w:val="0"/>
          <w:numId w:val="22"/>
        </w:numPr>
        <w:rPr>
          <w:lang w:val="es-ES_tradnl"/>
        </w:rPr>
      </w:pPr>
      <w:r w:rsidRPr="00F55255">
        <w:rPr>
          <w:lang w:val="es-ES_tradnl"/>
        </w:rPr>
        <w:t>En la 93ª reunión, se presentaron en el grupo de contacto dos propuestas distintas sobre los elementos pendientes de las directrices sobre costos de los HFC, incluidos los umbrales de relación de costo a eficacia y los niveles de costos adicionales de explotación y su duración, una por parte de países que no operan al amparo del artículo 5 y la otra por parte de los países del artículo 5. Además, algunos países que no operan al amparo del artículo 5 sugirieron que se concediera una bonificación porcentual adicional para fomentar la transición a alternativas con un PCA bajo o nulo.</w:t>
      </w:r>
    </w:p>
    <w:p w14:paraId="022E69B1" w14:textId="77777777" w:rsidR="00F55255" w:rsidRPr="00F55255" w:rsidRDefault="00F55255" w:rsidP="00F55255">
      <w:pPr>
        <w:pStyle w:val="Heading1"/>
        <w:numPr>
          <w:ilvl w:val="0"/>
          <w:numId w:val="21"/>
        </w:numPr>
        <w:rPr>
          <w:lang w:val="es-ES_tradnl"/>
        </w:rPr>
      </w:pPr>
      <w:r w:rsidRPr="00F55255">
        <w:rPr>
          <w:lang w:val="es-ES_tradnl"/>
        </w:rPr>
        <w:t>En la 94</w:t>
      </w:r>
      <w:r w:rsidRPr="00F55255">
        <w:rPr>
          <w:vertAlign w:val="superscript"/>
          <w:lang w:val="es-ES_tradnl"/>
        </w:rPr>
        <w:t>a</w:t>
      </w:r>
      <w:r w:rsidRPr="00F55255">
        <w:rPr>
          <w:lang w:val="es-ES_tradnl"/>
        </w:rPr>
        <w:t> reunión, se presentaron propuestas revisadas por parte de países del artículo 5 y de países que no operan al amparo del artículo 5 (que se presentan en los anexos II y III del presente documento), que se acordó debatir en un grupo más pequeño integrado por representantes de cuatro Partes que operan al amparo del artículo 5 y cuatro Partes que no operan al amparo del artículo 5; el grupo de contacto preparó un documento de trabajo final consolidado con las últimas propuestas sobre umbrales de relación de costo a eficacia y costos adicionales de explotación, así como los valores acordados hasta esa fecha</w:t>
      </w:r>
      <w:r w:rsidRPr="00F55255">
        <w:rPr>
          <w:vertAlign w:val="superscript"/>
          <w:lang w:val="es-ES_tradnl"/>
        </w:rPr>
        <w:footnoteReference w:id="16"/>
      </w:r>
      <w:r w:rsidRPr="00F55255">
        <w:rPr>
          <w:lang w:val="es-ES_tradnl"/>
        </w:rPr>
        <w:t>, que se incluyen en el anexo I del presente documento. Las columnas de los anexos I, II y III en las que se especifican los costos adicionales de explotación forman parte de las columnas en las que se indican los umbrales de relación de costo a eficacia. Los debates sobre las grandes empresas en el sector de equipos fijos de aire acondicionado y sobre las pequeñas y medianas empresas deberán continuar 95</w:t>
      </w:r>
      <w:r w:rsidRPr="00F55255">
        <w:rPr>
          <w:vertAlign w:val="superscript"/>
          <w:lang w:val="es-ES_tradnl"/>
        </w:rPr>
        <w:t>a</w:t>
      </w:r>
      <w:r w:rsidRPr="00F55255">
        <w:rPr>
          <w:lang w:val="es-ES_tradnl"/>
        </w:rPr>
        <w:t> reunión.</w:t>
      </w:r>
    </w:p>
    <w:p w14:paraId="49995E54" w14:textId="77777777" w:rsidR="00F55255" w:rsidRPr="00F55255" w:rsidRDefault="00F55255" w:rsidP="00F55255">
      <w:pPr>
        <w:pStyle w:val="Heading1"/>
        <w:numPr>
          <w:ilvl w:val="0"/>
          <w:numId w:val="0"/>
        </w:numPr>
        <w:rPr>
          <w:u w:val="single"/>
          <w:lang w:val="es-ES_tradnl"/>
        </w:rPr>
      </w:pPr>
      <w:r w:rsidRPr="00F55255">
        <w:rPr>
          <w:u w:val="single"/>
          <w:lang w:val="es-ES_tradnl"/>
        </w:rPr>
        <w:lastRenderedPageBreak/>
        <w:t>Costos adicionales de explotación</w:t>
      </w:r>
    </w:p>
    <w:p w14:paraId="1BC48ABF" w14:textId="77777777" w:rsidR="00F55255" w:rsidRPr="00F55255" w:rsidRDefault="00F55255" w:rsidP="00F55255">
      <w:pPr>
        <w:pStyle w:val="Heading1"/>
        <w:numPr>
          <w:ilvl w:val="0"/>
          <w:numId w:val="22"/>
        </w:numPr>
        <w:rPr>
          <w:lang w:val="es-ES_tradnl"/>
        </w:rPr>
      </w:pPr>
      <w:r w:rsidRPr="00F55255">
        <w:rPr>
          <w:lang w:val="es-ES_tradnl"/>
        </w:rPr>
        <w:t>Los criterios anteriores relativos a los costos adicionales de explotación se resumen en los párrafos 57</w:t>
      </w:r>
      <w:r w:rsidRPr="00F55255">
        <w:rPr>
          <w:lang w:val="es-ES_tradnl"/>
        </w:rPr>
        <w:noBreakHyphen/>
        <w:t>64 del documento UNEP/</w:t>
      </w:r>
      <w:proofErr w:type="spellStart"/>
      <w:r w:rsidRPr="00F55255">
        <w:rPr>
          <w:lang w:val="es-ES_tradnl"/>
        </w:rPr>
        <w:t>OzL.Pro</w:t>
      </w:r>
      <w:proofErr w:type="spellEnd"/>
      <w:r w:rsidRPr="00F55255">
        <w:rPr>
          <w:lang w:val="es-ES_tradnl"/>
        </w:rPr>
        <w:t>/</w:t>
      </w:r>
      <w:proofErr w:type="spellStart"/>
      <w:r w:rsidRPr="00F55255">
        <w:rPr>
          <w:lang w:val="es-ES_tradnl"/>
        </w:rPr>
        <w:t>ExCom</w:t>
      </w:r>
      <w:proofErr w:type="spellEnd"/>
      <w:r w:rsidRPr="00F55255">
        <w:rPr>
          <w:lang w:val="es-ES_tradnl"/>
        </w:rPr>
        <w:t>/78/5 sobre el desarrollo de las directrices sobre costos. En la 91</w:t>
      </w:r>
      <w:r w:rsidRPr="00F55255">
        <w:rPr>
          <w:vertAlign w:val="superscript"/>
          <w:lang w:val="es-ES_tradnl"/>
        </w:rPr>
        <w:t>a</w:t>
      </w:r>
      <w:r w:rsidRPr="00F55255">
        <w:rPr>
          <w:lang w:val="es-ES_tradnl"/>
        </w:rPr>
        <w:t> reunión, el grupo de contacto comenzó a debatir la cuestión con un miembro que sugería mantener los umbrales y la duración de los costos adicionales de explotación establecidos para los HCFC, con una cierta flexibilidad en su aplicación para las pequeñas y medianas empresas del sector de espumas de poliuretano, mientras que otro miembro sugirió un aumento del 40 por ciento y una duración de tres años. El grupo acordó proseguir con las deliberaciones de, entre otras cosas, los costos adicionales de explotación sobre la base de los textos de trabajo utilizados en el grupo de contacto. En consecuencia, el Comité Ejecutivo acordó continuar, en su 92</w:t>
      </w:r>
      <w:r w:rsidRPr="00F55255">
        <w:rPr>
          <w:vertAlign w:val="superscript"/>
          <w:lang w:val="es-ES_tradnl"/>
        </w:rPr>
        <w:t>ª</w:t>
      </w:r>
      <w:r w:rsidRPr="00F55255">
        <w:rPr>
          <w:lang w:val="es-ES_tradnl"/>
        </w:rPr>
        <w:t> reunión, el examen de la elaboración de las directrices de costos para la reducción de los HFC en los países del artículo 5 tomando como base, entre otras cosas, el texto de trabajo sobre los umbrales de costo a eficacia y los costos adicionales de explotación</w:t>
      </w:r>
      <w:r w:rsidRPr="00F55255">
        <w:rPr>
          <w:vertAlign w:val="superscript"/>
          <w:lang w:val="es-ES_tradnl"/>
        </w:rPr>
        <w:footnoteReference w:id="17"/>
      </w:r>
      <w:r w:rsidRPr="00F55255">
        <w:rPr>
          <w:lang w:val="es-ES_tradnl"/>
        </w:rPr>
        <w:t>. En la 92</w:t>
      </w:r>
      <w:r w:rsidRPr="00F55255">
        <w:rPr>
          <w:vertAlign w:val="superscript"/>
          <w:lang w:val="es-ES_tradnl"/>
        </w:rPr>
        <w:t>a</w:t>
      </w:r>
      <w:r w:rsidRPr="00F55255">
        <w:rPr>
          <w:lang w:val="es-ES_tradnl"/>
        </w:rPr>
        <w:t> reunión no se trataron los costos adicionales de explotación. En la 93ª y 94</w:t>
      </w:r>
      <w:r w:rsidRPr="00F55255">
        <w:rPr>
          <w:vertAlign w:val="superscript"/>
          <w:lang w:val="es-ES_tradnl"/>
        </w:rPr>
        <w:t>a</w:t>
      </w:r>
      <w:r w:rsidRPr="00F55255">
        <w:rPr>
          <w:lang w:val="es-ES_tradnl"/>
        </w:rPr>
        <w:t> reuniones, los textos de trabajo presentados por países que no operan al amparo del artículo 5 y por países del artículo 5 incluían propuestas sobre los niveles de los costos adicionales de explotación, que se presentan en el anexo I del presente documento. Se acordaron unos costos adicionales de explotación de 5,75 $EUA por kilogramo para el sector de equipos de refrigeración domésticos, de 5,50 $EUA por kilogramo para el sector de equipos de refrigeración comerciales y de 5,20 $EUA por kilogramo para el sector de espumas de PU, y que en todos los demás sectores se determinarán caso por caso, excepto en los sectores de equipos de aire acondicionado residenciales y comerciales, para los que todavía se están examinando los costos adicionales de explotación.</w:t>
      </w:r>
    </w:p>
    <w:bookmarkEnd w:id="5"/>
    <w:p w14:paraId="5E0B7DC7" w14:textId="77777777" w:rsidR="00F55255" w:rsidRPr="00F55255" w:rsidRDefault="00F55255" w:rsidP="00F55255">
      <w:pPr>
        <w:pStyle w:val="Heading1"/>
        <w:numPr>
          <w:ilvl w:val="0"/>
          <w:numId w:val="0"/>
        </w:numPr>
        <w:rPr>
          <w:b/>
          <w:bCs/>
          <w:lang w:val="es-ES_tradnl"/>
        </w:rPr>
      </w:pPr>
      <w:r w:rsidRPr="00F55255">
        <w:rPr>
          <w:b/>
          <w:lang w:val="es-ES_tradnl"/>
        </w:rPr>
        <w:t>Eficiencia energética</w:t>
      </w:r>
    </w:p>
    <w:p w14:paraId="79E52490" w14:textId="77777777" w:rsidR="00F55255" w:rsidRPr="00F55255" w:rsidRDefault="00F55255" w:rsidP="00F55255">
      <w:pPr>
        <w:pStyle w:val="Heading1"/>
        <w:numPr>
          <w:ilvl w:val="0"/>
          <w:numId w:val="22"/>
        </w:numPr>
        <w:rPr>
          <w:lang w:val="es-ES_tradnl"/>
        </w:rPr>
      </w:pPr>
      <w:r w:rsidRPr="00F55255">
        <w:rPr>
          <w:lang w:val="es-ES_tradnl"/>
        </w:rPr>
        <w:t>Los asuntos relacionados con la eficiencia energética se trataron inicialmente en el grupo de contacto acerca de las directrices sobre los costos para la reducción de los HFC, establecido de forma paralela a la 81ª reunión, pero desde la 83ª reunión se han incluido en un punto independiente del orden del día. Una vez que el Comité Ejecutivo haya finalizado sus deliberaciones, tal vez desee considerar la posibilidad de incluir en las directrices sobre los costos para la reducción de los HFC en los países que operan al amparo del artículo 5 cualquier decisión que haya adoptado en relación con la eficiencia energética.</w:t>
      </w:r>
    </w:p>
    <w:p w14:paraId="66B8B061" w14:textId="77777777" w:rsidR="00F55255" w:rsidRPr="00F55255" w:rsidRDefault="00F55255" w:rsidP="00F55255">
      <w:pPr>
        <w:pStyle w:val="Heading1"/>
        <w:numPr>
          <w:ilvl w:val="0"/>
          <w:numId w:val="0"/>
        </w:numPr>
        <w:rPr>
          <w:b/>
          <w:bCs/>
          <w:lang w:val="es-ES_tradnl"/>
        </w:rPr>
      </w:pPr>
      <w:r w:rsidRPr="00F55255">
        <w:rPr>
          <w:b/>
          <w:lang w:val="es-ES_tradnl"/>
        </w:rPr>
        <w:t>Eliminación</w:t>
      </w:r>
    </w:p>
    <w:p w14:paraId="5653740B" w14:textId="77777777" w:rsidR="00F55255" w:rsidRPr="00F55255" w:rsidRDefault="00F55255" w:rsidP="00F55255">
      <w:pPr>
        <w:pStyle w:val="Heading1"/>
        <w:numPr>
          <w:ilvl w:val="0"/>
          <w:numId w:val="22"/>
        </w:numPr>
        <w:rPr>
          <w:lang w:val="es-ES_tradnl"/>
        </w:rPr>
      </w:pPr>
      <w:r w:rsidRPr="00F55255">
        <w:rPr>
          <w:lang w:val="es-ES_tradnl"/>
        </w:rPr>
        <w:t>En su 90</w:t>
      </w:r>
      <w:r w:rsidRPr="00F55255">
        <w:rPr>
          <w:vertAlign w:val="superscript"/>
          <w:lang w:val="es-ES_tradnl"/>
        </w:rPr>
        <w:t>a</w:t>
      </w:r>
      <w:r w:rsidRPr="00F55255">
        <w:rPr>
          <w:lang w:val="es-ES_tradnl"/>
        </w:rPr>
        <w:t> reunión, el Comité Ejecutivo decidió proporcionar flexibilidad a los países que operan al amparo del artículo 5 para incluir en sus PGEH y KIP actividades relacionadas con la gestión respetuosa con el medio ambiente de las sustancias controladas utilizadas o no deseadas, incluyendo su eliminación, teniendo en cuenta los párrafos 19 a 24 del documento UNEP/</w:t>
      </w:r>
      <w:proofErr w:type="spellStart"/>
      <w:r w:rsidRPr="00F55255">
        <w:rPr>
          <w:lang w:val="es-ES_tradnl"/>
        </w:rPr>
        <w:t>OzL.Pro</w:t>
      </w:r>
      <w:proofErr w:type="spellEnd"/>
      <w:r w:rsidRPr="00F55255">
        <w:rPr>
          <w:lang w:val="es-ES_tradnl"/>
        </w:rPr>
        <w:t>/</w:t>
      </w:r>
      <w:proofErr w:type="spellStart"/>
      <w:r w:rsidRPr="00F55255">
        <w:rPr>
          <w:lang w:val="es-ES_tradnl"/>
        </w:rPr>
        <w:t>ExCom</w:t>
      </w:r>
      <w:proofErr w:type="spellEnd"/>
      <w:r w:rsidRPr="00F55255">
        <w:rPr>
          <w:lang w:val="es-ES_tradnl"/>
        </w:rPr>
        <w:t>/90/9</w:t>
      </w:r>
      <w:r w:rsidRPr="00F55255">
        <w:rPr>
          <w:vertAlign w:val="superscript"/>
          <w:lang w:val="es-ES_tradnl"/>
        </w:rPr>
        <w:footnoteReference w:id="18"/>
      </w:r>
      <w:r w:rsidRPr="00F55255">
        <w:rPr>
          <w:lang w:val="es-ES_tradnl"/>
        </w:rPr>
        <w:t xml:space="preserve"> y las experiencias adquiridas en los proyectos previos de eliminación de SAO. El Comité también pidió a la Secretaría que elaborara criterios para una ventana de financiación que permita proporcionar a los países que operan al amparo del artículo 5 asistencia para preparar un inventario de bancos de sustancias controladas utilizadas o no deseadas y elaborar un plan para el acopio, transporte y eliminación (teniendo en cuenta su reciclado, regeneración y destrucción rentable) de dichas sustancias, y continuar sus deliberaciones sobre la puesta en práctica en el párrafo 24 de la decisión XXVIII/2 de la 28ª reunión de las Partes en el contexto de las deliberaciones relativas a las directrices sobre costos para la reducción de los HFC en los países del artículo 5 (decisión 90/49).</w:t>
      </w:r>
    </w:p>
    <w:p w14:paraId="5A97BF08" w14:textId="77777777" w:rsidR="00F55255" w:rsidRPr="00F55255" w:rsidRDefault="00F55255" w:rsidP="00F55255">
      <w:pPr>
        <w:pStyle w:val="Heading1"/>
        <w:numPr>
          <w:ilvl w:val="0"/>
          <w:numId w:val="22"/>
        </w:numPr>
        <w:rPr>
          <w:lang w:val="es-ES_tradnl"/>
        </w:rPr>
      </w:pPr>
      <w:r w:rsidRPr="00F55255">
        <w:rPr>
          <w:lang w:val="es-ES_tradnl"/>
        </w:rPr>
        <w:t>Sobre la base del documento pertinente preparado por la Secretaría para la 91ª reunión</w:t>
      </w:r>
      <w:r w:rsidRPr="00F55255">
        <w:rPr>
          <w:vertAlign w:val="superscript"/>
          <w:lang w:val="es-ES_tradnl"/>
        </w:rPr>
        <w:footnoteReference w:id="19"/>
      </w:r>
      <w:r w:rsidRPr="00F55255">
        <w:rPr>
          <w:lang w:val="es-ES_tradnl"/>
        </w:rPr>
        <w:t xml:space="preserve">, el Comité Ejecutivo estableció una ventana de financiación para la preparación de inventarios nacionales de sustancias </w:t>
      </w:r>
      <w:r w:rsidRPr="00F55255">
        <w:rPr>
          <w:lang w:val="es-ES_tradnl"/>
        </w:rPr>
        <w:lastRenderedPageBreak/>
        <w:t>controladas usadas o no deseadas y un plan para el acopio, transporte y destrucción de dichas sustancias, incluyendo la consideración del reciclado, la regeneración y la destrucción rentable (decisión 91/66).</w:t>
      </w:r>
    </w:p>
    <w:p w14:paraId="417126B9" w14:textId="77777777" w:rsidR="00F55255" w:rsidRPr="00A606EC" w:rsidRDefault="00F55255" w:rsidP="00F55255">
      <w:pPr>
        <w:keepNext/>
        <w:shd w:val="clear" w:color="auto" w:fill="FFFFFF" w:themeFill="background1"/>
        <w:spacing w:before="360" w:after="240"/>
        <w:ind w:left="709" w:hanging="709"/>
        <w:rPr>
          <w:rFonts w:eastAsia="SimSun"/>
          <w:b/>
          <w:sz w:val="24"/>
          <w:szCs w:val="24"/>
          <w:lang w:val="es-ES_tradnl"/>
        </w:rPr>
      </w:pPr>
      <w:r w:rsidRPr="00A606EC">
        <w:rPr>
          <w:b/>
          <w:sz w:val="24"/>
          <w:lang w:val="es-ES_tradnl"/>
        </w:rPr>
        <w:t xml:space="preserve">II. </w:t>
      </w:r>
      <w:r w:rsidRPr="00A606EC">
        <w:rPr>
          <w:b/>
          <w:sz w:val="24"/>
          <w:lang w:val="es-ES_tradnl"/>
        </w:rPr>
        <w:tab/>
        <w:t>Información para asistir al Comité Ejecutivo en la definición de "pequeñas y medianas empresas" en los sectores de fabricación de equipos comerciales de aire acondicionado y equipos comerciales de refrigeración (decisión 91/64 b))</w:t>
      </w:r>
    </w:p>
    <w:p w14:paraId="335B5436" w14:textId="77777777" w:rsidR="00F55255" w:rsidRPr="00F55255" w:rsidRDefault="00F55255" w:rsidP="00F55255">
      <w:pPr>
        <w:pStyle w:val="Heading1"/>
        <w:numPr>
          <w:ilvl w:val="0"/>
          <w:numId w:val="22"/>
        </w:numPr>
        <w:rPr>
          <w:lang w:val="es-ES_tradnl"/>
        </w:rPr>
      </w:pPr>
      <w:r w:rsidRPr="00F55255">
        <w:rPr>
          <w:lang w:val="es-ES_tradnl"/>
        </w:rPr>
        <w:t>En la 91ª reunión se pidió a la Secretaría que preparase para la 92ª reunión información para asistir al Comité Ejecutivo en la definición de lo que se debía considerar como pequeñas y medianas empresas en los sectores de fabricación de equipos de aire acondicionado comerciales y equipos de refrigeración comerciales. En consecuencia, la Secretaría presentó en la sección II del documento UNEP/</w:t>
      </w:r>
      <w:proofErr w:type="spellStart"/>
      <w:r w:rsidRPr="00F55255">
        <w:rPr>
          <w:lang w:val="es-ES_tradnl"/>
        </w:rPr>
        <w:t>OzL.Pro</w:t>
      </w:r>
      <w:proofErr w:type="spellEnd"/>
      <w:r w:rsidRPr="00F55255">
        <w:rPr>
          <w:lang w:val="es-ES_tradnl"/>
        </w:rPr>
        <w:t>/</w:t>
      </w:r>
      <w:proofErr w:type="spellStart"/>
      <w:r w:rsidRPr="00F55255">
        <w:rPr>
          <w:lang w:val="es-ES_tradnl"/>
        </w:rPr>
        <w:t>ExCom</w:t>
      </w:r>
      <w:proofErr w:type="spellEnd"/>
      <w:r w:rsidRPr="00F55255">
        <w:rPr>
          <w:lang w:val="es-ES_tradnl"/>
        </w:rPr>
        <w:t>/92/45 la información reproducida en los párrafos 26 a 37 siguientes.</w:t>
      </w:r>
    </w:p>
    <w:p w14:paraId="51BA5862" w14:textId="77777777" w:rsidR="00F55255" w:rsidRPr="00F55255" w:rsidRDefault="00F55255" w:rsidP="00F55255">
      <w:pPr>
        <w:pStyle w:val="Heading1"/>
        <w:numPr>
          <w:ilvl w:val="0"/>
          <w:numId w:val="22"/>
        </w:numPr>
        <w:rPr>
          <w:lang w:val="es-ES_tradnl"/>
        </w:rPr>
      </w:pPr>
      <w:r w:rsidRPr="00F55255">
        <w:rPr>
          <w:lang w:val="es-ES_tradnl"/>
        </w:rPr>
        <w:t>La financiación para la conversión de las pequeñas y medianas empresas a menudo se ve limitada por su menor nivel de consumo, en comparación con las empresas más grandes</w:t>
      </w:r>
      <w:r w:rsidRPr="00F55255">
        <w:rPr>
          <w:vertAlign w:val="superscript"/>
          <w:lang w:val="es-ES_tradnl"/>
        </w:rPr>
        <w:footnoteReference w:id="20"/>
      </w:r>
      <w:r w:rsidRPr="00F55255">
        <w:rPr>
          <w:lang w:val="es-ES_tradnl"/>
        </w:rPr>
        <w:t>. Las pequeñas y medianas empresas también pueden requerir asistencia técnica y capacitación adicionales, dado que tienden a tener una capacidad técnica más limitada. La formulación de una definición de pequeñas y medianas empresas permitirá al Comité Ejecutivo asegurar que los fondos se dirijan apropiadamente a esos fabricantes que podrían requerir recursos adicionales, en relación con las grandes empresas.</w:t>
      </w:r>
    </w:p>
    <w:p w14:paraId="74DD8D5A" w14:textId="77777777" w:rsidR="00F55255" w:rsidRPr="00F55255" w:rsidRDefault="00F55255" w:rsidP="00BF4B61">
      <w:pPr>
        <w:pStyle w:val="Heading1"/>
        <w:numPr>
          <w:ilvl w:val="0"/>
          <w:numId w:val="0"/>
        </w:numPr>
        <w:rPr>
          <w:b/>
          <w:bCs/>
          <w:lang w:val="es-ES_tradnl"/>
        </w:rPr>
      </w:pPr>
      <w:r w:rsidRPr="00F55255">
        <w:rPr>
          <w:b/>
          <w:lang w:val="es-ES_tradnl"/>
        </w:rPr>
        <w:t>Características de las pequeñas y medianas empresas</w:t>
      </w:r>
    </w:p>
    <w:p w14:paraId="7284A928" w14:textId="77777777" w:rsidR="00F55255" w:rsidRPr="00F55255" w:rsidRDefault="00F55255" w:rsidP="00F55255">
      <w:pPr>
        <w:pStyle w:val="Heading1"/>
        <w:numPr>
          <w:ilvl w:val="0"/>
          <w:numId w:val="22"/>
        </w:numPr>
        <w:rPr>
          <w:lang w:val="es-ES_tradnl"/>
        </w:rPr>
      </w:pPr>
      <w:r w:rsidRPr="00F55255">
        <w:rPr>
          <w:lang w:val="es-ES_tradnl"/>
        </w:rPr>
        <w:t>Lo que se considera una pequeña y mediana empresa puede variar entre los países, dado que no hay ninguna definición universal. Los gobiernos pueden optar por definir las pequeñas y medianas empresas sobre la base de las características pertinentes de sus países, que pueden incluir una combinación de niveles de inversión, número de empleados, cifras de ventas y otras características. Teniendo en cuenta que dicha información puede que no esté fácilmente disponible para los organismos bilaterales y de ejecución durante el proceso de preparación de proyectos, la Secretaría, con la asistencia de un experto técnico independiente, identificó las siguientes características de las pequeñas y medianas empresas que estarían disponibles de forma sencilla y práctica para los organismos bilaterales y de ejecución:</w:t>
      </w:r>
    </w:p>
    <w:p w14:paraId="665A6049" w14:textId="77777777" w:rsidR="00F55255" w:rsidRPr="00A606EC" w:rsidRDefault="00F55255" w:rsidP="00BF4B61">
      <w:pPr>
        <w:pStyle w:val="Heading2"/>
        <w:rPr>
          <w:lang w:val="es-ES_tradnl"/>
        </w:rPr>
      </w:pPr>
      <w:r w:rsidRPr="00A606EC">
        <w:rPr>
          <w:i/>
          <w:lang w:val="es-ES_tradnl"/>
        </w:rPr>
        <w:t xml:space="preserve">Nivel de consumo de HFC: </w:t>
      </w:r>
      <w:r w:rsidRPr="00A606EC">
        <w:rPr>
          <w:lang w:val="es-ES_tradnl"/>
        </w:rPr>
        <w:t>Hasta la fecha, el Comité Ejecutivo había utilizado el consumo como único criterio para definir las pequeñas y medianas empresas en los sectores de espumas y aerosoles</w:t>
      </w:r>
      <w:r w:rsidRPr="00A606EC">
        <w:rPr>
          <w:vertAlign w:val="superscript"/>
          <w:lang w:val="es-ES_tradnl"/>
        </w:rPr>
        <w:footnoteReference w:id="21"/>
      </w:r>
      <w:r w:rsidRPr="00A606EC">
        <w:rPr>
          <w:lang w:val="es-ES_tradnl"/>
        </w:rPr>
        <w:t>. Este criterio tiene la ventaja de utilizar información que está fácilmente disponible para los organismos en el proceso de preparación de proyectos. No obstante, el consumo en sí mismo podría no reflejar plenamente la capacidad técnica de las empresas y la capacidad de reconvertirse a nuevas tecnologías;</w:t>
      </w:r>
    </w:p>
    <w:p w14:paraId="342CBAFE" w14:textId="77777777" w:rsidR="00F55255" w:rsidRPr="00A606EC" w:rsidRDefault="00F55255" w:rsidP="00BF4B61">
      <w:pPr>
        <w:pStyle w:val="Heading2"/>
        <w:rPr>
          <w:lang w:val="es-ES_tradnl"/>
        </w:rPr>
      </w:pPr>
      <w:r w:rsidRPr="00A606EC">
        <w:rPr>
          <w:i/>
          <w:lang w:val="es-ES_tradnl"/>
        </w:rPr>
        <w:t xml:space="preserve">Niveles de fabricación: </w:t>
      </w:r>
      <w:r w:rsidRPr="00A606EC">
        <w:rPr>
          <w:lang w:val="es-ES_tradnl"/>
        </w:rPr>
        <w:t>El número de aparatos fabricados por una empresa puede ser otra consideración pertinente para determinar si una empresa es una pequeña y mediana empresa. Dependiendo de la carga de refrigerante por unidad, una empresa puede tener un bajo consumo aun fabricando un gran número de aparatos, y una mayor producción puede requerir más personal o niveles más altos de automatización de los que normalmente se encuentran en las pequeñas y medianas empresas;</w:t>
      </w:r>
    </w:p>
    <w:p w14:paraId="330E8062" w14:textId="77777777" w:rsidR="00F55255" w:rsidRPr="00A606EC" w:rsidRDefault="00F55255" w:rsidP="00BF4B61">
      <w:pPr>
        <w:pStyle w:val="Heading2"/>
        <w:rPr>
          <w:lang w:val="es-ES_tradnl"/>
        </w:rPr>
      </w:pPr>
      <w:r w:rsidRPr="00A606EC">
        <w:rPr>
          <w:i/>
          <w:lang w:val="es-ES_tradnl"/>
        </w:rPr>
        <w:t>Capacidad técnica:</w:t>
      </w:r>
      <w:r w:rsidRPr="00A606EC">
        <w:rPr>
          <w:lang w:val="es-ES_tradnl"/>
        </w:rPr>
        <w:t xml:space="preserve"> Las empresas más grandes tienden a tener un nivel de capacidad técnica superior al de las pequeñas y medianas empresas. Sin embargo, medir esa capacidad es difícil. Un indicador aproximado de la capacidad técnica de una empresa podría ser la variedad de tipos de equipos y el número de modelos que fabrica. Una empresa que produce una amplia gama de equipos y un gran número de modelos de productos requiere una determinada </w:t>
      </w:r>
      <w:r w:rsidRPr="00A606EC">
        <w:rPr>
          <w:lang w:val="es-ES_tradnl"/>
        </w:rPr>
        <w:lastRenderedPageBreak/>
        <w:t>capacidad técnica, conocimiento, experiencia y capacidad para diseñar los modelos y ponerlos en el mercado, y es probable que sea más capaz de abordar los desafíos técnicos y de comercialización asociados a la conversión a una nueva tecnología. Las pequeñas y medianas empresas se caracterizarían por una gama pequeña de equipos y un pequeño número de modelos de productos;</w:t>
      </w:r>
    </w:p>
    <w:p w14:paraId="4E600ED6" w14:textId="77777777" w:rsidR="00F55255" w:rsidRPr="00A606EC" w:rsidRDefault="00F55255" w:rsidP="00BF4B61">
      <w:pPr>
        <w:pStyle w:val="Heading2"/>
        <w:rPr>
          <w:lang w:val="es-ES_tradnl"/>
        </w:rPr>
      </w:pPr>
      <w:r w:rsidRPr="00A606EC">
        <w:rPr>
          <w:i/>
          <w:lang w:val="es-ES_tradnl"/>
        </w:rPr>
        <w:t>Capacidad financiera:</w:t>
      </w:r>
      <w:r w:rsidRPr="00A606EC">
        <w:rPr>
          <w:lang w:val="es-ES_tradnl"/>
        </w:rPr>
        <w:t xml:space="preserve"> Las pequeñas y medianas empresas generalmente tienen una capacidad financiera reducida, que limita su capacidad de invertir en actividades de ventas y de comercialización para promover nuevas tecnologías, así como su capacidad de influir en las cadenas de suministro de los componentes y materias primas; y</w:t>
      </w:r>
    </w:p>
    <w:p w14:paraId="5625FC69" w14:textId="77777777" w:rsidR="00F55255" w:rsidRPr="00A606EC" w:rsidRDefault="00F55255" w:rsidP="00BF4B61">
      <w:pPr>
        <w:pStyle w:val="Heading2"/>
        <w:rPr>
          <w:lang w:val="es-ES_tradnl"/>
        </w:rPr>
      </w:pPr>
      <w:r w:rsidRPr="00A606EC">
        <w:rPr>
          <w:i/>
          <w:lang w:val="es-ES_tradnl"/>
        </w:rPr>
        <w:t>Propiedad extranjera y exportaciones a países no acogidos al artículo 5:</w:t>
      </w:r>
      <w:r w:rsidRPr="00A606EC">
        <w:rPr>
          <w:lang w:val="es-ES_tradnl"/>
        </w:rPr>
        <w:t xml:space="preserve"> Las pequeñas y medianas empresas de fabricación de equipos de refrigeración comercial y aire acondicionado son de propiedad local y atienden predominantemente al mercado nacional. Algunas pequeñas y medianas empresas también pueden exportar los equipos que fabrican a países del artículo 5 de la región; no obstante, un nivel alto de exportaciones (superior al 10 por ciento) a países que no están al amparo del artículo 5 es indicativo de una mayor capacidad técnica.</w:t>
      </w:r>
    </w:p>
    <w:p w14:paraId="0A512BBA" w14:textId="396512D2" w:rsidR="00F55255" w:rsidRPr="00F55255" w:rsidRDefault="00F55255" w:rsidP="00BF4B61">
      <w:pPr>
        <w:pStyle w:val="Heading1"/>
        <w:numPr>
          <w:ilvl w:val="0"/>
          <w:numId w:val="0"/>
        </w:numPr>
        <w:rPr>
          <w:b/>
          <w:bCs/>
          <w:lang w:val="es-ES_tradnl"/>
        </w:rPr>
      </w:pPr>
      <w:r w:rsidRPr="00F55255">
        <w:rPr>
          <w:b/>
          <w:lang w:val="es-ES_tradnl"/>
        </w:rPr>
        <w:t>Evaluación de los criterios</w:t>
      </w:r>
    </w:p>
    <w:p w14:paraId="67074167" w14:textId="77777777" w:rsidR="00F55255" w:rsidRPr="00F55255" w:rsidRDefault="00F55255" w:rsidP="00F55255">
      <w:pPr>
        <w:pStyle w:val="Heading1"/>
        <w:numPr>
          <w:ilvl w:val="0"/>
          <w:numId w:val="22"/>
        </w:numPr>
        <w:rPr>
          <w:lang w:val="es-ES_tradnl"/>
        </w:rPr>
      </w:pPr>
      <w:r w:rsidRPr="00F55255">
        <w:rPr>
          <w:lang w:val="es-ES_tradnl"/>
        </w:rPr>
        <w:t>Identificar un límite para definir las pequeñas y medianas empresas en función de dos características comúnmente utilizadas por los gobiernos, cifras de ventas y número de empleados, resulta difícil en el contexto de los proyectos financiados por el Fondo Multilateral. Esto se debe a la amplia gama de tamaños de las economías de los países del artículo 5, que afectan las ventas, y a la falta de datos fácilmente disponibles sobre el número de empleados de las empresas.</w:t>
      </w:r>
    </w:p>
    <w:p w14:paraId="1C650D86" w14:textId="77777777" w:rsidR="00F55255" w:rsidRPr="00F55255" w:rsidRDefault="00F55255" w:rsidP="00F55255">
      <w:pPr>
        <w:pStyle w:val="Heading1"/>
        <w:numPr>
          <w:ilvl w:val="0"/>
          <w:numId w:val="22"/>
        </w:numPr>
        <w:rPr>
          <w:lang w:val="es-ES_tradnl"/>
        </w:rPr>
      </w:pPr>
      <w:r w:rsidRPr="00F55255">
        <w:rPr>
          <w:lang w:val="es-ES_tradnl"/>
        </w:rPr>
        <w:t>En el contexto de la eliminación de los HCFC, el Comité Ejecutivo ha utilizado el consumo como único parámetro para definir qué constituyen pequeñas y medianas empresas en el sector de espumas. Esta definición posiblemente no capta plenamente la complejidad de las pequeñas y medianas empresas de los países que operan al amparo del artículo 5. También podría haber dado lugar a la exclusión accidental de algunas empresas de la categoría de pequeñas y medianas empresas y a la inclusión de otras empresas que deberían considerarse más apropiadamente como de gran tamaño. Sin embargo, ha demostrado ser un indicador aproximado simple y práctico para identificar las empresas que requieren una mayor financiación adicional que las empresas de mayor tamaño. En consecuencia, la Secretaría propone que se utilice el consumo como una característica necesaria pero no suficiente para definir las pequeñas y medianas empresas del sector de refrigeración y aire acondicionado comercial.</w:t>
      </w:r>
    </w:p>
    <w:p w14:paraId="6BC47FE1" w14:textId="77777777" w:rsidR="00F55255" w:rsidRPr="00F55255" w:rsidRDefault="00F55255" w:rsidP="00F55255">
      <w:pPr>
        <w:pStyle w:val="Heading1"/>
        <w:numPr>
          <w:ilvl w:val="0"/>
          <w:numId w:val="22"/>
        </w:numPr>
        <w:rPr>
          <w:lang w:val="es-ES_tradnl"/>
        </w:rPr>
      </w:pPr>
      <w:r w:rsidRPr="00F55255">
        <w:rPr>
          <w:lang w:val="es-ES_tradnl"/>
        </w:rPr>
        <w:t>El ratio entre el agente espumante y el refrigerante en los últimos proyectos de conversión de CFC y HCFC (es decir, los cocientes CFC-11/CFC-12 o HCFC-141b/HCFC-22) oscila entre 2:1 y 4:1. Tomando como base que la definición de pequeñas y medianas empresas del sector de fabricación de espumas de poliuretano incluiría un consumo de hasta 20 t de agente espumante, esto sugiere un límite de entre 5 t y 10 t para las pequeñas y medianas empresas del sector de fabricación de aparatos de refrigeración y aire acondicionado.</w:t>
      </w:r>
    </w:p>
    <w:p w14:paraId="6C6ACF66" w14:textId="77777777" w:rsidR="00F55255" w:rsidRPr="00F55255" w:rsidRDefault="00F55255" w:rsidP="00F55255">
      <w:pPr>
        <w:pStyle w:val="Heading1"/>
        <w:numPr>
          <w:ilvl w:val="0"/>
          <w:numId w:val="22"/>
        </w:numPr>
        <w:rPr>
          <w:lang w:val="es-ES_tradnl"/>
        </w:rPr>
      </w:pPr>
      <w:r w:rsidRPr="00F55255">
        <w:rPr>
          <w:lang w:val="es-ES_tradnl"/>
        </w:rPr>
        <w:t xml:space="preserve">Para estrechar este intervalo, la Secretaría consultó a un experto técnico independiente y examinó los costos adicionales de capital incurridos en la conversión de 89 empresas de equipos de refrigeración y aire acondicionado comerciales con consumos inferiores a 20 t de HCFC-22 en 10 países, observando que, si bien los costos adicionales de explotación varían linealmente con el consumo, los costos adicionales de capital incluyen ciertos costos que podrían cambiar de manera discontinua en función del número de equipos fabricados, la variedad de productos y su complejidad y otros factores. Por ejemplo, una gran empresa con altos niveles de producción puede requerir varias bombas de vacío y una máquina de carga automática para alcanzar el ritmo adecuado del ciclo de fabricación, mientras que una pyme que fabrica menos cantidad de equipos puede ser capaz de utilizar una sola bomba de vacío y cargar los equipos </w:t>
      </w:r>
      <w:r w:rsidRPr="00F55255">
        <w:rPr>
          <w:lang w:val="es-ES_tradnl"/>
        </w:rPr>
        <w:lastRenderedPageBreak/>
        <w:t xml:space="preserve">manualmente. Así, tanto la cantidad (p. ej., el número de bombas de vacío) como el tipo de equipos (p. ej., máquina de carga automática versus carga manual) necesarios para una conversión variarán entre las pymes y las grandes empresas. </w:t>
      </w:r>
    </w:p>
    <w:p w14:paraId="58A37536" w14:textId="77777777" w:rsidR="00F55255" w:rsidRPr="00F55255" w:rsidRDefault="00F55255" w:rsidP="00F55255">
      <w:pPr>
        <w:pStyle w:val="Heading1"/>
        <w:numPr>
          <w:ilvl w:val="0"/>
          <w:numId w:val="22"/>
        </w:numPr>
        <w:rPr>
          <w:lang w:val="es-ES_tradnl"/>
        </w:rPr>
      </w:pPr>
      <w:r w:rsidRPr="00F55255">
        <w:rPr>
          <w:lang w:val="es-ES_tradnl"/>
        </w:rPr>
        <w:t>En los costos adicionales de capital de las 86 empresas</w:t>
      </w:r>
      <w:r w:rsidRPr="00F55255">
        <w:rPr>
          <w:vertAlign w:val="superscript"/>
          <w:lang w:val="es-ES_tradnl"/>
        </w:rPr>
        <w:footnoteReference w:id="22"/>
      </w:r>
      <w:r w:rsidRPr="00F55255">
        <w:rPr>
          <w:lang w:val="es-ES_tradnl"/>
        </w:rPr>
        <w:t>, se observa un cambio pronunciado de los costos adicionales de capital convenidos entre las 5 t y las 6 t. Teniendo en cuenta los limitados datos disponibles y optando, ante la duda, por ser más bien excesivamente inclusivos en lugar de accidentalmente excluyentes, y teniendo en cuenta las dificultades encontradas por las pequeñas y medianas empresas en la conversión de HFC a alternativas bajo potencial de calentamiento atmosférico en particular inflamables, tóxicas o a alta presión, la Secretaría propone un umbral límite de consumo de 7 t. Como referencia, una empresa de fabricación de equipos que tuviera un consumo de 7 t de refrigerantes, con una carga promedio de 250 g/unidad, fabricaría 28.000 unidades al año.</w:t>
      </w:r>
    </w:p>
    <w:p w14:paraId="11D48DE2" w14:textId="77777777" w:rsidR="00F55255" w:rsidRPr="00F55255" w:rsidRDefault="00F55255" w:rsidP="00F55255">
      <w:pPr>
        <w:pStyle w:val="Heading1"/>
        <w:numPr>
          <w:ilvl w:val="0"/>
          <w:numId w:val="22"/>
        </w:numPr>
        <w:rPr>
          <w:lang w:val="es-ES_tradnl"/>
        </w:rPr>
      </w:pPr>
      <w:r w:rsidRPr="00F55255">
        <w:rPr>
          <w:lang w:val="es-ES_tradnl"/>
        </w:rPr>
        <w:t>La Secretaría considera que el consumo es un criterio necesario, pero insuficiente, para identificar esas pequeñas y medianas empresas que pueden requerir financiación adicional para convertirse de forma sostenible de usar HFC a otras sustancias. En particular, la Secretaría propone que las empresas que sean propiedad, total o en parte, de compañías multinacionales no se clasifiquen como pequeñas y medianas empresas en cuanto a su financiación, dada la facilidad de acceso de estas empresas a las competencias técnicas, las cadenas de suministro y el capital. De forma similar, las empresas que exportan sus productos a países que no están al amparo del artículo 5 probablemente presentan un nivel más alto de participación tecnológica y capacidad financiera para comercializar sus productos en un mercado competitivo, teniendo en cuenta, no obstante, que podrían crearse excepciones para permitir las exportaciones de un pequeño número de unidades a modo de prueba. En consecuencia, la Secretaría propone que las empresas que exportan más del 10 por ciento de sus productos a países que no operan al amparo del artículo 5 no se clasifiquen como pequeñas y medianas empresas a fines de financiación.</w:t>
      </w:r>
    </w:p>
    <w:p w14:paraId="2253D4D8" w14:textId="77777777" w:rsidR="00F55255" w:rsidRPr="00F55255" w:rsidRDefault="00F55255" w:rsidP="00F55255">
      <w:pPr>
        <w:pStyle w:val="Heading1"/>
        <w:numPr>
          <w:ilvl w:val="0"/>
          <w:numId w:val="22"/>
        </w:numPr>
        <w:rPr>
          <w:lang w:val="es-ES_tradnl"/>
        </w:rPr>
      </w:pPr>
      <w:r w:rsidRPr="00F55255">
        <w:rPr>
          <w:lang w:val="es-ES_tradnl"/>
        </w:rPr>
        <w:t>Además, la Secretaría toma nota de que una empresa puede tener múltiples líneas de fabricación, pero solo desee convertir una de esas líneas. Lo pertinente para definir una pequeña y mediana empresa es utilizar el consumo de la empresa, no solo el consumo de la línea que se reconvertirá. Además, una empresa puede tener múltiples líneas de fabricación, pero solo una que consuma HFC. Por ejemplo, una empresa puede fabricar equipos de refrigeración y aire acondicionado comerciales que funcionan con HFC en una línea y equipos sin HFC en otras líneas. En consecuencia, la Secretaría propone que una empresa que fabrique más de 40.000 aparatos</w:t>
      </w:r>
      <w:r w:rsidRPr="00F55255">
        <w:rPr>
          <w:vertAlign w:val="superscript"/>
          <w:lang w:val="es-ES_tradnl"/>
        </w:rPr>
        <w:footnoteReference w:id="23"/>
      </w:r>
      <w:r w:rsidRPr="00F55255">
        <w:rPr>
          <w:lang w:val="es-ES_tradnl"/>
        </w:rPr>
        <w:t xml:space="preserve"> de refrigeración y aire acondicionado al año, independientemente de si todos esos equipos funcionan con HFC, no se considere una pequeña y mediana empresa a fines de financiación.</w:t>
      </w:r>
    </w:p>
    <w:p w14:paraId="05192FB9" w14:textId="77777777" w:rsidR="00F55255" w:rsidRPr="00F55255" w:rsidRDefault="00F55255" w:rsidP="00F55255">
      <w:pPr>
        <w:pStyle w:val="Heading1"/>
        <w:numPr>
          <w:ilvl w:val="0"/>
          <w:numId w:val="22"/>
        </w:numPr>
        <w:rPr>
          <w:lang w:val="es-ES_tradnl"/>
        </w:rPr>
      </w:pPr>
      <w:r w:rsidRPr="00F55255">
        <w:rPr>
          <w:lang w:val="es-ES_tradnl"/>
        </w:rPr>
        <w:t xml:space="preserve">Cabe señalar que algunas empresas que fabrican tanto equipos comerciales de refrigeración y aire acondicionado como componentes relacionados (tales como compresores, ventiladores o bombas de vacío) podrían considerarse inadvertidamente como pequeñas y medianas empresas basándose en su consumo de HFC, a pesar de producir una cantidad significativa de componentes relacionados; no obstante, no está claro cuántas empresas podrían pertenecer a esta categoría o cómo podrían identificarse y excluirse. </w:t>
      </w:r>
    </w:p>
    <w:p w14:paraId="32488A19" w14:textId="77777777" w:rsidR="00F55255" w:rsidRPr="00F55255" w:rsidRDefault="00F55255" w:rsidP="00F55255">
      <w:pPr>
        <w:pStyle w:val="Heading1"/>
        <w:numPr>
          <w:ilvl w:val="0"/>
          <w:numId w:val="22"/>
        </w:numPr>
        <w:rPr>
          <w:lang w:val="es-ES_tradnl"/>
        </w:rPr>
      </w:pPr>
      <w:r w:rsidRPr="00F55255">
        <w:rPr>
          <w:lang w:val="es-ES_tradnl"/>
        </w:rPr>
        <w:t xml:space="preserve">Al examinar los 89 proyectos para convertir empresas de fabricación de equipos comerciales de refrigeración y aire acondicionado, la Secretaría observó que en algunos proyectos se incluían empresas con un consumo inferior a 1 t. El Comité Ejecutivo podrá estimar oportuno considerar si desea definir una categoría adicional dentro de las pequeñas y medianas empresas: microempresas con un consumo inferior a 1 t. Estas empresas, que de forma similar no podrían ser multinacionales ni exportar sus productos a países no acogidos al artículo 5, probablemente tengan una capacidad técnica menor y se enfrenten a mayores dificultades que las empresas más grandes para establecer las cadenas de suministro necesarias para llevar </w:t>
      </w:r>
      <w:r w:rsidRPr="00F55255">
        <w:rPr>
          <w:lang w:val="es-ES_tradnl"/>
        </w:rPr>
        <w:lastRenderedPageBreak/>
        <w:t>a cabo la conversión de los HFC. Dadas esas dificultades adicionales, probablemente las microempresas serían las últimas empresas del sector en reconvertirse. El Comité Ejecutivo podría estimar oportuno tomar nota de que la conversión de esas microempresas probablemente solo sería sostenible como parte de un proyecto general que abordara todas las empresas restantes del sector. Por ejemplo, una empresa concreta podría ser admisible para hasta el doble del umbral de relación de costo a eficacia acordado, siempre que la relación de costo a eficacia total del proyecto general estuviera dentro del umbral sectorial establecido por el Comité Ejecutivo; el proyecto general incluyera todas las empresas restantes de un sector o subsector para los que se hayan establecido umbrales de relación de costo a eficacia; y existiera el entendimiento de que el país interesado no presentará nuevas solicitudes de financiación del Fondo Multilateral para cualquier empresa de dicho sector o subsector, en línea con la decisión 19/32 a).</w:t>
      </w:r>
    </w:p>
    <w:p w14:paraId="23E6BC46" w14:textId="77777777" w:rsidR="00F55255" w:rsidRPr="00F55255" w:rsidRDefault="00F55255" w:rsidP="00BF4B61">
      <w:pPr>
        <w:pStyle w:val="Heading1"/>
        <w:numPr>
          <w:ilvl w:val="0"/>
          <w:numId w:val="0"/>
        </w:numPr>
        <w:rPr>
          <w:b/>
          <w:bCs/>
          <w:lang w:val="es-ES_tradnl"/>
        </w:rPr>
      </w:pPr>
      <w:r w:rsidRPr="00F55255">
        <w:rPr>
          <w:b/>
          <w:lang w:val="es-ES_tradnl"/>
        </w:rPr>
        <w:t>Conclusión sobre las pequeñas y medianas empresas presentada a la 92</w:t>
      </w:r>
      <w:r w:rsidRPr="00F55255">
        <w:rPr>
          <w:b/>
          <w:vertAlign w:val="superscript"/>
          <w:lang w:val="es-ES_tradnl"/>
        </w:rPr>
        <w:t>a</w:t>
      </w:r>
      <w:r w:rsidRPr="00F55255">
        <w:rPr>
          <w:b/>
          <w:lang w:val="es-ES_tradnl"/>
        </w:rPr>
        <w:t> reunión</w:t>
      </w:r>
    </w:p>
    <w:p w14:paraId="65D17F14" w14:textId="77777777" w:rsidR="00F55255" w:rsidRPr="00F55255" w:rsidRDefault="00F55255" w:rsidP="00F55255">
      <w:pPr>
        <w:pStyle w:val="Heading1"/>
        <w:numPr>
          <w:ilvl w:val="0"/>
          <w:numId w:val="22"/>
        </w:numPr>
        <w:rPr>
          <w:lang w:val="es-ES_tradnl"/>
        </w:rPr>
      </w:pPr>
      <w:bookmarkStart w:id="6" w:name="_Hlk128751124"/>
      <w:r w:rsidRPr="00F55255">
        <w:rPr>
          <w:lang w:val="es-ES_tradnl"/>
        </w:rPr>
        <w:t>El Comité Ejecutivo podría estimar oportuno definir las pequeñas y medianas empresas del sector de fabricación de equipos comerciales de refrigeración y aire acondicionado como aquellas empresas con un consumo de HFC de 7 t como máximo y que fabrican equipos comerciales de refrigeración o aire acondicionado, en el entendido de que:</w:t>
      </w:r>
    </w:p>
    <w:p w14:paraId="3104FE34" w14:textId="77777777" w:rsidR="00F55255" w:rsidRPr="00A606EC" w:rsidRDefault="00F55255" w:rsidP="00BF4B61">
      <w:pPr>
        <w:pStyle w:val="Heading2"/>
        <w:rPr>
          <w:lang w:val="es-ES_tradnl"/>
        </w:rPr>
      </w:pPr>
      <w:r w:rsidRPr="00A606EC">
        <w:rPr>
          <w:lang w:val="es-ES_tradnl"/>
        </w:rPr>
        <w:t>Se tendrá en cuenta la totalidad del consumo de HFC por parte de la empresa, no solo el consumo de la línea o del proceso que se reconvertirá;</w:t>
      </w:r>
    </w:p>
    <w:p w14:paraId="2798E5DC" w14:textId="77777777" w:rsidR="00F55255" w:rsidRPr="00A606EC" w:rsidRDefault="00F55255" w:rsidP="00BF4B61">
      <w:pPr>
        <w:pStyle w:val="Heading2"/>
        <w:rPr>
          <w:lang w:val="es-ES_tradnl"/>
        </w:rPr>
      </w:pPr>
      <w:r w:rsidRPr="00A606EC">
        <w:rPr>
          <w:lang w:val="es-ES_tradnl"/>
        </w:rPr>
        <w:t>Una empresa que fabrique más de 40.000 aparatos al año, independientemente de si todos esos equipos funcionan con HFC, no se considerará como una pequeña y mediana empresa a fines de la financiación; y</w:t>
      </w:r>
    </w:p>
    <w:p w14:paraId="2FB70203" w14:textId="77777777" w:rsidR="00F55255" w:rsidRPr="00A606EC" w:rsidRDefault="00F55255" w:rsidP="00BF4B61">
      <w:pPr>
        <w:pStyle w:val="Heading2"/>
        <w:rPr>
          <w:lang w:val="es-ES_tradnl"/>
        </w:rPr>
      </w:pPr>
      <w:r w:rsidRPr="00A606EC">
        <w:rPr>
          <w:lang w:val="es-ES_tradnl"/>
        </w:rPr>
        <w:t>Una empresa no podrá considerarse pequeña y mediana empresa si es de propiedad, total o en parte, de una compañía multinacional, independientemente de si esa multinacional es propiedad o no de un país del artículo 5, ni si la empresa exporta más del 10 por ciento de sus productos a países no acogidos al artículo 5.</w:t>
      </w:r>
    </w:p>
    <w:p w14:paraId="1AD505CF" w14:textId="77777777" w:rsidR="00F55255" w:rsidRPr="00F55255" w:rsidRDefault="00F55255" w:rsidP="00F55255">
      <w:pPr>
        <w:pStyle w:val="Heading1"/>
        <w:numPr>
          <w:ilvl w:val="0"/>
          <w:numId w:val="21"/>
        </w:numPr>
        <w:rPr>
          <w:lang w:val="es-ES_tradnl"/>
        </w:rPr>
      </w:pPr>
      <w:r w:rsidRPr="00F55255">
        <w:rPr>
          <w:lang w:val="es-ES_tradnl"/>
        </w:rPr>
        <w:t xml:space="preserve">Posteriormente, el Comité Ejecutivo siguió examinando la definición de pequeñas y medianas empresas, tal como se recoge en el anexo IV. </w:t>
      </w:r>
    </w:p>
    <w:p w14:paraId="794C8C12" w14:textId="77777777" w:rsidR="00F55255" w:rsidRPr="00F55255" w:rsidRDefault="00F55255" w:rsidP="00BF4B61">
      <w:pPr>
        <w:pStyle w:val="Heading1"/>
        <w:numPr>
          <w:ilvl w:val="0"/>
          <w:numId w:val="0"/>
        </w:numPr>
        <w:rPr>
          <w:b/>
          <w:bCs/>
          <w:lang w:val="es-ES_tradnl"/>
        </w:rPr>
      </w:pPr>
      <w:r w:rsidRPr="00F55255">
        <w:rPr>
          <w:b/>
          <w:lang w:val="es-ES_tradnl"/>
        </w:rPr>
        <w:t>Deliberaciones en las 92</w:t>
      </w:r>
      <w:r w:rsidRPr="00F55255">
        <w:rPr>
          <w:b/>
          <w:vertAlign w:val="superscript"/>
          <w:lang w:val="es-ES_tradnl"/>
        </w:rPr>
        <w:t>a</w:t>
      </w:r>
      <w:r w:rsidRPr="00F55255">
        <w:rPr>
          <w:b/>
          <w:lang w:val="es-ES_tradnl"/>
        </w:rPr>
        <w:t>, 93</w:t>
      </w:r>
      <w:r w:rsidRPr="00F55255">
        <w:rPr>
          <w:b/>
          <w:vertAlign w:val="superscript"/>
          <w:lang w:val="es-ES_tradnl"/>
        </w:rPr>
        <w:t>a</w:t>
      </w:r>
      <w:r w:rsidRPr="00F55255">
        <w:rPr>
          <w:b/>
          <w:lang w:val="es-ES_tradnl"/>
        </w:rPr>
        <w:t xml:space="preserve"> y 94</w:t>
      </w:r>
      <w:r w:rsidRPr="00F55255">
        <w:rPr>
          <w:b/>
          <w:vertAlign w:val="superscript"/>
          <w:lang w:val="es-ES_tradnl"/>
        </w:rPr>
        <w:t>a</w:t>
      </w:r>
      <w:r w:rsidRPr="00F55255">
        <w:rPr>
          <w:b/>
          <w:lang w:val="es-ES_tradnl"/>
        </w:rPr>
        <w:t> reuniones sobre la definición de pequeña y mediana empresa y consideraciones especiales de financiación para estas empresas.</w:t>
      </w:r>
    </w:p>
    <w:bookmarkEnd w:id="6"/>
    <w:p w14:paraId="08A67F63" w14:textId="77777777" w:rsidR="00F55255" w:rsidRPr="00F55255" w:rsidRDefault="00F55255" w:rsidP="00F55255">
      <w:pPr>
        <w:pStyle w:val="Heading1"/>
        <w:numPr>
          <w:ilvl w:val="0"/>
          <w:numId w:val="22"/>
        </w:numPr>
        <w:rPr>
          <w:lang w:val="es-ES_tradnl"/>
        </w:rPr>
      </w:pPr>
      <w:r w:rsidRPr="00F55255">
        <w:rPr>
          <w:lang w:val="es-ES_tradnl"/>
        </w:rPr>
        <w:t>En las reuniones 92</w:t>
      </w:r>
      <w:r w:rsidRPr="00F55255">
        <w:rPr>
          <w:vertAlign w:val="superscript"/>
          <w:lang w:val="es-ES_tradnl"/>
        </w:rPr>
        <w:t>a</w:t>
      </w:r>
      <w:r w:rsidRPr="00F55255">
        <w:rPr>
          <w:lang w:val="es-ES_tradnl"/>
        </w:rPr>
        <w:t> y 93ª, el grupo de contacto debatió la anterior conclusión, incluidas las aclaraciones sobre el análisis proporcionadas por la Secretaría y la base de la definición propuesta; una propuesta de un miembro para establecer el límite de consumo de los HFC en 20 toneladas en lugar de 7 toneladas, seguida de una propuesta revisada de 15 toneladas; así como varias cuestiones relacionadas con la admisibilidad de las empresas, lo que tuvo como resultado la puesta entre corchetes del apartado 36 c). El texto de trabajo sobre la definición de pequeña y mediana empresa correspondiente a la 93ª reunión figura en el anexo IV del presente documento. En la 94</w:t>
      </w:r>
      <w:r w:rsidRPr="00F55255">
        <w:rPr>
          <w:vertAlign w:val="superscript"/>
          <w:lang w:val="es-ES_tradnl"/>
        </w:rPr>
        <w:t>a</w:t>
      </w:r>
      <w:r w:rsidRPr="00F55255">
        <w:rPr>
          <w:lang w:val="es-ES_tradnl"/>
        </w:rPr>
        <w:t> reunión, la propuesta presentada por países que no operan al amparo del artículo 5 (anexo II) incluía para las pequeñas y medianas empresas de cada sector un 25 por ciento adicional del umbral de relación de costo a eficacia y para las microempresas un 100 por ciento adicional del umbral de relación de costo a eficacia, mientras que la propuesta presentada por los países que operan al amparo del artículo 5 (anexo III) incluía un nivel de financiación concreto por empresa para las microempresas y las empresas pequeñas. Los debates sobre el nivel de financiación de las pequeñas y medianas empresas y su definición continuarán en la 95</w:t>
      </w:r>
      <w:r w:rsidRPr="00F55255">
        <w:rPr>
          <w:vertAlign w:val="superscript"/>
          <w:lang w:val="es-ES_tradnl"/>
        </w:rPr>
        <w:t>a</w:t>
      </w:r>
      <w:r w:rsidRPr="00F55255">
        <w:rPr>
          <w:lang w:val="es-ES_tradnl"/>
        </w:rPr>
        <w:t> reunión.</w:t>
      </w:r>
    </w:p>
    <w:p w14:paraId="76719B5B" w14:textId="77777777" w:rsidR="00F55255" w:rsidRPr="00F55255" w:rsidRDefault="00F55255" w:rsidP="00BF4B61">
      <w:pPr>
        <w:pStyle w:val="Heading1"/>
        <w:numPr>
          <w:ilvl w:val="0"/>
          <w:numId w:val="0"/>
        </w:numPr>
        <w:rPr>
          <w:b/>
          <w:bCs/>
          <w:lang w:val="es-ES_tradnl"/>
        </w:rPr>
      </w:pPr>
      <w:r w:rsidRPr="00F55255">
        <w:rPr>
          <w:b/>
          <w:lang w:val="es-ES_tradnl"/>
        </w:rPr>
        <w:t>III.</w:t>
      </w:r>
      <w:bookmarkStart w:id="7" w:name="_Hlk118106310"/>
      <w:r w:rsidRPr="00F55255">
        <w:rPr>
          <w:b/>
          <w:lang w:val="es-ES_tradnl"/>
        </w:rPr>
        <w:tab/>
        <w:t>Recomendación</w:t>
      </w:r>
    </w:p>
    <w:p w14:paraId="7F61DA35" w14:textId="77777777" w:rsidR="00F55255" w:rsidRPr="00F55255" w:rsidRDefault="00F55255" w:rsidP="00F55255">
      <w:pPr>
        <w:pStyle w:val="Heading1"/>
        <w:numPr>
          <w:ilvl w:val="0"/>
          <w:numId w:val="22"/>
        </w:numPr>
        <w:rPr>
          <w:lang w:val="es-ES_tradnl"/>
        </w:rPr>
      </w:pPr>
      <w:r w:rsidRPr="00F55255">
        <w:rPr>
          <w:lang w:val="es-ES_tradnl"/>
        </w:rPr>
        <w:t>El Comité Ejecutivo podría estimar oportuno:</w:t>
      </w:r>
    </w:p>
    <w:p w14:paraId="67FD0FAC" w14:textId="77777777" w:rsidR="00F55255" w:rsidRPr="00A606EC" w:rsidRDefault="00F55255" w:rsidP="00BF4B61">
      <w:pPr>
        <w:pStyle w:val="Heading2"/>
        <w:rPr>
          <w:lang w:val="es-ES_tradnl"/>
        </w:rPr>
      </w:pPr>
      <w:r w:rsidRPr="00A606EC">
        <w:rPr>
          <w:lang w:val="es-ES_tradnl"/>
        </w:rPr>
        <w:lastRenderedPageBreak/>
        <w:t>Tomar nota del documento</w:t>
      </w:r>
      <w:bookmarkEnd w:id="7"/>
      <w:r w:rsidRPr="00A606EC">
        <w:rPr>
          <w:lang w:val="es-ES_tradnl"/>
        </w:rPr>
        <w:t> UNEP/</w:t>
      </w:r>
      <w:proofErr w:type="spellStart"/>
      <w:r w:rsidRPr="00A606EC">
        <w:rPr>
          <w:lang w:val="es-ES_tradnl"/>
        </w:rPr>
        <w:t>OzL.Pro</w:t>
      </w:r>
      <w:proofErr w:type="spellEnd"/>
      <w:r w:rsidRPr="00A606EC">
        <w:rPr>
          <w:lang w:val="es-ES_tradnl"/>
        </w:rPr>
        <w:t>/</w:t>
      </w:r>
      <w:proofErr w:type="spellStart"/>
      <w:r w:rsidRPr="00A606EC">
        <w:rPr>
          <w:lang w:val="es-ES_tradnl"/>
        </w:rPr>
        <w:t>ExCom</w:t>
      </w:r>
      <w:proofErr w:type="spellEnd"/>
      <w:r w:rsidRPr="00A606EC">
        <w:rPr>
          <w:lang w:val="es-ES_tradnl"/>
        </w:rPr>
        <w:t>/95/86 sobre el proyecto de directrices para la financiación de la reducción de los HFC en los países que operan al amparo del artículo 5, incluida la consideración de las formas de poner en práctica el párrafo 24 de la decisión XXVIII/2; y</w:t>
      </w:r>
    </w:p>
    <w:p w14:paraId="25FAF2ED" w14:textId="77777777" w:rsidR="00FC01F5" w:rsidRPr="00A606EC" w:rsidRDefault="00F55255" w:rsidP="00FC01F5">
      <w:pPr>
        <w:pStyle w:val="Heading2"/>
        <w:numPr>
          <w:ilvl w:val="1"/>
          <w:numId w:val="2"/>
        </w:numPr>
        <w:rPr>
          <w:sz w:val="24"/>
          <w:szCs w:val="24"/>
          <w:lang w:val="es-ES_tradnl" w:eastAsia="en-CA"/>
        </w:rPr>
      </w:pPr>
      <w:r w:rsidRPr="00A606EC">
        <w:rPr>
          <w:lang w:val="es-ES_tradnl"/>
        </w:rPr>
        <w:t>Proseguir sus deliberaciones sobre las directrices de financiación para la reducción de los HFC en los países del artículo 5 a la luz del documento UNEP/</w:t>
      </w:r>
      <w:proofErr w:type="spellStart"/>
      <w:r w:rsidRPr="00A606EC">
        <w:rPr>
          <w:lang w:val="es-ES_tradnl"/>
        </w:rPr>
        <w:t>OzL.Pro</w:t>
      </w:r>
      <w:proofErr w:type="spellEnd"/>
      <w:r w:rsidRPr="00A606EC">
        <w:rPr>
          <w:lang w:val="es-ES_tradnl"/>
        </w:rPr>
        <w:t>/</w:t>
      </w:r>
      <w:proofErr w:type="spellStart"/>
      <w:r w:rsidRPr="00A606EC">
        <w:rPr>
          <w:lang w:val="es-ES_tradnl"/>
        </w:rPr>
        <w:t>ExCom</w:t>
      </w:r>
      <w:proofErr w:type="spellEnd"/>
      <w:r w:rsidRPr="00A606EC">
        <w:rPr>
          <w:lang w:val="es-ES_tradnl"/>
        </w:rPr>
        <w:t>/95/86.</w:t>
      </w:r>
    </w:p>
    <w:p w14:paraId="27463F3F" w14:textId="77777777" w:rsidR="00FC01F5" w:rsidRPr="008D6E8D" w:rsidRDefault="00FC01F5" w:rsidP="00FC01F5">
      <w:pPr>
        <w:rPr>
          <w:lang w:val="fr-CA"/>
        </w:rPr>
      </w:pPr>
    </w:p>
    <w:p w14:paraId="4CF522DC" w14:textId="77777777" w:rsidR="00FC01F5" w:rsidRPr="008D6E8D" w:rsidRDefault="00FC01F5" w:rsidP="00FC01F5">
      <w:pPr>
        <w:rPr>
          <w:lang w:val="fr-CA"/>
        </w:rPr>
        <w:sectPr w:rsidR="00FC01F5" w:rsidRPr="008D6E8D" w:rsidSect="00FC01F5">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pPr>
    </w:p>
    <w:p w14:paraId="73473CFE" w14:textId="77777777" w:rsidR="00FC01F5" w:rsidRPr="008D6E8D" w:rsidRDefault="00FC01F5" w:rsidP="00FC01F5">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C01F5" w:rsidRPr="001B00D1" w14:paraId="52D535BE" w14:textId="77777777" w:rsidTr="002B17EF">
        <w:tc>
          <w:tcPr>
            <w:tcW w:w="1915" w:type="dxa"/>
          </w:tcPr>
          <w:p w14:paraId="0EFBCBC5" w14:textId="77777777" w:rsidR="00FC01F5" w:rsidRPr="008D6E8D" w:rsidRDefault="00FC01F5" w:rsidP="002B17EF">
            <w:pPr>
              <w:rPr>
                <w:lang w:val="fr-CA"/>
              </w:rPr>
            </w:pPr>
          </w:p>
        </w:tc>
        <w:tc>
          <w:tcPr>
            <w:tcW w:w="1915" w:type="dxa"/>
          </w:tcPr>
          <w:p w14:paraId="6CC502D4" w14:textId="77777777" w:rsidR="00FC01F5" w:rsidRPr="008D6E8D" w:rsidRDefault="00FC01F5" w:rsidP="002B17EF">
            <w:pPr>
              <w:rPr>
                <w:lang w:val="fr-CA"/>
              </w:rPr>
            </w:pPr>
          </w:p>
        </w:tc>
        <w:tc>
          <w:tcPr>
            <w:tcW w:w="1915" w:type="dxa"/>
            <w:tcBorders>
              <w:bottom w:val="single" w:sz="4" w:space="0" w:color="auto"/>
            </w:tcBorders>
          </w:tcPr>
          <w:p w14:paraId="5D0A7D0B" w14:textId="77777777" w:rsidR="00FC01F5" w:rsidRPr="008D6E8D" w:rsidRDefault="00FC01F5" w:rsidP="002B17EF">
            <w:pPr>
              <w:rPr>
                <w:lang w:val="fr-CA"/>
              </w:rPr>
            </w:pPr>
          </w:p>
        </w:tc>
        <w:tc>
          <w:tcPr>
            <w:tcW w:w="1915" w:type="dxa"/>
          </w:tcPr>
          <w:p w14:paraId="766BFCEA" w14:textId="77777777" w:rsidR="00FC01F5" w:rsidRPr="008D6E8D" w:rsidRDefault="00FC01F5" w:rsidP="002B17EF">
            <w:pPr>
              <w:rPr>
                <w:lang w:val="fr-CA"/>
              </w:rPr>
            </w:pPr>
          </w:p>
        </w:tc>
        <w:tc>
          <w:tcPr>
            <w:tcW w:w="1916" w:type="dxa"/>
          </w:tcPr>
          <w:p w14:paraId="27D288C2" w14:textId="77777777" w:rsidR="00FC01F5" w:rsidRPr="008D6E8D" w:rsidRDefault="00FC01F5" w:rsidP="002B17EF">
            <w:pPr>
              <w:rPr>
                <w:lang w:val="fr-CA"/>
              </w:rPr>
            </w:pPr>
          </w:p>
        </w:tc>
      </w:tr>
    </w:tbl>
    <w:p w14:paraId="587BADDD" w14:textId="77777777" w:rsidR="00FC01F5" w:rsidRPr="008D6E8D" w:rsidRDefault="00FC01F5" w:rsidP="00FC01F5">
      <w:pPr>
        <w:rPr>
          <w:lang w:val="fr-CA"/>
        </w:rPr>
      </w:pPr>
    </w:p>
    <w:p w14:paraId="1BC9CA15" w14:textId="77777777" w:rsidR="00FC01F5" w:rsidRPr="008D6E8D" w:rsidRDefault="00FC01F5" w:rsidP="00FC01F5">
      <w:pPr>
        <w:rPr>
          <w:lang w:val="fr-CA"/>
        </w:rPr>
        <w:sectPr w:rsidR="00FC01F5" w:rsidRPr="008D6E8D" w:rsidSect="00FC01F5">
          <w:type w:val="continuous"/>
          <w:pgSz w:w="12240" w:h="15840" w:code="1"/>
          <w:pgMar w:top="720" w:right="1440" w:bottom="864" w:left="1440" w:header="720" w:footer="475" w:gutter="0"/>
          <w:cols w:space="720"/>
          <w:titlePg/>
        </w:sectPr>
      </w:pPr>
    </w:p>
    <w:p w14:paraId="70B1E472" w14:textId="77777777" w:rsidR="008D6E8D" w:rsidRPr="00D832E5" w:rsidRDefault="008D6E8D" w:rsidP="008D6E8D">
      <w:pPr>
        <w:widowControl w:val="0"/>
        <w:spacing w:after="240"/>
        <w:jc w:val="center"/>
        <w:rPr>
          <w:b/>
          <w:bCs/>
          <w:lang w:val="es-ES_tradnl"/>
        </w:rPr>
      </w:pPr>
      <w:r w:rsidRPr="00D832E5">
        <w:rPr>
          <w:b/>
          <w:bCs/>
          <w:lang w:val="es-ES_tradnl"/>
        </w:rPr>
        <w:lastRenderedPageBreak/>
        <w:t xml:space="preserve">Anexo </w:t>
      </w:r>
      <w:r w:rsidRPr="00D832E5">
        <w:rPr>
          <w:b/>
          <w:lang w:val="es-ES_tradnl"/>
        </w:rPr>
        <w:t>I</w:t>
      </w:r>
    </w:p>
    <w:p w14:paraId="7395E75E" w14:textId="77777777" w:rsidR="008D6E8D" w:rsidRPr="00D832E5" w:rsidRDefault="008D6E8D" w:rsidP="008D6E8D">
      <w:pPr>
        <w:spacing w:after="360"/>
        <w:jc w:val="center"/>
        <w:rPr>
          <w:caps/>
          <w:lang w:val="es-ES_tradnl"/>
        </w:rPr>
      </w:pPr>
      <w:r w:rsidRPr="00D832E5">
        <w:rPr>
          <w:b/>
          <w:bCs/>
          <w:caps/>
          <w:lang w:val="es-ES_tradnl"/>
        </w:rPr>
        <w:t>TEXTO TENTATIVO</w:t>
      </w:r>
      <w:r w:rsidRPr="00DA1ECF">
        <w:rPr>
          <w:lang w:val="es-ES_tradnl"/>
        </w:rPr>
        <w:t xml:space="preserve"> </w:t>
      </w:r>
      <w:r w:rsidRPr="005257EA">
        <w:rPr>
          <w:b/>
          <w:bCs/>
          <w:caps/>
          <w:lang w:val="es-ES_tradnl"/>
        </w:rPr>
        <w:t>FINAL</w:t>
      </w:r>
      <w:r w:rsidRPr="00D832E5">
        <w:rPr>
          <w:b/>
          <w:bCs/>
          <w:caps/>
          <w:lang w:val="es-ES_tradnl"/>
        </w:rPr>
        <w:t xml:space="preserve">: </w:t>
      </w:r>
      <w:r w:rsidRPr="008A33C1">
        <w:rPr>
          <w:b/>
          <w:bCs/>
          <w:caps/>
          <w:lang w:val="es-ES_tradnl"/>
        </w:rPr>
        <w:t xml:space="preserve">Propuestas de países acogidos y no acogidos al </w:t>
      </w:r>
      <w:r>
        <w:rPr>
          <w:b/>
          <w:bCs/>
          <w:caps/>
          <w:lang w:val="es-ES_tradnl"/>
        </w:rPr>
        <w:t>Artículo 5</w:t>
      </w:r>
      <w:r w:rsidRPr="008A33C1">
        <w:rPr>
          <w:b/>
          <w:bCs/>
          <w:caps/>
          <w:lang w:val="es-ES_tradnl"/>
        </w:rPr>
        <w:t xml:space="preserve"> sobre grandes empresas y sobrecostos de operación</w:t>
      </w:r>
    </w:p>
    <w:tbl>
      <w:tblPr>
        <w:tblStyle w:val="TableGrid"/>
        <w:tblpPr w:leftFromText="180" w:rightFromText="180" w:vertAnchor="text" w:tblpXSpec="center" w:tblpY="1"/>
        <w:tblOverlap w:val="never"/>
        <w:tblW w:w="13985" w:type="dxa"/>
        <w:tblLook w:val="04A0" w:firstRow="1" w:lastRow="0" w:firstColumn="1" w:lastColumn="0" w:noHBand="0" w:noVBand="1"/>
      </w:tblPr>
      <w:tblGrid>
        <w:gridCol w:w="3005"/>
        <w:gridCol w:w="1783"/>
        <w:gridCol w:w="1695"/>
        <w:gridCol w:w="1799"/>
        <w:gridCol w:w="1826"/>
        <w:gridCol w:w="2020"/>
        <w:gridCol w:w="1857"/>
      </w:tblGrid>
      <w:tr w:rsidR="008D6E8D" w:rsidRPr="003F53B8" w14:paraId="6C0A94A7" w14:textId="77777777" w:rsidTr="007D38F7">
        <w:trPr>
          <w:trHeight w:val="290"/>
        </w:trPr>
        <w:tc>
          <w:tcPr>
            <w:tcW w:w="3005" w:type="dxa"/>
            <w:vAlign w:val="center"/>
          </w:tcPr>
          <w:p w14:paraId="58D9E806" w14:textId="77777777" w:rsidR="008D6E8D" w:rsidRPr="003F53B8" w:rsidRDefault="008D6E8D" w:rsidP="007D38F7">
            <w:pPr>
              <w:rPr>
                <w:sz w:val="20"/>
                <w:szCs w:val="20"/>
                <w:lang w:val="es-ES_tradnl"/>
              </w:rPr>
            </w:pPr>
          </w:p>
        </w:tc>
        <w:tc>
          <w:tcPr>
            <w:tcW w:w="3478" w:type="dxa"/>
            <w:gridSpan w:val="2"/>
            <w:shd w:val="clear" w:color="auto" w:fill="DBE5F1" w:themeFill="accent1" w:themeFillTint="33"/>
            <w:vAlign w:val="center"/>
          </w:tcPr>
          <w:p w14:paraId="3AA71728" w14:textId="77777777" w:rsidR="008D6E8D" w:rsidRPr="003F53B8" w:rsidRDefault="008D6E8D" w:rsidP="007D38F7">
            <w:pPr>
              <w:jc w:val="center"/>
              <w:rPr>
                <w:b/>
                <w:bCs/>
                <w:sz w:val="20"/>
                <w:szCs w:val="20"/>
                <w:lang w:val="es-ES_tradnl"/>
              </w:rPr>
            </w:pPr>
            <w:r>
              <w:rPr>
                <w:b/>
                <w:bCs/>
                <w:sz w:val="20"/>
                <w:szCs w:val="20"/>
                <w:lang w:val="es-ES_tradnl"/>
              </w:rPr>
              <w:t>Propuesta para países del Artículo 5</w:t>
            </w:r>
            <w:r w:rsidRPr="003F53B8">
              <w:rPr>
                <w:b/>
                <w:bCs/>
                <w:sz w:val="20"/>
                <w:szCs w:val="20"/>
                <w:lang w:val="es-ES_tradnl"/>
              </w:rPr>
              <w:t xml:space="preserve"> ($EUA/kg)</w:t>
            </w:r>
          </w:p>
        </w:tc>
        <w:tc>
          <w:tcPr>
            <w:tcW w:w="3625" w:type="dxa"/>
            <w:gridSpan w:val="2"/>
            <w:shd w:val="clear" w:color="auto" w:fill="EAF1DD" w:themeFill="accent3" w:themeFillTint="33"/>
            <w:vAlign w:val="center"/>
          </w:tcPr>
          <w:p w14:paraId="37301F5E" w14:textId="77777777" w:rsidR="008D6E8D" w:rsidRPr="003F53B8" w:rsidRDefault="008D6E8D" w:rsidP="007D38F7">
            <w:pPr>
              <w:jc w:val="center"/>
              <w:rPr>
                <w:b/>
                <w:bCs/>
                <w:sz w:val="20"/>
                <w:szCs w:val="20"/>
                <w:lang w:val="es-ES_tradnl"/>
              </w:rPr>
            </w:pPr>
            <w:r w:rsidRPr="001077C4">
              <w:rPr>
                <w:b/>
                <w:bCs/>
                <w:sz w:val="20"/>
                <w:szCs w:val="20"/>
                <w:lang w:val="es-ES_tradnl"/>
              </w:rPr>
              <w:t xml:space="preserve">Propuesta </w:t>
            </w:r>
            <w:r>
              <w:rPr>
                <w:b/>
                <w:bCs/>
                <w:sz w:val="20"/>
                <w:szCs w:val="20"/>
                <w:lang w:val="es-ES_tradnl"/>
              </w:rPr>
              <w:t xml:space="preserve">para </w:t>
            </w:r>
            <w:r w:rsidRPr="001077C4">
              <w:rPr>
                <w:b/>
                <w:bCs/>
                <w:sz w:val="20"/>
                <w:szCs w:val="20"/>
                <w:lang w:val="es-ES_tradnl"/>
              </w:rPr>
              <w:t xml:space="preserve">países </w:t>
            </w:r>
            <w:r>
              <w:rPr>
                <w:b/>
                <w:bCs/>
                <w:sz w:val="20"/>
                <w:szCs w:val="20"/>
                <w:lang w:val="es-ES_tradnl"/>
              </w:rPr>
              <w:t xml:space="preserve">no acogidos al Artículo 5 </w:t>
            </w:r>
            <w:r w:rsidRPr="003F53B8">
              <w:rPr>
                <w:b/>
                <w:bCs/>
                <w:sz w:val="20"/>
                <w:szCs w:val="20"/>
                <w:lang w:val="es-ES_tradnl"/>
              </w:rPr>
              <w:t>($EUA/kg)</w:t>
            </w:r>
          </w:p>
        </w:tc>
        <w:tc>
          <w:tcPr>
            <w:tcW w:w="3877" w:type="dxa"/>
            <w:gridSpan w:val="2"/>
            <w:shd w:val="clear" w:color="auto" w:fill="FFF2CC"/>
            <w:vAlign w:val="center"/>
          </w:tcPr>
          <w:p w14:paraId="4C3017B7" w14:textId="77777777" w:rsidR="008D6E8D" w:rsidRPr="003F53B8" w:rsidRDefault="008D6E8D" w:rsidP="007D38F7">
            <w:pPr>
              <w:jc w:val="center"/>
              <w:rPr>
                <w:b/>
                <w:bCs/>
                <w:sz w:val="20"/>
                <w:szCs w:val="20"/>
                <w:lang w:val="es-ES_tradnl"/>
              </w:rPr>
            </w:pPr>
            <w:r>
              <w:rPr>
                <w:b/>
                <w:bCs/>
                <w:sz w:val="20"/>
                <w:szCs w:val="20"/>
                <w:lang w:val="es-ES_tradnl"/>
              </w:rPr>
              <w:t>Acordado</w:t>
            </w:r>
            <w:r w:rsidRPr="003F53B8">
              <w:rPr>
                <w:b/>
                <w:bCs/>
                <w:sz w:val="20"/>
                <w:szCs w:val="20"/>
                <w:lang w:val="es-ES_tradnl"/>
              </w:rPr>
              <w:t xml:space="preserve"> ($EUA/kg)</w:t>
            </w:r>
          </w:p>
        </w:tc>
      </w:tr>
      <w:tr w:rsidR="008D6E8D" w:rsidRPr="003F53B8" w14:paraId="0A80B83A" w14:textId="77777777" w:rsidTr="007D38F7">
        <w:trPr>
          <w:trHeight w:val="290"/>
        </w:trPr>
        <w:tc>
          <w:tcPr>
            <w:tcW w:w="3005" w:type="dxa"/>
            <w:vAlign w:val="center"/>
          </w:tcPr>
          <w:p w14:paraId="6CF5CE51" w14:textId="77777777" w:rsidR="008D6E8D" w:rsidRPr="003F53B8" w:rsidRDefault="008D6E8D" w:rsidP="007D38F7">
            <w:pPr>
              <w:rPr>
                <w:b/>
                <w:bCs/>
                <w:sz w:val="20"/>
                <w:szCs w:val="20"/>
                <w:lang w:val="es-ES_tradnl"/>
              </w:rPr>
            </w:pPr>
            <w:r w:rsidRPr="003F53B8">
              <w:rPr>
                <w:b/>
                <w:bCs/>
                <w:sz w:val="20"/>
                <w:szCs w:val="20"/>
                <w:lang w:val="es-ES_tradnl"/>
              </w:rPr>
              <w:t xml:space="preserve">Sector </w:t>
            </w:r>
          </w:p>
        </w:tc>
        <w:tc>
          <w:tcPr>
            <w:tcW w:w="1783" w:type="dxa"/>
            <w:shd w:val="clear" w:color="auto" w:fill="DBE5F1" w:themeFill="accent1" w:themeFillTint="33"/>
            <w:vAlign w:val="center"/>
          </w:tcPr>
          <w:p w14:paraId="2CF8D8D0" w14:textId="77777777" w:rsidR="008D6E8D" w:rsidRPr="003F53B8" w:rsidRDefault="008D6E8D" w:rsidP="007D38F7">
            <w:pPr>
              <w:jc w:val="center"/>
              <w:rPr>
                <w:b/>
                <w:bCs/>
                <w:sz w:val="20"/>
                <w:szCs w:val="20"/>
                <w:lang w:val="es-ES_tradnl"/>
              </w:rPr>
            </w:pPr>
            <w:r w:rsidRPr="003F7B34">
              <w:rPr>
                <w:b/>
                <w:bCs/>
                <w:sz w:val="20"/>
                <w:szCs w:val="20"/>
                <w:lang w:val="es-ES_tradnl"/>
              </w:rPr>
              <w:t xml:space="preserve">Umbral costo-beneficio </w:t>
            </w:r>
            <w:r>
              <w:rPr>
                <w:b/>
                <w:bCs/>
                <w:sz w:val="20"/>
                <w:szCs w:val="20"/>
                <w:lang w:val="es-ES_tradnl"/>
              </w:rPr>
              <w:t>g</w:t>
            </w:r>
            <w:r w:rsidRPr="003F53B8">
              <w:rPr>
                <w:b/>
                <w:bCs/>
                <w:sz w:val="20"/>
                <w:szCs w:val="20"/>
                <w:lang w:val="es-ES_tradnl"/>
              </w:rPr>
              <w:t>randes empresas</w:t>
            </w:r>
          </w:p>
        </w:tc>
        <w:tc>
          <w:tcPr>
            <w:tcW w:w="1695" w:type="dxa"/>
            <w:shd w:val="clear" w:color="auto" w:fill="DBE5F1" w:themeFill="accent1" w:themeFillTint="33"/>
            <w:vAlign w:val="center"/>
          </w:tcPr>
          <w:p w14:paraId="61A25FE1" w14:textId="77777777" w:rsidR="008D6E8D" w:rsidRPr="003F53B8" w:rsidRDefault="008D6E8D" w:rsidP="007D38F7">
            <w:pPr>
              <w:jc w:val="center"/>
              <w:rPr>
                <w:b/>
                <w:bCs/>
                <w:sz w:val="20"/>
                <w:szCs w:val="20"/>
                <w:lang w:val="es-ES_tradnl"/>
              </w:rPr>
            </w:pPr>
            <w:r w:rsidRPr="003F53B8">
              <w:rPr>
                <w:b/>
                <w:bCs/>
                <w:sz w:val="20"/>
                <w:szCs w:val="20"/>
                <w:lang w:val="es-ES_tradnl"/>
              </w:rPr>
              <w:t>Sobrecostos de operación</w:t>
            </w:r>
          </w:p>
        </w:tc>
        <w:tc>
          <w:tcPr>
            <w:tcW w:w="1799" w:type="dxa"/>
            <w:shd w:val="clear" w:color="auto" w:fill="EAF1DD" w:themeFill="accent3" w:themeFillTint="33"/>
            <w:vAlign w:val="center"/>
          </w:tcPr>
          <w:p w14:paraId="2D451D0C" w14:textId="77777777" w:rsidR="008D6E8D" w:rsidRPr="003F53B8" w:rsidRDefault="008D6E8D" w:rsidP="007D38F7">
            <w:pPr>
              <w:jc w:val="center"/>
              <w:rPr>
                <w:b/>
                <w:bCs/>
                <w:sz w:val="20"/>
                <w:szCs w:val="20"/>
                <w:lang w:val="es-ES_tradnl"/>
              </w:rPr>
            </w:pPr>
            <w:r w:rsidRPr="00CA54CD">
              <w:rPr>
                <w:rFonts w:eastAsia="Calibri"/>
                <w:b/>
                <w:bCs/>
                <w:sz w:val="20"/>
                <w:szCs w:val="20"/>
                <w:lang w:val="es-ES_tradnl"/>
              </w:rPr>
              <w:t>Umbral costo-beneficio grandes empresas</w:t>
            </w:r>
          </w:p>
        </w:tc>
        <w:tc>
          <w:tcPr>
            <w:tcW w:w="1826" w:type="dxa"/>
            <w:shd w:val="clear" w:color="auto" w:fill="EAF1DD" w:themeFill="accent3" w:themeFillTint="33"/>
            <w:vAlign w:val="center"/>
          </w:tcPr>
          <w:p w14:paraId="4F7814D3" w14:textId="77777777" w:rsidR="008D6E8D" w:rsidRPr="003F53B8" w:rsidRDefault="008D6E8D" w:rsidP="007D38F7">
            <w:pPr>
              <w:jc w:val="center"/>
              <w:rPr>
                <w:b/>
                <w:bCs/>
                <w:sz w:val="20"/>
                <w:szCs w:val="20"/>
                <w:lang w:val="es-ES_tradnl"/>
              </w:rPr>
            </w:pPr>
            <w:r w:rsidRPr="003F53B8">
              <w:rPr>
                <w:rFonts w:eastAsia="Calibri"/>
                <w:b/>
                <w:bCs/>
                <w:sz w:val="20"/>
                <w:szCs w:val="20"/>
                <w:lang w:val="es-ES_tradnl"/>
              </w:rPr>
              <w:t>Sobrecostos de operación</w:t>
            </w:r>
          </w:p>
        </w:tc>
        <w:tc>
          <w:tcPr>
            <w:tcW w:w="2020" w:type="dxa"/>
            <w:shd w:val="clear" w:color="auto" w:fill="FFF2CC"/>
            <w:vAlign w:val="center"/>
          </w:tcPr>
          <w:p w14:paraId="4CC3B6B9" w14:textId="77777777" w:rsidR="008D6E8D" w:rsidRPr="003F53B8" w:rsidRDefault="008D6E8D" w:rsidP="007D38F7">
            <w:pPr>
              <w:jc w:val="center"/>
              <w:rPr>
                <w:rFonts w:eastAsia="Calibri"/>
                <w:b/>
                <w:bCs/>
                <w:sz w:val="20"/>
                <w:szCs w:val="20"/>
                <w:lang w:val="es-ES_tradnl"/>
              </w:rPr>
            </w:pPr>
            <w:r w:rsidRPr="00CA54CD">
              <w:rPr>
                <w:rFonts w:eastAsia="Calibri"/>
                <w:b/>
                <w:bCs/>
                <w:sz w:val="20"/>
                <w:szCs w:val="20"/>
                <w:lang w:val="es-ES_tradnl"/>
              </w:rPr>
              <w:t>Umbral costo-beneficio grandes empresas</w:t>
            </w:r>
          </w:p>
        </w:tc>
        <w:tc>
          <w:tcPr>
            <w:tcW w:w="1856" w:type="dxa"/>
            <w:shd w:val="clear" w:color="auto" w:fill="FFF2CC"/>
            <w:vAlign w:val="center"/>
          </w:tcPr>
          <w:p w14:paraId="0B45A968" w14:textId="77777777" w:rsidR="008D6E8D" w:rsidRPr="003F53B8" w:rsidRDefault="008D6E8D" w:rsidP="007D38F7">
            <w:pPr>
              <w:jc w:val="center"/>
              <w:rPr>
                <w:rFonts w:eastAsia="Calibri"/>
                <w:b/>
                <w:bCs/>
                <w:sz w:val="20"/>
                <w:szCs w:val="20"/>
                <w:lang w:val="es-ES_tradnl"/>
              </w:rPr>
            </w:pPr>
            <w:r w:rsidRPr="003F53B8">
              <w:rPr>
                <w:rFonts w:eastAsia="Calibri"/>
                <w:b/>
                <w:bCs/>
                <w:sz w:val="20"/>
                <w:szCs w:val="20"/>
                <w:lang w:val="es-ES_tradnl"/>
              </w:rPr>
              <w:t>Sobrecostos de operación</w:t>
            </w:r>
          </w:p>
        </w:tc>
      </w:tr>
      <w:tr w:rsidR="008D6E8D" w:rsidRPr="003F53B8" w14:paraId="07DC8A4B" w14:textId="77777777" w:rsidTr="007D38F7">
        <w:trPr>
          <w:trHeight w:val="359"/>
        </w:trPr>
        <w:tc>
          <w:tcPr>
            <w:tcW w:w="3005" w:type="dxa"/>
            <w:vAlign w:val="center"/>
          </w:tcPr>
          <w:p w14:paraId="07283A74" w14:textId="77777777" w:rsidR="008D6E8D" w:rsidRPr="003F53B8" w:rsidRDefault="008D6E8D" w:rsidP="007D38F7">
            <w:pPr>
              <w:jc w:val="left"/>
              <w:rPr>
                <w:sz w:val="20"/>
                <w:szCs w:val="20"/>
                <w:lang w:val="es-ES_tradnl"/>
              </w:rPr>
            </w:pPr>
            <w:r w:rsidRPr="003F53B8">
              <w:rPr>
                <w:sz w:val="20"/>
                <w:szCs w:val="20"/>
                <w:highlight w:val="green"/>
                <w:lang w:val="es-ES_tradnl"/>
              </w:rPr>
              <w:t>Refrigeración residencial</w:t>
            </w:r>
          </w:p>
        </w:tc>
        <w:tc>
          <w:tcPr>
            <w:tcW w:w="1783" w:type="dxa"/>
            <w:shd w:val="clear" w:color="auto" w:fill="DBE5F1" w:themeFill="accent1" w:themeFillTint="33"/>
            <w:vAlign w:val="center"/>
          </w:tcPr>
          <w:p w14:paraId="2D571C27" w14:textId="77777777" w:rsidR="008D6E8D" w:rsidRPr="003F53B8" w:rsidRDefault="008D6E8D" w:rsidP="007D38F7">
            <w:pPr>
              <w:jc w:val="center"/>
              <w:rPr>
                <w:sz w:val="20"/>
                <w:szCs w:val="20"/>
                <w:highlight w:val="green"/>
                <w:lang w:val="es-ES_tradnl"/>
              </w:rPr>
            </w:pPr>
            <w:r w:rsidRPr="003F53B8">
              <w:rPr>
                <w:sz w:val="20"/>
                <w:szCs w:val="20"/>
                <w:highlight w:val="green"/>
                <w:lang w:val="es-ES_tradnl"/>
              </w:rPr>
              <w:t>13.76</w:t>
            </w:r>
          </w:p>
        </w:tc>
        <w:tc>
          <w:tcPr>
            <w:tcW w:w="1695" w:type="dxa"/>
            <w:shd w:val="clear" w:color="auto" w:fill="DBE5F1" w:themeFill="accent1" w:themeFillTint="33"/>
            <w:vAlign w:val="center"/>
          </w:tcPr>
          <w:p w14:paraId="01DFDDDC" w14:textId="77777777" w:rsidR="008D6E8D" w:rsidRPr="003F53B8" w:rsidRDefault="008D6E8D" w:rsidP="007D38F7">
            <w:pPr>
              <w:jc w:val="center"/>
              <w:rPr>
                <w:sz w:val="20"/>
                <w:szCs w:val="20"/>
                <w:lang w:val="es-ES_tradnl"/>
              </w:rPr>
            </w:pPr>
            <w:r w:rsidRPr="003F53B8">
              <w:rPr>
                <w:sz w:val="20"/>
                <w:szCs w:val="20"/>
                <w:lang w:val="es-ES_tradnl"/>
              </w:rPr>
              <w:t xml:space="preserve"> 7.50 </w:t>
            </w:r>
            <w:r w:rsidRPr="003F53B8">
              <w:rPr>
                <w:strike/>
                <w:sz w:val="20"/>
                <w:szCs w:val="20"/>
                <w:lang w:val="es-ES_tradnl"/>
              </w:rPr>
              <w:t>8.00</w:t>
            </w:r>
          </w:p>
        </w:tc>
        <w:tc>
          <w:tcPr>
            <w:tcW w:w="1799" w:type="dxa"/>
            <w:shd w:val="clear" w:color="auto" w:fill="EAF1DD" w:themeFill="accent3" w:themeFillTint="33"/>
            <w:vAlign w:val="center"/>
          </w:tcPr>
          <w:p w14:paraId="044F04A9" w14:textId="77777777" w:rsidR="008D6E8D" w:rsidRPr="003F53B8" w:rsidRDefault="008D6E8D" w:rsidP="007D38F7">
            <w:pPr>
              <w:jc w:val="center"/>
              <w:rPr>
                <w:sz w:val="20"/>
                <w:szCs w:val="20"/>
                <w:lang w:val="es-ES_tradnl"/>
              </w:rPr>
            </w:pPr>
            <w:r w:rsidRPr="003F53B8">
              <w:rPr>
                <w:rFonts w:eastAsia="Calibri"/>
                <w:sz w:val="20"/>
                <w:szCs w:val="20"/>
                <w:highlight w:val="green"/>
                <w:lang w:val="es-ES_tradnl"/>
              </w:rPr>
              <w:t>13.76</w:t>
            </w:r>
          </w:p>
        </w:tc>
        <w:tc>
          <w:tcPr>
            <w:tcW w:w="1826" w:type="dxa"/>
            <w:shd w:val="clear" w:color="auto" w:fill="EAF1DD" w:themeFill="accent3" w:themeFillTint="33"/>
            <w:vAlign w:val="center"/>
          </w:tcPr>
          <w:p w14:paraId="667282AA" w14:textId="77777777" w:rsidR="008D6E8D" w:rsidRPr="003F53B8" w:rsidRDefault="008D6E8D" w:rsidP="007D38F7">
            <w:pPr>
              <w:jc w:val="center"/>
              <w:rPr>
                <w:sz w:val="20"/>
                <w:szCs w:val="20"/>
                <w:lang w:val="es-ES_tradnl"/>
              </w:rPr>
            </w:pPr>
            <w:r w:rsidRPr="003F53B8">
              <w:rPr>
                <w:rFonts w:eastAsia="Calibri"/>
                <w:sz w:val="20"/>
                <w:szCs w:val="20"/>
                <w:lang w:val="es-ES_tradnl"/>
              </w:rPr>
              <w:t xml:space="preserve">4.7 </w:t>
            </w:r>
            <w:r w:rsidRPr="003F53B8">
              <w:rPr>
                <w:rFonts w:eastAsia="Calibri"/>
                <w:strike/>
                <w:sz w:val="20"/>
                <w:szCs w:val="20"/>
                <w:lang w:val="es-ES_tradnl"/>
              </w:rPr>
              <w:t>4.5</w:t>
            </w:r>
          </w:p>
        </w:tc>
        <w:tc>
          <w:tcPr>
            <w:tcW w:w="2020" w:type="dxa"/>
            <w:shd w:val="clear" w:color="auto" w:fill="FFF2CC"/>
            <w:vAlign w:val="center"/>
          </w:tcPr>
          <w:p w14:paraId="520B983A" w14:textId="77777777" w:rsidR="008D6E8D" w:rsidRPr="003F53B8" w:rsidRDefault="008D6E8D" w:rsidP="007D38F7">
            <w:pPr>
              <w:jc w:val="center"/>
              <w:rPr>
                <w:rFonts w:eastAsia="Calibri"/>
                <w:sz w:val="20"/>
                <w:szCs w:val="20"/>
                <w:lang w:val="es-ES_tradnl"/>
              </w:rPr>
            </w:pPr>
            <w:r w:rsidRPr="003F53B8">
              <w:rPr>
                <w:rFonts w:eastAsia="Calibri"/>
                <w:sz w:val="20"/>
                <w:szCs w:val="20"/>
                <w:lang w:val="es-ES_tradnl"/>
              </w:rPr>
              <w:t>13.76</w:t>
            </w:r>
          </w:p>
        </w:tc>
        <w:tc>
          <w:tcPr>
            <w:tcW w:w="1856" w:type="dxa"/>
            <w:shd w:val="clear" w:color="auto" w:fill="FFF2CC"/>
            <w:vAlign w:val="center"/>
          </w:tcPr>
          <w:p w14:paraId="21DBC9E1" w14:textId="77777777" w:rsidR="008D6E8D" w:rsidRPr="003F53B8" w:rsidRDefault="008D6E8D" w:rsidP="007D38F7">
            <w:pPr>
              <w:jc w:val="center"/>
              <w:rPr>
                <w:rFonts w:eastAsia="Calibri"/>
                <w:sz w:val="20"/>
                <w:szCs w:val="20"/>
                <w:lang w:val="es-ES_tradnl"/>
              </w:rPr>
            </w:pPr>
            <w:r w:rsidRPr="003F53B8">
              <w:rPr>
                <w:rFonts w:eastAsia="Calibri"/>
                <w:sz w:val="20"/>
                <w:szCs w:val="20"/>
                <w:lang w:val="es-ES_tradnl"/>
              </w:rPr>
              <w:t>5.75</w:t>
            </w:r>
          </w:p>
        </w:tc>
      </w:tr>
      <w:tr w:rsidR="008D6E8D" w:rsidRPr="003F53B8" w14:paraId="28C320A9" w14:textId="77777777" w:rsidTr="007D38F7">
        <w:trPr>
          <w:trHeight w:val="359"/>
        </w:trPr>
        <w:tc>
          <w:tcPr>
            <w:tcW w:w="3005" w:type="dxa"/>
            <w:vAlign w:val="center"/>
          </w:tcPr>
          <w:p w14:paraId="32B212A6" w14:textId="77777777" w:rsidR="008D6E8D" w:rsidRPr="003F53B8" w:rsidRDefault="008D6E8D" w:rsidP="007D38F7">
            <w:pPr>
              <w:jc w:val="left"/>
              <w:rPr>
                <w:sz w:val="20"/>
                <w:szCs w:val="20"/>
                <w:lang w:val="es-ES_tradnl"/>
              </w:rPr>
            </w:pPr>
            <w:r w:rsidRPr="003F53B8">
              <w:rPr>
                <w:sz w:val="20"/>
                <w:szCs w:val="20"/>
                <w:lang w:val="es-ES_tradnl"/>
              </w:rPr>
              <w:t>Refrigeración comercial</w:t>
            </w:r>
          </w:p>
        </w:tc>
        <w:tc>
          <w:tcPr>
            <w:tcW w:w="1783" w:type="dxa"/>
            <w:shd w:val="clear" w:color="auto" w:fill="DBE5F1" w:themeFill="accent1" w:themeFillTint="33"/>
            <w:vAlign w:val="center"/>
          </w:tcPr>
          <w:p w14:paraId="74823501" w14:textId="77777777" w:rsidR="008D6E8D" w:rsidRPr="003F53B8" w:rsidRDefault="008D6E8D" w:rsidP="007D38F7">
            <w:pPr>
              <w:jc w:val="center"/>
              <w:rPr>
                <w:sz w:val="20"/>
                <w:szCs w:val="20"/>
                <w:lang w:val="es-ES_tradnl"/>
              </w:rPr>
            </w:pPr>
            <w:r w:rsidRPr="003F53B8">
              <w:rPr>
                <w:sz w:val="20"/>
                <w:szCs w:val="20"/>
                <w:lang w:val="es-ES_tradnl"/>
              </w:rPr>
              <w:t>17.50</w:t>
            </w:r>
            <w:r w:rsidRPr="003F53B8">
              <w:rPr>
                <w:strike/>
                <w:sz w:val="20"/>
                <w:szCs w:val="20"/>
                <w:lang w:val="es-ES_tradnl"/>
              </w:rPr>
              <w:t>18.00</w:t>
            </w:r>
          </w:p>
        </w:tc>
        <w:tc>
          <w:tcPr>
            <w:tcW w:w="1695" w:type="dxa"/>
            <w:shd w:val="clear" w:color="auto" w:fill="DBE5F1" w:themeFill="accent1" w:themeFillTint="33"/>
            <w:vAlign w:val="center"/>
          </w:tcPr>
          <w:p w14:paraId="42386B3D" w14:textId="77777777" w:rsidR="008D6E8D" w:rsidRPr="003F53B8" w:rsidRDefault="008D6E8D" w:rsidP="007D38F7">
            <w:pPr>
              <w:jc w:val="center"/>
              <w:rPr>
                <w:sz w:val="20"/>
                <w:szCs w:val="20"/>
                <w:lang w:val="es-ES_tradnl"/>
              </w:rPr>
            </w:pPr>
            <w:r w:rsidRPr="003F53B8">
              <w:rPr>
                <w:sz w:val="20"/>
                <w:szCs w:val="20"/>
                <w:lang w:val="es-ES_tradnl"/>
              </w:rPr>
              <w:t xml:space="preserve">6.50 </w:t>
            </w:r>
            <w:r w:rsidRPr="003F53B8">
              <w:rPr>
                <w:strike/>
                <w:sz w:val="20"/>
                <w:szCs w:val="20"/>
                <w:lang w:val="es-ES_tradnl"/>
              </w:rPr>
              <w:t>8.00</w:t>
            </w:r>
          </w:p>
        </w:tc>
        <w:tc>
          <w:tcPr>
            <w:tcW w:w="1799" w:type="dxa"/>
            <w:shd w:val="clear" w:color="auto" w:fill="EAF1DD" w:themeFill="accent3" w:themeFillTint="33"/>
            <w:vAlign w:val="center"/>
          </w:tcPr>
          <w:p w14:paraId="0976D104" w14:textId="77777777" w:rsidR="008D6E8D" w:rsidRPr="003F53B8" w:rsidRDefault="008D6E8D" w:rsidP="007D38F7">
            <w:pPr>
              <w:jc w:val="center"/>
              <w:rPr>
                <w:sz w:val="20"/>
                <w:szCs w:val="20"/>
                <w:lang w:val="es-ES_tradnl"/>
              </w:rPr>
            </w:pPr>
            <w:r w:rsidRPr="003F53B8">
              <w:rPr>
                <w:rFonts w:eastAsia="Calibri"/>
                <w:sz w:val="20"/>
                <w:szCs w:val="20"/>
                <w:lang w:val="es-ES_tradnl"/>
              </w:rPr>
              <w:t xml:space="preserve">15.40 </w:t>
            </w:r>
            <w:r w:rsidRPr="003F53B8">
              <w:rPr>
                <w:rFonts w:eastAsia="Calibri"/>
                <w:strike/>
                <w:sz w:val="20"/>
                <w:szCs w:val="20"/>
                <w:lang w:val="es-ES_tradnl"/>
              </w:rPr>
              <w:t>15.21</w:t>
            </w:r>
          </w:p>
        </w:tc>
        <w:tc>
          <w:tcPr>
            <w:tcW w:w="1826" w:type="dxa"/>
            <w:shd w:val="clear" w:color="auto" w:fill="EAF1DD" w:themeFill="accent3" w:themeFillTint="33"/>
            <w:vAlign w:val="center"/>
          </w:tcPr>
          <w:p w14:paraId="2E3D2F5E" w14:textId="77777777" w:rsidR="008D6E8D" w:rsidRPr="003F53B8" w:rsidRDefault="008D6E8D" w:rsidP="007D38F7">
            <w:pPr>
              <w:jc w:val="center"/>
              <w:rPr>
                <w:sz w:val="20"/>
                <w:szCs w:val="20"/>
                <w:lang w:val="es-ES_tradnl"/>
              </w:rPr>
            </w:pPr>
            <w:r w:rsidRPr="003F53B8">
              <w:rPr>
                <w:rFonts w:eastAsia="Calibri"/>
                <w:sz w:val="20"/>
                <w:szCs w:val="20"/>
                <w:lang w:val="es-ES_tradnl"/>
              </w:rPr>
              <w:t xml:space="preserve">5.1 </w:t>
            </w:r>
            <w:r w:rsidRPr="003F53B8">
              <w:rPr>
                <w:rFonts w:eastAsia="Calibri"/>
                <w:strike/>
                <w:sz w:val="20"/>
                <w:szCs w:val="20"/>
                <w:lang w:val="es-ES_tradnl"/>
              </w:rPr>
              <w:t>4.8</w:t>
            </w:r>
          </w:p>
        </w:tc>
        <w:tc>
          <w:tcPr>
            <w:tcW w:w="2020" w:type="dxa"/>
            <w:shd w:val="clear" w:color="auto" w:fill="FFF2CC"/>
            <w:vAlign w:val="center"/>
          </w:tcPr>
          <w:p w14:paraId="7C4EE35D" w14:textId="77777777" w:rsidR="008D6E8D" w:rsidRPr="003F53B8" w:rsidRDefault="008D6E8D" w:rsidP="007D38F7">
            <w:pPr>
              <w:jc w:val="center"/>
              <w:rPr>
                <w:rFonts w:eastAsia="Calibri"/>
                <w:sz w:val="20"/>
                <w:szCs w:val="20"/>
                <w:lang w:val="es-ES_tradnl"/>
              </w:rPr>
            </w:pPr>
          </w:p>
        </w:tc>
        <w:tc>
          <w:tcPr>
            <w:tcW w:w="1856" w:type="dxa"/>
            <w:shd w:val="clear" w:color="auto" w:fill="FFF2CC"/>
            <w:vAlign w:val="center"/>
          </w:tcPr>
          <w:p w14:paraId="79756C28" w14:textId="77777777" w:rsidR="008D6E8D" w:rsidRPr="003F53B8" w:rsidRDefault="008D6E8D" w:rsidP="007D38F7">
            <w:pPr>
              <w:jc w:val="center"/>
              <w:rPr>
                <w:rFonts w:eastAsia="Calibri"/>
                <w:sz w:val="20"/>
                <w:szCs w:val="20"/>
                <w:lang w:val="es-ES_tradnl"/>
              </w:rPr>
            </w:pPr>
            <w:r w:rsidRPr="003F53B8">
              <w:rPr>
                <w:rFonts w:eastAsia="Calibri"/>
                <w:sz w:val="20"/>
                <w:szCs w:val="20"/>
                <w:lang w:val="es-ES_tradnl"/>
              </w:rPr>
              <w:t>5.50</w:t>
            </w:r>
          </w:p>
        </w:tc>
      </w:tr>
      <w:tr w:rsidR="008D6E8D" w:rsidRPr="003F53B8" w14:paraId="26849FF0" w14:textId="77777777" w:rsidTr="007D38F7">
        <w:trPr>
          <w:trHeight w:val="359"/>
        </w:trPr>
        <w:tc>
          <w:tcPr>
            <w:tcW w:w="3005" w:type="dxa"/>
            <w:vAlign w:val="center"/>
          </w:tcPr>
          <w:p w14:paraId="60C8BD0C" w14:textId="77777777" w:rsidR="008D6E8D" w:rsidRPr="003F53B8" w:rsidRDefault="008D6E8D" w:rsidP="007D38F7">
            <w:pPr>
              <w:jc w:val="left"/>
              <w:rPr>
                <w:sz w:val="20"/>
                <w:szCs w:val="20"/>
                <w:lang w:val="es-ES_tradnl"/>
              </w:rPr>
            </w:pPr>
            <w:r w:rsidRPr="003F53B8">
              <w:rPr>
                <w:sz w:val="20"/>
                <w:szCs w:val="20"/>
                <w:lang w:val="es-ES_tradnl"/>
              </w:rPr>
              <w:t xml:space="preserve">Equipos estacionarios de </w:t>
            </w:r>
            <w:r>
              <w:rPr>
                <w:sz w:val="20"/>
                <w:szCs w:val="20"/>
                <w:lang w:val="es-ES_tradnl"/>
              </w:rPr>
              <w:t>climatización residencial</w:t>
            </w:r>
          </w:p>
        </w:tc>
        <w:tc>
          <w:tcPr>
            <w:tcW w:w="1783" w:type="dxa"/>
            <w:shd w:val="clear" w:color="auto" w:fill="DBE5F1" w:themeFill="accent1" w:themeFillTint="33"/>
            <w:vAlign w:val="center"/>
          </w:tcPr>
          <w:p w14:paraId="10096468" w14:textId="77777777" w:rsidR="008D6E8D" w:rsidRPr="003F53B8" w:rsidRDefault="008D6E8D" w:rsidP="007D38F7">
            <w:pPr>
              <w:jc w:val="center"/>
              <w:rPr>
                <w:sz w:val="20"/>
                <w:szCs w:val="20"/>
                <w:lang w:val="es-ES_tradnl"/>
              </w:rPr>
            </w:pPr>
            <w:r w:rsidRPr="003F53B8">
              <w:rPr>
                <w:sz w:val="20"/>
                <w:szCs w:val="20"/>
                <w:lang w:val="es-ES_tradnl"/>
              </w:rPr>
              <w:t>16.00</w:t>
            </w:r>
          </w:p>
        </w:tc>
        <w:tc>
          <w:tcPr>
            <w:tcW w:w="1695" w:type="dxa"/>
            <w:shd w:val="clear" w:color="auto" w:fill="DBE5F1" w:themeFill="accent1" w:themeFillTint="33"/>
            <w:vAlign w:val="center"/>
          </w:tcPr>
          <w:p w14:paraId="535DA499" w14:textId="77777777" w:rsidR="008D6E8D" w:rsidRPr="003F53B8" w:rsidRDefault="008D6E8D" w:rsidP="007D38F7">
            <w:pPr>
              <w:jc w:val="center"/>
              <w:rPr>
                <w:sz w:val="20"/>
                <w:szCs w:val="20"/>
                <w:lang w:val="es-ES_tradnl"/>
              </w:rPr>
            </w:pPr>
            <w:r w:rsidRPr="003F53B8">
              <w:rPr>
                <w:sz w:val="20"/>
                <w:szCs w:val="20"/>
                <w:lang w:val="es-ES_tradnl"/>
              </w:rPr>
              <w:t xml:space="preserve">8.30 </w:t>
            </w:r>
            <w:r w:rsidRPr="003F53B8">
              <w:rPr>
                <w:strike/>
                <w:sz w:val="20"/>
                <w:szCs w:val="20"/>
                <w:lang w:val="es-ES_tradnl"/>
              </w:rPr>
              <w:t>20.00</w:t>
            </w:r>
          </w:p>
        </w:tc>
        <w:tc>
          <w:tcPr>
            <w:tcW w:w="1799" w:type="dxa"/>
            <w:shd w:val="clear" w:color="auto" w:fill="EAF1DD" w:themeFill="accent3" w:themeFillTint="33"/>
            <w:vAlign w:val="center"/>
          </w:tcPr>
          <w:p w14:paraId="4A8071F9" w14:textId="77777777" w:rsidR="008D6E8D" w:rsidRPr="003F53B8" w:rsidRDefault="008D6E8D" w:rsidP="007D38F7">
            <w:pPr>
              <w:jc w:val="center"/>
              <w:rPr>
                <w:sz w:val="20"/>
                <w:szCs w:val="20"/>
                <w:lang w:val="es-ES_tradnl"/>
              </w:rPr>
            </w:pPr>
            <w:r w:rsidRPr="003F53B8">
              <w:rPr>
                <w:rFonts w:eastAsia="Calibri"/>
                <w:sz w:val="20"/>
                <w:szCs w:val="20"/>
                <w:lang w:val="es-ES_tradnl"/>
              </w:rPr>
              <w:t>11.5</w:t>
            </w:r>
          </w:p>
        </w:tc>
        <w:tc>
          <w:tcPr>
            <w:tcW w:w="1826" w:type="dxa"/>
            <w:shd w:val="clear" w:color="auto" w:fill="EAF1DD" w:themeFill="accent3" w:themeFillTint="33"/>
            <w:vAlign w:val="center"/>
          </w:tcPr>
          <w:p w14:paraId="3CA148FB" w14:textId="77777777" w:rsidR="008D6E8D" w:rsidRPr="003F53B8" w:rsidRDefault="008D6E8D" w:rsidP="007D38F7">
            <w:pPr>
              <w:jc w:val="center"/>
              <w:rPr>
                <w:sz w:val="20"/>
                <w:szCs w:val="20"/>
                <w:lang w:val="es-ES_tradnl"/>
              </w:rPr>
            </w:pPr>
            <w:r w:rsidRPr="003F53B8">
              <w:rPr>
                <w:rFonts w:eastAsia="Calibri"/>
                <w:sz w:val="20"/>
                <w:szCs w:val="20"/>
                <w:lang w:val="es-ES_tradnl"/>
              </w:rPr>
              <w:t xml:space="preserve"> 7.10 </w:t>
            </w:r>
            <w:r w:rsidRPr="003F53B8">
              <w:rPr>
                <w:rFonts w:eastAsia="Calibri"/>
                <w:strike/>
                <w:sz w:val="20"/>
                <w:szCs w:val="20"/>
                <w:lang w:val="es-ES_tradnl"/>
              </w:rPr>
              <w:t>6.7</w:t>
            </w:r>
          </w:p>
        </w:tc>
        <w:tc>
          <w:tcPr>
            <w:tcW w:w="2020" w:type="dxa"/>
            <w:shd w:val="clear" w:color="auto" w:fill="FFF2CC"/>
            <w:vAlign w:val="center"/>
          </w:tcPr>
          <w:p w14:paraId="127991C3" w14:textId="77777777" w:rsidR="008D6E8D" w:rsidRPr="003F53B8" w:rsidDel="00BF3797" w:rsidRDefault="008D6E8D" w:rsidP="007D38F7">
            <w:pPr>
              <w:jc w:val="center"/>
              <w:rPr>
                <w:rFonts w:eastAsia="Calibri"/>
                <w:sz w:val="20"/>
                <w:szCs w:val="20"/>
                <w:lang w:val="es-ES_tradnl"/>
              </w:rPr>
            </w:pPr>
          </w:p>
        </w:tc>
        <w:tc>
          <w:tcPr>
            <w:tcW w:w="1856" w:type="dxa"/>
            <w:shd w:val="clear" w:color="auto" w:fill="FFF2CC"/>
            <w:vAlign w:val="center"/>
          </w:tcPr>
          <w:p w14:paraId="5CD9B1BE" w14:textId="77777777" w:rsidR="008D6E8D" w:rsidRPr="003F53B8" w:rsidDel="00BF3797" w:rsidRDefault="008D6E8D" w:rsidP="007D38F7">
            <w:pPr>
              <w:jc w:val="center"/>
              <w:rPr>
                <w:rFonts w:eastAsia="Calibri"/>
                <w:sz w:val="20"/>
                <w:szCs w:val="20"/>
                <w:lang w:val="es-ES_tradnl"/>
              </w:rPr>
            </w:pPr>
          </w:p>
        </w:tc>
      </w:tr>
      <w:tr w:rsidR="008D6E8D" w:rsidRPr="003F53B8" w14:paraId="720EBA54" w14:textId="77777777" w:rsidTr="007D38F7">
        <w:trPr>
          <w:trHeight w:val="359"/>
        </w:trPr>
        <w:tc>
          <w:tcPr>
            <w:tcW w:w="3005" w:type="dxa"/>
            <w:vAlign w:val="center"/>
          </w:tcPr>
          <w:p w14:paraId="48F892D4" w14:textId="77777777" w:rsidR="008D6E8D" w:rsidRPr="003F53B8" w:rsidRDefault="008D6E8D" w:rsidP="007D38F7">
            <w:pPr>
              <w:jc w:val="left"/>
              <w:rPr>
                <w:sz w:val="20"/>
                <w:szCs w:val="20"/>
                <w:lang w:val="es-ES_tradnl"/>
              </w:rPr>
            </w:pPr>
            <w:r w:rsidRPr="003F53B8">
              <w:rPr>
                <w:sz w:val="20"/>
                <w:szCs w:val="20"/>
                <w:lang w:val="es-ES_tradnl"/>
              </w:rPr>
              <w:t xml:space="preserve">Equipos estacionarios de </w:t>
            </w:r>
            <w:r>
              <w:rPr>
                <w:sz w:val="20"/>
                <w:szCs w:val="20"/>
                <w:lang w:val="es-ES_tradnl"/>
              </w:rPr>
              <w:t>climatización comercial</w:t>
            </w:r>
          </w:p>
        </w:tc>
        <w:tc>
          <w:tcPr>
            <w:tcW w:w="1783" w:type="dxa"/>
            <w:shd w:val="clear" w:color="auto" w:fill="DBE5F1" w:themeFill="accent1" w:themeFillTint="33"/>
            <w:vAlign w:val="center"/>
          </w:tcPr>
          <w:p w14:paraId="0325A44A" w14:textId="77777777" w:rsidR="008D6E8D" w:rsidRPr="003F53B8" w:rsidRDefault="008D6E8D" w:rsidP="007D38F7">
            <w:pPr>
              <w:jc w:val="center"/>
              <w:rPr>
                <w:sz w:val="20"/>
                <w:szCs w:val="20"/>
                <w:lang w:val="es-ES_tradnl"/>
              </w:rPr>
            </w:pPr>
            <w:r w:rsidRPr="003F53B8">
              <w:rPr>
                <w:sz w:val="20"/>
                <w:szCs w:val="20"/>
                <w:lang w:val="es-ES_tradnl"/>
              </w:rPr>
              <w:t>18.00</w:t>
            </w:r>
          </w:p>
        </w:tc>
        <w:tc>
          <w:tcPr>
            <w:tcW w:w="1695" w:type="dxa"/>
            <w:shd w:val="clear" w:color="auto" w:fill="DBE5F1" w:themeFill="accent1" w:themeFillTint="33"/>
            <w:vAlign w:val="center"/>
          </w:tcPr>
          <w:p w14:paraId="561C531E" w14:textId="77777777" w:rsidR="008D6E8D" w:rsidRPr="003F53B8" w:rsidRDefault="008D6E8D" w:rsidP="007D38F7">
            <w:pPr>
              <w:jc w:val="center"/>
              <w:rPr>
                <w:sz w:val="20"/>
                <w:szCs w:val="20"/>
                <w:lang w:val="es-ES_tradnl"/>
              </w:rPr>
            </w:pPr>
            <w:r w:rsidRPr="003F53B8">
              <w:rPr>
                <w:sz w:val="20"/>
                <w:szCs w:val="20"/>
                <w:lang w:val="es-ES_tradnl"/>
              </w:rPr>
              <w:t xml:space="preserve">9.30 </w:t>
            </w:r>
            <w:r w:rsidRPr="003F53B8">
              <w:rPr>
                <w:strike/>
                <w:sz w:val="20"/>
                <w:szCs w:val="20"/>
                <w:lang w:val="es-ES_tradnl"/>
              </w:rPr>
              <w:t>15.00</w:t>
            </w:r>
          </w:p>
        </w:tc>
        <w:tc>
          <w:tcPr>
            <w:tcW w:w="1799" w:type="dxa"/>
            <w:shd w:val="clear" w:color="auto" w:fill="EAF1DD" w:themeFill="accent3" w:themeFillTint="33"/>
            <w:vAlign w:val="center"/>
          </w:tcPr>
          <w:p w14:paraId="17AD947F" w14:textId="77777777" w:rsidR="008D6E8D" w:rsidRPr="003F53B8" w:rsidRDefault="008D6E8D" w:rsidP="007D38F7">
            <w:pPr>
              <w:jc w:val="center"/>
              <w:rPr>
                <w:sz w:val="20"/>
                <w:szCs w:val="20"/>
                <w:lang w:val="es-ES_tradnl"/>
              </w:rPr>
            </w:pPr>
            <w:r w:rsidRPr="003F53B8">
              <w:rPr>
                <w:rFonts w:eastAsia="Calibri"/>
                <w:sz w:val="20"/>
                <w:szCs w:val="20"/>
                <w:lang w:val="es-ES_tradnl"/>
              </w:rPr>
              <w:t>13.0</w:t>
            </w:r>
          </w:p>
        </w:tc>
        <w:tc>
          <w:tcPr>
            <w:tcW w:w="1826" w:type="dxa"/>
            <w:shd w:val="clear" w:color="auto" w:fill="EAF1DD" w:themeFill="accent3" w:themeFillTint="33"/>
            <w:vAlign w:val="center"/>
          </w:tcPr>
          <w:p w14:paraId="79269A82" w14:textId="77777777" w:rsidR="008D6E8D" w:rsidRPr="003F53B8" w:rsidRDefault="008D6E8D" w:rsidP="007D38F7">
            <w:pPr>
              <w:jc w:val="center"/>
              <w:rPr>
                <w:sz w:val="20"/>
                <w:szCs w:val="20"/>
                <w:lang w:val="es-ES_tradnl"/>
              </w:rPr>
            </w:pPr>
            <w:r w:rsidRPr="003F53B8">
              <w:rPr>
                <w:rFonts w:eastAsia="Calibri"/>
                <w:sz w:val="20"/>
                <w:szCs w:val="20"/>
                <w:lang w:val="es-ES_tradnl"/>
              </w:rPr>
              <w:t xml:space="preserve"> 7.05 </w:t>
            </w:r>
            <w:r w:rsidRPr="003F53B8">
              <w:rPr>
                <w:rFonts w:eastAsia="Calibri"/>
                <w:strike/>
                <w:sz w:val="20"/>
                <w:szCs w:val="20"/>
                <w:lang w:val="es-ES_tradnl"/>
              </w:rPr>
              <w:t>6.5</w:t>
            </w:r>
          </w:p>
        </w:tc>
        <w:tc>
          <w:tcPr>
            <w:tcW w:w="2020" w:type="dxa"/>
            <w:shd w:val="clear" w:color="auto" w:fill="FFF2CC"/>
            <w:vAlign w:val="center"/>
          </w:tcPr>
          <w:p w14:paraId="59026D47" w14:textId="77777777" w:rsidR="008D6E8D" w:rsidRPr="003F53B8" w:rsidDel="00BF3797" w:rsidRDefault="008D6E8D" w:rsidP="007D38F7">
            <w:pPr>
              <w:jc w:val="center"/>
              <w:rPr>
                <w:rFonts w:eastAsia="Calibri"/>
                <w:sz w:val="20"/>
                <w:szCs w:val="20"/>
                <w:lang w:val="es-ES_tradnl"/>
              </w:rPr>
            </w:pPr>
          </w:p>
        </w:tc>
        <w:tc>
          <w:tcPr>
            <w:tcW w:w="1856" w:type="dxa"/>
            <w:shd w:val="clear" w:color="auto" w:fill="FFF2CC"/>
            <w:vAlign w:val="center"/>
          </w:tcPr>
          <w:p w14:paraId="4D2726F7" w14:textId="77777777" w:rsidR="008D6E8D" w:rsidRPr="003F53B8" w:rsidDel="00BF3797" w:rsidRDefault="008D6E8D" w:rsidP="007D38F7">
            <w:pPr>
              <w:jc w:val="center"/>
              <w:rPr>
                <w:rFonts w:eastAsia="Calibri"/>
                <w:sz w:val="20"/>
                <w:szCs w:val="20"/>
                <w:lang w:val="es-ES_tradnl"/>
              </w:rPr>
            </w:pPr>
          </w:p>
        </w:tc>
      </w:tr>
      <w:tr w:rsidR="008D6E8D" w:rsidRPr="003F53B8" w14:paraId="259D2050" w14:textId="77777777" w:rsidTr="007D38F7">
        <w:trPr>
          <w:trHeight w:val="359"/>
        </w:trPr>
        <w:tc>
          <w:tcPr>
            <w:tcW w:w="3005" w:type="dxa"/>
            <w:vAlign w:val="center"/>
          </w:tcPr>
          <w:p w14:paraId="3A0F183C" w14:textId="77777777" w:rsidR="008D6E8D" w:rsidRPr="003F53B8" w:rsidRDefault="008D6E8D" w:rsidP="007D38F7">
            <w:pPr>
              <w:jc w:val="left"/>
              <w:rPr>
                <w:sz w:val="20"/>
                <w:szCs w:val="20"/>
                <w:lang w:val="es-ES_tradnl"/>
              </w:rPr>
            </w:pPr>
            <w:r>
              <w:rPr>
                <w:sz w:val="20"/>
                <w:szCs w:val="20"/>
                <w:lang w:val="es-ES_tradnl"/>
              </w:rPr>
              <w:t>Refrigeración industrial y transporte refrigerado</w:t>
            </w:r>
          </w:p>
        </w:tc>
        <w:tc>
          <w:tcPr>
            <w:tcW w:w="1783" w:type="dxa"/>
            <w:shd w:val="clear" w:color="auto" w:fill="DBE5F1" w:themeFill="accent1" w:themeFillTint="33"/>
            <w:vAlign w:val="center"/>
          </w:tcPr>
          <w:p w14:paraId="7021890A" w14:textId="77777777" w:rsidR="008D6E8D" w:rsidRPr="003F53B8" w:rsidRDefault="008D6E8D" w:rsidP="007D38F7">
            <w:pPr>
              <w:jc w:val="center"/>
              <w:rPr>
                <w:sz w:val="20"/>
                <w:szCs w:val="20"/>
                <w:lang w:val="es-ES_tradnl"/>
              </w:rPr>
            </w:pPr>
            <w:r w:rsidRPr="003F53B8">
              <w:rPr>
                <w:sz w:val="20"/>
                <w:szCs w:val="20"/>
                <w:lang w:val="es-ES_tradnl"/>
              </w:rPr>
              <w:t xml:space="preserve">Caso a caso </w:t>
            </w:r>
          </w:p>
        </w:tc>
        <w:tc>
          <w:tcPr>
            <w:tcW w:w="1695" w:type="dxa"/>
            <w:shd w:val="clear" w:color="auto" w:fill="DBE5F1" w:themeFill="accent1" w:themeFillTint="33"/>
            <w:vAlign w:val="center"/>
          </w:tcPr>
          <w:p w14:paraId="51933D44" w14:textId="77777777" w:rsidR="008D6E8D" w:rsidRPr="003F53B8" w:rsidRDefault="008D6E8D" w:rsidP="007D38F7">
            <w:pPr>
              <w:jc w:val="center"/>
              <w:rPr>
                <w:sz w:val="20"/>
                <w:szCs w:val="20"/>
                <w:lang w:val="es-ES_tradnl"/>
              </w:rPr>
            </w:pPr>
            <w:r w:rsidRPr="003F53B8">
              <w:rPr>
                <w:sz w:val="20"/>
                <w:szCs w:val="20"/>
                <w:lang w:val="es-ES_tradnl"/>
              </w:rPr>
              <w:t>Caso a caso</w:t>
            </w:r>
          </w:p>
        </w:tc>
        <w:tc>
          <w:tcPr>
            <w:tcW w:w="1799" w:type="dxa"/>
            <w:shd w:val="clear" w:color="auto" w:fill="EAF1DD" w:themeFill="accent3" w:themeFillTint="33"/>
            <w:vAlign w:val="center"/>
          </w:tcPr>
          <w:p w14:paraId="18A244A1" w14:textId="77777777" w:rsidR="008D6E8D" w:rsidRPr="003F53B8" w:rsidRDefault="008D6E8D" w:rsidP="007D38F7">
            <w:pPr>
              <w:jc w:val="center"/>
              <w:rPr>
                <w:sz w:val="20"/>
                <w:szCs w:val="20"/>
                <w:lang w:val="es-ES_tradnl"/>
              </w:rPr>
            </w:pPr>
            <w:r w:rsidRPr="003F53B8">
              <w:rPr>
                <w:rFonts w:eastAsia="Calibri"/>
                <w:sz w:val="20"/>
                <w:szCs w:val="20"/>
                <w:lang w:val="es-ES_tradnl"/>
              </w:rPr>
              <w:t>Caso a caso</w:t>
            </w:r>
          </w:p>
        </w:tc>
        <w:tc>
          <w:tcPr>
            <w:tcW w:w="1826" w:type="dxa"/>
            <w:shd w:val="clear" w:color="auto" w:fill="EAF1DD" w:themeFill="accent3" w:themeFillTint="33"/>
            <w:vAlign w:val="center"/>
          </w:tcPr>
          <w:p w14:paraId="242F8FAF" w14:textId="77777777" w:rsidR="008D6E8D" w:rsidRPr="003F53B8" w:rsidRDefault="008D6E8D" w:rsidP="007D38F7">
            <w:pPr>
              <w:jc w:val="center"/>
              <w:rPr>
                <w:sz w:val="20"/>
                <w:szCs w:val="20"/>
                <w:lang w:val="es-ES_tradnl"/>
              </w:rPr>
            </w:pPr>
            <w:r>
              <w:rPr>
                <w:rFonts w:eastAsia="Calibri"/>
                <w:sz w:val="20"/>
                <w:szCs w:val="20"/>
                <w:lang w:val="es-ES_tradnl"/>
              </w:rPr>
              <w:t>Caso a caso</w:t>
            </w:r>
          </w:p>
        </w:tc>
        <w:tc>
          <w:tcPr>
            <w:tcW w:w="2020" w:type="dxa"/>
            <w:shd w:val="clear" w:color="auto" w:fill="FFF2CC"/>
            <w:vAlign w:val="center"/>
          </w:tcPr>
          <w:p w14:paraId="4FA7F315" w14:textId="77777777" w:rsidR="008D6E8D" w:rsidRPr="003F53B8" w:rsidRDefault="008D6E8D" w:rsidP="007D38F7">
            <w:pPr>
              <w:jc w:val="center"/>
              <w:rPr>
                <w:rFonts w:eastAsia="Calibri"/>
                <w:sz w:val="20"/>
                <w:szCs w:val="20"/>
                <w:lang w:val="es-ES_tradnl"/>
              </w:rPr>
            </w:pPr>
            <w:r w:rsidRPr="003F53B8">
              <w:rPr>
                <w:rFonts w:eastAsia="Calibri"/>
                <w:sz w:val="20"/>
                <w:szCs w:val="20"/>
                <w:lang w:val="es-ES_tradnl"/>
              </w:rPr>
              <w:t>Caso a caso</w:t>
            </w:r>
            <w:r w:rsidRPr="003F53B8">
              <w:rPr>
                <w:rFonts w:eastAsia="Calibri"/>
                <w:sz w:val="20"/>
                <w:szCs w:val="20"/>
                <w:lang w:val="es-ES_tradnl"/>
              </w:rPr>
              <w:tab/>
              <w:t xml:space="preserve"> </w:t>
            </w:r>
          </w:p>
        </w:tc>
        <w:tc>
          <w:tcPr>
            <w:tcW w:w="1856" w:type="dxa"/>
            <w:shd w:val="clear" w:color="auto" w:fill="FFF2CC"/>
            <w:vAlign w:val="center"/>
          </w:tcPr>
          <w:p w14:paraId="7925438B" w14:textId="77777777" w:rsidR="008D6E8D" w:rsidRPr="003F53B8" w:rsidRDefault="008D6E8D" w:rsidP="007D38F7">
            <w:pPr>
              <w:jc w:val="center"/>
              <w:rPr>
                <w:rFonts w:eastAsia="Calibri"/>
                <w:sz w:val="20"/>
                <w:szCs w:val="20"/>
                <w:lang w:val="es-ES_tradnl"/>
              </w:rPr>
            </w:pPr>
            <w:r w:rsidRPr="003F53B8">
              <w:rPr>
                <w:rFonts w:eastAsia="Calibri"/>
                <w:sz w:val="20"/>
                <w:szCs w:val="20"/>
                <w:lang w:val="es-ES_tradnl"/>
              </w:rPr>
              <w:t>Caso a caso</w:t>
            </w:r>
          </w:p>
        </w:tc>
      </w:tr>
      <w:tr w:rsidR="008D6E8D" w:rsidRPr="003F53B8" w14:paraId="64E483A6" w14:textId="77777777" w:rsidTr="007D38F7">
        <w:trPr>
          <w:trHeight w:val="359"/>
        </w:trPr>
        <w:tc>
          <w:tcPr>
            <w:tcW w:w="3005" w:type="dxa"/>
            <w:vAlign w:val="center"/>
          </w:tcPr>
          <w:p w14:paraId="17ED576F" w14:textId="77777777" w:rsidR="008D6E8D" w:rsidRPr="003F53B8" w:rsidRDefault="008D6E8D" w:rsidP="007D38F7">
            <w:pPr>
              <w:jc w:val="left"/>
              <w:rPr>
                <w:sz w:val="20"/>
                <w:szCs w:val="20"/>
                <w:lang w:val="es-ES_tradnl"/>
              </w:rPr>
            </w:pPr>
            <w:r>
              <w:rPr>
                <w:sz w:val="20"/>
                <w:szCs w:val="20"/>
                <w:highlight w:val="green"/>
                <w:lang w:val="es-ES_tradnl"/>
              </w:rPr>
              <w:t>Espumas de poliuretano</w:t>
            </w:r>
          </w:p>
        </w:tc>
        <w:tc>
          <w:tcPr>
            <w:tcW w:w="1783" w:type="dxa"/>
            <w:shd w:val="clear" w:color="auto" w:fill="DBE5F1" w:themeFill="accent1" w:themeFillTint="33"/>
            <w:vAlign w:val="center"/>
          </w:tcPr>
          <w:p w14:paraId="074003E9" w14:textId="77777777" w:rsidR="008D6E8D" w:rsidRPr="003F53B8" w:rsidRDefault="008D6E8D" w:rsidP="007D38F7">
            <w:pPr>
              <w:jc w:val="center"/>
              <w:rPr>
                <w:sz w:val="20"/>
                <w:szCs w:val="20"/>
                <w:highlight w:val="green"/>
                <w:lang w:val="es-ES_tradnl"/>
              </w:rPr>
            </w:pPr>
            <w:r w:rsidRPr="003F53B8">
              <w:rPr>
                <w:sz w:val="20"/>
                <w:szCs w:val="20"/>
                <w:highlight w:val="green"/>
                <w:lang w:val="es-ES_tradnl"/>
              </w:rPr>
              <w:t>9.00</w:t>
            </w:r>
          </w:p>
        </w:tc>
        <w:tc>
          <w:tcPr>
            <w:tcW w:w="1695" w:type="dxa"/>
            <w:shd w:val="clear" w:color="auto" w:fill="DBE5F1" w:themeFill="accent1" w:themeFillTint="33"/>
            <w:vAlign w:val="center"/>
          </w:tcPr>
          <w:p w14:paraId="3DE2B92B" w14:textId="77777777" w:rsidR="008D6E8D" w:rsidRPr="003F53B8" w:rsidRDefault="008D6E8D" w:rsidP="007D38F7">
            <w:pPr>
              <w:jc w:val="center"/>
              <w:rPr>
                <w:sz w:val="20"/>
                <w:szCs w:val="20"/>
                <w:lang w:val="es-ES_tradnl"/>
              </w:rPr>
            </w:pPr>
            <w:r w:rsidRPr="003F53B8">
              <w:rPr>
                <w:sz w:val="20"/>
                <w:szCs w:val="20"/>
                <w:lang w:val="es-ES_tradnl"/>
              </w:rPr>
              <w:t xml:space="preserve">8.00 </w:t>
            </w:r>
            <w:r w:rsidRPr="003F53B8">
              <w:rPr>
                <w:strike/>
                <w:sz w:val="20"/>
                <w:szCs w:val="20"/>
                <w:lang w:val="es-ES_tradnl"/>
              </w:rPr>
              <w:t>9.00</w:t>
            </w:r>
          </w:p>
        </w:tc>
        <w:tc>
          <w:tcPr>
            <w:tcW w:w="1799" w:type="dxa"/>
            <w:shd w:val="clear" w:color="auto" w:fill="EAF1DD" w:themeFill="accent3" w:themeFillTint="33"/>
            <w:vAlign w:val="center"/>
          </w:tcPr>
          <w:p w14:paraId="3DE670F3" w14:textId="77777777" w:rsidR="008D6E8D" w:rsidRPr="003F53B8" w:rsidRDefault="008D6E8D" w:rsidP="007D38F7">
            <w:pPr>
              <w:jc w:val="center"/>
              <w:rPr>
                <w:sz w:val="20"/>
                <w:szCs w:val="20"/>
                <w:lang w:val="es-ES_tradnl"/>
              </w:rPr>
            </w:pPr>
            <w:r w:rsidRPr="003F53B8">
              <w:rPr>
                <w:rFonts w:eastAsia="Calibri"/>
                <w:sz w:val="20"/>
                <w:szCs w:val="20"/>
                <w:highlight w:val="green"/>
                <w:lang w:val="es-ES_tradnl"/>
              </w:rPr>
              <w:t>9.00</w:t>
            </w:r>
          </w:p>
        </w:tc>
        <w:tc>
          <w:tcPr>
            <w:tcW w:w="1826" w:type="dxa"/>
            <w:shd w:val="clear" w:color="auto" w:fill="EAF1DD" w:themeFill="accent3" w:themeFillTint="33"/>
            <w:vAlign w:val="center"/>
          </w:tcPr>
          <w:p w14:paraId="4C87FB4F" w14:textId="77777777" w:rsidR="008D6E8D" w:rsidRPr="003F53B8" w:rsidRDefault="008D6E8D" w:rsidP="007D38F7">
            <w:pPr>
              <w:jc w:val="center"/>
              <w:rPr>
                <w:sz w:val="20"/>
                <w:szCs w:val="20"/>
                <w:lang w:val="es-ES_tradnl"/>
              </w:rPr>
            </w:pPr>
            <w:r w:rsidRPr="003F53B8">
              <w:rPr>
                <w:rFonts w:eastAsia="Calibri"/>
                <w:sz w:val="20"/>
                <w:szCs w:val="20"/>
                <w:lang w:val="es-ES_tradnl"/>
              </w:rPr>
              <w:t xml:space="preserve"> 4.6 </w:t>
            </w:r>
            <w:r w:rsidRPr="003F53B8">
              <w:rPr>
                <w:rFonts w:eastAsia="Calibri"/>
                <w:strike/>
                <w:sz w:val="20"/>
                <w:szCs w:val="20"/>
                <w:lang w:val="es-ES_tradnl"/>
              </w:rPr>
              <w:t>4.5</w:t>
            </w:r>
          </w:p>
        </w:tc>
        <w:tc>
          <w:tcPr>
            <w:tcW w:w="2020" w:type="dxa"/>
            <w:shd w:val="clear" w:color="auto" w:fill="FFF2CC"/>
            <w:vAlign w:val="center"/>
          </w:tcPr>
          <w:p w14:paraId="17C0E828" w14:textId="77777777" w:rsidR="008D6E8D" w:rsidRPr="003F53B8" w:rsidDel="00BF3797" w:rsidRDefault="008D6E8D" w:rsidP="007D38F7">
            <w:pPr>
              <w:jc w:val="center"/>
              <w:rPr>
                <w:rFonts w:eastAsia="Calibri"/>
                <w:sz w:val="20"/>
                <w:szCs w:val="20"/>
                <w:lang w:val="es-ES_tradnl"/>
              </w:rPr>
            </w:pPr>
            <w:r w:rsidRPr="003F53B8">
              <w:rPr>
                <w:rFonts w:eastAsia="Calibri"/>
                <w:sz w:val="20"/>
                <w:szCs w:val="20"/>
                <w:lang w:val="es-ES_tradnl"/>
              </w:rPr>
              <w:t>9.00</w:t>
            </w:r>
          </w:p>
        </w:tc>
        <w:tc>
          <w:tcPr>
            <w:tcW w:w="1856" w:type="dxa"/>
            <w:shd w:val="clear" w:color="auto" w:fill="FFF2CC"/>
            <w:vAlign w:val="center"/>
          </w:tcPr>
          <w:p w14:paraId="5E9713EE" w14:textId="77777777" w:rsidR="008D6E8D" w:rsidRPr="003F53B8" w:rsidDel="00BF3797" w:rsidRDefault="008D6E8D" w:rsidP="007D38F7">
            <w:pPr>
              <w:jc w:val="center"/>
              <w:rPr>
                <w:rFonts w:eastAsia="Calibri"/>
                <w:sz w:val="20"/>
                <w:szCs w:val="20"/>
                <w:lang w:val="es-ES_tradnl"/>
              </w:rPr>
            </w:pPr>
            <w:r w:rsidRPr="003F53B8">
              <w:rPr>
                <w:rFonts w:eastAsia="Calibri"/>
                <w:sz w:val="20"/>
                <w:szCs w:val="20"/>
                <w:lang w:val="es-ES_tradnl"/>
              </w:rPr>
              <w:t>5.20</w:t>
            </w:r>
          </w:p>
        </w:tc>
      </w:tr>
      <w:tr w:rsidR="008D6E8D" w:rsidRPr="003F53B8" w14:paraId="2AEFF439" w14:textId="77777777" w:rsidTr="007D38F7">
        <w:trPr>
          <w:trHeight w:val="359"/>
        </w:trPr>
        <w:tc>
          <w:tcPr>
            <w:tcW w:w="3005" w:type="dxa"/>
            <w:vAlign w:val="center"/>
          </w:tcPr>
          <w:p w14:paraId="2D9B709D" w14:textId="77777777" w:rsidR="008D6E8D" w:rsidRPr="003F53B8" w:rsidRDefault="008D6E8D" w:rsidP="007D38F7">
            <w:pPr>
              <w:jc w:val="left"/>
              <w:rPr>
                <w:sz w:val="20"/>
                <w:szCs w:val="20"/>
                <w:lang w:val="es-ES_tradnl"/>
              </w:rPr>
            </w:pPr>
            <w:r w:rsidRPr="003F53B8">
              <w:rPr>
                <w:sz w:val="20"/>
                <w:szCs w:val="20"/>
                <w:lang w:val="es-ES_tradnl"/>
              </w:rPr>
              <w:t>Todos los demás sectores</w:t>
            </w:r>
          </w:p>
        </w:tc>
        <w:tc>
          <w:tcPr>
            <w:tcW w:w="1783" w:type="dxa"/>
            <w:shd w:val="clear" w:color="auto" w:fill="DBE5F1" w:themeFill="accent1" w:themeFillTint="33"/>
            <w:vAlign w:val="center"/>
          </w:tcPr>
          <w:p w14:paraId="3F3C13CC" w14:textId="77777777" w:rsidR="008D6E8D" w:rsidRPr="003F53B8" w:rsidRDefault="008D6E8D" w:rsidP="007D38F7">
            <w:pPr>
              <w:jc w:val="center"/>
              <w:rPr>
                <w:sz w:val="20"/>
                <w:szCs w:val="20"/>
                <w:lang w:val="es-ES_tradnl"/>
              </w:rPr>
            </w:pPr>
            <w:r w:rsidRPr="003F53B8">
              <w:rPr>
                <w:sz w:val="20"/>
                <w:szCs w:val="20"/>
                <w:lang w:val="es-ES_tradnl"/>
              </w:rPr>
              <w:t>Caso a caso</w:t>
            </w:r>
          </w:p>
        </w:tc>
        <w:tc>
          <w:tcPr>
            <w:tcW w:w="1695" w:type="dxa"/>
            <w:shd w:val="clear" w:color="auto" w:fill="DBE5F1" w:themeFill="accent1" w:themeFillTint="33"/>
            <w:vAlign w:val="center"/>
          </w:tcPr>
          <w:p w14:paraId="7ED04E00" w14:textId="77777777" w:rsidR="008D6E8D" w:rsidRPr="003F53B8" w:rsidRDefault="008D6E8D" w:rsidP="007D38F7">
            <w:pPr>
              <w:jc w:val="center"/>
              <w:rPr>
                <w:sz w:val="20"/>
                <w:szCs w:val="20"/>
                <w:lang w:val="es-ES_tradnl"/>
              </w:rPr>
            </w:pPr>
            <w:r w:rsidRPr="003F53B8">
              <w:rPr>
                <w:sz w:val="20"/>
                <w:szCs w:val="20"/>
                <w:lang w:val="es-ES_tradnl"/>
              </w:rPr>
              <w:t>Caso a caso</w:t>
            </w:r>
          </w:p>
        </w:tc>
        <w:tc>
          <w:tcPr>
            <w:tcW w:w="1799" w:type="dxa"/>
            <w:shd w:val="clear" w:color="auto" w:fill="EAF1DD" w:themeFill="accent3" w:themeFillTint="33"/>
            <w:vAlign w:val="center"/>
          </w:tcPr>
          <w:p w14:paraId="184D4E7D" w14:textId="77777777" w:rsidR="008D6E8D" w:rsidRPr="003F53B8" w:rsidRDefault="008D6E8D" w:rsidP="007D38F7">
            <w:pPr>
              <w:jc w:val="center"/>
              <w:rPr>
                <w:sz w:val="20"/>
                <w:szCs w:val="20"/>
                <w:lang w:val="es-ES_tradnl"/>
              </w:rPr>
            </w:pPr>
            <w:r w:rsidRPr="003F53B8">
              <w:rPr>
                <w:rFonts w:eastAsia="Calibri"/>
                <w:sz w:val="20"/>
                <w:szCs w:val="20"/>
                <w:lang w:val="es-ES_tradnl"/>
              </w:rPr>
              <w:t>Caso a caso</w:t>
            </w:r>
          </w:p>
        </w:tc>
        <w:tc>
          <w:tcPr>
            <w:tcW w:w="1826" w:type="dxa"/>
            <w:shd w:val="clear" w:color="auto" w:fill="EAF1DD" w:themeFill="accent3" w:themeFillTint="33"/>
            <w:vAlign w:val="center"/>
          </w:tcPr>
          <w:p w14:paraId="68C8C7E2" w14:textId="77777777" w:rsidR="008D6E8D" w:rsidRPr="003F53B8" w:rsidRDefault="008D6E8D" w:rsidP="007D38F7">
            <w:pPr>
              <w:jc w:val="center"/>
              <w:rPr>
                <w:sz w:val="20"/>
                <w:szCs w:val="20"/>
                <w:lang w:val="es-ES_tradnl"/>
              </w:rPr>
            </w:pPr>
            <w:r w:rsidRPr="003F53B8">
              <w:rPr>
                <w:rFonts w:eastAsia="Calibri"/>
                <w:sz w:val="20"/>
                <w:szCs w:val="20"/>
                <w:lang w:val="es-ES_tradnl"/>
              </w:rPr>
              <w:t>Caso a caso</w:t>
            </w:r>
          </w:p>
        </w:tc>
        <w:tc>
          <w:tcPr>
            <w:tcW w:w="2020" w:type="dxa"/>
            <w:shd w:val="clear" w:color="auto" w:fill="FFF2CC"/>
            <w:vAlign w:val="center"/>
          </w:tcPr>
          <w:p w14:paraId="79A904F6" w14:textId="77777777" w:rsidR="008D6E8D" w:rsidRPr="003F53B8" w:rsidRDefault="008D6E8D" w:rsidP="007D38F7">
            <w:pPr>
              <w:jc w:val="center"/>
              <w:rPr>
                <w:rFonts w:eastAsia="Calibri"/>
                <w:sz w:val="20"/>
                <w:szCs w:val="20"/>
                <w:lang w:val="es-ES_tradnl"/>
              </w:rPr>
            </w:pPr>
            <w:r w:rsidRPr="003F53B8">
              <w:rPr>
                <w:rFonts w:eastAsia="Calibri"/>
                <w:sz w:val="20"/>
                <w:szCs w:val="20"/>
                <w:lang w:val="es-ES_tradnl"/>
              </w:rPr>
              <w:t>Caso a caso</w:t>
            </w:r>
          </w:p>
        </w:tc>
        <w:tc>
          <w:tcPr>
            <w:tcW w:w="1856" w:type="dxa"/>
            <w:shd w:val="clear" w:color="auto" w:fill="FFF2CC"/>
            <w:vAlign w:val="center"/>
          </w:tcPr>
          <w:p w14:paraId="643045BB" w14:textId="77777777" w:rsidR="008D6E8D" w:rsidRPr="003F53B8" w:rsidRDefault="008D6E8D" w:rsidP="007D38F7">
            <w:pPr>
              <w:jc w:val="center"/>
              <w:rPr>
                <w:rFonts w:eastAsia="Calibri"/>
                <w:sz w:val="20"/>
                <w:szCs w:val="20"/>
                <w:lang w:val="es-ES_tradnl"/>
              </w:rPr>
            </w:pPr>
            <w:r w:rsidRPr="003F53B8">
              <w:rPr>
                <w:rFonts w:eastAsia="Calibri"/>
                <w:sz w:val="20"/>
                <w:szCs w:val="20"/>
                <w:lang w:val="es-ES_tradnl"/>
              </w:rPr>
              <w:t>Caso a caso</w:t>
            </w:r>
          </w:p>
        </w:tc>
      </w:tr>
    </w:tbl>
    <w:p w14:paraId="5278E7A7" w14:textId="77777777" w:rsidR="008D6E8D" w:rsidRPr="00D832E5" w:rsidRDefault="008D6E8D" w:rsidP="008D6E8D">
      <w:pPr>
        <w:shd w:val="clear" w:color="auto" w:fill="EAF1DD" w:themeFill="accent3" w:themeFillTint="33"/>
        <w:ind w:left="142" w:right="132"/>
        <w:jc w:val="left"/>
        <w:rPr>
          <w:rFonts w:eastAsia="Calibri"/>
          <w:sz w:val="18"/>
          <w:szCs w:val="18"/>
          <w:lang w:val="es-ES_tradnl"/>
        </w:rPr>
      </w:pPr>
      <w:r w:rsidRPr="00D832E5">
        <w:rPr>
          <w:rFonts w:eastAsia="Calibri"/>
          <w:sz w:val="18"/>
          <w:szCs w:val="18"/>
          <w:lang w:val="es-ES_tradnl"/>
        </w:rPr>
        <w:t xml:space="preserve">* </w:t>
      </w:r>
      <w:r>
        <w:rPr>
          <w:rFonts w:eastAsia="Calibri"/>
          <w:sz w:val="18"/>
          <w:szCs w:val="18"/>
          <w:lang w:val="es-ES_tradnl"/>
        </w:rPr>
        <w:t>Para todos los sectores</w:t>
      </w:r>
      <w:r w:rsidRPr="00D832E5">
        <w:rPr>
          <w:rFonts w:eastAsia="Calibri"/>
          <w:sz w:val="18"/>
          <w:szCs w:val="18"/>
          <w:lang w:val="es-ES_tradnl"/>
        </w:rPr>
        <w:t>, 25</w:t>
      </w:r>
      <w:r>
        <w:rPr>
          <w:rFonts w:eastAsia="Calibri"/>
          <w:sz w:val="18"/>
          <w:szCs w:val="18"/>
          <w:lang w:val="es-ES_tradnl"/>
        </w:rPr>
        <w:t>%</w:t>
      </w:r>
      <w:r w:rsidRPr="00D832E5">
        <w:rPr>
          <w:rFonts w:eastAsia="Calibri"/>
          <w:sz w:val="18"/>
          <w:szCs w:val="18"/>
          <w:lang w:val="es-ES_tradnl"/>
        </w:rPr>
        <w:t xml:space="preserve"> </w:t>
      </w:r>
      <w:r>
        <w:rPr>
          <w:rFonts w:eastAsia="Calibri"/>
          <w:sz w:val="18"/>
          <w:szCs w:val="18"/>
          <w:lang w:val="es-ES_tradnl"/>
        </w:rPr>
        <w:t xml:space="preserve">sobre el </w:t>
      </w:r>
      <w:r w:rsidRPr="00231883">
        <w:rPr>
          <w:rFonts w:eastAsia="Calibri"/>
          <w:sz w:val="18"/>
          <w:szCs w:val="18"/>
          <w:lang w:val="es-ES_tradnl"/>
        </w:rPr>
        <w:t>umbral costo-</w:t>
      </w:r>
      <w:r>
        <w:rPr>
          <w:rFonts w:eastAsia="Calibri"/>
          <w:sz w:val="18"/>
          <w:szCs w:val="18"/>
          <w:lang w:val="es-ES_tradnl"/>
        </w:rPr>
        <w:t xml:space="preserve">beneficio para empresas con un consumo máximo de 15 </w:t>
      </w:r>
      <w:proofErr w:type="spellStart"/>
      <w:r>
        <w:rPr>
          <w:rFonts w:eastAsia="Calibri"/>
          <w:sz w:val="18"/>
          <w:szCs w:val="18"/>
          <w:lang w:val="es-ES_tradnl"/>
        </w:rPr>
        <w:t>tm</w:t>
      </w:r>
      <w:proofErr w:type="spellEnd"/>
      <w:r>
        <w:rPr>
          <w:rFonts w:eastAsia="Calibri"/>
          <w:sz w:val="18"/>
          <w:szCs w:val="18"/>
          <w:lang w:val="es-ES_tradnl"/>
        </w:rPr>
        <w:t xml:space="preserve">, según la propuesta de condiciones hecha por la </w:t>
      </w:r>
      <w:r w:rsidRPr="00D832E5">
        <w:rPr>
          <w:rFonts w:eastAsia="Calibri"/>
          <w:sz w:val="18"/>
          <w:szCs w:val="18"/>
          <w:lang w:val="es-ES_tradnl"/>
        </w:rPr>
        <w:t xml:space="preserve">Secretaría [20 </w:t>
      </w:r>
      <w:proofErr w:type="spellStart"/>
      <w:r w:rsidRPr="00D832E5">
        <w:rPr>
          <w:rFonts w:eastAsia="Calibri"/>
          <w:sz w:val="18"/>
          <w:szCs w:val="18"/>
          <w:lang w:val="es-ES_tradnl"/>
        </w:rPr>
        <w:t>tm</w:t>
      </w:r>
      <w:proofErr w:type="spellEnd"/>
      <w:r w:rsidRPr="00D832E5">
        <w:rPr>
          <w:rFonts w:eastAsia="Calibri"/>
          <w:sz w:val="18"/>
          <w:szCs w:val="18"/>
          <w:lang w:val="es-ES_tradnl"/>
        </w:rPr>
        <w:t xml:space="preserve"> </w:t>
      </w:r>
      <w:r>
        <w:rPr>
          <w:rFonts w:eastAsia="Calibri"/>
          <w:sz w:val="18"/>
          <w:szCs w:val="18"/>
          <w:lang w:val="es-ES_tradnl"/>
        </w:rPr>
        <w:t>en el caso de</w:t>
      </w:r>
      <w:r w:rsidRPr="00D832E5">
        <w:rPr>
          <w:rFonts w:eastAsia="Calibri"/>
          <w:sz w:val="18"/>
          <w:szCs w:val="18"/>
          <w:lang w:val="es-ES_tradnl"/>
        </w:rPr>
        <w:t xml:space="preserve"> </w:t>
      </w:r>
      <w:r>
        <w:rPr>
          <w:rFonts w:eastAsia="Calibri"/>
          <w:sz w:val="18"/>
          <w:szCs w:val="18"/>
          <w:lang w:val="es-ES_tradnl"/>
        </w:rPr>
        <w:t xml:space="preserve">las </w:t>
      </w:r>
      <w:r w:rsidRPr="00D832E5">
        <w:rPr>
          <w:rFonts w:eastAsia="Calibri"/>
          <w:sz w:val="18"/>
          <w:szCs w:val="18"/>
          <w:lang w:val="es-ES_tradnl"/>
        </w:rPr>
        <w:t>espuma</w:t>
      </w:r>
      <w:r>
        <w:rPr>
          <w:rFonts w:eastAsia="Calibri"/>
          <w:sz w:val="18"/>
          <w:szCs w:val="18"/>
          <w:lang w:val="es-ES_tradnl"/>
        </w:rPr>
        <w:t>s</w:t>
      </w:r>
      <w:r w:rsidRPr="00D832E5">
        <w:rPr>
          <w:rFonts w:eastAsia="Calibri"/>
          <w:sz w:val="18"/>
          <w:szCs w:val="18"/>
          <w:lang w:val="es-ES_tradnl"/>
        </w:rPr>
        <w:t>]</w:t>
      </w:r>
      <w:r>
        <w:rPr>
          <w:rFonts w:eastAsia="Calibri"/>
          <w:sz w:val="18"/>
          <w:szCs w:val="18"/>
          <w:lang w:val="es-ES_tradnl"/>
        </w:rPr>
        <w:t>.</w:t>
      </w:r>
    </w:p>
    <w:p w14:paraId="035BCD4F" w14:textId="77777777" w:rsidR="008D6E8D" w:rsidRPr="00D832E5" w:rsidRDefault="008D6E8D" w:rsidP="008D6E8D">
      <w:pPr>
        <w:shd w:val="clear" w:color="auto" w:fill="EAF1DD" w:themeFill="accent3" w:themeFillTint="33"/>
        <w:ind w:left="142" w:right="132"/>
        <w:jc w:val="left"/>
        <w:rPr>
          <w:rFonts w:eastAsia="Calibri"/>
          <w:sz w:val="18"/>
          <w:szCs w:val="18"/>
          <w:lang w:val="es-ES_tradnl"/>
        </w:rPr>
      </w:pPr>
      <w:r w:rsidRPr="00D832E5">
        <w:rPr>
          <w:rFonts w:eastAsia="Calibri"/>
          <w:sz w:val="18"/>
          <w:szCs w:val="18"/>
          <w:lang w:val="es-ES_tradnl"/>
        </w:rPr>
        <w:t xml:space="preserve">** </w:t>
      </w:r>
      <w:r>
        <w:rPr>
          <w:rFonts w:eastAsia="Calibri"/>
          <w:sz w:val="18"/>
          <w:szCs w:val="18"/>
          <w:lang w:val="es-ES_tradnl"/>
        </w:rPr>
        <w:t>Las</w:t>
      </w:r>
      <w:r w:rsidRPr="00D832E5">
        <w:rPr>
          <w:rFonts w:eastAsia="Calibri"/>
          <w:sz w:val="18"/>
          <w:szCs w:val="18"/>
          <w:lang w:val="es-ES_tradnl"/>
        </w:rPr>
        <w:t xml:space="preserve"> microempresas con un consumo </w:t>
      </w:r>
      <w:r>
        <w:rPr>
          <w:rFonts w:eastAsia="Calibri"/>
          <w:sz w:val="18"/>
          <w:szCs w:val="18"/>
          <w:lang w:val="es-ES_tradnl"/>
        </w:rPr>
        <w:t xml:space="preserve">menor a </w:t>
      </w:r>
      <w:r w:rsidRPr="00D832E5">
        <w:rPr>
          <w:rFonts w:eastAsia="Calibri"/>
          <w:sz w:val="18"/>
          <w:szCs w:val="18"/>
          <w:lang w:val="es-ES_tradnl"/>
        </w:rPr>
        <w:t xml:space="preserve">1 </w:t>
      </w:r>
      <w:proofErr w:type="spellStart"/>
      <w:r w:rsidRPr="00D832E5">
        <w:rPr>
          <w:rFonts w:eastAsia="Calibri"/>
          <w:sz w:val="18"/>
          <w:szCs w:val="18"/>
          <w:lang w:val="es-ES_tradnl"/>
        </w:rPr>
        <w:t>tm</w:t>
      </w:r>
      <w:proofErr w:type="spellEnd"/>
      <w:r w:rsidRPr="00D832E5">
        <w:rPr>
          <w:rFonts w:eastAsia="Calibri"/>
          <w:sz w:val="18"/>
          <w:szCs w:val="18"/>
          <w:lang w:val="es-ES_tradnl"/>
        </w:rPr>
        <w:t xml:space="preserve"> </w:t>
      </w:r>
      <w:r>
        <w:rPr>
          <w:rFonts w:eastAsia="Calibri"/>
          <w:sz w:val="18"/>
          <w:szCs w:val="18"/>
          <w:lang w:val="es-ES_tradnl"/>
        </w:rPr>
        <w:t xml:space="preserve">que formen parte de </w:t>
      </w:r>
      <w:r w:rsidRPr="00D832E5">
        <w:rPr>
          <w:rFonts w:eastAsia="Calibri"/>
          <w:sz w:val="18"/>
          <w:szCs w:val="18"/>
          <w:lang w:val="es-ES_tradnl"/>
        </w:rPr>
        <w:t xml:space="preserve">un proyecto </w:t>
      </w:r>
      <w:r>
        <w:rPr>
          <w:rFonts w:eastAsia="Calibri"/>
          <w:sz w:val="18"/>
          <w:szCs w:val="18"/>
          <w:lang w:val="es-ES_tradnl"/>
        </w:rPr>
        <w:t xml:space="preserve">mayor podrán recibir </w:t>
      </w:r>
      <w:r w:rsidRPr="00D832E5">
        <w:rPr>
          <w:rFonts w:eastAsia="Calibri"/>
          <w:sz w:val="18"/>
          <w:szCs w:val="18"/>
          <w:lang w:val="es-ES_tradnl"/>
        </w:rPr>
        <w:t xml:space="preserve">hasta </w:t>
      </w:r>
      <w:r>
        <w:rPr>
          <w:rFonts w:eastAsia="Calibri"/>
          <w:sz w:val="18"/>
          <w:szCs w:val="18"/>
          <w:lang w:val="es-ES_tradnl"/>
        </w:rPr>
        <w:t xml:space="preserve">el doble del </w:t>
      </w:r>
      <w:r w:rsidRPr="00B36400">
        <w:rPr>
          <w:rFonts w:eastAsia="Calibri"/>
          <w:sz w:val="18"/>
          <w:szCs w:val="18"/>
          <w:lang w:val="es-ES_tradnl"/>
        </w:rPr>
        <w:t xml:space="preserve">umbral </w:t>
      </w:r>
      <w:r>
        <w:rPr>
          <w:rFonts w:eastAsia="Calibri"/>
          <w:sz w:val="18"/>
          <w:szCs w:val="18"/>
          <w:lang w:val="es-ES_tradnl"/>
        </w:rPr>
        <w:t>acordado, siempre y cuando</w:t>
      </w:r>
      <w:r w:rsidRPr="00D832E5">
        <w:rPr>
          <w:rFonts w:eastAsia="Calibri"/>
          <w:sz w:val="18"/>
          <w:szCs w:val="18"/>
          <w:lang w:val="es-ES_tradnl"/>
        </w:rPr>
        <w:t xml:space="preserve"> la relación costo-beneficio del proyecto </w:t>
      </w:r>
      <w:r>
        <w:rPr>
          <w:rFonts w:eastAsia="Calibri"/>
          <w:sz w:val="18"/>
          <w:szCs w:val="18"/>
          <w:lang w:val="es-ES_tradnl"/>
        </w:rPr>
        <w:t xml:space="preserve">mayor esté dentro de los límites acordados </w:t>
      </w:r>
      <w:r w:rsidRPr="00D832E5">
        <w:rPr>
          <w:rFonts w:eastAsia="Calibri"/>
          <w:sz w:val="18"/>
          <w:szCs w:val="18"/>
          <w:lang w:val="es-ES_tradnl"/>
        </w:rPr>
        <w:t>para el sector.</w:t>
      </w:r>
    </w:p>
    <w:p w14:paraId="73E008CB" w14:textId="77777777" w:rsidR="008D6E8D" w:rsidRPr="00D832E5" w:rsidRDefault="008D6E8D" w:rsidP="008D6E8D">
      <w:pPr>
        <w:pStyle w:val="ListParagraph"/>
        <w:numPr>
          <w:ilvl w:val="0"/>
          <w:numId w:val="24"/>
        </w:numPr>
        <w:shd w:val="clear" w:color="auto" w:fill="DBE5F1" w:themeFill="accent1" w:themeFillTint="33"/>
        <w:ind w:left="709" w:right="132" w:hanging="567"/>
        <w:jc w:val="left"/>
        <w:rPr>
          <w:sz w:val="18"/>
          <w:lang w:val="es-ES_tradnl"/>
        </w:rPr>
      </w:pPr>
      <w:r>
        <w:rPr>
          <w:sz w:val="18"/>
          <w:lang w:val="es-ES_tradnl"/>
        </w:rPr>
        <w:t xml:space="preserve">Esta </w:t>
      </w:r>
      <w:r w:rsidRPr="00D832E5">
        <w:rPr>
          <w:sz w:val="18"/>
          <w:lang w:val="es-ES_tradnl"/>
        </w:rPr>
        <w:t xml:space="preserve">propuesta </w:t>
      </w:r>
      <w:r>
        <w:rPr>
          <w:sz w:val="18"/>
          <w:lang w:val="es-ES_tradnl"/>
        </w:rPr>
        <w:t xml:space="preserve">rige para </w:t>
      </w:r>
      <w:r w:rsidRPr="00D832E5">
        <w:rPr>
          <w:sz w:val="18"/>
          <w:lang w:val="es-ES_tradnl"/>
        </w:rPr>
        <w:t xml:space="preserve">grandes empresas </w:t>
      </w:r>
      <w:r>
        <w:rPr>
          <w:sz w:val="18"/>
          <w:lang w:val="es-ES_tradnl"/>
        </w:rPr>
        <w:t xml:space="preserve">de </w:t>
      </w:r>
      <w:r w:rsidRPr="00080FF4">
        <w:rPr>
          <w:sz w:val="18"/>
          <w:lang w:val="es-ES_tradnl"/>
        </w:rPr>
        <w:t xml:space="preserve">todos los sectores </w:t>
      </w:r>
      <w:r>
        <w:rPr>
          <w:sz w:val="18"/>
          <w:lang w:val="es-ES_tradnl"/>
        </w:rPr>
        <w:t xml:space="preserve">con un </w:t>
      </w:r>
      <w:r w:rsidRPr="00D832E5">
        <w:rPr>
          <w:sz w:val="18"/>
          <w:lang w:val="es-ES_tradnl"/>
        </w:rPr>
        <w:t xml:space="preserve">consumo </w:t>
      </w:r>
      <w:r>
        <w:rPr>
          <w:sz w:val="18"/>
          <w:lang w:val="es-ES_tradnl"/>
        </w:rPr>
        <w:t xml:space="preserve">mayor a </w:t>
      </w:r>
      <w:r w:rsidRPr="00D832E5">
        <w:rPr>
          <w:sz w:val="18"/>
          <w:lang w:val="es-ES_tradnl"/>
        </w:rPr>
        <w:t xml:space="preserve">15 </w:t>
      </w:r>
      <w:proofErr w:type="spellStart"/>
      <w:r>
        <w:rPr>
          <w:sz w:val="18"/>
          <w:lang w:val="es-ES_tradnl"/>
        </w:rPr>
        <w:t>tm</w:t>
      </w:r>
      <w:proofErr w:type="spellEnd"/>
      <w:r w:rsidRPr="00D832E5">
        <w:rPr>
          <w:sz w:val="18"/>
          <w:lang w:val="es-ES_tradnl"/>
        </w:rPr>
        <w:t xml:space="preserve">, </w:t>
      </w:r>
      <w:r>
        <w:rPr>
          <w:sz w:val="18"/>
          <w:lang w:val="es-ES_tradnl"/>
        </w:rPr>
        <w:t xml:space="preserve">salvo el </w:t>
      </w:r>
      <w:r w:rsidRPr="00D832E5">
        <w:rPr>
          <w:sz w:val="18"/>
          <w:lang w:val="es-ES_tradnl"/>
        </w:rPr>
        <w:t xml:space="preserve">sector espuma </w:t>
      </w:r>
      <w:r>
        <w:rPr>
          <w:sz w:val="18"/>
          <w:lang w:val="es-ES_tradnl"/>
        </w:rPr>
        <w:t xml:space="preserve">donde el </w:t>
      </w:r>
      <w:r w:rsidRPr="00D832E5">
        <w:rPr>
          <w:sz w:val="18"/>
          <w:lang w:val="es-ES_tradnl"/>
        </w:rPr>
        <w:t xml:space="preserve">consumo </w:t>
      </w:r>
      <w:r>
        <w:rPr>
          <w:sz w:val="18"/>
          <w:lang w:val="es-ES_tradnl"/>
        </w:rPr>
        <w:t xml:space="preserve">será mayor a </w:t>
      </w:r>
      <w:r w:rsidRPr="00D832E5">
        <w:rPr>
          <w:sz w:val="18"/>
          <w:lang w:val="es-ES_tradnl"/>
        </w:rPr>
        <w:t xml:space="preserve">20 </w:t>
      </w:r>
      <w:proofErr w:type="spellStart"/>
      <w:r>
        <w:rPr>
          <w:sz w:val="18"/>
          <w:lang w:val="es-ES_tradnl"/>
        </w:rPr>
        <w:t>tm</w:t>
      </w:r>
      <w:proofErr w:type="spellEnd"/>
      <w:r w:rsidRPr="00D832E5">
        <w:rPr>
          <w:sz w:val="18"/>
          <w:lang w:val="es-ES_tradnl"/>
        </w:rPr>
        <w:t>.</w:t>
      </w:r>
    </w:p>
    <w:p w14:paraId="74BE3D51" w14:textId="77777777" w:rsidR="008D6E8D" w:rsidRPr="00D832E5" w:rsidRDefault="008D6E8D" w:rsidP="008D6E8D">
      <w:pPr>
        <w:pStyle w:val="ListParagraph"/>
        <w:numPr>
          <w:ilvl w:val="0"/>
          <w:numId w:val="24"/>
        </w:numPr>
        <w:shd w:val="clear" w:color="auto" w:fill="DBE5F1" w:themeFill="accent1" w:themeFillTint="33"/>
        <w:ind w:left="709" w:right="132" w:hanging="567"/>
        <w:jc w:val="left"/>
        <w:rPr>
          <w:sz w:val="18"/>
          <w:lang w:val="es-ES_tradnl"/>
        </w:rPr>
      </w:pPr>
      <w:r>
        <w:rPr>
          <w:sz w:val="18"/>
          <w:lang w:val="es-ES_tradnl"/>
        </w:rPr>
        <w:t>Se</w:t>
      </w:r>
      <w:r w:rsidRPr="00D832E5">
        <w:rPr>
          <w:sz w:val="18"/>
          <w:lang w:val="es-ES_tradnl"/>
        </w:rPr>
        <w:t xml:space="preserve"> </w:t>
      </w:r>
      <w:r>
        <w:rPr>
          <w:sz w:val="18"/>
          <w:lang w:val="es-ES_tradnl"/>
        </w:rPr>
        <w:t xml:space="preserve">presentarán </w:t>
      </w:r>
      <w:r w:rsidRPr="009B176B">
        <w:rPr>
          <w:sz w:val="18"/>
          <w:lang w:val="es-ES_tradnl"/>
        </w:rPr>
        <w:t>propuesta</w:t>
      </w:r>
      <w:r>
        <w:rPr>
          <w:sz w:val="18"/>
          <w:lang w:val="es-ES_tradnl"/>
        </w:rPr>
        <w:t>s</w:t>
      </w:r>
      <w:r w:rsidRPr="009B176B">
        <w:rPr>
          <w:sz w:val="18"/>
          <w:lang w:val="es-ES_tradnl"/>
        </w:rPr>
        <w:t xml:space="preserve"> </w:t>
      </w:r>
      <w:r>
        <w:rPr>
          <w:sz w:val="18"/>
          <w:lang w:val="es-ES_tradnl"/>
        </w:rPr>
        <w:t xml:space="preserve">diferenciadas para </w:t>
      </w:r>
      <w:r w:rsidRPr="00D832E5">
        <w:rPr>
          <w:sz w:val="18"/>
          <w:lang w:val="es-ES_tradnl"/>
        </w:rPr>
        <w:t xml:space="preserve">PYMES </w:t>
      </w:r>
      <w:r>
        <w:rPr>
          <w:sz w:val="18"/>
          <w:lang w:val="es-ES_tradnl"/>
        </w:rPr>
        <w:t xml:space="preserve">con un </w:t>
      </w:r>
      <w:r w:rsidRPr="00D832E5">
        <w:rPr>
          <w:sz w:val="18"/>
          <w:lang w:val="es-ES_tradnl"/>
        </w:rPr>
        <w:t xml:space="preserve">consumo </w:t>
      </w:r>
      <w:r>
        <w:rPr>
          <w:sz w:val="18"/>
          <w:lang w:val="es-ES_tradnl"/>
        </w:rPr>
        <w:t xml:space="preserve">máximo de </w:t>
      </w:r>
      <w:r w:rsidRPr="00D832E5">
        <w:rPr>
          <w:sz w:val="18"/>
          <w:lang w:val="es-ES_tradnl"/>
        </w:rPr>
        <w:t xml:space="preserve">15 </w:t>
      </w:r>
      <w:proofErr w:type="spellStart"/>
      <w:r>
        <w:rPr>
          <w:sz w:val="18"/>
          <w:lang w:val="es-ES_tradnl"/>
        </w:rPr>
        <w:t>tm</w:t>
      </w:r>
      <w:proofErr w:type="spellEnd"/>
      <w:r w:rsidRPr="00D832E5">
        <w:rPr>
          <w:sz w:val="18"/>
          <w:lang w:val="es-ES_tradnl"/>
        </w:rPr>
        <w:t xml:space="preserve"> </w:t>
      </w:r>
      <w:r>
        <w:rPr>
          <w:sz w:val="18"/>
          <w:lang w:val="es-ES_tradnl"/>
        </w:rPr>
        <w:t>en todos los sectores</w:t>
      </w:r>
      <w:r w:rsidRPr="00D832E5">
        <w:rPr>
          <w:sz w:val="18"/>
          <w:lang w:val="es-ES_tradnl"/>
        </w:rPr>
        <w:t xml:space="preserve">, </w:t>
      </w:r>
      <w:r w:rsidRPr="00961661">
        <w:rPr>
          <w:sz w:val="18"/>
          <w:lang w:val="es-ES_tradnl"/>
        </w:rPr>
        <w:t xml:space="preserve">salvo el sector espuma donde el consumo </w:t>
      </w:r>
      <w:r>
        <w:rPr>
          <w:sz w:val="18"/>
          <w:lang w:val="es-ES_tradnl"/>
        </w:rPr>
        <w:t xml:space="preserve">máximo será de </w:t>
      </w:r>
      <w:r w:rsidRPr="00D832E5">
        <w:rPr>
          <w:sz w:val="18"/>
          <w:lang w:val="es-ES_tradnl"/>
        </w:rPr>
        <w:t xml:space="preserve">20 </w:t>
      </w:r>
      <w:proofErr w:type="spellStart"/>
      <w:r>
        <w:rPr>
          <w:sz w:val="18"/>
          <w:lang w:val="es-ES_tradnl"/>
        </w:rPr>
        <w:t>tm</w:t>
      </w:r>
      <w:proofErr w:type="spellEnd"/>
      <w:r w:rsidRPr="00D832E5">
        <w:rPr>
          <w:sz w:val="18"/>
          <w:lang w:val="es-ES_tradnl"/>
        </w:rPr>
        <w:t>.</w:t>
      </w:r>
    </w:p>
    <w:p w14:paraId="2CDA4462" w14:textId="77777777" w:rsidR="00FC01F5" w:rsidRPr="008D6E8D" w:rsidRDefault="00FC01F5" w:rsidP="00FC01F5">
      <w:pPr>
        <w:rPr>
          <w:sz w:val="24"/>
          <w:szCs w:val="24"/>
          <w:lang w:val="es-ES_tradnl"/>
        </w:rPr>
      </w:pPr>
    </w:p>
    <w:p w14:paraId="4C7E2730" w14:textId="77777777" w:rsidR="00FC01F5" w:rsidRPr="008D6E8D" w:rsidRDefault="00FC01F5" w:rsidP="00FC01F5">
      <w:pPr>
        <w:rPr>
          <w:lang w:val="fr-CA"/>
        </w:rPr>
      </w:pPr>
    </w:p>
    <w:p w14:paraId="1EB23022" w14:textId="77777777" w:rsidR="00FC01F5" w:rsidRPr="008D6E8D" w:rsidRDefault="00FC01F5" w:rsidP="00FC01F5">
      <w:pPr>
        <w:rPr>
          <w:lang w:val="fr-CA"/>
        </w:rPr>
      </w:pPr>
    </w:p>
    <w:p w14:paraId="34ED5E12" w14:textId="77777777" w:rsidR="00FC01F5" w:rsidRPr="008D6E8D" w:rsidRDefault="00FC01F5" w:rsidP="00FC01F5">
      <w:pPr>
        <w:rPr>
          <w:lang w:val="fr-CA"/>
        </w:rPr>
      </w:pPr>
    </w:p>
    <w:p w14:paraId="113EAA97" w14:textId="77777777" w:rsidR="00FC01F5" w:rsidRPr="008D6E8D" w:rsidRDefault="00FC01F5" w:rsidP="00FC01F5">
      <w:pPr>
        <w:rPr>
          <w:lang w:val="fr-CA"/>
        </w:rPr>
      </w:pPr>
    </w:p>
    <w:p w14:paraId="2C23125D" w14:textId="77777777" w:rsidR="00FC01F5" w:rsidRPr="008D6E8D" w:rsidRDefault="00FC01F5" w:rsidP="00FC01F5">
      <w:pPr>
        <w:rPr>
          <w:lang w:val="fr-CA"/>
        </w:rPr>
      </w:pPr>
    </w:p>
    <w:p w14:paraId="58843367" w14:textId="77777777" w:rsidR="00FC01F5" w:rsidRPr="008D6E8D" w:rsidRDefault="00FC01F5" w:rsidP="00FC01F5">
      <w:pPr>
        <w:rPr>
          <w:lang w:val="fr-CA"/>
        </w:rPr>
      </w:pPr>
    </w:p>
    <w:p w14:paraId="62B4EA68" w14:textId="77777777" w:rsidR="00FC01F5" w:rsidRPr="008D6E8D" w:rsidRDefault="00FC01F5" w:rsidP="00FC01F5">
      <w:pPr>
        <w:rPr>
          <w:lang w:val="fr-CA"/>
        </w:rPr>
        <w:sectPr w:rsidR="00FC01F5" w:rsidRPr="008D6E8D" w:rsidSect="00FC01F5">
          <w:headerReference w:type="default" r:id="rId19"/>
          <w:footerReference w:type="default" r:id="rId20"/>
          <w:headerReference w:type="first" r:id="rId21"/>
          <w:pgSz w:w="15840" w:h="12240" w:orient="landscape" w:code="1"/>
          <w:pgMar w:top="1440" w:right="720" w:bottom="1440" w:left="864" w:header="720" w:footer="475" w:gutter="0"/>
          <w:pgNumType w:start="1"/>
          <w:cols w:space="720"/>
          <w:docGrid w:linePitch="299"/>
        </w:sectPr>
      </w:pPr>
    </w:p>
    <w:p w14:paraId="2A43748E" w14:textId="77777777" w:rsidR="00727648" w:rsidRPr="00D832E5" w:rsidRDefault="00727648" w:rsidP="00727648">
      <w:pPr>
        <w:widowControl w:val="0"/>
        <w:spacing w:after="240"/>
        <w:jc w:val="center"/>
        <w:rPr>
          <w:b/>
          <w:bCs/>
          <w:lang w:val="es-ES_tradnl"/>
        </w:rPr>
      </w:pPr>
      <w:r w:rsidRPr="00D832E5">
        <w:rPr>
          <w:b/>
          <w:bCs/>
          <w:lang w:val="es-ES_tradnl"/>
        </w:rPr>
        <w:lastRenderedPageBreak/>
        <w:t xml:space="preserve">Anexo </w:t>
      </w:r>
      <w:r w:rsidRPr="00D832E5">
        <w:rPr>
          <w:b/>
          <w:lang w:val="es-ES_tradnl"/>
        </w:rPr>
        <w:t>I</w:t>
      </w:r>
      <w:r>
        <w:rPr>
          <w:b/>
          <w:lang w:val="es-ES_tradnl"/>
        </w:rPr>
        <w:t>I</w:t>
      </w:r>
    </w:p>
    <w:p w14:paraId="78DB3490" w14:textId="77777777" w:rsidR="00727648" w:rsidRPr="00F7231F" w:rsidRDefault="00727648" w:rsidP="00727648">
      <w:pPr>
        <w:suppressAutoHyphens/>
        <w:spacing w:after="360"/>
        <w:jc w:val="center"/>
        <w:rPr>
          <w:caps/>
          <w:lang w:val="es-ES_tradnl"/>
        </w:rPr>
      </w:pPr>
      <w:r w:rsidRPr="00F46CEC">
        <w:rPr>
          <w:rFonts w:eastAsia="Calibri"/>
          <w:b/>
          <w:bCs/>
          <w:caps/>
          <w:lang w:val="es-ES_tradnl"/>
          <w14:ligatures w14:val="standardContextual"/>
        </w:rPr>
        <w:t>TEXTO TENTATIVO sobre PARÁMETROS DE COSTOS PARA LA REDUCCIÓN DE LOS HFC:</w:t>
      </w:r>
      <w:r>
        <w:rPr>
          <w:rFonts w:eastAsia="Calibri"/>
          <w:b/>
          <w:bCs/>
          <w:caps/>
          <w:lang w:val="es-ES_tradnl"/>
          <w14:ligatures w14:val="standardContextual"/>
        </w:rPr>
        <w:br/>
      </w:r>
      <w:r w:rsidRPr="00687CED">
        <w:rPr>
          <w:rFonts w:eastAsia="Calibri"/>
          <w:b/>
          <w:bCs/>
          <w:caps/>
          <w:lang w:val="es-ES_tradnl"/>
          <w14:ligatures w14:val="standardContextual"/>
        </w:rPr>
        <w:t xml:space="preserve">PROPUESTA </w:t>
      </w:r>
      <w:r>
        <w:rPr>
          <w:rFonts w:eastAsia="Calibri"/>
          <w:b/>
          <w:bCs/>
          <w:caps/>
          <w:lang w:val="es-ES_tradnl"/>
          <w14:ligatures w14:val="standardContextual"/>
        </w:rPr>
        <w:t xml:space="preserve">de </w:t>
      </w:r>
      <w:r w:rsidRPr="00D979C0">
        <w:rPr>
          <w:rFonts w:eastAsia="Calibri"/>
          <w:b/>
          <w:bCs/>
          <w:caps/>
          <w:lang w:val="es-ES_tradnl"/>
          <w14:ligatures w14:val="standardContextual"/>
        </w:rPr>
        <w:t>PAÍSES NO ACOGIDOS AL ARTÍCULO 5</w:t>
      </w:r>
      <w:r>
        <w:rPr>
          <w:rFonts w:eastAsia="Calibri"/>
          <w:b/>
          <w:bCs/>
          <w:caps/>
          <w:lang w:val="es-ES_tradnl"/>
          <w14:ligatures w14:val="standardContextual"/>
        </w:rPr>
        <w:t xml:space="preserve"> (</w:t>
      </w:r>
      <w:r w:rsidRPr="0083606C">
        <w:rPr>
          <w:rFonts w:eastAsia="Calibri"/>
          <w:b/>
          <w:bCs/>
          <w:caps/>
          <w:lang w:val="es-ES_tradnl"/>
          <w14:ligatures w14:val="standardContextual"/>
        </w:rPr>
        <w:t>30 DE MAYO DE 2024</w:t>
      </w:r>
      <w:r>
        <w:rPr>
          <w:rFonts w:eastAsia="Calibri"/>
          <w:b/>
          <w:bCs/>
          <w:caps/>
          <w:lang w:val="es-ES_tradnl"/>
          <w14:ligatures w14:val="standardContextual"/>
        </w:rPr>
        <w:t>)</w:t>
      </w:r>
    </w:p>
    <w:tbl>
      <w:tblPr>
        <w:tblW w:w="4529"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610"/>
        <w:gridCol w:w="2611"/>
        <w:gridCol w:w="2611"/>
        <w:gridCol w:w="2611"/>
        <w:gridCol w:w="2456"/>
      </w:tblGrid>
      <w:tr w:rsidR="00727648" w:rsidRPr="001B00D1" w14:paraId="5D257DD2" w14:textId="77777777" w:rsidTr="007D38F7">
        <w:trPr>
          <w:trHeight w:val="673"/>
          <w:jc w:val="center"/>
        </w:trPr>
        <w:tc>
          <w:tcPr>
            <w:tcW w:w="1012" w:type="pct"/>
            <w:tcMar>
              <w:top w:w="0" w:type="dxa"/>
              <w:left w:w="108" w:type="dxa"/>
              <w:bottom w:w="0" w:type="dxa"/>
              <w:right w:w="108" w:type="dxa"/>
            </w:tcMar>
            <w:vAlign w:val="center"/>
            <w:hideMark/>
          </w:tcPr>
          <w:p w14:paraId="0C7C755F" w14:textId="77777777" w:rsidR="00727648" w:rsidRPr="00D832E5" w:rsidRDefault="00727648" w:rsidP="007D38F7">
            <w:pPr>
              <w:jc w:val="center"/>
              <w:rPr>
                <w:rFonts w:eastAsia="Calibri"/>
                <w:b/>
                <w:bCs/>
                <w:sz w:val="20"/>
                <w:szCs w:val="20"/>
                <w:lang w:val="es-ES_tradnl"/>
                <w14:ligatures w14:val="standardContextual"/>
              </w:rPr>
            </w:pPr>
            <w:r w:rsidRPr="00D832E5">
              <w:rPr>
                <w:rFonts w:eastAsia="Calibri"/>
                <w:b/>
                <w:bCs/>
                <w:sz w:val="20"/>
                <w:szCs w:val="20"/>
                <w:lang w:val="es-ES_tradnl"/>
                <w14:ligatures w14:val="standardContextual"/>
              </w:rPr>
              <w:t>Sector</w:t>
            </w:r>
          </w:p>
        </w:tc>
        <w:tc>
          <w:tcPr>
            <w:tcW w:w="1012" w:type="pct"/>
            <w:tcMar>
              <w:top w:w="0" w:type="dxa"/>
              <w:left w:w="108" w:type="dxa"/>
              <w:bottom w:w="0" w:type="dxa"/>
              <w:right w:w="108" w:type="dxa"/>
            </w:tcMar>
            <w:vAlign w:val="center"/>
            <w:hideMark/>
          </w:tcPr>
          <w:p w14:paraId="1DAF7722" w14:textId="77777777" w:rsidR="00727648" w:rsidRPr="00D832E5" w:rsidRDefault="00727648" w:rsidP="007D38F7">
            <w:pPr>
              <w:jc w:val="center"/>
              <w:rPr>
                <w:rFonts w:eastAsia="Calibri"/>
                <w:b/>
                <w:bCs/>
                <w:sz w:val="20"/>
                <w:szCs w:val="20"/>
                <w:lang w:val="es-ES_tradnl"/>
                <w14:ligatures w14:val="standardContextual"/>
              </w:rPr>
            </w:pPr>
            <w:r w:rsidRPr="00AD5CA9">
              <w:rPr>
                <w:rFonts w:eastAsia="Calibri"/>
                <w:b/>
                <w:bCs/>
                <w:sz w:val="20"/>
                <w:szCs w:val="20"/>
                <w:lang w:val="es-ES_tradnl"/>
                <w14:ligatures w14:val="standardContextual"/>
              </w:rPr>
              <w:t>Umbral costo-beneficio</w:t>
            </w:r>
            <w:r w:rsidRPr="00D832E5">
              <w:rPr>
                <w:rFonts w:eastAsia="Calibri"/>
                <w:b/>
                <w:bCs/>
                <w:sz w:val="20"/>
                <w:szCs w:val="20"/>
                <w:lang w:val="es-ES_tradnl"/>
                <w14:ligatures w14:val="standardContextual"/>
              </w:rPr>
              <w:br/>
              <w:t>($</w:t>
            </w:r>
            <w:r>
              <w:rPr>
                <w:rFonts w:eastAsia="Calibri"/>
                <w:b/>
                <w:bCs/>
                <w:sz w:val="20"/>
                <w:szCs w:val="20"/>
                <w:lang w:val="es-ES_tradnl"/>
                <w14:ligatures w14:val="standardContextual"/>
              </w:rPr>
              <w:t>EUA/kg</w:t>
            </w:r>
            <w:r w:rsidRPr="00D832E5">
              <w:rPr>
                <w:rFonts w:eastAsia="Calibri"/>
                <w:b/>
                <w:bCs/>
                <w:sz w:val="20"/>
                <w:szCs w:val="20"/>
                <w:lang w:val="es-ES_tradnl"/>
                <w14:ligatures w14:val="standardContextual"/>
              </w:rPr>
              <w:t>)</w:t>
            </w:r>
            <w:r w:rsidRPr="00D832E5">
              <w:rPr>
                <w:rStyle w:val="FootnoteReference"/>
                <w:rFonts w:eastAsia="Calibri"/>
                <w:b/>
                <w:bCs/>
                <w:sz w:val="20"/>
                <w:szCs w:val="20"/>
                <w:lang w:val="es-ES_tradnl"/>
                <w14:ligatures w14:val="standardContextual"/>
              </w:rPr>
              <w:footnoteReference w:id="24"/>
            </w:r>
          </w:p>
        </w:tc>
        <w:tc>
          <w:tcPr>
            <w:tcW w:w="1012" w:type="pct"/>
            <w:vAlign w:val="center"/>
          </w:tcPr>
          <w:p w14:paraId="6F7A20FA" w14:textId="77777777" w:rsidR="00727648" w:rsidRPr="00D832E5" w:rsidRDefault="00727648" w:rsidP="007D38F7">
            <w:pPr>
              <w:jc w:val="center"/>
              <w:rPr>
                <w:rFonts w:eastAsia="Calibri"/>
                <w:b/>
                <w:bCs/>
                <w:sz w:val="20"/>
                <w:szCs w:val="20"/>
                <w:lang w:val="es-ES_tradnl"/>
                <w14:ligatures w14:val="standardContextual"/>
              </w:rPr>
            </w:pPr>
            <w:r w:rsidRPr="00651C00">
              <w:rPr>
                <w:rFonts w:eastAsia="Calibri"/>
                <w:b/>
                <w:bCs/>
                <w:sz w:val="20"/>
                <w:szCs w:val="20"/>
                <w:lang w:val="es-ES_tradnl"/>
                <w14:ligatures w14:val="standardContextual"/>
              </w:rPr>
              <w:t xml:space="preserve">Umbral costo-beneficio </w:t>
            </w:r>
            <w:r w:rsidRPr="00D832E5">
              <w:rPr>
                <w:rFonts w:eastAsia="Calibri"/>
                <w:b/>
                <w:bCs/>
                <w:sz w:val="20"/>
                <w:szCs w:val="20"/>
                <w:lang w:val="es-ES_tradnl"/>
                <w14:ligatures w14:val="standardContextual"/>
              </w:rPr>
              <w:t xml:space="preserve">PYMES (=1&lt;15 </w:t>
            </w:r>
            <w:proofErr w:type="spellStart"/>
            <w:proofErr w:type="gramStart"/>
            <w:r w:rsidRPr="00D832E5">
              <w:rPr>
                <w:rFonts w:eastAsia="Calibri"/>
                <w:b/>
                <w:bCs/>
                <w:sz w:val="20"/>
                <w:szCs w:val="20"/>
                <w:lang w:val="es-ES_tradnl"/>
                <w14:ligatures w14:val="standardContextual"/>
              </w:rPr>
              <w:t>tm</w:t>
            </w:r>
            <w:proofErr w:type="spellEnd"/>
            <w:r w:rsidRPr="00D832E5">
              <w:rPr>
                <w:rFonts w:eastAsia="Calibri"/>
                <w:b/>
                <w:bCs/>
                <w:sz w:val="20"/>
                <w:szCs w:val="20"/>
                <w:lang w:val="es-ES_tradnl"/>
                <w14:ligatures w14:val="standardContextual"/>
              </w:rPr>
              <w:t>)*</w:t>
            </w:r>
            <w:proofErr w:type="gramEnd"/>
            <w:r w:rsidRPr="00D832E5">
              <w:rPr>
                <w:rFonts w:eastAsia="Calibri"/>
                <w:b/>
                <w:bCs/>
                <w:sz w:val="20"/>
                <w:szCs w:val="20"/>
                <w:lang w:val="es-ES_tradnl"/>
                <w14:ligatures w14:val="standardContextual"/>
              </w:rPr>
              <w:br/>
              <w:t>($</w:t>
            </w:r>
            <w:r>
              <w:rPr>
                <w:rFonts w:eastAsia="Calibri"/>
                <w:b/>
                <w:bCs/>
                <w:sz w:val="20"/>
                <w:szCs w:val="20"/>
                <w:lang w:val="es-ES_tradnl"/>
                <w14:ligatures w14:val="standardContextual"/>
              </w:rPr>
              <w:t>EUA/kg</w:t>
            </w:r>
            <w:r w:rsidRPr="00D832E5">
              <w:rPr>
                <w:rFonts w:eastAsia="Calibri"/>
                <w:b/>
                <w:bCs/>
                <w:sz w:val="20"/>
                <w:szCs w:val="20"/>
                <w:lang w:val="es-ES_tradnl"/>
                <w14:ligatures w14:val="standardContextual"/>
              </w:rPr>
              <w:t>)</w:t>
            </w:r>
          </w:p>
        </w:tc>
        <w:tc>
          <w:tcPr>
            <w:tcW w:w="1012" w:type="pct"/>
            <w:tcBorders>
              <w:bottom w:val="single" w:sz="6" w:space="0" w:color="auto"/>
            </w:tcBorders>
            <w:vAlign w:val="center"/>
          </w:tcPr>
          <w:p w14:paraId="3B4FF78E" w14:textId="77777777" w:rsidR="00727648" w:rsidRPr="00D832E5" w:rsidRDefault="00727648" w:rsidP="007D38F7">
            <w:pPr>
              <w:jc w:val="center"/>
              <w:rPr>
                <w:rFonts w:eastAsia="Calibri"/>
                <w:b/>
                <w:bCs/>
                <w:sz w:val="20"/>
                <w:szCs w:val="20"/>
                <w:lang w:val="es-ES_tradnl"/>
                <w14:ligatures w14:val="standardContextual"/>
              </w:rPr>
            </w:pPr>
            <w:r>
              <w:rPr>
                <w:rFonts w:eastAsia="Calibri"/>
                <w:b/>
                <w:bCs/>
                <w:sz w:val="20"/>
                <w:szCs w:val="20"/>
                <w:lang w:val="es-ES_tradnl"/>
                <w14:ligatures w14:val="standardContextual"/>
              </w:rPr>
              <w:t xml:space="preserve">Umbral </w:t>
            </w:r>
            <w:r w:rsidRPr="009C4AF6">
              <w:rPr>
                <w:rFonts w:eastAsia="Calibri"/>
                <w:b/>
                <w:bCs/>
                <w:sz w:val="20"/>
                <w:szCs w:val="20"/>
                <w:lang w:val="es-ES_tradnl"/>
                <w14:ligatures w14:val="standardContextual"/>
              </w:rPr>
              <w:t xml:space="preserve">costo-beneficio </w:t>
            </w:r>
            <w:r>
              <w:rPr>
                <w:rFonts w:eastAsia="Calibri"/>
                <w:b/>
                <w:bCs/>
                <w:sz w:val="20"/>
                <w:szCs w:val="20"/>
                <w:lang w:val="es-ES_tradnl"/>
                <w14:ligatures w14:val="standardContextual"/>
              </w:rPr>
              <w:t>microempresas</w:t>
            </w:r>
            <w:r w:rsidRPr="00D832E5">
              <w:rPr>
                <w:rFonts w:eastAsia="Calibri"/>
                <w:b/>
                <w:bCs/>
                <w:sz w:val="20"/>
                <w:szCs w:val="20"/>
                <w:lang w:val="es-ES_tradnl"/>
                <w14:ligatures w14:val="standardContextual"/>
              </w:rPr>
              <w:t xml:space="preserve"> (&lt;1 </w:t>
            </w:r>
            <w:proofErr w:type="spellStart"/>
            <w:r w:rsidRPr="00D832E5">
              <w:rPr>
                <w:rFonts w:eastAsia="Calibri"/>
                <w:b/>
                <w:bCs/>
                <w:sz w:val="20"/>
                <w:szCs w:val="20"/>
                <w:lang w:val="es-ES_tradnl"/>
                <w14:ligatures w14:val="standardContextual"/>
              </w:rPr>
              <w:t>tm</w:t>
            </w:r>
            <w:proofErr w:type="spellEnd"/>
            <w:r w:rsidRPr="00D832E5">
              <w:rPr>
                <w:rFonts w:eastAsia="Calibri"/>
                <w:b/>
                <w:bCs/>
                <w:sz w:val="20"/>
                <w:szCs w:val="20"/>
                <w:lang w:val="es-ES_tradnl"/>
                <w14:ligatures w14:val="standardContextual"/>
              </w:rPr>
              <w:t>)</w:t>
            </w:r>
          </w:p>
          <w:p w14:paraId="05D8C93F" w14:textId="77777777" w:rsidR="00727648" w:rsidRPr="00D832E5" w:rsidRDefault="00727648" w:rsidP="007D38F7">
            <w:pPr>
              <w:jc w:val="center"/>
              <w:rPr>
                <w:rFonts w:eastAsia="Calibri"/>
                <w:b/>
                <w:bCs/>
                <w:sz w:val="20"/>
                <w:szCs w:val="20"/>
                <w:lang w:val="es-ES_tradnl"/>
                <w14:ligatures w14:val="standardContextual"/>
              </w:rPr>
            </w:pPr>
            <w:r w:rsidRPr="00D832E5">
              <w:rPr>
                <w:rFonts w:eastAsia="Calibri"/>
                <w:b/>
                <w:bCs/>
                <w:sz w:val="20"/>
                <w:szCs w:val="20"/>
                <w:lang w:val="es-ES_tradnl"/>
                <w14:ligatures w14:val="standardContextual"/>
              </w:rPr>
              <w:t>($</w:t>
            </w:r>
            <w:r>
              <w:rPr>
                <w:rFonts w:eastAsia="Calibri"/>
                <w:b/>
                <w:bCs/>
                <w:sz w:val="20"/>
                <w:szCs w:val="20"/>
                <w:lang w:val="es-ES_tradnl"/>
                <w14:ligatures w14:val="standardContextual"/>
              </w:rPr>
              <w:t>EUA/</w:t>
            </w:r>
            <w:proofErr w:type="gramStart"/>
            <w:r>
              <w:rPr>
                <w:rFonts w:eastAsia="Calibri"/>
                <w:b/>
                <w:bCs/>
                <w:sz w:val="20"/>
                <w:szCs w:val="20"/>
                <w:lang w:val="es-ES_tradnl"/>
                <w14:ligatures w14:val="standardContextual"/>
              </w:rPr>
              <w:t>kg</w:t>
            </w:r>
            <w:r w:rsidRPr="00D832E5">
              <w:rPr>
                <w:rFonts w:eastAsia="Calibri"/>
                <w:b/>
                <w:bCs/>
                <w:sz w:val="20"/>
                <w:szCs w:val="20"/>
                <w:lang w:val="es-ES_tradnl"/>
                <w14:ligatures w14:val="standardContextual"/>
              </w:rPr>
              <w:t>)*</w:t>
            </w:r>
            <w:proofErr w:type="gramEnd"/>
            <w:r w:rsidRPr="00D832E5">
              <w:rPr>
                <w:rFonts w:eastAsia="Calibri"/>
                <w:b/>
                <w:bCs/>
                <w:sz w:val="20"/>
                <w:szCs w:val="20"/>
                <w:lang w:val="es-ES_tradnl"/>
                <w14:ligatures w14:val="standardContextual"/>
              </w:rPr>
              <w:t xml:space="preserve">* </w:t>
            </w:r>
          </w:p>
        </w:tc>
        <w:tc>
          <w:tcPr>
            <w:tcW w:w="953" w:type="pct"/>
            <w:vAlign w:val="center"/>
          </w:tcPr>
          <w:p w14:paraId="68AD3460" w14:textId="77777777" w:rsidR="00727648" w:rsidRDefault="00727648" w:rsidP="007D38F7">
            <w:pPr>
              <w:jc w:val="center"/>
              <w:rPr>
                <w:rFonts w:eastAsia="Calibri"/>
                <w:b/>
                <w:bCs/>
                <w:sz w:val="20"/>
                <w:szCs w:val="20"/>
                <w:lang w:val="es-ES_tradnl"/>
                <w14:ligatures w14:val="standardContextual"/>
              </w:rPr>
            </w:pPr>
            <w:r w:rsidRPr="00D832E5">
              <w:rPr>
                <w:rFonts w:eastAsia="Calibri"/>
                <w:b/>
                <w:bCs/>
                <w:sz w:val="20"/>
                <w:szCs w:val="20"/>
                <w:lang w:val="es-ES_tradnl"/>
                <w14:ligatures w14:val="standardContextual"/>
              </w:rPr>
              <w:t>Sobrecostos de operación</w:t>
            </w:r>
          </w:p>
          <w:p w14:paraId="57BF3372" w14:textId="77777777" w:rsidR="00727648" w:rsidRPr="00D832E5" w:rsidRDefault="00727648" w:rsidP="007D38F7">
            <w:pPr>
              <w:jc w:val="center"/>
              <w:rPr>
                <w:rFonts w:eastAsia="Calibri"/>
                <w:b/>
                <w:bCs/>
                <w:sz w:val="20"/>
                <w:szCs w:val="20"/>
                <w:lang w:val="es-ES_tradnl"/>
                <w14:ligatures w14:val="standardContextual"/>
              </w:rPr>
            </w:pPr>
            <w:r w:rsidRPr="00D832E5">
              <w:rPr>
                <w:rFonts w:eastAsia="Calibri"/>
                <w:b/>
                <w:bCs/>
                <w:sz w:val="20"/>
                <w:szCs w:val="20"/>
                <w:lang w:val="es-ES_tradnl"/>
                <w14:ligatures w14:val="standardContextual"/>
              </w:rPr>
              <w:t>(</w:t>
            </w:r>
            <w:r>
              <w:rPr>
                <w:rFonts w:eastAsia="Calibri"/>
                <w:b/>
                <w:bCs/>
                <w:sz w:val="20"/>
                <w:szCs w:val="20"/>
                <w:lang w:val="es-ES_tradnl"/>
                <w14:ligatures w14:val="standardContextual"/>
              </w:rPr>
              <w:t>1 año</w:t>
            </w:r>
            <w:r w:rsidRPr="00D832E5">
              <w:rPr>
                <w:rFonts w:eastAsia="Calibri"/>
                <w:b/>
                <w:bCs/>
                <w:sz w:val="20"/>
                <w:szCs w:val="20"/>
                <w:lang w:val="es-ES_tradnl"/>
                <w14:ligatures w14:val="standardContextual"/>
              </w:rPr>
              <w:t>)</w:t>
            </w:r>
            <w:r w:rsidRPr="00D832E5">
              <w:rPr>
                <w:rFonts w:eastAsia="Calibri"/>
                <w:b/>
                <w:bCs/>
                <w:sz w:val="20"/>
                <w:szCs w:val="20"/>
                <w:lang w:val="es-ES_tradnl"/>
                <w14:ligatures w14:val="standardContextual"/>
              </w:rPr>
              <w:br/>
              <w:t>($</w:t>
            </w:r>
            <w:r>
              <w:rPr>
                <w:rFonts w:eastAsia="Calibri"/>
                <w:b/>
                <w:bCs/>
                <w:sz w:val="20"/>
                <w:szCs w:val="20"/>
                <w:lang w:val="es-ES_tradnl"/>
                <w14:ligatures w14:val="standardContextual"/>
              </w:rPr>
              <w:t>EUA/kg</w:t>
            </w:r>
            <w:r w:rsidRPr="00D832E5">
              <w:rPr>
                <w:rFonts w:eastAsia="Calibri"/>
                <w:b/>
                <w:bCs/>
                <w:sz w:val="20"/>
                <w:szCs w:val="20"/>
                <w:lang w:val="es-ES_tradnl"/>
                <w14:ligatures w14:val="standardContextual"/>
              </w:rPr>
              <w:t>)</w:t>
            </w:r>
            <w:r>
              <w:rPr>
                <w:rFonts w:eastAsia="Calibri"/>
                <w:b/>
                <w:bCs/>
                <w:sz w:val="20"/>
                <w:szCs w:val="20"/>
                <w:vertAlign w:val="superscript"/>
                <w:lang w:val="es-ES_tradnl"/>
                <w14:ligatures w14:val="standardContextual"/>
              </w:rPr>
              <w:t>25</w:t>
            </w:r>
          </w:p>
        </w:tc>
      </w:tr>
      <w:tr w:rsidR="00727648" w:rsidRPr="00D832E5" w14:paraId="3DF630A1" w14:textId="77777777" w:rsidTr="007D38F7">
        <w:trPr>
          <w:trHeight w:val="283"/>
          <w:jc w:val="center"/>
        </w:trPr>
        <w:tc>
          <w:tcPr>
            <w:tcW w:w="1012" w:type="pct"/>
            <w:tcMar>
              <w:top w:w="0" w:type="dxa"/>
              <w:left w:w="108" w:type="dxa"/>
              <w:bottom w:w="0" w:type="dxa"/>
              <w:right w:w="108" w:type="dxa"/>
            </w:tcMar>
            <w:vAlign w:val="center"/>
            <w:hideMark/>
          </w:tcPr>
          <w:p w14:paraId="0258C03A" w14:textId="77777777" w:rsidR="00727648" w:rsidRPr="00D832E5" w:rsidRDefault="00727648" w:rsidP="007D38F7">
            <w:pPr>
              <w:jc w:val="left"/>
              <w:rPr>
                <w:rFonts w:eastAsia="Calibri"/>
                <w:sz w:val="20"/>
                <w:szCs w:val="20"/>
                <w:highlight w:val="green"/>
                <w:lang w:val="es-ES_tradnl"/>
                <w14:ligatures w14:val="standardContextual"/>
              </w:rPr>
            </w:pPr>
            <w:r w:rsidRPr="00D832E5">
              <w:rPr>
                <w:rFonts w:eastAsia="Calibri"/>
                <w:sz w:val="20"/>
                <w:szCs w:val="20"/>
                <w:highlight w:val="green"/>
                <w:lang w:val="es-ES_tradnl"/>
                <w14:ligatures w14:val="standardContextual"/>
              </w:rPr>
              <w:t>Refrigeración residencial</w:t>
            </w:r>
          </w:p>
        </w:tc>
        <w:tc>
          <w:tcPr>
            <w:tcW w:w="1012" w:type="pct"/>
            <w:tcMar>
              <w:top w:w="0" w:type="dxa"/>
              <w:left w:w="108" w:type="dxa"/>
              <w:bottom w:w="0" w:type="dxa"/>
              <w:right w:w="108" w:type="dxa"/>
            </w:tcMar>
            <w:vAlign w:val="center"/>
            <w:hideMark/>
          </w:tcPr>
          <w:p w14:paraId="21D329DE" w14:textId="77777777" w:rsidR="00727648" w:rsidRPr="00D832E5" w:rsidRDefault="00727648" w:rsidP="007D38F7">
            <w:pPr>
              <w:jc w:val="center"/>
              <w:rPr>
                <w:rFonts w:eastAsia="Calibri"/>
                <w:sz w:val="20"/>
                <w:szCs w:val="20"/>
                <w:highlight w:val="green"/>
                <w:lang w:val="es-ES_tradnl"/>
                <w14:ligatures w14:val="standardContextual"/>
              </w:rPr>
            </w:pPr>
            <w:r w:rsidRPr="00D832E5">
              <w:rPr>
                <w:rFonts w:eastAsia="Calibri"/>
                <w:sz w:val="20"/>
                <w:szCs w:val="20"/>
                <w:highlight w:val="green"/>
                <w:lang w:val="es-ES_tradnl"/>
                <w14:ligatures w14:val="standardContextual"/>
              </w:rPr>
              <w:t>13.76 (</w:t>
            </w:r>
            <w:r>
              <w:rPr>
                <w:rFonts w:eastAsia="Calibri"/>
                <w:sz w:val="20"/>
                <w:szCs w:val="20"/>
                <w:highlight w:val="green"/>
                <w:lang w:val="es-ES_tradnl"/>
                <w14:ligatures w14:val="standardContextual"/>
              </w:rPr>
              <w:t>previamente acordado</w:t>
            </w:r>
            <w:r w:rsidRPr="00D832E5">
              <w:rPr>
                <w:rFonts w:eastAsia="Calibri"/>
                <w:sz w:val="20"/>
                <w:szCs w:val="20"/>
                <w:highlight w:val="green"/>
                <w:lang w:val="es-ES_tradnl"/>
                <w14:ligatures w14:val="standardContextual"/>
              </w:rPr>
              <w:t>)</w:t>
            </w:r>
          </w:p>
        </w:tc>
        <w:tc>
          <w:tcPr>
            <w:tcW w:w="1012" w:type="pct"/>
            <w:vAlign w:val="center"/>
          </w:tcPr>
          <w:p w14:paraId="3CF9F75A" w14:textId="77777777" w:rsidR="00727648" w:rsidRPr="00D832E5" w:rsidRDefault="00727648" w:rsidP="007D38F7">
            <w:pPr>
              <w:jc w:val="center"/>
              <w:rPr>
                <w:rFonts w:eastAsia="Calibri"/>
                <w:sz w:val="20"/>
                <w:szCs w:val="20"/>
                <w:lang w:val="es-ES_tradnl"/>
                <w14:ligatures w14:val="standardContextual"/>
              </w:rPr>
            </w:pPr>
            <w:r w:rsidRPr="00D832E5">
              <w:rPr>
                <w:rFonts w:eastAsia="Calibri"/>
                <w:sz w:val="20"/>
                <w:szCs w:val="20"/>
                <w:lang w:val="es-ES_tradnl"/>
                <w14:ligatures w14:val="standardContextual"/>
              </w:rPr>
              <w:t>17.2</w:t>
            </w:r>
          </w:p>
        </w:tc>
        <w:tc>
          <w:tcPr>
            <w:tcW w:w="1012" w:type="pct"/>
            <w:shd w:val="clear" w:color="auto" w:fill="FFFF00"/>
            <w:vAlign w:val="center"/>
          </w:tcPr>
          <w:p w14:paraId="5C931009" w14:textId="77777777" w:rsidR="00727648" w:rsidRPr="00D832E5" w:rsidRDefault="00727648" w:rsidP="007D38F7">
            <w:pPr>
              <w:jc w:val="center"/>
              <w:rPr>
                <w:rFonts w:eastAsia="Calibri"/>
                <w:sz w:val="20"/>
                <w:szCs w:val="20"/>
                <w:lang w:val="es-ES_tradnl"/>
                <w14:ligatures w14:val="standardContextual"/>
              </w:rPr>
            </w:pPr>
            <w:r w:rsidRPr="00D832E5">
              <w:rPr>
                <w:rFonts w:eastAsia="Calibri"/>
                <w:sz w:val="20"/>
                <w:szCs w:val="20"/>
                <w:lang w:val="es-ES_tradnl"/>
                <w14:ligatures w14:val="standardContextual"/>
              </w:rPr>
              <w:t>27.52</w:t>
            </w:r>
          </w:p>
        </w:tc>
        <w:tc>
          <w:tcPr>
            <w:tcW w:w="953" w:type="pct"/>
            <w:vAlign w:val="center"/>
          </w:tcPr>
          <w:p w14:paraId="10DB0908" w14:textId="77777777" w:rsidR="00727648" w:rsidRPr="00D832E5" w:rsidRDefault="00727648" w:rsidP="007D38F7">
            <w:pPr>
              <w:jc w:val="center"/>
              <w:rPr>
                <w:rFonts w:eastAsia="Calibri"/>
                <w:sz w:val="20"/>
                <w:szCs w:val="20"/>
                <w:lang w:val="es-ES_tradnl"/>
                <w14:ligatures w14:val="standardContextual"/>
              </w:rPr>
            </w:pPr>
            <w:r w:rsidRPr="00D832E5">
              <w:rPr>
                <w:rFonts w:eastAsia="Calibri"/>
                <w:sz w:val="20"/>
                <w:szCs w:val="20"/>
                <w:lang w:val="es-ES_tradnl"/>
                <w14:ligatures w14:val="standardContextual"/>
              </w:rPr>
              <w:t>[4.0] 4.2</w:t>
            </w:r>
          </w:p>
        </w:tc>
      </w:tr>
      <w:tr w:rsidR="00727648" w:rsidRPr="00D832E5" w14:paraId="05B36FA2" w14:textId="77777777" w:rsidTr="007D38F7">
        <w:trPr>
          <w:trHeight w:val="283"/>
          <w:jc w:val="center"/>
        </w:trPr>
        <w:tc>
          <w:tcPr>
            <w:tcW w:w="1012" w:type="pct"/>
            <w:tcMar>
              <w:top w:w="0" w:type="dxa"/>
              <w:left w:w="108" w:type="dxa"/>
              <w:bottom w:w="0" w:type="dxa"/>
              <w:right w:w="108" w:type="dxa"/>
            </w:tcMar>
            <w:vAlign w:val="center"/>
            <w:hideMark/>
          </w:tcPr>
          <w:p w14:paraId="28B45739" w14:textId="77777777" w:rsidR="00727648" w:rsidRPr="00D832E5" w:rsidRDefault="00727648" w:rsidP="007D38F7">
            <w:pPr>
              <w:jc w:val="left"/>
              <w:rPr>
                <w:rFonts w:eastAsia="Calibri"/>
                <w:sz w:val="20"/>
                <w:szCs w:val="20"/>
                <w:lang w:val="es-ES_tradnl"/>
                <w14:ligatures w14:val="standardContextual"/>
              </w:rPr>
            </w:pPr>
            <w:r w:rsidRPr="00D832E5">
              <w:rPr>
                <w:rFonts w:eastAsia="Calibri"/>
                <w:sz w:val="20"/>
                <w:szCs w:val="20"/>
                <w:lang w:val="es-ES_tradnl"/>
                <w14:ligatures w14:val="standardContextual"/>
              </w:rPr>
              <w:t>Refrigeración comercial</w:t>
            </w:r>
          </w:p>
        </w:tc>
        <w:tc>
          <w:tcPr>
            <w:tcW w:w="1012" w:type="pct"/>
            <w:tcMar>
              <w:top w:w="0" w:type="dxa"/>
              <w:left w:w="108" w:type="dxa"/>
              <w:bottom w:w="0" w:type="dxa"/>
              <w:right w:w="108" w:type="dxa"/>
            </w:tcMar>
            <w:vAlign w:val="center"/>
            <w:hideMark/>
          </w:tcPr>
          <w:p w14:paraId="2982EB2B" w14:textId="77777777" w:rsidR="00727648" w:rsidRPr="00D832E5" w:rsidRDefault="00727648" w:rsidP="007D38F7">
            <w:pPr>
              <w:jc w:val="center"/>
              <w:rPr>
                <w:rFonts w:eastAsia="Calibri"/>
                <w:sz w:val="20"/>
                <w:szCs w:val="20"/>
                <w:lang w:val="es-ES_tradnl"/>
                <w14:ligatures w14:val="standardContextual"/>
              </w:rPr>
            </w:pPr>
            <w:r w:rsidRPr="00D832E5">
              <w:rPr>
                <w:rFonts w:eastAsia="Calibri"/>
                <w:sz w:val="20"/>
                <w:szCs w:val="20"/>
                <w:lang w:val="es-ES_tradnl"/>
                <w14:ligatures w14:val="standardContextual"/>
              </w:rPr>
              <w:t>15.21</w:t>
            </w:r>
          </w:p>
        </w:tc>
        <w:tc>
          <w:tcPr>
            <w:tcW w:w="1012" w:type="pct"/>
            <w:vAlign w:val="center"/>
          </w:tcPr>
          <w:p w14:paraId="1E8492B6" w14:textId="77777777" w:rsidR="00727648" w:rsidRPr="00D832E5" w:rsidRDefault="00727648" w:rsidP="007D38F7">
            <w:pPr>
              <w:jc w:val="center"/>
              <w:rPr>
                <w:rFonts w:eastAsia="Calibri"/>
                <w:sz w:val="20"/>
                <w:szCs w:val="20"/>
                <w:lang w:val="es-ES_tradnl"/>
                <w14:ligatures w14:val="standardContextual"/>
              </w:rPr>
            </w:pPr>
            <w:r w:rsidRPr="00D832E5">
              <w:rPr>
                <w:rFonts w:eastAsia="Calibri"/>
                <w:sz w:val="20"/>
                <w:szCs w:val="20"/>
                <w:lang w:val="es-ES_tradnl"/>
                <w14:ligatures w14:val="standardContextual"/>
              </w:rPr>
              <w:t>19.01</w:t>
            </w:r>
          </w:p>
        </w:tc>
        <w:tc>
          <w:tcPr>
            <w:tcW w:w="1012" w:type="pct"/>
            <w:shd w:val="clear" w:color="auto" w:fill="FFFF00"/>
            <w:vAlign w:val="center"/>
          </w:tcPr>
          <w:p w14:paraId="5EFD0B89" w14:textId="77777777" w:rsidR="00727648" w:rsidRPr="00D832E5" w:rsidRDefault="00727648" w:rsidP="007D38F7">
            <w:pPr>
              <w:jc w:val="center"/>
              <w:rPr>
                <w:rFonts w:eastAsia="Calibri"/>
                <w:sz w:val="20"/>
                <w:szCs w:val="20"/>
                <w:lang w:val="es-ES_tradnl"/>
                <w14:ligatures w14:val="standardContextual"/>
              </w:rPr>
            </w:pPr>
            <w:r w:rsidRPr="00D832E5">
              <w:rPr>
                <w:rFonts w:eastAsia="Calibri"/>
                <w:sz w:val="20"/>
                <w:szCs w:val="20"/>
                <w:lang w:val="es-ES_tradnl"/>
                <w14:ligatures w14:val="standardContextual"/>
              </w:rPr>
              <w:t>30.42</w:t>
            </w:r>
          </w:p>
        </w:tc>
        <w:tc>
          <w:tcPr>
            <w:tcW w:w="953" w:type="pct"/>
            <w:vAlign w:val="center"/>
          </w:tcPr>
          <w:p w14:paraId="2CB0622F" w14:textId="77777777" w:rsidR="00727648" w:rsidRPr="00D832E5" w:rsidRDefault="00727648" w:rsidP="007D38F7">
            <w:pPr>
              <w:jc w:val="center"/>
              <w:rPr>
                <w:rFonts w:eastAsia="Calibri"/>
                <w:sz w:val="20"/>
                <w:szCs w:val="20"/>
                <w:lang w:val="es-ES_tradnl"/>
                <w14:ligatures w14:val="standardContextual"/>
              </w:rPr>
            </w:pPr>
            <w:r w:rsidRPr="00D832E5">
              <w:rPr>
                <w:rFonts w:eastAsia="Calibri"/>
                <w:sz w:val="20"/>
                <w:szCs w:val="20"/>
                <w:lang w:val="es-ES_tradnl"/>
                <w14:ligatures w14:val="standardContextual"/>
              </w:rPr>
              <w:t>[4.0] 4.2</w:t>
            </w:r>
          </w:p>
        </w:tc>
      </w:tr>
      <w:tr w:rsidR="00727648" w:rsidRPr="00D832E5" w14:paraId="64816DBC" w14:textId="77777777" w:rsidTr="007D38F7">
        <w:trPr>
          <w:trHeight w:val="283"/>
          <w:jc w:val="center"/>
        </w:trPr>
        <w:tc>
          <w:tcPr>
            <w:tcW w:w="1012" w:type="pct"/>
            <w:tcMar>
              <w:top w:w="0" w:type="dxa"/>
              <w:left w:w="108" w:type="dxa"/>
              <w:bottom w:w="0" w:type="dxa"/>
              <w:right w:w="108" w:type="dxa"/>
            </w:tcMar>
            <w:vAlign w:val="center"/>
            <w:hideMark/>
          </w:tcPr>
          <w:p w14:paraId="4FCE4310" w14:textId="77777777" w:rsidR="00727648" w:rsidRPr="00D832E5" w:rsidRDefault="00727648" w:rsidP="007D38F7">
            <w:pPr>
              <w:jc w:val="left"/>
              <w:rPr>
                <w:rFonts w:eastAsia="Calibri"/>
                <w:sz w:val="20"/>
                <w:szCs w:val="20"/>
                <w:lang w:val="es-ES_tradnl"/>
                <w14:ligatures w14:val="standardContextual"/>
              </w:rPr>
            </w:pPr>
            <w:r>
              <w:rPr>
                <w:rFonts w:eastAsia="Calibri"/>
                <w:sz w:val="20"/>
                <w:szCs w:val="20"/>
                <w:lang w:val="es-ES_tradnl"/>
                <w14:ligatures w14:val="standardContextual"/>
              </w:rPr>
              <w:t>Equipos estacionarios de climatización residencial</w:t>
            </w:r>
          </w:p>
        </w:tc>
        <w:tc>
          <w:tcPr>
            <w:tcW w:w="1012" w:type="pct"/>
            <w:tcMar>
              <w:top w:w="0" w:type="dxa"/>
              <w:left w:w="108" w:type="dxa"/>
              <w:bottom w:w="0" w:type="dxa"/>
              <w:right w:w="108" w:type="dxa"/>
            </w:tcMar>
            <w:vAlign w:val="center"/>
            <w:hideMark/>
          </w:tcPr>
          <w:p w14:paraId="36EF92E8" w14:textId="77777777" w:rsidR="00727648" w:rsidRPr="00D832E5" w:rsidRDefault="00727648" w:rsidP="007D38F7">
            <w:pPr>
              <w:jc w:val="center"/>
              <w:rPr>
                <w:rFonts w:eastAsia="Calibri"/>
                <w:sz w:val="20"/>
                <w:szCs w:val="20"/>
                <w:lang w:val="es-ES_tradnl"/>
                <w14:ligatures w14:val="standardContextual"/>
              </w:rPr>
            </w:pPr>
            <w:r w:rsidRPr="00D832E5">
              <w:rPr>
                <w:rFonts w:eastAsia="Calibri"/>
                <w:sz w:val="20"/>
                <w:szCs w:val="20"/>
                <w:lang w:val="es-ES_tradnl"/>
                <w14:ligatures w14:val="standardContextual"/>
              </w:rPr>
              <w:t>11.3</w:t>
            </w:r>
          </w:p>
        </w:tc>
        <w:tc>
          <w:tcPr>
            <w:tcW w:w="1012" w:type="pct"/>
            <w:vAlign w:val="center"/>
          </w:tcPr>
          <w:p w14:paraId="1FE39CCF" w14:textId="77777777" w:rsidR="00727648" w:rsidRPr="00D832E5" w:rsidRDefault="00727648" w:rsidP="007D38F7">
            <w:pPr>
              <w:jc w:val="center"/>
              <w:rPr>
                <w:rFonts w:eastAsia="Calibri"/>
                <w:sz w:val="20"/>
                <w:szCs w:val="20"/>
                <w:lang w:val="es-ES_tradnl"/>
                <w14:ligatures w14:val="standardContextual"/>
              </w:rPr>
            </w:pPr>
            <w:r w:rsidRPr="00D832E5">
              <w:rPr>
                <w:rFonts w:eastAsia="Calibri"/>
                <w:sz w:val="20"/>
                <w:szCs w:val="20"/>
                <w:lang w:val="es-ES_tradnl"/>
                <w14:ligatures w14:val="standardContextual"/>
              </w:rPr>
              <w:t>13.79</w:t>
            </w:r>
          </w:p>
        </w:tc>
        <w:tc>
          <w:tcPr>
            <w:tcW w:w="1012" w:type="pct"/>
            <w:shd w:val="clear" w:color="auto" w:fill="FFFF00"/>
            <w:vAlign w:val="center"/>
          </w:tcPr>
          <w:p w14:paraId="7A037275" w14:textId="77777777" w:rsidR="00727648" w:rsidRPr="00D832E5" w:rsidRDefault="00727648" w:rsidP="007D38F7">
            <w:pPr>
              <w:jc w:val="center"/>
              <w:rPr>
                <w:rFonts w:eastAsia="Calibri"/>
                <w:sz w:val="20"/>
                <w:szCs w:val="20"/>
                <w:lang w:val="es-ES_tradnl"/>
                <w14:ligatures w14:val="standardContextual"/>
              </w:rPr>
            </w:pPr>
            <w:r w:rsidRPr="00D832E5">
              <w:rPr>
                <w:rFonts w:eastAsia="Calibri"/>
                <w:sz w:val="20"/>
                <w:szCs w:val="20"/>
                <w:lang w:val="es-ES_tradnl"/>
                <w14:ligatures w14:val="standardContextual"/>
              </w:rPr>
              <w:t>22.6</w:t>
            </w:r>
          </w:p>
        </w:tc>
        <w:tc>
          <w:tcPr>
            <w:tcW w:w="953" w:type="pct"/>
            <w:vAlign w:val="center"/>
          </w:tcPr>
          <w:p w14:paraId="714AFAB9" w14:textId="77777777" w:rsidR="00727648" w:rsidRPr="00D832E5" w:rsidRDefault="00727648" w:rsidP="007D38F7">
            <w:pPr>
              <w:jc w:val="center"/>
              <w:rPr>
                <w:rFonts w:eastAsia="Calibri"/>
                <w:sz w:val="20"/>
                <w:szCs w:val="20"/>
                <w:lang w:val="es-ES_tradnl"/>
                <w14:ligatures w14:val="standardContextual"/>
              </w:rPr>
            </w:pPr>
            <w:r w:rsidRPr="00D832E5">
              <w:rPr>
                <w:rFonts w:eastAsia="Calibri"/>
                <w:sz w:val="20"/>
                <w:szCs w:val="20"/>
                <w:lang w:val="es-ES_tradnl"/>
                <w14:ligatures w14:val="standardContextual"/>
              </w:rPr>
              <w:t>[6.3] 6.4</w:t>
            </w:r>
          </w:p>
        </w:tc>
      </w:tr>
      <w:tr w:rsidR="00727648" w:rsidRPr="00D832E5" w14:paraId="3B98FB3E" w14:textId="77777777" w:rsidTr="007D38F7">
        <w:trPr>
          <w:trHeight w:val="283"/>
          <w:jc w:val="center"/>
        </w:trPr>
        <w:tc>
          <w:tcPr>
            <w:tcW w:w="1012" w:type="pct"/>
            <w:tcMar>
              <w:top w:w="0" w:type="dxa"/>
              <w:left w:w="108" w:type="dxa"/>
              <w:bottom w:w="0" w:type="dxa"/>
              <w:right w:w="108" w:type="dxa"/>
            </w:tcMar>
            <w:vAlign w:val="center"/>
            <w:hideMark/>
          </w:tcPr>
          <w:p w14:paraId="545BC01A" w14:textId="77777777" w:rsidR="00727648" w:rsidRPr="00D832E5" w:rsidRDefault="00727648" w:rsidP="007D38F7">
            <w:pPr>
              <w:jc w:val="left"/>
              <w:rPr>
                <w:rFonts w:eastAsia="Calibri"/>
                <w:sz w:val="20"/>
                <w:szCs w:val="20"/>
                <w:lang w:val="es-ES_tradnl"/>
                <w14:ligatures w14:val="standardContextual"/>
              </w:rPr>
            </w:pPr>
            <w:r>
              <w:rPr>
                <w:rFonts w:eastAsia="Calibri"/>
                <w:sz w:val="20"/>
                <w:szCs w:val="20"/>
                <w:lang w:val="es-ES_tradnl"/>
                <w14:ligatures w14:val="standardContextual"/>
              </w:rPr>
              <w:t>Equipos estacionarios de climatización comercial</w:t>
            </w:r>
            <w:r w:rsidRPr="00D832E5">
              <w:rPr>
                <w:rFonts w:eastAsia="Calibri"/>
                <w:sz w:val="20"/>
                <w:szCs w:val="20"/>
                <w:lang w:val="es-ES_tradnl"/>
                <w14:ligatures w14:val="standardContextual"/>
              </w:rPr>
              <w:t xml:space="preserve"> </w:t>
            </w:r>
          </w:p>
        </w:tc>
        <w:tc>
          <w:tcPr>
            <w:tcW w:w="1012" w:type="pct"/>
            <w:tcMar>
              <w:top w:w="0" w:type="dxa"/>
              <w:left w:w="108" w:type="dxa"/>
              <w:bottom w:w="0" w:type="dxa"/>
              <w:right w:w="108" w:type="dxa"/>
            </w:tcMar>
            <w:vAlign w:val="center"/>
            <w:hideMark/>
          </w:tcPr>
          <w:p w14:paraId="5EE59A7B" w14:textId="77777777" w:rsidR="00727648" w:rsidRPr="00D832E5" w:rsidRDefault="00727648" w:rsidP="007D38F7">
            <w:pPr>
              <w:jc w:val="center"/>
              <w:rPr>
                <w:rFonts w:eastAsia="Calibri"/>
                <w:sz w:val="20"/>
                <w:szCs w:val="20"/>
                <w:lang w:val="es-ES_tradnl"/>
                <w14:ligatures w14:val="standardContextual"/>
              </w:rPr>
            </w:pPr>
            <w:r w:rsidRPr="00D832E5">
              <w:rPr>
                <w:rFonts w:eastAsia="Calibri"/>
                <w:sz w:val="20"/>
                <w:szCs w:val="20"/>
                <w:lang w:val="es-ES_tradnl"/>
                <w14:ligatures w14:val="standardContextual"/>
              </w:rPr>
              <w:t>13.0</w:t>
            </w:r>
          </w:p>
        </w:tc>
        <w:tc>
          <w:tcPr>
            <w:tcW w:w="1012" w:type="pct"/>
            <w:vAlign w:val="center"/>
          </w:tcPr>
          <w:p w14:paraId="2964563F" w14:textId="77777777" w:rsidR="00727648" w:rsidRPr="00D832E5" w:rsidRDefault="00727648" w:rsidP="007D38F7">
            <w:pPr>
              <w:jc w:val="center"/>
              <w:rPr>
                <w:rFonts w:eastAsia="Calibri"/>
                <w:sz w:val="20"/>
                <w:szCs w:val="20"/>
                <w:lang w:val="es-ES_tradnl"/>
                <w14:ligatures w14:val="standardContextual"/>
              </w:rPr>
            </w:pPr>
            <w:r w:rsidRPr="00D832E5">
              <w:rPr>
                <w:rFonts w:eastAsia="Calibri"/>
                <w:sz w:val="20"/>
                <w:szCs w:val="20"/>
                <w:lang w:val="es-ES_tradnl"/>
                <w14:ligatures w14:val="standardContextual"/>
              </w:rPr>
              <w:t>16.25</w:t>
            </w:r>
          </w:p>
        </w:tc>
        <w:tc>
          <w:tcPr>
            <w:tcW w:w="1012" w:type="pct"/>
            <w:shd w:val="clear" w:color="auto" w:fill="FFFF00"/>
            <w:vAlign w:val="center"/>
          </w:tcPr>
          <w:p w14:paraId="094D8881" w14:textId="77777777" w:rsidR="00727648" w:rsidRPr="00D832E5" w:rsidRDefault="00727648" w:rsidP="007D38F7">
            <w:pPr>
              <w:jc w:val="center"/>
              <w:rPr>
                <w:rFonts w:eastAsia="Calibri"/>
                <w:sz w:val="20"/>
                <w:szCs w:val="20"/>
                <w:lang w:val="es-ES_tradnl"/>
                <w14:ligatures w14:val="standardContextual"/>
              </w:rPr>
            </w:pPr>
            <w:r w:rsidRPr="00D832E5">
              <w:rPr>
                <w:rFonts w:eastAsia="Calibri"/>
                <w:sz w:val="20"/>
                <w:szCs w:val="20"/>
                <w:lang w:val="es-ES_tradnl"/>
                <w14:ligatures w14:val="standardContextual"/>
              </w:rPr>
              <w:t>26</w:t>
            </w:r>
          </w:p>
        </w:tc>
        <w:tc>
          <w:tcPr>
            <w:tcW w:w="953" w:type="pct"/>
            <w:vAlign w:val="center"/>
          </w:tcPr>
          <w:p w14:paraId="7E7A79A0" w14:textId="77777777" w:rsidR="00727648" w:rsidRPr="00D832E5" w:rsidRDefault="00727648" w:rsidP="007D38F7">
            <w:pPr>
              <w:jc w:val="center"/>
              <w:rPr>
                <w:rFonts w:eastAsia="Calibri"/>
                <w:sz w:val="20"/>
                <w:szCs w:val="20"/>
                <w:lang w:val="es-ES_tradnl"/>
                <w14:ligatures w14:val="standardContextual"/>
              </w:rPr>
            </w:pPr>
            <w:r w:rsidRPr="00D832E5">
              <w:rPr>
                <w:rFonts w:eastAsia="Calibri"/>
                <w:sz w:val="20"/>
                <w:szCs w:val="20"/>
                <w:lang w:val="es-ES_tradnl"/>
                <w14:ligatures w14:val="standardContextual"/>
              </w:rPr>
              <w:t>6.3</w:t>
            </w:r>
          </w:p>
        </w:tc>
      </w:tr>
      <w:tr w:rsidR="00727648" w:rsidRPr="00D832E5" w14:paraId="1023263B" w14:textId="77777777" w:rsidTr="007D38F7">
        <w:trPr>
          <w:trHeight w:val="283"/>
          <w:jc w:val="center"/>
        </w:trPr>
        <w:tc>
          <w:tcPr>
            <w:tcW w:w="1012" w:type="pct"/>
            <w:tcMar>
              <w:top w:w="0" w:type="dxa"/>
              <w:left w:w="108" w:type="dxa"/>
              <w:bottom w:w="0" w:type="dxa"/>
              <w:right w:w="108" w:type="dxa"/>
            </w:tcMar>
            <w:vAlign w:val="center"/>
            <w:hideMark/>
          </w:tcPr>
          <w:p w14:paraId="76EB46C5" w14:textId="77777777" w:rsidR="00727648" w:rsidRPr="00D832E5" w:rsidRDefault="00727648" w:rsidP="007D38F7">
            <w:pPr>
              <w:jc w:val="left"/>
              <w:rPr>
                <w:rFonts w:eastAsia="Calibri"/>
                <w:sz w:val="20"/>
                <w:szCs w:val="20"/>
                <w:lang w:val="es-ES_tradnl"/>
                <w14:ligatures w14:val="standardContextual"/>
              </w:rPr>
            </w:pPr>
            <w:r>
              <w:rPr>
                <w:rFonts w:eastAsia="Calibri"/>
                <w:sz w:val="20"/>
                <w:szCs w:val="20"/>
                <w:lang w:val="es-ES_tradnl"/>
                <w14:ligatures w14:val="standardContextual"/>
              </w:rPr>
              <w:t>Refrigeración industrial y transporte refrigerado</w:t>
            </w:r>
          </w:p>
        </w:tc>
        <w:tc>
          <w:tcPr>
            <w:tcW w:w="1012" w:type="pct"/>
            <w:tcMar>
              <w:top w:w="0" w:type="dxa"/>
              <w:left w:w="108" w:type="dxa"/>
              <w:bottom w:w="0" w:type="dxa"/>
              <w:right w:w="108" w:type="dxa"/>
            </w:tcMar>
            <w:vAlign w:val="center"/>
            <w:hideMark/>
          </w:tcPr>
          <w:p w14:paraId="3B06FE2F" w14:textId="77777777" w:rsidR="00727648" w:rsidRPr="00D832E5" w:rsidRDefault="00727648" w:rsidP="007D38F7">
            <w:pPr>
              <w:jc w:val="center"/>
              <w:rPr>
                <w:rFonts w:eastAsia="Calibri"/>
                <w:sz w:val="20"/>
                <w:szCs w:val="20"/>
                <w:lang w:val="es-ES_tradnl"/>
                <w14:ligatures w14:val="standardContextual"/>
              </w:rPr>
            </w:pPr>
            <w:r w:rsidRPr="00D832E5">
              <w:rPr>
                <w:rFonts w:eastAsia="Calibri"/>
                <w:sz w:val="20"/>
                <w:szCs w:val="20"/>
                <w:lang w:val="es-ES_tradnl"/>
                <w14:ligatures w14:val="standardContextual"/>
              </w:rPr>
              <w:t>11.0</w:t>
            </w:r>
          </w:p>
        </w:tc>
        <w:tc>
          <w:tcPr>
            <w:tcW w:w="1012" w:type="pct"/>
            <w:vAlign w:val="center"/>
          </w:tcPr>
          <w:p w14:paraId="16522C6A" w14:textId="77777777" w:rsidR="00727648" w:rsidRPr="00D832E5" w:rsidRDefault="00727648" w:rsidP="007D38F7">
            <w:pPr>
              <w:jc w:val="center"/>
              <w:rPr>
                <w:rFonts w:eastAsia="Calibri"/>
                <w:sz w:val="20"/>
                <w:szCs w:val="20"/>
                <w:lang w:val="es-ES_tradnl"/>
                <w14:ligatures w14:val="standardContextual"/>
              </w:rPr>
            </w:pPr>
            <w:r w:rsidRPr="00D832E5">
              <w:rPr>
                <w:rFonts w:eastAsia="Calibri"/>
                <w:sz w:val="20"/>
                <w:szCs w:val="20"/>
                <w:lang w:val="es-ES_tradnl"/>
                <w14:ligatures w14:val="standardContextual"/>
              </w:rPr>
              <w:t>13.75</w:t>
            </w:r>
          </w:p>
        </w:tc>
        <w:tc>
          <w:tcPr>
            <w:tcW w:w="1012" w:type="pct"/>
            <w:shd w:val="clear" w:color="auto" w:fill="FFFF00"/>
            <w:vAlign w:val="center"/>
          </w:tcPr>
          <w:p w14:paraId="697EA217" w14:textId="77777777" w:rsidR="00727648" w:rsidRPr="00D832E5" w:rsidRDefault="00727648" w:rsidP="007D38F7">
            <w:pPr>
              <w:jc w:val="center"/>
              <w:rPr>
                <w:rFonts w:eastAsia="Calibri"/>
                <w:sz w:val="20"/>
                <w:szCs w:val="20"/>
                <w:lang w:val="es-ES_tradnl"/>
                <w14:ligatures w14:val="standardContextual"/>
              </w:rPr>
            </w:pPr>
            <w:r w:rsidRPr="00D832E5">
              <w:rPr>
                <w:rFonts w:eastAsia="Calibri"/>
                <w:sz w:val="20"/>
                <w:szCs w:val="20"/>
                <w:lang w:val="es-ES_tradnl"/>
                <w14:ligatures w14:val="standardContextual"/>
              </w:rPr>
              <w:t>22</w:t>
            </w:r>
          </w:p>
        </w:tc>
        <w:tc>
          <w:tcPr>
            <w:tcW w:w="953" w:type="pct"/>
            <w:vAlign w:val="center"/>
          </w:tcPr>
          <w:p w14:paraId="3A1D466A" w14:textId="77777777" w:rsidR="00727648" w:rsidRPr="00D832E5" w:rsidRDefault="00727648" w:rsidP="007D38F7">
            <w:pPr>
              <w:jc w:val="center"/>
              <w:rPr>
                <w:rFonts w:eastAsia="Calibri"/>
                <w:sz w:val="20"/>
                <w:szCs w:val="20"/>
                <w:lang w:val="es-ES_tradnl"/>
                <w14:ligatures w14:val="standardContextual"/>
              </w:rPr>
            </w:pPr>
            <w:r w:rsidRPr="00D832E5">
              <w:rPr>
                <w:rFonts w:eastAsia="Calibri"/>
                <w:sz w:val="20"/>
                <w:szCs w:val="20"/>
                <w:lang w:val="es-ES_tradnl"/>
                <w14:ligatures w14:val="standardContextual"/>
              </w:rPr>
              <w:t>[4.0] 4.2</w:t>
            </w:r>
          </w:p>
        </w:tc>
      </w:tr>
      <w:tr w:rsidR="00727648" w:rsidRPr="00D832E5" w14:paraId="4C723271" w14:textId="77777777" w:rsidTr="007D38F7">
        <w:trPr>
          <w:trHeight w:val="283"/>
          <w:jc w:val="center"/>
        </w:trPr>
        <w:tc>
          <w:tcPr>
            <w:tcW w:w="1012" w:type="pct"/>
            <w:tcMar>
              <w:top w:w="0" w:type="dxa"/>
              <w:left w:w="108" w:type="dxa"/>
              <w:bottom w:w="0" w:type="dxa"/>
              <w:right w:w="108" w:type="dxa"/>
            </w:tcMar>
            <w:vAlign w:val="center"/>
            <w:hideMark/>
          </w:tcPr>
          <w:p w14:paraId="2F7E511E" w14:textId="77777777" w:rsidR="00727648" w:rsidRPr="00D832E5" w:rsidRDefault="00727648" w:rsidP="007D38F7">
            <w:pPr>
              <w:jc w:val="left"/>
              <w:rPr>
                <w:rFonts w:eastAsia="Calibri"/>
                <w:sz w:val="20"/>
                <w:szCs w:val="20"/>
                <w:lang w:val="es-ES_tradnl"/>
                <w14:ligatures w14:val="standardContextual"/>
              </w:rPr>
            </w:pPr>
            <w:r>
              <w:rPr>
                <w:rFonts w:eastAsia="Calibri"/>
                <w:sz w:val="20"/>
                <w:szCs w:val="20"/>
                <w:lang w:val="es-ES_tradnl"/>
                <w14:ligatures w14:val="standardContextual"/>
              </w:rPr>
              <w:t>Espumas de poliuretano</w:t>
            </w:r>
          </w:p>
        </w:tc>
        <w:tc>
          <w:tcPr>
            <w:tcW w:w="1012" w:type="pct"/>
            <w:tcMar>
              <w:top w:w="0" w:type="dxa"/>
              <w:left w:w="108" w:type="dxa"/>
              <w:bottom w:w="0" w:type="dxa"/>
              <w:right w:w="108" w:type="dxa"/>
            </w:tcMar>
            <w:vAlign w:val="center"/>
            <w:hideMark/>
          </w:tcPr>
          <w:p w14:paraId="1BFAC1C5" w14:textId="77777777" w:rsidR="00727648" w:rsidRPr="00D832E5" w:rsidRDefault="00727648" w:rsidP="007D38F7">
            <w:pPr>
              <w:jc w:val="center"/>
              <w:rPr>
                <w:rFonts w:eastAsia="Calibri"/>
                <w:sz w:val="20"/>
                <w:szCs w:val="20"/>
                <w:lang w:val="es-ES_tradnl"/>
                <w14:ligatures w14:val="standardContextual"/>
              </w:rPr>
            </w:pPr>
            <w:r w:rsidRPr="00D832E5">
              <w:rPr>
                <w:rFonts w:eastAsia="Calibri"/>
                <w:sz w:val="20"/>
                <w:szCs w:val="20"/>
                <w:lang w:val="es-ES_tradnl"/>
                <w14:ligatures w14:val="standardContextual"/>
              </w:rPr>
              <w:t>9.0</w:t>
            </w:r>
          </w:p>
        </w:tc>
        <w:tc>
          <w:tcPr>
            <w:tcW w:w="1012" w:type="pct"/>
            <w:vAlign w:val="center"/>
          </w:tcPr>
          <w:p w14:paraId="7DE85C2F" w14:textId="77777777" w:rsidR="00727648" w:rsidRPr="00D832E5" w:rsidRDefault="00727648" w:rsidP="007D38F7">
            <w:pPr>
              <w:jc w:val="center"/>
              <w:rPr>
                <w:rFonts w:eastAsia="Calibri"/>
                <w:sz w:val="20"/>
                <w:szCs w:val="20"/>
                <w:lang w:val="es-ES_tradnl"/>
                <w14:ligatures w14:val="standardContextual"/>
              </w:rPr>
            </w:pPr>
            <w:r w:rsidRPr="00D832E5">
              <w:rPr>
                <w:rFonts w:eastAsia="Calibri"/>
                <w:sz w:val="20"/>
                <w:szCs w:val="20"/>
                <w:lang w:val="es-ES_tradnl"/>
                <w14:ligatures w14:val="standardContextual"/>
              </w:rPr>
              <w:t>11.25</w:t>
            </w:r>
          </w:p>
        </w:tc>
        <w:tc>
          <w:tcPr>
            <w:tcW w:w="1012" w:type="pct"/>
            <w:shd w:val="clear" w:color="auto" w:fill="FFFF00"/>
            <w:vAlign w:val="center"/>
          </w:tcPr>
          <w:p w14:paraId="56256B10" w14:textId="77777777" w:rsidR="00727648" w:rsidRPr="00D832E5" w:rsidRDefault="00727648" w:rsidP="007D38F7">
            <w:pPr>
              <w:jc w:val="center"/>
              <w:rPr>
                <w:rFonts w:eastAsia="Calibri"/>
                <w:sz w:val="20"/>
                <w:szCs w:val="20"/>
                <w:lang w:val="es-ES_tradnl"/>
                <w14:ligatures w14:val="standardContextual"/>
              </w:rPr>
            </w:pPr>
            <w:r w:rsidRPr="00D832E5">
              <w:rPr>
                <w:rFonts w:eastAsia="Calibri"/>
                <w:sz w:val="20"/>
                <w:szCs w:val="20"/>
                <w:lang w:val="es-ES_tradnl"/>
                <w14:ligatures w14:val="standardContextual"/>
              </w:rPr>
              <w:t>18</w:t>
            </w:r>
          </w:p>
        </w:tc>
        <w:tc>
          <w:tcPr>
            <w:tcW w:w="953" w:type="pct"/>
            <w:vAlign w:val="center"/>
          </w:tcPr>
          <w:p w14:paraId="7489258B" w14:textId="77777777" w:rsidR="00727648" w:rsidRPr="00D832E5" w:rsidRDefault="00727648" w:rsidP="007D38F7">
            <w:pPr>
              <w:jc w:val="center"/>
              <w:rPr>
                <w:rFonts w:eastAsia="Calibri"/>
                <w:sz w:val="20"/>
                <w:szCs w:val="20"/>
                <w:lang w:val="es-ES_tradnl"/>
                <w14:ligatures w14:val="standardContextual"/>
              </w:rPr>
            </w:pPr>
            <w:r w:rsidRPr="00D832E5">
              <w:rPr>
                <w:rFonts w:eastAsia="Calibri"/>
                <w:sz w:val="20"/>
                <w:szCs w:val="20"/>
                <w:lang w:val="es-ES_tradnl"/>
                <w14:ligatures w14:val="standardContextual"/>
              </w:rPr>
              <w:t>[3.6] 3.8</w:t>
            </w:r>
          </w:p>
        </w:tc>
      </w:tr>
      <w:tr w:rsidR="00727648" w:rsidRPr="00D832E5" w14:paraId="5693E4D8" w14:textId="77777777" w:rsidTr="007D38F7">
        <w:trPr>
          <w:trHeight w:val="283"/>
          <w:jc w:val="center"/>
        </w:trPr>
        <w:tc>
          <w:tcPr>
            <w:tcW w:w="1012" w:type="pct"/>
            <w:tcMar>
              <w:top w:w="0" w:type="dxa"/>
              <w:left w:w="108" w:type="dxa"/>
              <w:bottom w:w="0" w:type="dxa"/>
              <w:right w:w="108" w:type="dxa"/>
            </w:tcMar>
            <w:vAlign w:val="center"/>
            <w:hideMark/>
          </w:tcPr>
          <w:p w14:paraId="5405F716" w14:textId="77777777" w:rsidR="00727648" w:rsidRPr="00D832E5" w:rsidRDefault="00727648" w:rsidP="007D38F7">
            <w:pPr>
              <w:jc w:val="left"/>
              <w:rPr>
                <w:rFonts w:eastAsia="Calibri"/>
                <w:sz w:val="20"/>
                <w:szCs w:val="20"/>
                <w:lang w:val="es-ES_tradnl"/>
                <w14:ligatures w14:val="standardContextual"/>
              </w:rPr>
            </w:pPr>
            <w:r>
              <w:rPr>
                <w:rFonts w:eastAsia="Calibri"/>
                <w:sz w:val="20"/>
                <w:szCs w:val="20"/>
                <w:lang w:val="es-ES_tradnl"/>
                <w14:ligatures w14:val="standardContextual"/>
              </w:rPr>
              <w:t>Todos los demás sectores</w:t>
            </w:r>
          </w:p>
        </w:tc>
        <w:tc>
          <w:tcPr>
            <w:tcW w:w="1012" w:type="pct"/>
            <w:tcMar>
              <w:top w:w="0" w:type="dxa"/>
              <w:left w:w="108" w:type="dxa"/>
              <w:bottom w:w="0" w:type="dxa"/>
              <w:right w:w="108" w:type="dxa"/>
            </w:tcMar>
            <w:vAlign w:val="center"/>
            <w:hideMark/>
          </w:tcPr>
          <w:p w14:paraId="03E4DF43" w14:textId="77777777" w:rsidR="00727648" w:rsidRPr="00D832E5" w:rsidRDefault="00727648" w:rsidP="007D38F7">
            <w:pPr>
              <w:jc w:val="center"/>
              <w:rPr>
                <w:rFonts w:eastAsia="Calibri"/>
                <w:sz w:val="20"/>
                <w:szCs w:val="20"/>
                <w:lang w:val="es-ES_tradnl"/>
                <w14:ligatures w14:val="standardContextual"/>
              </w:rPr>
            </w:pPr>
            <w:r w:rsidRPr="00D832E5">
              <w:rPr>
                <w:rFonts w:eastAsia="Calibri"/>
                <w:sz w:val="20"/>
                <w:szCs w:val="20"/>
                <w:lang w:val="es-ES_tradnl"/>
                <w14:ligatures w14:val="standardContextual"/>
              </w:rPr>
              <w:t>Caso a caso</w:t>
            </w:r>
          </w:p>
        </w:tc>
        <w:tc>
          <w:tcPr>
            <w:tcW w:w="1012" w:type="pct"/>
            <w:vAlign w:val="center"/>
          </w:tcPr>
          <w:p w14:paraId="7E55BFC3" w14:textId="77777777" w:rsidR="00727648" w:rsidRPr="00D832E5" w:rsidRDefault="00727648" w:rsidP="007D38F7">
            <w:pPr>
              <w:jc w:val="center"/>
              <w:rPr>
                <w:rFonts w:eastAsia="Calibri"/>
                <w:sz w:val="20"/>
                <w:szCs w:val="20"/>
                <w:lang w:val="es-ES_tradnl"/>
                <w14:ligatures w14:val="standardContextual"/>
              </w:rPr>
            </w:pPr>
            <w:r w:rsidRPr="00D832E5">
              <w:rPr>
                <w:rFonts w:eastAsia="Calibri"/>
                <w:sz w:val="20"/>
                <w:szCs w:val="20"/>
                <w:lang w:val="es-ES_tradnl"/>
                <w14:ligatures w14:val="standardContextual"/>
              </w:rPr>
              <w:t>Caso a caso</w:t>
            </w:r>
          </w:p>
        </w:tc>
        <w:tc>
          <w:tcPr>
            <w:tcW w:w="1012" w:type="pct"/>
            <w:shd w:val="clear" w:color="auto" w:fill="FFFF00"/>
            <w:vAlign w:val="center"/>
          </w:tcPr>
          <w:p w14:paraId="3AAAA569" w14:textId="77777777" w:rsidR="00727648" w:rsidRPr="00D832E5" w:rsidRDefault="00727648" w:rsidP="007D38F7">
            <w:pPr>
              <w:jc w:val="center"/>
              <w:rPr>
                <w:rFonts w:eastAsia="Calibri"/>
                <w:sz w:val="20"/>
                <w:szCs w:val="20"/>
                <w:lang w:val="es-ES_tradnl"/>
                <w14:ligatures w14:val="standardContextual"/>
              </w:rPr>
            </w:pPr>
            <w:r w:rsidRPr="00D832E5">
              <w:rPr>
                <w:rFonts w:eastAsia="Calibri"/>
                <w:sz w:val="20"/>
                <w:szCs w:val="20"/>
                <w:lang w:val="es-ES_tradnl"/>
                <w14:ligatures w14:val="standardContextual"/>
              </w:rPr>
              <w:t>Caso a caso</w:t>
            </w:r>
          </w:p>
        </w:tc>
        <w:tc>
          <w:tcPr>
            <w:tcW w:w="953" w:type="pct"/>
            <w:vAlign w:val="center"/>
          </w:tcPr>
          <w:p w14:paraId="3F987381" w14:textId="77777777" w:rsidR="00727648" w:rsidRPr="00D832E5" w:rsidRDefault="00727648" w:rsidP="007D38F7">
            <w:pPr>
              <w:jc w:val="center"/>
              <w:rPr>
                <w:rFonts w:eastAsia="Calibri"/>
                <w:sz w:val="20"/>
                <w:szCs w:val="20"/>
                <w:lang w:val="es-ES_tradnl"/>
                <w14:ligatures w14:val="standardContextual"/>
              </w:rPr>
            </w:pPr>
            <w:r w:rsidRPr="00D832E5">
              <w:rPr>
                <w:rFonts w:eastAsia="Calibri"/>
                <w:sz w:val="20"/>
                <w:szCs w:val="20"/>
                <w:lang w:val="es-ES_tradnl"/>
                <w14:ligatures w14:val="standardContextual"/>
              </w:rPr>
              <w:t>Caso a caso</w:t>
            </w:r>
          </w:p>
        </w:tc>
      </w:tr>
    </w:tbl>
    <w:p w14:paraId="02BF092A" w14:textId="77777777" w:rsidR="00727648" w:rsidRPr="00D832E5" w:rsidRDefault="00727648" w:rsidP="00727648">
      <w:pPr>
        <w:ind w:left="709" w:right="789"/>
        <w:jc w:val="left"/>
        <w:rPr>
          <w:rFonts w:eastAsia="Calibri"/>
          <w:sz w:val="18"/>
          <w:szCs w:val="18"/>
          <w:lang w:val="es-ES_tradnl"/>
          <w14:ligatures w14:val="standardContextual"/>
        </w:rPr>
      </w:pPr>
      <w:r w:rsidRPr="00D832E5">
        <w:rPr>
          <w:rFonts w:eastAsia="Calibri"/>
          <w:sz w:val="18"/>
          <w:szCs w:val="18"/>
          <w:lang w:val="es-ES_tradnl"/>
          <w14:ligatures w14:val="standardContextual"/>
        </w:rPr>
        <w:t xml:space="preserve">* </w:t>
      </w:r>
      <w:r w:rsidRPr="00B32BD5">
        <w:rPr>
          <w:rFonts w:eastAsia="Calibri"/>
          <w:sz w:val="18"/>
          <w:szCs w:val="18"/>
          <w:lang w:val="es-ES_tradnl"/>
          <w14:ligatures w14:val="standardContextual"/>
        </w:rPr>
        <w:t xml:space="preserve">Para todos los sectores, </w:t>
      </w:r>
      <w:r w:rsidRPr="00A9392B">
        <w:rPr>
          <w:rFonts w:eastAsia="Calibri"/>
          <w:sz w:val="18"/>
          <w:szCs w:val="18"/>
          <w:lang w:val="es-ES_tradnl"/>
          <w14:ligatures w14:val="standardContextual"/>
        </w:rPr>
        <w:t>25%</w:t>
      </w:r>
      <w:r w:rsidRPr="00B32BD5">
        <w:rPr>
          <w:rFonts w:eastAsia="Calibri"/>
          <w:sz w:val="18"/>
          <w:szCs w:val="18"/>
          <w:lang w:val="es-ES_tradnl"/>
          <w14:ligatures w14:val="standardContextual"/>
        </w:rPr>
        <w:t xml:space="preserve"> sobre el umbral costo-beneficio para empresas con un consumo máximo de 15 </w:t>
      </w:r>
      <w:proofErr w:type="spellStart"/>
      <w:r w:rsidRPr="00B32BD5">
        <w:rPr>
          <w:rFonts w:eastAsia="Calibri"/>
          <w:sz w:val="18"/>
          <w:szCs w:val="18"/>
          <w:lang w:val="es-ES_tradnl"/>
          <w14:ligatures w14:val="standardContextual"/>
        </w:rPr>
        <w:t>tm</w:t>
      </w:r>
      <w:proofErr w:type="spellEnd"/>
      <w:r w:rsidRPr="00B32BD5">
        <w:rPr>
          <w:rFonts w:eastAsia="Calibri"/>
          <w:sz w:val="18"/>
          <w:szCs w:val="18"/>
          <w:lang w:val="es-ES_tradnl"/>
          <w14:ligatures w14:val="standardContextual"/>
        </w:rPr>
        <w:t xml:space="preserve">, según </w:t>
      </w:r>
      <w:r>
        <w:rPr>
          <w:rFonts w:eastAsia="Calibri"/>
          <w:sz w:val="18"/>
          <w:szCs w:val="18"/>
          <w:lang w:val="es-ES_tradnl"/>
          <w14:ligatures w14:val="standardContextual"/>
        </w:rPr>
        <w:t>la propuesta de condiciones hecha por la</w:t>
      </w:r>
      <w:r w:rsidRPr="00B32BD5">
        <w:rPr>
          <w:rFonts w:eastAsia="Calibri"/>
          <w:sz w:val="18"/>
          <w:szCs w:val="18"/>
          <w:lang w:val="es-ES_tradnl"/>
          <w14:ligatures w14:val="standardContextual"/>
        </w:rPr>
        <w:t xml:space="preserve"> Secretaría</w:t>
      </w:r>
      <w:r>
        <w:rPr>
          <w:rFonts w:eastAsia="Calibri"/>
          <w:sz w:val="18"/>
          <w:szCs w:val="18"/>
          <w:lang w:val="es-ES_tradnl"/>
          <w14:ligatures w14:val="standardContextual"/>
        </w:rPr>
        <w:t>.</w:t>
      </w:r>
    </w:p>
    <w:p w14:paraId="75CF49CD" w14:textId="77777777" w:rsidR="00727648" w:rsidRPr="00D832E5" w:rsidRDefault="00727648" w:rsidP="00727648">
      <w:pPr>
        <w:ind w:left="629" w:right="789"/>
        <w:jc w:val="left"/>
        <w:rPr>
          <w:rFonts w:eastAsia="Calibri"/>
          <w:sz w:val="18"/>
          <w:szCs w:val="18"/>
          <w:lang w:val="es-ES_tradnl"/>
          <w14:ligatures w14:val="standardContextual"/>
        </w:rPr>
      </w:pPr>
      <w:r w:rsidRPr="00D832E5">
        <w:rPr>
          <w:rFonts w:eastAsia="Calibri"/>
          <w:sz w:val="18"/>
          <w:szCs w:val="18"/>
          <w:lang w:val="es-ES_tradnl"/>
          <w14:ligatures w14:val="standardContextual"/>
        </w:rPr>
        <w:t xml:space="preserve">** </w:t>
      </w:r>
      <w:r w:rsidRPr="000F50E5">
        <w:rPr>
          <w:rFonts w:eastAsia="Calibri"/>
          <w:sz w:val="18"/>
          <w:szCs w:val="18"/>
          <w:lang w:val="es-ES_tradnl"/>
          <w14:ligatures w14:val="standardContextual"/>
        </w:rPr>
        <w:t xml:space="preserve">Las microempresas con un consumo menor a 1 </w:t>
      </w:r>
      <w:proofErr w:type="spellStart"/>
      <w:r w:rsidRPr="000F50E5">
        <w:rPr>
          <w:rFonts w:eastAsia="Calibri"/>
          <w:sz w:val="18"/>
          <w:szCs w:val="18"/>
          <w:lang w:val="es-ES_tradnl"/>
          <w14:ligatures w14:val="standardContextual"/>
        </w:rPr>
        <w:t>tm</w:t>
      </w:r>
      <w:proofErr w:type="spellEnd"/>
      <w:r w:rsidRPr="000F50E5">
        <w:rPr>
          <w:rFonts w:eastAsia="Calibri"/>
          <w:sz w:val="18"/>
          <w:szCs w:val="18"/>
          <w:lang w:val="es-ES_tradnl"/>
          <w14:ligatures w14:val="standardContextual"/>
        </w:rPr>
        <w:t xml:space="preserve"> que formen parte de un proyecto mayor podrán recibir hasta el doble del umbral acordado, siempre y cuando la relación costo-beneficio del proyecto </w:t>
      </w:r>
      <w:r>
        <w:rPr>
          <w:rFonts w:eastAsia="Calibri"/>
          <w:sz w:val="18"/>
          <w:szCs w:val="18"/>
          <w:lang w:val="es-ES_tradnl"/>
          <w14:ligatures w14:val="standardContextual"/>
        </w:rPr>
        <w:t>mayor esté dentro de los límites</w:t>
      </w:r>
      <w:r w:rsidRPr="000F50E5">
        <w:rPr>
          <w:rFonts w:eastAsia="Calibri"/>
          <w:sz w:val="18"/>
          <w:szCs w:val="18"/>
          <w:lang w:val="es-ES_tradnl"/>
          <w14:ligatures w14:val="standardContextual"/>
        </w:rPr>
        <w:t xml:space="preserve"> acordados para el sector.</w:t>
      </w:r>
    </w:p>
    <w:p w14:paraId="2C4F2A7F" w14:textId="77777777" w:rsidR="00727648" w:rsidRPr="00D832E5" w:rsidRDefault="00727648" w:rsidP="00727648">
      <w:pPr>
        <w:rPr>
          <w:lang w:val="es-ES_tradnl"/>
        </w:rPr>
      </w:pPr>
    </w:p>
    <w:p w14:paraId="741E1FA1" w14:textId="77777777" w:rsidR="00727648" w:rsidRPr="00D832E5" w:rsidRDefault="00727648" w:rsidP="00727648">
      <w:pPr>
        <w:spacing w:before="240" w:after="240"/>
        <w:ind w:left="709"/>
        <w:jc w:val="left"/>
        <w:rPr>
          <w:rFonts w:eastAsia="Calibri"/>
          <w:b/>
          <w:bCs/>
          <w:lang w:val="es-ES_tradnl"/>
          <w14:ligatures w14:val="standardContextual"/>
        </w:rPr>
      </w:pPr>
      <w:r w:rsidRPr="00D832E5">
        <w:rPr>
          <w:rFonts w:eastAsia="Calibri"/>
          <w:b/>
          <w:bCs/>
          <w:lang w:val="es-ES_tradnl"/>
          <w14:ligatures w14:val="standardContextual"/>
        </w:rPr>
        <w:t>Punto de partida</w:t>
      </w:r>
    </w:p>
    <w:p w14:paraId="42B046FE" w14:textId="77777777" w:rsidR="00727648" w:rsidRPr="00D832E5" w:rsidRDefault="00727648" w:rsidP="00727648">
      <w:pPr>
        <w:numPr>
          <w:ilvl w:val="0"/>
          <w:numId w:val="25"/>
        </w:numPr>
        <w:ind w:left="1134" w:hanging="425"/>
        <w:contextualSpacing/>
        <w:jc w:val="left"/>
        <w:rPr>
          <w:rFonts w:eastAsia="Calibri"/>
          <w:lang w:val="es-ES_tradnl"/>
          <w14:ligatures w14:val="standardContextual"/>
        </w:rPr>
      </w:pPr>
      <w:r w:rsidRPr="00D832E5">
        <w:rPr>
          <w:rFonts w:eastAsia="Calibri"/>
          <w:lang w:val="es-ES_tradnl"/>
          <w14:ligatures w14:val="standardContextual"/>
        </w:rPr>
        <w:t xml:space="preserve">Metodología: Según </w:t>
      </w:r>
      <w:r>
        <w:rPr>
          <w:rFonts w:eastAsia="Calibri"/>
          <w:lang w:val="es-ES_tradnl"/>
          <w14:ligatures w14:val="standardContextual"/>
        </w:rPr>
        <w:t>la decisión propuesta por Australia</w:t>
      </w:r>
    </w:p>
    <w:p w14:paraId="7FA06080" w14:textId="77777777" w:rsidR="00727648" w:rsidRPr="00D832E5" w:rsidRDefault="00727648" w:rsidP="00727648">
      <w:pPr>
        <w:numPr>
          <w:ilvl w:val="0"/>
          <w:numId w:val="25"/>
        </w:numPr>
        <w:ind w:left="1134" w:hanging="425"/>
        <w:contextualSpacing/>
        <w:jc w:val="left"/>
        <w:rPr>
          <w:rFonts w:eastAsia="Calibri"/>
          <w:lang w:val="es-ES_tradnl"/>
          <w14:ligatures w14:val="standardContextual"/>
        </w:rPr>
      </w:pPr>
      <w:r w:rsidRPr="00D832E5">
        <w:rPr>
          <w:rFonts w:eastAsia="Calibri"/>
          <w:lang w:val="es-ES_tradnl"/>
          <w14:ligatures w14:val="standardContextual"/>
        </w:rPr>
        <w:t>Consideración de uno o dos puntos de partida (</w:t>
      </w:r>
      <w:proofErr w:type="gramStart"/>
      <w:r w:rsidRPr="00D832E5">
        <w:rPr>
          <w:rFonts w:eastAsia="Calibri"/>
          <w:lang w:val="es-ES_tradnl"/>
          <w14:ligatures w14:val="standardContextual"/>
        </w:rPr>
        <w:t xml:space="preserve">uno </w:t>
      </w:r>
      <w:r>
        <w:rPr>
          <w:rFonts w:eastAsia="Calibri"/>
          <w:lang w:val="es-ES_tradnl"/>
          <w14:ligatures w14:val="standardContextual"/>
        </w:rPr>
        <w:t>para</w:t>
      </w:r>
      <w:r w:rsidRPr="00D832E5">
        <w:rPr>
          <w:rFonts w:eastAsia="Calibri"/>
          <w:lang w:val="es-ES_tradnl"/>
          <w14:ligatures w14:val="standardContextual"/>
        </w:rPr>
        <w:t xml:space="preserve"> fabricación y </w:t>
      </w:r>
      <w:r>
        <w:rPr>
          <w:rFonts w:eastAsia="Calibri"/>
          <w:lang w:val="es-ES_tradnl"/>
          <w14:ligatures w14:val="standardContextual"/>
        </w:rPr>
        <w:t>otro</w:t>
      </w:r>
      <w:r w:rsidRPr="00D832E5">
        <w:rPr>
          <w:rFonts w:eastAsia="Calibri"/>
          <w:lang w:val="es-ES_tradnl"/>
          <w14:ligatures w14:val="standardContextual"/>
        </w:rPr>
        <w:t xml:space="preserve"> para servicio técnico?</w:t>
      </w:r>
      <w:proofErr w:type="gramEnd"/>
      <w:r w:rsidRPr="00D832E5">
        <w:rPr>
          <w:rFonts w:eastAsia="Calibri"/>
          <w:lang w:val="es-ES_tradnl"/>
          <w14:ligatures w14:val="standardContextual"/>
        </w:rPr>
        <w:t>)</w:t>
      </w:r>
    </w:p>
    <w:p w14:paraId="46A313B9" w14:textId="77777777" w:rsidR="00727648" w:rsidRPr="00D832E5" w:rsidRDefault="00727648" w:rsidP="00727648">
      <w:pPr>
        <w:numPr>
          <w:ilvl w:val="0"/>
          <w:numId w:val="25"/>
        </w:numPr>
        <w:ind w:left="1134" w:hanging="425"/>
        <w:contextualSpacing/>
        <w:jc w:val="left"/>
        <w:rPr>
          <w:rFonts w:eastAsia="Calibri"/>
          <w:lang w:val="es-ES_tradnl"/>
          <w14:ligatures w14:val="standardContextual"/>
        </w:rPr>
      </w:pPr>
      <w:r>
        <w:rPr>
          <w:rFonts w:eastAsia="Calibri"/>
          <w:lang w:val="es-ES_tradnl"/>
          <w14:ligatures w14:val="standardContextual"/>
        </w:rPr>
        <w:t>Fórmula para el p</w:t>
      </w:r>
      <w:r w:rsidRPr="00D832E5">
        <w:rPr>
          <w:rFonts w:eastAsia="Calibri"/>
          <w:lang w:val="es-ES_tradnl"/>
          <w14:ligatures w14:val="standardContextual"/>
        </w:rPr>
        <w:t xml:space="preserve">unto de partida: </w:t>
      </w:r>
      <w:r>
        <w:rPr>
          <w:rFonts w:eastAsia="Calibri"/>
          <w:lang w:val="es-ES_tradnl"/>
          <w14:ligatures w14:val="standardContextual"/>
        </w:rPr>
        <w:t xml:space="preserve">Se posterga la </w:t>
      </w:r>
      <w:r w:rsidRPr="00470FF2">
        <w:rPr>
          <w:rFonts w:eastAsia="Calibri"/>
          <w:lang w:val="es-ES_tradnl"/>
          <w14:ligatures w14:val="standardContextual"/>
        </w:rPr>
        <w:t xml:space="preserve">discusión </w:t>
      </w:r>
      <w:r w:rsidRPr="00D832E5">
        <w:rPr>
          <w:rFonts w:eastAsia="Calibri"/>
          <w:lang w:val="es-ES_tradnl"/>
          <w14:ligatures w14:val="standardContextual"/>
        </w:rPr>
        <w:t xml:space="preserve">hasta </w:t>
      </w:r>
      <w:r>
        <w:rPr>
          <w:rFonts w:eastAsia="Calibri"/>
          <w:lang w:val="es-ES_tradnl"/>
          <w14:ligatures w14:val="standardContextual"/>
        </w:rPr>
        <w:t xml:space="preserve">la primera </w:t>
      </w:r>
      <w:r w:rsidRPr="00D832E5">
        <w:rPr>
          <w:rFonts w:eastAsia="Calibri"/>
          <w:lang w:val="es-ES_tradnl"/>
          <w14:ligatures w14:val="standardContextual"/>
        </w:rPr>
        <w:t xml:space="preserve">reunión </w:t>
      </w:r>
      <w:r>
        <w:rPr>
          <w:rFonts w:eastAsia="Calibri"/>
          <w:lang w:val="es-ES_tradnl"/>
          <w14:ligatures w14:val="standardContextual"/>
        </w:rPr>
        <w:t xml:space="preserve">del año </w:t>
      </w:r>
      <w:r w:rsidRPr="00D832E5">
        <w:rPr>
          <w:rFonts w:eastAsia="Calibri"/>
          <w:lang w:val="es-ES_tradnl"/>
          <w14:ligatures w14:val="standardContextual"/>
        </w:rPr>
        <w:t>2026</w:t>
      </w:r>
    </w:p>
    <w:p w14:paraId="7938788B" w14:textId="77777777" w:rsidR="00727648" w:rsidRPr="00D832E5" w:rsidRDefault="00727648" w:rsidP="00727648">
      <w:pPr>
        <w:jc w:val="left"/>
        <w:rPr>
          <w:lang w:val="es-ES_tradnl"/>
        </w:rPr>
      </w:pPr>
      <w:r w:rsidRPr="00D832E5">
        <w:rPr>
          <w:lang w:val="es-ES_tradnl"/>
        </w:rPr>
        <w:br w:type="page"/>
      </w:r>
    </w:p>
    <w:p w14:paraId="23D25F0A" w14:textId="77777777" w:rsidR="00FC01F5" w:rsidRPr="00727648" w:rsidRDefault="00FC01F5" w:rsidP="00FC01F5">
      <w:pPr>
        <w:rPr>
          <w:lang w:val="es-ES_tradnl"/>
        </w:rPr>
      </w:pPr>
    </w:p>
    <w:p w14:paraId="45A45F9E" w14:textId="32802480" w:rsidR="00D3342A" w:rsidRPr="00D832E5" w:rsidRDefault="00D3342A" w:rsidP="00D3342A">
      <w:pPr>
        <w:widowControl w:val="0"/>
        <w:spacing w:after="240"/>
        <w:jc w:val="center"/>
        <w:rPr>
          <w:b/>
          <w:bCs/>
          <w:lang w:val="es-ES_tradnl"/>
        </w:rPr>
      </w:pPr>
      <w:r w:rsidRPr="00D832E5">
        <w:rPr>
          <w:b/>
          <w:bCs/>
          <w:lang w:val="es-ES_tradnl"/>
        </w:rPr>
        <w:t xml:space="preserve">Anexo </w:t>
      </w:r>
      <w:r w:rsidRPr="00D832E5">
        <w:rPr>
          <w:b/>
          <w:lang w:val="es-ES_tradnl"/>
        </w:rPr>
        <w:t>I</w:t>
      </w:r>
      <w:r>
        <w:rPr>
          <w:b/>
          <w:lang w:val="es-ES_tradnl"/>
        </w:rPr>
        <w:t>II</w:t>
      </w:r>
    </w:p>
    <w:p w14:paraId="4DF50DFC" w14:textId="77777777" w:rsidR="00D3342A" w:rsidRPr="004B7D24" w:rsidRDefault="00D3342A" w:rsidP="00D3342A">
      <w:pPr>
        <w:spacing w:before="240" w:after="360"/>
        <w:jc w:val="center"/>
        <w:rPr>
          <w:rFonts w:eastAsia="Calibri"/>
          <w:b/>
          <w:bCs/>
          <w:caps/>
          <w:lang w:val="es-ES_tradnl"/>
        </w:rPr>
      </w:pPr>
      <w:r w:rsidRPr="004B7D24">
        <w:rPr>
          <w:rFonts w:eastAsia="Calibri"/>
          <w:b/>
          <w:bCs/>
          <w:caps/>
          <w:lang w:val="es-ES_tradnl"/>
        </w:rPr>
        <w:t>TEXTO TENTATIVO sobre PARÁMETROS DE COSTOS PARA LA REDUCCIÓN DE LOS HFC:</w:t>
      </w:r>
      <w:r w:rsidRPr="004B7D24">
        <w:rPr>
          <w:rFonts w:eastAsia="Calibri"/>
          <w:b/>
          <w:bCs/>
          <w:caps/>
          <w:lang w:val="es-ES_tradnl"/>
        </w:rPr>
        <w:br/>
        <w:t xml:space="preserve">PROPUESTA </w:t>
      </w:r>
      <w:r>
        <w:rPr>
          <w:rFonts w:eastAsia="Calibri"/>
          <w:b/>
          <w:bCs/>
          <w:caps/>
          <w:lang w:val="es-ES_tradnl"/>
        </w:rPr>
        <w:t xml:space="preserve">de </w:t>
      </w:r>
      <w:r w:rsidRPr="00DA4F19">
        <w:rPr>
          <w:rFonts w:eastAsia="Calibri"/>
          <w:b/>
          <w:bCs/>
          <w:caps/>
          <w:lang w:val="es-ES_tradnl"/>
        </w:rPr>
        <w:t>PAÍSES DEL ARTÍCULO 5</w:t>
      </w:r>
      <w:r>
        <w:rPr>
          <w:rFonts w:eastAsia="Calibri"/>
          <w:b/>
          <w:bCs/>
          <w:caps/>
          <w:lang w:val="es-ES_tradnl"/>
        </w:rPr>
        <w:t xml:space="preserve"> (</w:t>
      </w:r>
      <w:r w:rsidRPr="00592529">
        <w:rPr>
          <w:rFonts w:eastAsia="Calibri"/>
          <w:b/>
          <w:bCs/>
          <w:caps/>
          <w:lang w:val="es-ES_tradnl"/>
        </w:rPr>
        <w:t>28 DE MAYO DE 2024</w:t>
      </w:r>
      <w:r>
        <w:rPr>
          <w:rFonts w:eastAsia="Calibri"/>
          <w:b/>
          <w:bCs/>
          <w:caps/>
          <w:lang w:val="es-ES_tradnl"/>
        </w:rPr>
        <w:t>)</w:t>
      </w:r>
    </w:p>
    <w:tbl>
      <w:tblPr>
        <w:tblW w:w="12933" w:type="dxa"/>
        <w:jc w:val="center"/>
        <w:tblLook w:val="04A0" w:firstRow="1" w:lastRow="0" w:firstColumn="1" w:lastColumn="0" w:noHBand="0" w:noVBand="1"/>
      </w:tblPr>
      <w:tblGrid>
        <w:gridCol w:w="12933"/>
      </w:tblGrid>
      <w:tr w:rsidR="00D3342A" w:rsidRPr="00B032C8" w14:paraId="53C41A84" w14:textId="77777777" w:rsidTr="007D38F7">
        <w:trPr>
          <w:trHeight w:val="310"/>
          <w:jc w:val="center"/>
        </w:trPr>
        <w:tc>
          <w:tcPr>
            <w:tcW w:w="129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265CD4" w14:textId="77777777" w:rsidR="00D3342A" w:rsidRPr="00B032C8" w:rsidRDefault="00D3342A" w:rsidP="007D38F7">
            <w:pPr>
              <w:rPr>
                <w:color w:val="000000"/>
                <w:sz w:val="20"/>
                <w:szCs w:val="20"/>
                <w:lang w:val="es-ES_tradnl" w:eastAsia="en-IN"/>
              </w:rPr>
            </w:pPr>
            <w:r w:rsidRPr="00B032C8">
              <w:rPr>
                <w:color w:val="000000"/>
                <w:sz w:val="20"/>
                <w:szCs w:val="20"/>
                <w:lang w:val="es-ES_tradnl" w:eastAsia="en-IN"/>
              </w:rPr>
              <w:t xml:space="preserve"> </w:t>
            </w:r>
            <w:r>
              <w:rPr>
                <w:color w:val="000000"/>
                <w:sz w:val="20"/>
                <w:szCs w:val="20"/>
                <w:lang w:val="es-ES_tradnl" w:eastAsia="en-IN"/>
              </w:rPr>
              <w:t>Microempresas</w:t>
            </w:r>
            <w:r w:rsidRPr="00B032C8">
              <w:rPr>
                <w:color w:val="000000"/>
                <w:sz w:val="20"/>
                <w:szCs w:val="20"/>
                <w:lang w:val="es-ES_tradnl" w:eastAsia="en-IN"/>
              </w:rPr>
              <w:t xml:space="preserve"> (</w:t>
            </w:r>
            <w:r>
              <w:rPr>
                <w:color w:val="000000"/>
                <w:sz w:val="20"/>
                <w:szCs w:val="20"/>
                <w:lang w:val="es-ES_tradnl" w:eastAsia="en-IN"/>
              </w:rPr>
              <w:t>hasta</w:t>
            </w:r>
            <w:r w:rsidRPr="00B032C8">
              <w:rPr>
                <w:color w:val="000000"/>
                <w:sz w:val="20"/>
                <w:szCs w:val="20"/>
                <w:lang w:val="es-ES_tradnl" w:eastAsia="en-IN"/>
              </w:rPr>
              <w:t xml:space="preserve"> 1 </w:t>
            </w:r>
            <w:r>
              <w:rPr>
                <w:color w:val="000000"/>
                <w:sz w:val="20"/>
                <w:szCs w:val="20"/>
                <w:lang w:val="es-ES_tradnl" w:eastAsia="en-IN"/>
              </w:rPr>
              <w:t>ton</w:t>
            </w:r>
            <w:r w:rsidRPr="00B032C8">
              <w:rPr>
                <w:color w:val="000000"/>
                <w:sz w:val="20"/>
                <w:szCs w:val="20"/>
                <w:lang w:val="es-ES_tradnl" w:eastAsia="en-IN"/>
              </w:rPr>
              <w:t>.)</w:t>
            </w:r>
          </w:p>
        </w:tc>
      </w:tr>
      <w:tr w:rsidR="00D3342A" w:rsidRPr="00B032C8" w14:paraId="3EA634F9" w14:textId="77777777" w:rsidTr="007D38F7">
        <w:trPr>
          <w:trHeight w:val="310"/>
          <w:jc w:val="center"/>
        </w:trPr>
        <w:tc>
          <w:tcPr>
            <w:tcW w:w="12933" w:type="dxa"/>
            <w:tcBorders>
              <w:top w:val="nil"/>
              <w:left w:val="single" w:sz="4" w:space="0" w:color="auto"/>
              <w:bottom w:val="single" w:sz="4" w:space="0" w:color="auto"/>
              <w:right w:val="single" w:sz="4" w:space="0" w:color="auto"/>
            </w:tcBorders>
            <w:shd w:val="clear" w:color="auto" w:fill="auto"/>
            <w:noWrap/>
            <w:vAlign w:val="center"/>
            <w:hideMark/>
          </w:tcPr>
          <w:p w14:paraId="253A0A34" w14:textId="77777777" w:rsidR="00D3342A" w:rsidRPr="00B032C8" w:rsidRDefault="00D3342A" w:rsidP="007D38F7">
            <w:pPr>
              <w:rPr>
                <w:color w:val="000000"/>
                <w:sz w:val="20"/>
                <w:szCs w:val="20"/>
                <w:lang w:val="es-ES_tradnl" w:eastAsia="en-IN"/>
              </w:rPr>
            </w:pPr>
            <w:r w:rsidRPr="00B032C8">
              <w:rPr>
                <w:color w:val="000000"/>
                <w:sz w:val="20"/>
                <w:szCs w:val="20"/>
                <w:lang w:val="es-ES_tradnl" w:eastAsia="en-IN"/>
              </w:rPr>
              <w:t xml:space="preserve"> </w:t>
            </w:r>
            <w:r>
              <w:rPr>
                <w:color w:val="000000"/>
                <w:sz w:val="20"/>
                <w:szCs w:val="20"/>
                <w:lang w:val="es-ES_tradnl" w:eastAsia="en-IN"/>
              </w:rPr>
              <w:t>Pequeñas empresas</w:t>
            </w:r>
            <w:r w:rsidRPr="00B032C8">
              <w:rPr>
                <w:color w:val="000000"/>
                <w:sz w:val="20"/>
                <w:szCs w:val="20"/>
                <w:lang w:val="es-ES_tradnl" w:eastAsia="en-IN"/>
              </w:rPr>
              <w:t xml:space="preserve"> (&gt;1 </w:t>
            </w:r>
            <w:r>
              <w:rPr>
                <w:color w:val="000000"/>
                <w:sz w:val="20"/>
                <w:szCs w:val="20"/>
                <w:lang w:val="es-ES_tradnl" w:eastAsia="en-IN"/>
              </w:rPr>
              <w:t>a</w:t>
            </w:r>
            <w:r w:rsidRPr="00B032C8">
              <w:rPr>
                <w:color w:val="000000"/>
                <w:sz w:val="20"/>
                <w:szCs w:val="20"/>
                <w:lang w:val="es-ES_tradnl" w:eastAsia="en-IN"/>
              </w:rPr>
              <w:t xml:space="preserve"> </w:t>
            </w:r>
            <w:r w:rsidRPr="00040B0D">
              <w:rPr>
                <w:color w:val="000000"/>
                <w:sz w:val="20"/>
                <w:szCs w:val="20"/>
                <w:lang w:val="es-ES_tradnl" w:eastAsia="en-IN"/>
              </w:rPr>
              <w:t>&lt;=</w:t>
            </w:r>
            <w:r w:rsidRPr="00B032C8">
              <w:rPr>
                <w:color w:val="000000"/>
                <w:sz w:val="20"/>
                <w:szCs w:val="20"/>
                <w:lang w:val="es-ES_tradnl" w:eastAsia="en-IN"/>
              </w:rPr>
              <w:t xml:space="preserve">7 </w:t>
            </w:r>
            <w:proofErr w:type="spellStart"/>
            <w:r w:rsidRPr="00B032C8">
              <w:rPr>
                <w:color w:val="000000"/>
                <w:sz w:val="20"/>
                <w:szCs w:val="20"/>
                <w:lang w:val="es-ES_tradnl" w:eastAsia="en-IN"/>
              </w:rPr>
              <w:t>tons</w:t>
            </w:r>
            <w:proofErr w:type="spellEnd"/>
            <w:r w:rsidRPr="00B032C8">
              <w:rPr>
                <w:color w:val="000000"/>
                <w:sz w:val="20"/>
                <w:szCs w:val="20"/>
                <w:lang w:val="es-ES_tradnl" w:eastAsia="en-IN"/>
              </w:rPr>
              <w:t>.)</w:t>
            </w:r>
          </w:p>
        </w:tc>
      </w:tr>
      <w:tr w:rsidR="00D3342A" w:rsidRPr="00B032C8" w14:paraId="1DEF1C9D" w14:textId="77777777" w:rsidTr="007D38F7">
        <w:trPr>
          <w:trHeight w:val="310"/>
          <w:jc w:val="center"/>
        </w:trPr>
        <w:tc>
          <w:tcPr>
            <w:tcW w:w="12933" w:type="dxa"/>
            <w:tcBorders>
              <w:top w:val="nil"/>
              <w:left w:val="single" w:sz="4" w:space="0" w:color="auto"/>
              <w:bottom w:val="single" w:sz="4" w:space="0" w:color="auto"/>
              <w:right w:val="single" w:sz="4" w:space="0" w:color="auto"/>
            </w:tcBorders>
            <w:shd w:val="clear" w:color="auto" w:fill="auto"/>
            <w:noWrap/>
            <w:vAlign w:val="center"/>
            <w:hideMark/>
          </w:tcPr>
          <w:p w14:paraId="094B0442" w14:textId="77777777" w:rsidR="00D3342A" w:rsidRPr="00B032C8" w:rsidRDefault="00D3342A" w:rsidP="007D38F7">
            <w:pPr>
              <w:rPr>
                <w:color w:val="000000"/>
                <w:sz w:val="20"/>
                <w:szCs w:val="20"/>
                <w:lang w:val="es-ES_tradnl" w:eastAsia="en-IN"/>
              </w:rPr>
            </w:pPr>
            <w:r w:rsidRPr="00B032C8">
              <w:rPr>
                <w:color w:val="000000"/>
                <w:sz w:val="20"/>
                <w:szCs w:val="20"/>
                <w:lang w:val="es-ES_tradnl" w:eastAsia="en-IN"/>
              </w:rPr>
              <w:t xml:space="preserve"> </w:t>
            </w:r>
            <w:r>
              <w:rPr>
                <w:color w:val="000000"/>
                <w:sz w:val="20"/>
                <w:szCs w:val="20"/>
                <w:lang w:val="es-ES_tradnl" w:eastAsia="en-IN"/>
              </w:rPr>
              <w:t>Medianas empresas</w:t>
            </w:r>
            <w:r w:rsidRPr="00B032C8">
              <w:rPr>
                <w:color w:val="000000"/>
                <w:sz w:val="20"/>
                <w:szCs w:val="20"/>
                <w:lang w:val="es-ES_tradnl" w:eastAsia="en-IN"/>
              </w:rPr>
              <w:t xml:space="preserve"> (&gt;7 </w:t>
            </w:r>
            <w:r>
              <w:rPr>
                <w:color w:val="000000"/>
                <w:sz w:val="20"/>
                <w:szCs w:val="20"/>
                <w:lang w:val="es-ES_tradnl" w:eastAsia="en-IN"/>
              </w:rPr>
              <w:t xml:space="preserve">a </w:t>
            </w:r>
            <w:r w:rsidRPr="00040B0D">
              <w:rPr>
                <w:color w:val="000000"/>
                <w:sz w:val="20"/>
                <w:szCs w:val="20"/>
                <w:lang w:val="es-ES_tradnl" w:eastAsia="en-IN"/>
              </w:rPr>
              <w:t>&lt;=</w:t>
            </w:r>
            <w:r w:rsidRPr="00B032C8">
              <w:rPr>
                <w:color w:val="000000"/>
                <w:sz w:val="20"/>
                <w:szCs w:val="20"/>
                <w:lang w:val="es-ES_tradnl" w:eastAsia="en-IN"/>
              </w:rPr>
              <w:t xml:space="preserve">15 </w:t>
            </w:r>
            <w:proofErr w:type="spellStart"/>
            <w:r w:rsidRPr="00B032C8">
              <w:rPr>
                <w:color w:val="000000"/>
                <w:sz w:val="20"/>
                <w:szCs w:val="20"/>
                <w:lang w:val="es-ES_tradnl" w:eastAsia="en-IN"/>
              </w:rPr>
              <w:t>tons</w:t>
            </w:r>
            <w:proofErr w:type="spellEnd"/>
            <w:r w:rsidRPr="00B032C8">
              <w:rPr>
                <w:color w:val="000000"/>
                <w:sz w:val="20"/>
                <w:szCs w:val="20"/>
                <w:lang w:val="es-ES_tradnl" w:eastAsia="en-IN"/>
              </w:rPr>
              <w:t>.)</w:t>
            </w:r>
          </w:p>
        </w:tc>
      </w:tr>
      <w:tr w:rsidR="00D3342A" w:rsidRPr="00B032C8" w14:paraId="4681E7EA" w14:textId="77777777" w:rsidTr="007D38F7">
        <w:trPr>
          <w:trHeight w:val="310"/>
          <w:jc w:val="center"/>
        </w:trPr>
        <w:tc>
          <w:tcPr>
            <w:tcW w:w="12933" w:type="dxa"/>
            <w:tcBorders>
              <w:top w:val="nil"/>
              <w:left w:val="single" w:sz="4" w:space="0" w:color="auto"/>
              <w:bottom w:val="single" w:sz="4" w:space="0" w:color="auto"/>
              <w:right w:val="single" w:sz="4" w:space="0" w:color="auto"/>
            </w:tcBorders>
            <w:shd w:val="clear" w:color="auto" w:fill="auto"/>
            <w:noWrap/>
            <w:vAlign w:val="center"/>
            <w:hideMark/>
          </w:tcPr>
          <w:p w14:paraId="79297532" w14:textId="77777777" w:rsidR="00D3342A" w:rsidRPr="00B032C8" w:rsidRDefault="00D3342A" w:rsidP="007D38F7">
            <w:pPr>
              <w:rPr>
                <w:color w:val="000000"/>
                <w:sz w:val="20"/>
                <w:szCs w:val="20"/>
                <w:lang w:val="es-ES_tradnl" w:eastAsia="en-IN"/>
              </w:rPr>
            </w:pPr>
            <w:r w:rsidRPr="00B032C8">
              <w:rPr>
                <w:color w:val="000000"/>
                <w:sz w:val="20"/>
                <w:szCs w:val="20"/>
                <w:lang w:val="es-ES_tradnl" w:eastAsia="en-IN"/>
              </w:rPr>
              <w:t xml:space="preserve"> </w:t>
            </w:r>
            <w:r>
              <w:rPr>
                <w:color w:val="000000"/>
                <w:sz w:val="20"/>
                <w:szCs w:val="20"/>
                <w:lang w:val="es-ES_tradnl" w:eastAsia="en-IN"/>
              </w:rPr>
              <w:t>Grandes empresas</w:t>
            </w:r>
            <w:r w:rsidRPr="00B032C8">
              <w:rPr>
                <w:color w:val="000000"/>
                <w:sz w:val="20"/>
                <w:szCs w:val="20"/>
                <w:lang w:val="es-ES_tradnl" w:eastAsia="en-IN"/>
              </w:rPr>
              <w:t xml:space="preserve"> (&gt;15 </w:t>
            </w:r>
            <w:proofErr w:type="spellStart"/>
            <w:r w:rsidRPr="00B032C8">
              <w:rPr>
                <w:color w:val="000000"/>
                <w:sz w:val="20"/>
                <w:szCs w:val="20"/>
                <w:lang w:val="es-ES_tradnl" w:eastAsia="en-IN"/>
              </w:rPr>
              <w:t>tons</w:t>
            </w:r>
            <w:proofErr w:type="spellEnd"/>
            <w:r w:rsidRPr="00B032C8">
              <w:rPr>
                <w:color w:val="000000"/>
                <w:sz w:val="20"/>
                <w:szCs w:val="20"/>
                <w:lang w:val="es-ES_tradnl" w:eastAsia="en-IN"/>
              </w:rPr>
              <w:t>.)</w:t>
            </w:r>
          </w:p>
        </w:tc>
      </w:tr>
    </w:tbl>
    <w:tbl>
      <w:tblPr>
        <w:tblStyle w:val="TableGrid"/>
        <w:tblpPr w:leftFromText="180" w:rightFromText="180" w:vertAnchor="text" w:tblpXSpec="center" w:tblpY="1"/>
        <w:tblOverlap w:val="never"/>
        <w:tblW w:w="12925" w:type="dxa"/>
        <w:tblLook w:val="04A0" w:firstRow="1" w:lastRow="0" w:firstColumn="1" w:lastColumn="0" w:noHBand="0" w:noVBand="1"/>
      </w:tblPr>
      <w:tblGrid>
        <w:gridCol w:w="2498"/>
        <w:gridCol w:w="2146"/>
        <w:gridCol w:w="1879"/>
        <w:gridCol w:w="2042"/>
        <w:gridCol w:w="1863"/>
        <w:gridCol w:w="2497"/>
      </w:tblGrid>
      <w:tr w:rsidR="00D3342A" w:rsidRPr="00B032C8" w14:paraId="7FDBBBB1" w14:textId="77777777" w:rsidTr="007D38F7">
        <w:trPr>
          <w:trHeight w:val="405"/>
        </w:trPr>
        <w:tc>
          <w:tcPr>
            <w:tcW w:w="2498" w:type="dxa"/>
            <w:vAlign w:val="center"/>
          </w:tcPr>
          <w:p w14:paraId="00AAD374" w14:textId="77777777" w:rsidR="00D3342A" w:rsidRPr="00B032C8" w:rsidRDefault="00D3342A" w:rsidP="007D38F7">
            <w:pPr>
              <w:rPr>
                <w:sz w:val="20"/>
                <w:szCs w:val="20"/>
                <w:lang w:val="es-ES_tradnl"/>
              </w:rPr>
            </w:pPr>
            <w:r w:rsidRPr="00B032C8">
              <w:rPr>
                <w:b/>
                <w:bCs/>
                <w:sz w:val="20"/>
                <w:szCs w:val="20"/>
                <w:lang w:val="es-ES_tradnl"/>
              </w:rPr>
              <w:t xml:space="preserve">Sector </w:t>
            </w:r>
          </w:p>
        </w:tc>
        <w:tc>
          <w:tcPr>
            <w:tcW w:w="2146" w:type="dxa"/>
            <w:vAlign w:val="center"/>
          </w:tcPr>
          <w:p w14:paraId="347EBBA5" w14:textId="77777777" w:rsidR="00D3342A" w:rsidRPr="00B032C8" w:rsidRDefault="00D3342A" w:rsidP="007D38F7">
            <w:pPr>
              <w:jc w:val="center"/>
              <w:rPr>
                <w:b/>
                <w:bCs/>
                <w:sz w:val="20"/>
                <w:szCs w:val="20"/>
                <w:lang w:val="es-ES_tradnl"/>
              </w:rPr>
            </w:pPr>
            <w:r>
              <w:rPr>
                <w:b/>
                <w:bCs/>
                <w:sz w:val="20"/>
                <w:szCs w:val="20"/>
                <w:lang w:val="es-ES_tradnl"/>
              </w:rPr>
              <w:t>Microempresas</w:t>
            </w:r>
          </w:p>
          <w:p w14:paraId="7CF16CC0" w14:textId="77777777" w:rsidR="00D3342A" w:rsidRPr="00B032C8" w:rsidRDefault="00D3342A" w:rsidP="007D38F7">
            <w:pPr>
              <w:jc w:val="center"/>
              <w:rPr>
                <w:b/>
                <w:bCs/>
                <w:sz w:val="20"/>
                <w:szCs w:val="20"/>
                <w:lang w:val="es-ES_tradnl"/>
              </w:rPr>
            </w:pPr>
            <w:r w:rsidRPr="00B032C8">
              <w:rPr>
                <w:b/>
                <w:bCs/>
                <w:sz w:val="20"/>
                <w:szCs w:val="20"/>
                <w:lang w:val="es-ES_tradnl"/>
              </w:rPr>
              <w:t>($EUA)</w:t>
            </w:r>
          </w:p>
        </w:tc>
        <w:tc>
          <w:tcPr>
            <w:tcW w:w="1879" w:type="dxa"/>
            <w:vAlign w:val="center"/>
          </w:tcPr>
          <w:p w14:paraId="54E5F5DA" w14:textId="77777777" w:rsidR="00D3342A" w:rsidRPr="00B032C8" w:rsidRDefault="00D3342A" w:rsidP="007D38F7">
            <w:pPr>
              <w:jc w:val="center"/>
              <w:rPr>
                <w:b/>
                <w:bCs/>
                <w:sz w:val="20"/>
                <w:szCs w:val="20"/>
                <w:lang w:val="es-ES_tradnl"/>
              </w:rPr>
            </w:pPr>
            <w:r>
              <w:rPr>
                <w:b/>
                <w:bCs/>
                <w:sz w:val="20"/>
                <w:szCs w:val="20"/>
                <w:lang w:val="es-ES_tradnl"/>
              </w:rPr>
              <w:t>Pequeñas empresas</w:t>
            </w:r>
          </w:p>
          <w:p w14:paraId="1515843D" w14:textId="77777777" w:rsidR="00D3342A" w:rsidRPr="00B032C8" w:rsidRDefault="00D3342A" w:rsidP="007D38F7">
            <w:pPr>
              <w:jc w:val="center"/>
              <w:rPr>
                <w:b/>
                <w:bCs/>
                <w:sz w:val="20"/>
                <w:szCs w:val="20"/>
                <w:lang w:val="es-ES_tradnl"/>
              </w:rPr>
            </w:pPr>
            <w:r w:rsidRPr="00B032C8">
              <w:rPr>
                <w:b/>
                <w:bCs/>
                <w:sz w:val="20"/>
                <w:szCs w:val="20"/>
                <w:lang w:val="es-ES_tradnl"/>
              </w:rPr>
              <w:t>($EUA)</w:t>
            </w:r>
          </w:p>
        </w:tc>
        <w:tc>
          <w:tcPr>
            <w:tcW w:w="2042" w:type="dxa"/>
            <w:vAlign w:val="center"/>
          </w:tcPr>
          <w:p w14:paraId="757EDC0B" w14:textId="77777777" w:rsidR="00D3342A" w:rsidRPr="00B032C8" w:rsidRDefault="00D3342A" w:rsidP="007D38F7">
            <w:pPr>
              <w:jc w:val="center"/>
              <w:rPr>
                <w:b/>
                <w:bCs/>
                <w:sz w:val="20"/>
                <w:szCs w:val="20"/>
                <w:lang w:val="es-ES_tradnl"/>
              </w:rPr>
            </w:pPr>
            <w:r>
              <w:rPr>
                <w:b/>
                <w:bCs/>
                <w:sz w:val="20"/>
                <w:szCs w:val="20"/>
                <w:lang w:val="es-ES_tradnl"/>
              </w:rPr>
              <w:t>Medianas empresas</w:t>
            </w:r>
            <w:r w:rsidRPr="00B032C8">
              <w:rPr>
                <w:b/>
                <w:bCs/>
                <w:sz w:val="20"/>
                <w:szCs w:val="20"/>
                <w:lang w:val="es-ES_tradnl"/>
              </w:rPr>
              <w:t xml:space="preserve"> ($EUA)</w:t>
            </w:r>
          </w:p>
        </w:tc>
        <w:tc>
          <w:tcPr>
            <w:tcW w:w="1863" w:type="dxa"/>
            <w:vAlign w:val="center"/>
          </w:tcPr>
          <w:p w14:paraId="1ECC8191" w14:textId="77777777" w:rsidR="00D3342A" w:rsidRPr="00B032C8" w:rsidRDefault="00D3342A" w:rsidP="007D38F7">
            <w:pPr>
              <w:jc w:val="center"/>
              <w:rPr>
                <w:b/>
                <w:bCs/>
                <w:sz w:val="20"/>
                <w:szCs w:val="20"/>
                <w:lang w:val="es-ES_tradnl"/>
              </w:rPr>
            </w:pPr>
            <w:r>
              <w:rPr>
                <w:b/>
                <w:bCs/>
                <w:sz w:val="20"/>
                <w:szCs w:val="20"/>
                <w:lang w:val="es-ES_tradnl"/>
              </w:rPr>
              <w:t>Grandes empresas</w:t>
            </w:r>
          </w:p>
          <w:p w14:paraId="26935CFD" w14:textId="77777777" w:rsidR="00D3342A" w:rsidRPr="00B032C8" w:rsidRDefault="00D3342A" w:rsidP="007D38F7">
            <w:pPr>
              <w:jc w:val="center"/>
              <w:rPr>
                <w:b/>
                <w:bCs/>
                <w:sz w:val="20"/>
                <w:szCs w:val="20"/>
                <w:lang w:val="es-ES_tradnl"/>
              </w:rPr>
            </w:pPr>
            <w:r w:rsidRPr="00B032C8">
              <w:rPr>
                <w:b/>
                <w:bCs/>
                <w:sz w:val="20"/>
                <w:szCs w:val="20"/>
                <w:lang w:val="es-ES_tradnl"/>
              </w:rPr>
              <w:t>($EUA)</w:t>
            </w:r>
            <w:r w:rsidRPr="00B032C8">
              <w:rPr>
                <w:rStyle w:val="FootnoteReference"/>
                <w:rFonts w:eastAsia="Calibri"/>
                <w:b/>
                <w:bCs/>
                <w:sz w:val="20"/>
                <w:szCs w:val="20"/>
                <w:lang w:val="es-ES_tradnl"/>
              </w:rPr>
              <w:footnoteReference w:id="25"/>
            </w:r>
          </w:p>
        </w:tc>
        <w:tc>
          <w:tcPr>
            <w:tcW w:w="2497" w:type="dxa"/>
            <w:vAlign w:val="center"/>
          </w:tcPr>
          <w:p w14:paraId="7E630A0F" w14:textId="77777777" w:rsidR="00D3342A" w:rsidRPr="00B032C8" w:rsidRDefault="00D3342A" w:rsidP="007D38F7">
            <w:pPr>
              <w:jc w:val="center"/>
              <w:rPr>
                <w:b/>
                <w:bCs/>
                <w:sz w:val="20"/>
                <w:szCs w:val="20"/>
                <w:lang w:val="es-ES_tradnl"/>
              </w:rPr>
            </w:pPr>
            <w:r w:rsidRPr="00B032C8">
              <w:rPr>
                <w:b/>
                <w:bCs/>
                <w:sz w:val="20"/>
                <w:szCs w:val="20"/>
                <w:lang w:val="es-ES_tradnl"/>
              </w:rPr>
              <w:t>Sobrecostos de operación</w:t>
            </w:r>
          </w:p>
          <w:p w14:paraId="3885CB79" w14:textId="77777777" w:rsidR="00D3342A" w:rsidRPr="00B032C8" w:rsidRDefault="00D3342A" w:rsidP="007D38F7">
            <w:pPr>
              <w:jc w:val="center"/>
              <w:rPr>
                <w:b/>
                <w:bCs/>
                <w:sz w:val="20"/>
                <w:szCs w:val="20"/>
                <w:lang w:val="es-ES_tradnl"/>
              </w:rPr>
            </w:pPr>
            <w:r w:rsidRPr="00B032C8">
              <w:rPr>
                <w:b/>
                <w:bCs/>
                <w:sz w:val="20"/>
                <w:szCs w:val="20"/>
                <w:lang w:val="es-ES_tradnl"/>
              </w:rPr>
              <w:t>($EUA)</w:t>
            </w:r>
            <w:r w:rsidRPr="00B032C8">
              <w:rPr>
                <w:b/>
                <w:bCs/>
                <w:sz w:val="20"/>
                <w:szCs w:val="20"/>
                <w:vertAlign w:val="superscript"/>
                <w:lang w:val="es-ES_tradnl"/>
              </w:rPr>
              <w:t>2</w:t>
            </w:r>
            <w:r>
              <w:rPr>
                <w:b/>
                <w:bCs/>
                <w:sz w:val="20"/>
                <w:szCs w:val="20"/>
                <w:vertAlign w:val="superscript"/>
                <w:lang w:val="es-ES_tradnl"/>
              </w:rPr>
              <w:t>6</w:t>
            </w:r>
          </w:p>
        </w:tc>
      </w:tr>
      <w:tr w:rsidR="00D3342A" w:rsidRPr="00B032C8" w14:paraId="53C2752D" w14:textId="77777777" w:rsidTr="007D38F7">
        <w:tc>
          <w:tcPr>
            <w:tcW w:w="2498" w:type="dxa"/>
            <w:vAlign w:val="center"/>
          </w:tcPr>
          <w:p w14:paraId="2BBC743B" w14:textId="77777777" w:rsidR="00D3342A" w:rsidRPr="00B032C8" w:rsidRDefault="00D3342A" w:rsidP="007D38F7">
            <w:pPr>
              <w:jc w:val="left"/>
              <w:rPr>
                <w:sz w:val="20"/>
                <w:szCs w:val="20"/>
                <w:lang w:val="es-ES_tradnl"/>
              </w:rPr>
            </w:pPr>
            <w:r w:rsidRPr="00B032C8">
              <w:rPr>
                <w:sz w:val="20"/>
                <w:szCs w:val="20"/>
                <w:highlight w:val="green"/>
                <w:lang w:val="es-ES_tradnl"/>
              </w:rPr>
              <w:t>Refrigeración residencial</w:t>
            </w:r>
          </w:p>
        </w:tc>
        <w:tc>
          <w:tcPr>
            <w:tcW w:w="2146" w:type="dxa"/>
            <w:vAlign w:val="center"/>
          </w:tcPr>
          <w:p w14:paraId="77C3C9E1" w14:textId="77777777" w:rsidR="00D3342A" w:rsidRPr="00B032C8" w:rsidRDefault="00D3342A" w:rsidP="007D38F7">
            <w:pPr>
              <w:jc w:val="center"/>
              <w:rPr>
                <w:sz w:val="20"/>
                <w:szCs w:val="20"/>
                <w:lang w:val="es-ES_tradnl"/>
              </w:rPr>
            </w:pPr>
            <w:r w:rsidRPr="00B032C8">
              <w:rPr>
                <w:sz w:val="20"/>
                <w:szCs w:val="20"/>
                <w:lang w:val="es-ES_tradnl"/>
              </w:rPr>
              <w:t>75</w:t>
            </w:r>
            <w:r>
              <w:rPr>
                <w:sz w:val="20"/>
                <w:szCs w:val="20"/>
                <w:lang w:val="es-ES_tradnl"/>
              </w:rPr>
              <w:t>.</w:t>
            </w:r>
            <w:r w:rsidRPr="00B032C8">
              <w:rPr>
                <w:sz w:val="20"/>
                <w:szCs w:val="20"/>
                <w:lang w:val="es-ES_tradnl"/>
              </w:rPr>
              <w:t>000</w:t>
            </w:r>
          </w:p>
        </w:tc>
        <w:tc>
          <w:tcPr>
            <w:tcW w:w="1879" w:type="dxa"/>
            <w:vAlign w:val="center"/>
          </w:tcPr>
          <w:p w14:paraId="2D24C3C3" w14:textId="77777777" w:rsidR="00D3342A" w:rsidRPr="00B032C8" w:rsidRDefault="00D3342A" w:rsidP="007D38F7">
            <w:pPr>
              <w:jc w:val="center"/>
              <w:rPr>
                <w:sz w:val="20"/>
                <w:szCs w:val="20"/>
                <w:lang w:val="es-ES_tradnl"/>
              </w:rPr>
            </w:pPr>
            <w:r w:rsidRPr="00B032C8">
              <w:rPr>
                <w:sz w:val="20"/>
                <w:szCs w:val="20"/>
                <w:lang w:val="es-ES_tradnl"/>
              </w:rPr>
              <w:t>85</w:t>
            </w:r>
            <w:r>
              <w:rPr>
                <w:sz w:val="20"/>
                <w:szCs w:val="20"/>
                <w:lang w:val="es-ES_tradnl"/>
              </w:rPr>
              <w:t>.</w:t>
            </w:r>
            <w:r w:rsidRPr="00B032C8">
              <w:rPr>
                <w:sz w:val="20"/>
                <w:szCs w:val="20"/>
                <w:lang w:val="es-ES_tradnl"/>
              </w:rPr>
              <w:t>000</w:t>
            </w:r>
          </w:p>
        </w:tc>
        <w:tc>
          <w:tcPr>
            <w:tcW w:w="2042" w:type="dxa"/>
            <w:vAlign w:val="center"/>
          </w:tcPr>
          <w:p w14:paraId="7676CF9A" w14:textId="77777777" w:rsidR="00D3342A" w:rsidRPr="00B032C8" w:rsidRDefault="00D3342A" w:rsidP="007D38F7">
            <w:pPr>
              <w:jc w:val="center"/>
              <w:rPr>
                <w:sz w:val="20"/>
                <w:szCs w:val="20"/>
                <w:highlight w:val="green"/>
                <w:lang w:val="es-ES_tradnl"/>
              </w:rPr>
            </w:pPr>
            <w:r w:rsidRPr="00B032C8">
              <w:rPr>
                <w:sz w:val="20"/>
                <w:szCs w:val="20"/>
                <w:highlight w:val="green"/>
                <w:lang w:val="es-ES_tradnl"/>
              </w:rPr>
              <w:t>13.76</w:t>
            </w:r>
          </w:p>
        </w:tc>
        <w:tc>
          <w:tcPr>
            <w:tcW w:w="1863" w:type="dxa"/>
            <w:vAlign w:val="center"/>
          </w:tcPr>
          <w:p w14:paraId="470736E3" w14:textId="77777777" w:rsidR="00D3342A" w:rsidRPr="00B032C8" w:rsidRDefault="00D3342A" w:rsidP="007D38F7">
            <w:pPr>
              <w:jc w:val="center"/>
              <w:rPr>
                <w:sz w:val="20"/>
                <w:szCs w:val="20"/>
                <w:highlight w:val="green"/>
                <w:lang w:val="es-ES_tradnl"/>
              </w:rPr>
            </w:pPr>
            <w:r w:rsidRPr="00B032C8">
              <w:rPr>
                <w:sz w:val="20"/>
                <w:szCs w:val="20"/>
                <w:highlight w:val="green"/>
                <w:lang w:val="es-ES_tradnl"/>
              </w:rPr>
              <w:t>13.76</w:t>
            </w:r>
          </w:p>
        </w:tc>
        <w:tc>
          <w:tcPr>
            <w:tcW w:w="2497" w:type="dxa"/>
            <w:vAlign w:val="center"/>
          </w:tcPr>
          <w:p w14:paraId="7AD18AB0" w14:textId="77777777" w:rsidR="00D3342A" w:rsidRPr="00B032C8" w:rsidRDefault="00D3342A" w:rsidP="007D38F7">
            <w:pPr>
              <w:jc w:val="center"/>
              <w:rPr>
                <w:sz w:val="20"/>
                <w:szCs w:val="20"/>
                <w:lang w:val="es-ES_tradnl"/>
              </w:rPr>
            </w:pPr>
            <w:r w:rsidRPr="00B032C8">
              <w:rPr>
                <w:sz w:val="20"/>
                <w:szCs w:val="20"/>
                <w:lang w:val="es-ES_tradnl"/>
              </w:rPr>
              <w:t>15.00</w:t>
            </w:r>
          </w:p>
        </w:tc>
      </w:tr>
      <w:tr w:rsidR="00D3342A" w:rsidRPr="00B032C8" w14:paraId="54EBEB3F" w14:textId="77777777" w:rsidTr="007D38F7">
        <w:tc>
          <w:tcPr>
            <w:tcW w:w="2498" w:type="dxa"/>
            <w:vAlign w:val="center"/>
          </w:tcPr>
          <w:p w14:paraId="66162745" w14:textId="77777777" w:rsidR="00D3342A" w:rsidRPr="00B032C8" w:rsidRDefault="00D3342A" w:rsidP="007D38F7">
            <w:pPr>
              <w:jc w:val="left"/>
              <w:rPr>
                <w:sz w:val="20"/>
                <w:szCs w:val="20"/>
                <w:lang w:val="es-ES_tradnl"/>
              </w:rPr>
            </w:pPr>
            <w:r w:rsidRPr="00B032C8">
              <w:rPr>
                <w:sz w:val="20"/>
                <w:szCs w:val="20"/>
                <w:lang w:val="es-ES_tradnl"/>
              </w:rPr>
              <w:t>Refrigeración comercial</w:t>
            </w:r>
          </w:p>
        </w:tc>
        <w:tc>
          <w:tcPr>
            <w:tcW w:w="2146" w:type="dxa"/>
            <w:vAlign w:val="center"/>
          </w:tcPr>
          <w:p w14:paraId="7AED7FCB" w14:textId="77777777" w:rsidR="00D3342A" w:rsidRPr="00B032C8" w:rsidRDefault="00D3342A" w:rsidP="007D38F7">
            <w:pPr>
              <w:jc w:val="center"/>
              <w:rPr>
                <w:sz w:val="20"/>
                <w:szCs w:val="20"/>
                <w:lang w:val="es-ES_tradnl"/>
              </w:rPr>
            </w:pPr>
            <w:r w:rsidRPr="00B032C8">
              <w:rPr>
                <w:sz w:val="20"/>
                <w:szCs w:val="20"/>
                <w:lang w:val="es-ES_tradnl"/>
              </w:rPr>
              <w:t>75</w:t>
            </w:r>
            <w:r>
              <w:rPr>
                <w:sz w:val="20"/>
                <w:szCs w:val="20"/>
                <w:lang w:val="es-ES_tradnl"/>
              </w:rPr>
              <w:t>.</w:t>
            </w:r>
            <w:r w:rsidRPr="00B032C8">
              <w:rPr>
                <w:sz w:val="20"/>
                <w:szCs w:val="20"/>
                <w:lang w:val="es-ES_tradnl"/>
              </w:rPr>
              <w:t>000</w:t>
            </w:r>
          </w:p>
        </w:tc>
        <w:tc>
          <w:tcPr>
            <w:tcW w:w="1879" w:type="dxa"/>
            <w:vAlign w:val="center"/>
          </w:tcPr>
          <w:p w14:paraId="044C8703" w14:textId="77777777" w:rsidR="00D3342A" w:rsidRPr="00B032C8" w:rsidRDefault="00D3342A" w:rsidP="007D38F7">
            <w:pPr>
              <w:jc w:val="center"/>
              <w:rPr>
                <w:sz w:val="20"/>
                <w:szCs w:val="20"/>
                <w:lang w:val="es-ES_tradnl"/>
              </w:rPr>
            </w:pPr>
            <w:r w:rsidRPr="00B032C8">
              <w:rPr>
                <w:sz w:val="20"/>
                <w:szCs w:val="20"/>
                <w:lang w:val="es-ES_tradnl"/>
              </w:rPr>
              <w:t>85</w:t>
            </w:r>
            <w:r>
              <w:rPr>
                <w:sz w:val="20"/>
                <w:szCs w:val="20"/>
                <w:lang w:val="es-ES_tradnl"/>
              </w:rPr>
              <w:t>.</w:t>
            </w:r>
            <w:r w:rsidRPr="00B032C8">
              <w:rPr>
                <w:sz w:val="20"/>
                <w:szCs w:val="20"/>
                <w:lang w:val="es-ES_tradnl"/>
              </w:rPr>
              <w:t>000</w:t>
            </w:r>
          </w:p>
        </w:tc>
        <w:tc>
          <w:tcPr>
            <w:tcW w:w="2042" w:type="dxa"/>
            <w:vAlign w:val="center"/>
          </w:tcPr>
          <w:p w14:paraId="06E41FBD" w14:textId="77777777" w:rsidR="00D3342A" w:rsidRPr="00B032C8" w:rsidRDefault="00D3342A" w:rsidP="007D38F7">
            <w:pPr>
              <w:jc w:val="center"/>
              <w:rPr>
                <w:sz w:val="20"/>
                <w:szCs w:val="20"/>
                <w:lang w:val="es-ES_tradnl"/>
              </w:rPr>
            </w:pPr>
            <w:r w:rsidRPr="00B032C8">
              <w:rPr>
                <w:sz w:val="20"/>
                <w:szCs w:val="20"/>
                <w:lang w:val="es-ES_tradnl"/>
              </w:rPr>
              <w:t>18.00</w:t>
            </w:r>
          </w:p>
        </w:tc>
        <w:tc>
          <w:tcPr>
            <w:tcW w:w="1863" w:type="dxa"/>
            <w:vAlign w:val="center"/>
          </w:tcPr>
          <w:p w14:paraId="78A23820" w14:textId="77777777" w:rsidR="00D3342A" w:rsidRPr="00B032C8" w:rsidRDefault="00D3342A" w:rsidP="007D38F7">
            <w:pPr>
              <w:jc w:val="center"/>
              <w:rPr>
                <w:sz w:val="20"/>
                <w:szCs w:val="20"/>
                <w:lang w:val="es-ES_tradnl"/>
              </w:rPr>
            </w:pPr>
            <w:r w:rsidRPr="00B032C8">
              <w:rPr>
                <w:sz w:val="20"/>
                <w:szCs w:val="20"/>
                <w:lang w:val="es-ES_tradnl"/>
              </w:rPr>
              <w:t>18.00</w:t>
            </w:r>
          </w:p>
        </w:tc>
        <w:tc>
          <w:tcPr>
            <w:tcW w:w="2497" w:type="dxa"/>
            <w:vAlign w:val="center"/>
          </w:tcPr>
          <w:p w14:paraId="025012BF" w14:textId="77777777" w:rsidR="00D3342A" w:rsidRPr="00B032C8" w:rsidRDefault="00D3342A" w:rsidP="007D38F7">
            <w:pPr>
              <w:jc w:val="center"/>
              <w:rPr>
                <w:sz w:val="20"/>
                <w:szCs w:val="20"/>
                <w:lang w:val="es-ES_tradnl"/>
              </w:rPr>
            </w:pPr>
            <w:r w:rsidRPr="00B032C8">
              <w:rPr>
                <w:sz w:val="20"/>
                <w:szCs w:val="20"/>
                <w:lang w:val="es-ES_tradnl"/>
              </w:rPr>
              <w:t>15.00</w:t>
            </w:r>
          </w:p>
        </w:tc>
      </w:tr>
      <w:tr w:rsidR="00D3342A" w:rsidRPr="00B032C8" w14:paraId="0FA1BC41" w14:textId="77777777" w:rsidTr="007D38F7">
        <w:trPr>
          <w:trHeight w:val="478"/>
        </w:trPr>
        <w:tc>
          <w:tcPr>
            <w:tcW w:w="2498" w:type="dxa"/>
            <w:vAlign w:val="center"/>
          </w:tcPr>
          <w:p w14:paraId="79ACC320" w14:textId="77777777" w:rsidR="00D3342A" w:rsidRPr="00B032C8" w:rsidRDefault="00D3342A" w:rsidP="007D38F7">
            <w:pPr>
              <w:jc w:val="left"/>
              <w:rPr>
                <w:sz w:val="20"/>
                <w:szCs w:val="20"/>
                <w:lang w:val="es-ES_tradnl"/>
              </w:rPr>
            </w:pPr>
            <w:r w:rsidRPr="00B032C8">
              <w:rPr>
                <w:sz w:val="20"/>
                <w:szCs w:val="20"/>
                <w:lang w:val="es-ES_tradnl"/>
              </w:rPr>
              <w:t xml:space="preserve">Equipos estacionarios de </w:t>
            </w:r>
            <w:r>
              <w:rPr>
                <w:sz w:val="20"/>
                <w:szCs w:val="20"/>
                <w:lang w:val="es-ES_tradnl"/>
              </w:rPr>
              <w:t>climatización residencial</w:t>
            </w:r>
          </w:p>
        </w:tc>
        <w:tc>
          <w:tcPr>
            <w:tcW w:w="2146" w:type="dxa"/>
            <w:vAlign w:val="center"/>
          </w:tcPr>
          <w:p w14:paraId="73C6A167" w14:textId="77777777" w:rsidR="00D3342A" w:rsidRPr="00B032C8" w:rsidRDefault="00D3342A" w:rsidP="007D38F7">
            <w:pPr>
              <w:jc w:val="center"/>
              <w:rPr>
                <w:sz w:val="20"/>
                <w:szCs w:val="20"/>
                <w:lang w:val="es-ES_tradnl"/>
              </w:rPr>
            </w:pPr>
            <w:r w:rsidRPr="00B032C8">
              <w:rPr>
                <w:sz w:val="20"/>
                <w:szCs w:val="20"/>
                <w:lang w:val="es-ES_tradnl"/>
              </w:rPr>
              <w:t>85</w:t>
            </w:r>
            <w:r>
              <w:rPr>
                <w:sz w:val="20"/>
                <w:szCs w:val="20"/>
                <w:lang w:val="es-ES_tradnl"/>
              </w:rPr>
              <w:t>.</w:t>
            </w:r>
            <w:r w:rsidRPr="00B032C8">
              <w:rPr>
                <w:sz w:val="20"/>
                <w:szCs w:val="20"/>
                <w:lang w:val="es-ES_tradnl"/>
              </w:rPr>
              <w:t>000</w:t>
            </w:r>
          </w:p>
        </w:tc>
        <w:tc>
          <w:tcPr>
            <w:tcW w:w="1879" w:type="dxa"/>
            <w:vAlign w:val="center"/>
          </w:tcPr>
          <w:p w14:paraId="262AD326" w14:textId="77777777" w:rsidR="00D3342A" w:rsidRPr="00B032C8" w:rsidRDefault="00D3342A" w:rsidP="007D38F7">
            <w:pPr>
              <w:jc w:val="center"/>
              <w:rPr>
                <w:sz w:val="20"/>
                <w:szCs w:val="20"/>
                <w:lang w:val="es-ES_tradnl"/>
              </w:rPr>
            </w:pPr>
            <w:r w:rsidRPr="00B032C8">
              <w:rPr>
                <w:sz w:val="20"/>
                <w:szCs w:val="20"/>
                <w:lang w:val="es-ES_tradnl"/>
              </w:rPr>
              <w:t>105</w:t>
            </w:r>
            <w:r>
              <w:rPr>
                <w:sz w:val="20"/>
                <w:szCs w:val="20"/>
                <w:lang w:val="es-ES_tradnl"/>
              </w:rPr>
              <w:t>.</w:t>
            </w:r>
            <w:r w:rsidRPr="00B032C8">
              <w:rPr>
                <w:sz w:val="20"/>
                <w:szCs w:val="20"/>
                <w:lang w:val="es-ES_tradnl"/>
              </w:rPr>
              <w:t>000</w:t>
            </w:r>
          </w:p>
        </w:tc>
        <w:tc>
          <w:tcPr>
            <w:tcW w:w="2042" w:type="dxa"/>
            <w:vAlign w:val="center"/>
          </w:tcPr>
          <w:p w14:paraId="53F30D7A" w14:textId="77777777" w:rsidR="00D3342A" w:rsidRPr="00B032C8" w:rsidRDefault="00D3342A" w:rsidP="007D38F7">
            <w:pPr>
              <w:jc w:val="center"/>
              <w:rPr>
                <w:sz w:val="20"/>
                <w:szCs w:val="20"/>
                <w:lang w:val="es-ES_tradnl"/>
              </w:rPr>
            </w:pPr>
            <w:r w:rsidRPr="00B032C8">
              <w:rPr>
                <w:sz w:val="20"/>
                <w:szCs w:val="20"/>
                <w:lang w:val="es-ES_tradnl"/>
              </w:rPr>
              <w:t>16.00</w:t>
            </w:r>
          </w:p>
        </w:tc>
        <w:tc>
          <w:tcPr>
            <w:tcW w:w="1863" w:type="dxa"/>
            <w:vAlign w:val="center"/>
          </w:tcPr>
          <w:p w14:paraId="2E58F5C3" w14:textId="77777777" w:rsidR="00D3342A" w:rsidRPr="00B032C8" w:rsidRDefault="00D3342A" w:rsidP="007D38F7">
            <w:pPr>
              <w:jc w:val="center"/>
              <w:rPr>
                <w:sz w:val="20"/>
                <w:szCs w:val="20"/>
                <w:lang w:val="es-ES_tradnl"/>
              </w:rPr>
            </w:pPr>
            <w:r w:rsidRPr="00B032C8">
              <w:rPr>
                <w:sz w:val="20"/>
                <w:szCs w:val="20"/>
                <w:lang w:val="es-ES_tradnl"/>
              </w:rPr>
              <w:t>16.00</w:t>
            </w:r>
          </w:p>
        </w:tc>
        <w:tc>
          <w:tcPr>
            <w:tcW w:w="2497" w:type="dxa"/>
            <w:vAlign w:val="center"/>
          </w:tcPr>
          <w:p w14:paraId="25D8F7A8" w14:textId="77777777" w:rsidR="00D3342A" w:rsidRPr="00B032C8" w:rsidRDefault="00D3342A" w:rsidP="007D38F7">
            <w:pPr>
              <w:jc w:val="center"/>
              <w:rPr>
                <w:sz w:val="20"/>
                <w:szCs w:val="20"/>
                <w:lang w:val="es-ES_tradnl"/>
              </w:rPr>
            </w:pPr>
            <w:r w:rsidRPr="00B032C8">
              <w:rPr>
                <w:sz w:val="20"/>
                <w:szCs w:val="20"/>
                <w:lang w:val="es-ES_tradnl"/>
              </w:rPr>
              <w:t>24.00</w:t>
            </w:r>
          </w:p>
        </w:tc>
      </w:tr>
      <w:tr w:rsidR="00D3342A" w:rsidRPr="00B032C8" w14:paraId="35F13C78" w14:textId="77777777" w:rsidTr="007D38F7">
        <w:tc>
          <w:tcPr>
            <w:tcW w:w="2498" w:type="dxa"/>
            <w:vAlign w:val="center"/>
          </w:tcPr>
          <w:p w14:paraId="4ABFC362" w14:textId="77777777" w:rsidR="00D3342A" w:rsidRPr="00B032C8" w:rsidRDefault="00D3342A" w:rsidP="007D38F7">
            <w:pPr>
              <w:jc w:val="left"/>
              <w:rPr>
                <w:sz w:val="20"/>
                <w:szCs w:val="20"/>
                <w:lang w:val="es-ES_tradnl"/>
              </w:rPr>
            </w:pPr>
            <w:r w:rsidRPr="00B032C8">
              <w:rPr>
                <w:sz w:val="20"/>
                <w:szCs w:val="20"/>
                <w:lang w:val="es-ES_tradnl"/>
              </w:rPr>
              <w:t xml:space="preserve">Equipos estacionarios de </w:t>
            </w:r>
            <w:r>
              <w:rPr>
                <w:sz w:val="20"/>
                <w:szCs w:val="20"/>
                <w:lang w:val="es-ES_tradnl"/>
              </w:rPr>
              <w:t>climatización comercial</w:t>
            </w:r>
            <w:r w:rsidRPr="00B032C8">
              <w:rPr>
                <w:sz w:val="20"/>
                <w:szCs w:val="20"/>
                <w:lang w:val="es-ES_tradnl"/>
              </w:rPr>
              <w:t xml:space="preserve"> </w:t>
            </w:r>
          </w:p>
        </w:tc>
        <w:tc>
          <w:tcPr>
            <w:tcW w:w="2146" w:type="dxa"/>
            <w:vAlign w:val="center"/>
          </w:tcPr>
          <w:p w14:paraId="39B7622A" w14:textId="77777777" w:rsidR="00D3342A" w:rsidRPr="00B032C8" w:rsidRDefault="00D3342A" w:rsidP="007D38F7">
            <w:pPr>
              <w:jc w:val="center"/>
              <w:rPr>
                <w:sz w:val="20"/>
                <w:szCs w:val="20"/>
                <w:lang w:val="es-ES_tradnl"/>
              </w:rPr>
            </w:pPr>
            <w:r w:rsidRPr="00B032C8">
              <w:rPr>
                <w:sz w:val="20"/>
                <w:szCs w:val="20"/>
                <w:lang w:val="es-ES_tradnl"/>
              </w:rPr>
              <w:t>Caso a caso</w:t>
            </w:r>
          </w:p>
        </w:tc>
        <w:tc>
          <w:tcPr>
            <w:tcW w:w="1879" w:type="dxa"/>
            <w:vAlign w:val="center"/>
          </w:tcPr>
          <w:p w14:paraId="4B3DBDBF" w14:textId="77777777" w:rsidR="00D3342A" w:rsidRPr="00B032C8" w:rsidRDefault="00D3342A" w:rsidP="007D38F7">
            <w:pPr>
              <w:jc w:val="center"/>
              <w:rPr>
                <w:sz w:val="20"/>
                <w:szCs w:val="20"/>
                <w:lang w:val="es-ES_tradnl"/>
              </w:rPr>
            </w:pPr>
            <w:r w:rsidRPr="00B032C8">
              <w:rPr>
                <w:sz w:val="20"/>
                <w:szCs w:val="20"/>
                <w:lang w:val="es-ES_tradnl"/>
              </w:rPr>
              <w:t>Caso a caso</w:t>
            </w:r>
          </w:p>
        </w:tc>
        <w:tc>
          <w:tcPr>
            <w:tcW w:w="2042" w:type="dxa"/>
            <w:vAlign w:val="center"/>
          </w:tcPr>
          <w:p w14:paraId="1AA53616" w14:textId="77777777" w:rsidR="00D3342A" w:rsidRPr="00B032C8" w:rsidRDefault="00D3342A" w:rsidP="007D38F7">
            <w:pPr>
              <w:jc w:val="center"/>
              <w:rPr>
                <w:sz w:val="20"/>
                <w:szCs w:val="20"/>
                <w:lang w:val="es-ES_tradnl"/>
              </w:rPr>
            </w:pPr>
            <w:r w:rsidRPr="00B032C8">
              <w:rPr>
                <w:sz w:val="20"/>
                <w:szCs w:val="20"/>
                <w:lang w:val="es-ES_tradnl"/>
              </w:rPr>
              <w:t>18.00</w:t>
            </w:r>
          </w:p>
        </w:tc>
        <w:tc>
          <w:tcPr>
            <w:tcW w:w="1863" w:type="dxa"/>
            <w:vAlign w:val="center"/>
          </w:tcPr>
          <w:p w14:paraId="4F189A78" w14:textId="77777777" w:rsidR="00D3342A" w:rsidRPr="00B032C8" w:rsidRDefault="00D3342A" w:rsidP="007D38F7">
            <w:pPr>
              <w:jc w:val="center"/>
              <w:rPr>
                <w:sz w:val="20"/>
                <w:szCs w:val="20"/>
                <w:lang w:val="es-ES_tradnl"/>
              </w:rPr>
            </w:pPr>
            <w:r w:rsidRPr="00B032C8">
              <w:rPr>
                <w:sz w:val="20"/>
                <w:szCs w:val="20"/>
                <w:lang w:val="es-ES_tradnl"/>
              </w:rPr>
              <w:t>18.00</w:t>
            </w:r>
          </w:p>
        </w:tc>
        <w:tc>
          <w:tcPr>
            <w:tcW w:w="2497" w:type="dxa"/>
            <w:vAlign w:val="center"/>
          </w:tcPr>
          <w:p w14:paraId="7DEADB6F" w14:textId="77777777" w:rsidR="00D3342A" w:rsidRPr="00B032C8" w:rsidRDefault="00D3342A" w:rsidP="007D38F7">
            <w:pPr>
              <w:jc w:val="center"/>
              <w:rPr>
                <w:sz w:val="20"/>
                <w:szCs w:val="20"/>
                <w:lang w:val="es-ES_tradnl"/>
              </w:rPr>
            </w:pPr>
            <w:r w:rsidRPr="00B032C8">
              <w:rPr>
                <w:sz w:val="20"/>
                <w:szCs w:val="20"/>
                <w:lang w:val="es-ES_tradnl"/>
              </w:rPr>
              <w:t>15.00</w:t>
            </w:r>
          </w:p>
        </w:tc>
      </w:tr>
      <w:tr w:rsidR="00D3342A" w:rsidRPr="00B032C8" w14:paraId="560B73A8" w14:textId="77777777" w:rsidTr="007D38F7">
        <w:tc>
          <w:tcPr>
            <w:tcW w:w="2498" w:type="dxa"/>
            <w:vAlign w:val="center"/>
          </w:tcPr>
          <w:p w14:paraId="02A986EA" w14:textId="77777777" w:rsidR="00D3342A" w:rsidRPr="00B032C8" w:rsidRDefault="00D3342A" w:rsidP="007D38F7">
            <w:pPr>
              <w:jc w:val="left"/>
              <w:rPr>
                <w:sz w:val="20"/>
                <w:szCs w:val="20"/>
                <w:lang w:val="es-ES_tradnl"/>
              </w:rPr>
            </w:pPr>
            <w:r>
              <w:rPr>
                <w:sz w:val="20"/>
                <w:szCs w:val="20"/>
                <w:lang w:val="es-ES_tradnl"/>
              </w:rPr>
              <w:t>Refrigeración industrial y transporte refrigerado</w:t>
            </w:r>
          </w:p>
        </w:tc>
        <w:tc>
          <w:tcPr>
            <w:tcW w:w="2146" w:type="dxa"/>
            <w:vAlign w:val="center"/>
          </w:tcPr>
          <w:p w14:paraId="3CA95EC7" w14:textId="77777777" w:rsidR="00D3342A" w:rsidRPr="00B032C8" w:rsidRDefault="00D3342A" w:rsidP="007D38F7">
            <w:pPr>
              <w:jc w:val="center"/>
              <w:rPr>
                <w:sz w:val="20"/>
                <w:szCs w:val="20"/>
                <w:lang w:val="es-ES_tradnl"/>
              </w:rPr>
            </w:pPr>
            <w:r w:rsidRPr="00B032C8">
              <w:rPr>
                <w:sz w:val="20"/>
                <w:szCs w:val="20"/>
                <w:lang w:val="es-ES_tradnl"/>
              </w:rPr>
              <w:t>Caso a caso</w:t>
            </w:r>
          </w:p>
        </w:tc>
        <w:tc>
          <w:tcPr>
            <w:tcW w:w="1879" w:type="dxa"/>
            <w:vAlign w:val="center"/>
          </w:tcPr>
          <w:p w14:paraId="48A5D2BC" w14:textId="77777777" w:rsidR="00D3342A" w:rsidRPr="00B032C8" w:rsidRDefault="00D3342A" w:rsidP="007D38F7">
            <w:pPr>
              <w:jc w:val="center"/>
              <w:rPr>
                <w:sz w:val="20"/>
                <w:szCs w:val="20"/>
                <w:lang w:val="es-ES_tradnl"/>
              </w:rPr>
            </w:pPr>
            <w:r w:rsidRPr="00B032C8">
              <w:rPr>
                <w:sz w:val="20"/>
                <w:szCs w:val="20"/>
                <w:lang w:val="es-ES_tradnl"/>
              </w:rPr>
              <w:t>Caso a caso</w:t>
            </w:r>
          </w:p>
        </w:tc>
        <w:tc>
          <w:tcPr>
            <w:tcW w:w="2042" w:type="dxa"/>
            <w:vAlign w:val="center"/>
          </w:tcPr>
          <w:p w14:paraId="1C9249FF" w14:textId="77777777" w:rsidR="00D3342A" w:rsidRPr="00B032C8" w:rsidRDefault="00D3342A" w:rsidP="007D38F7">
            <w:pPr>
              <w:jc w:val="center"/>
              <w:rPr>
                <w:sz w:val="20"/>
                <w:szCs w:val="20"/>
                <w:lang w:val="es-ES_tradnl"/>
              </w:rPr>
            </w:pPr>
            <w:r w:rsidRPr="00B032C8">
              <w:rPr>
                <w:sz w:val="20"/>
                <w:szCs w:val="20"/>
                <w:lang w:val="es-ES_tradnl"/>
              </w:rPr>
              <w:t>Caso a caso</w:t>
            </w:r>
          </w:p>
        </w:tc>
        <w:tc>
          <w:tcPr>
            <w:tcW w:w="1863" w:type="dxa"/>
            <w:vAlign w:val="center"/>
          </w:tcPr>
          <w:p w14:paraId="332D6AFE" w14:textId="77777777" w:rsidR="00D3342A" w:rsidRPr="00B032C8" w:rsidRDefault="00D3342A" w:rsidP="007D38F7">
            <w:pPr>
              <w:jc w:val="center"/>
              <w:rPr>
                <w:sz w:val="20"/>
                <w:szCs w:val="20"/>
                <w:lang w:val="es-ES_tradnl"/>
              </w:rPr>
            </w:pPr>
            <w:r w:rsidRPr="00B032C8">
              <w:rPr>
                <w:sz w:val="20"/>
                <w:szCs w:val="20"/>
                <w:lang w:val="es-ES_tradnl"/>
              </w:rPr>
              <w:t>Caso a caso</w:t>
            </w:r>
          </w:p>
        </w:tc>
        <w:tc>
          <w:tcPr>
            <w:tcW w:w="2497" w:type="dxa"/>
            <w:vAlign w:val="center"/>
          </w:tcPr>
          <w:p w14:paraId="706E6451" w14:textId="77777777" w:rsidR="00D3342A" w:rsidRPr="00B032C8" w:rsidRDefault="00D3342A" w:rsidP="007D38F7">
            <w:pPr>
              <w:jc w:val="center"/>
              <w:rPr>
                <w:sz w:val="20"/>
                <w:szCs w:val="20"/>
                <w:lang w:val="es-ES_tradnl"/>
              </w:rPr>
            </w:pPr>
            <w:r w:rsidRPr="00B032C8">
              <w:rPr>
                <w:sz w:val="20"/>
                <w:szCs w:val="20"/>
                <w:lang w:val="es-ES_tradnl"/>
              </w:rPr>
              <w:t>Caso a caso</w:t>
            </w:r>
          </w:p>
        </w:tc>
      </w:tr>
      <w:tr w:rsidR="00D3342A" w:rsidRPr="00B032C8" w14:paraId="7B82BBB3" w14:textId="77777777" w:rsidTr="007D38F7">
        <w:trPr>
          <w:trHeight w:val="283"/>
        </w:trPr>
        <w:tc>
          <w:tcPr>
            <w:tcW w:w="2498" w:type="dxa"/>
            <w:vAlign w:val="center"/>
          </w:tcPr>
          <w:p w14:paraId="1060D42B" w14:textId="77777777" w:rsidR="00D3342A" w:rsidRPr="00B032C8" w:rsidRDefault="00D3342A" w:rsidP="007D38F7">
            <w:pPr>
              <w:jc w:val="left"/>
              <w:rPr>
                <w:sz w:val="20"/>
                <w:szCs w:val="20"/>
                <w:lang w:val="es-ES_tradnl"/>
              </w:rPr>
            </w:pPr>
            <w:r>
              <w:rPr>
                <w:sz w:val="20"/>
                <w:szCs w:val="20"/>
                <w:highlight w:val="green"/>
                <w:lang w:val="es-ES_tradnl"/>
              </w:rPr>
              <w:t>Espumas de poliuretano</w:t>
            </w:r>
          </w:p>
        </w:tc>
        <w:tc>
          <w:tcPr>
            <w:tcW w:w="2146" w:type="dxa"/>
            <w:vAlign w:val="center"/>
          </w:tcPr>
          <w:p w14:paraId="6DB82AD1" w14:textId="77777777" w:rsidR="00D3342A" w:rsidRPr="00B032C8" w:rsidRDefault="00D3342A" w:rsidP="007D38F7">
            <w:pPr>
              <w:jc w:val="center"/>
              <w:rPr>
                <w:sz w:val="20"/>
                <w:szCs w:val="20"/>
                <w:lang w:val="es-ES_tradnl"/>
              </w:rPr>
            </w:pPr>
            <w:r w:rsidRPr="00B032C8">
              <w:rPr>
                <w:sz w:val="20"/>
                <w:szCs w:val="20"/>
                <w:lang w:val="es-ES_tradnl"/>
              </w:rPr>
              <w:t>14</w:t>
            </w:r>
          </w:p>
        </w:tc>
        <w:tc>
          <w:tcPr>
            <w:tcW w:w="1879" w:type="dxa"/>
            <w:vAlign w:val="center"/>
          </w:tcPr>
          <w:p w14:paraId="4D4F92C7" w14:textId="77777777" w:rsidR="00D3342A" w:rsidRPr="00B032C8" w:rsidRDefault="00D3342A" w:rsidP="007D38F7">
            <w:pPr>
              <w:jc w:val="center"/>
              <w:rPr>
                <w:sz w:val="20"/>
                <w:szCs w:val="20"/>
                <w:lang w:val="es-ES_tradnl"/>
              </w:rPr>
            </w:pPr>
            <w:r w:rsidRPr="00B032C8">
              <w:rPr>
                <w:sz w:val="20"/>
                <w:szCs w:val="20"/>
                <w:lang w:val="es-ES_tradnl"/>
              </w:rPr>
              <w:t>14</w:t>
            </w:r>
          </w:p>
        </w:tc>
        <w:tc>
          <w:tcPr>
            <w:tcW w:w="2042" w:type="dxa"/>
            <w:vAlign w:val="center"/>
          </w:tcPr>
          <w:p w14:paraId="00BECA11" w14:textId="77777777" w:rsidR="00D3342A" w:rsidRPr="00B032C8" w:rsidRDefault="00D3342A" w:rsidP="007D38F7">
            <w:pPr>
              <w:jc w:val="center"/>
              <w:rPr>
                <w:sz w:val="20"/>
                <w:szCs w:val="20"/>
                <w:highlight w:val="green"/>
                <w:lang w:val="es-ES_tradnl"/>
              </w:rPr>
            </w:pPr>
            <w:r w:rsidRPr="00B032C8">
              <w:rPr>
                <w:sz w:val="20"/>
                <w:szCs w:val="20"/>
                <w:highlight w:val="green"/>
                <w:lang w:val="es-ES_tradnl"/>
              </w:rPr>
              <w:t>9.0</w:t>
            </w:r>
          </w:p>
        </w:tc>
        <w:tc>
          <w:tcPr>
            <w:tcW w:w="1863" w:type="dxa"/>
            <w:vAlign w:val="center"/>
          </w:tcPr>
          <w:p w14:paraId="325AA5A0" w14:textId="77777777" w:rsidR="00D3342A" w:rsidRPr="00B032C8" w:rsidRDefault="00D3342A" w:rsidP="007D38F7">
            <w:pPr>
              <w:jc w:val="center"/>
              <w:rPr>
                <w:sz w:val="20"/>
                <w:szCs w:val="20"/>
                <w:highlight w:val="green"/>
                <w:lang w:val="es-ES_tradnl"/>
              </w:rPr>
            </w:pPr>
            <w:r w:rsidRPr="00B032C8">
              <w:rPr>
                <w:sz w:val="20"/>
                <w:szCs w:val="20"/>
                <w:highlight w:val="green"/>
                <w:lang w:val="es-ES_tradnl"/>
              </w:rPr>
              <w:t>9.00</w:t>
            </w:r>
          </w:p>
        </w:tc>
        <w:tc>
          <w:tcPr>
            <w:tcW w:w="2497" w:type="dxa"/>
            <w:vAlign w:val="center"/>
          </w:tcPr>
          <w:p w14:paraId="5A90AE7C" w14:textId="77777777" w:rsidR="00D3342A" w:rsidRPr="00B032C8" w:rsidRDefault="00D3342A" w:rsidP="007D38F7">
            <w:pPr>
              <w:jc w:val="center"/>
              <w:rPr>
                <w:sz w:val="20"/>
                <w:szCs w:val="20"/>
                <w:lang w:val="es-ES_tradnl"/>
              </w:rPr>
            </w:pPr>
            <w:r w:rsidRPr="00B032C8">
              <w:rPr>
                <w:sz w:val="20"/>
                <w:szCs w:val="20"/>
                <w:lang w:val="es-ES_tradnl"/>
              </w:rPr>
              <w:t>15.00</w:t>
            </w:r>
          </w:p>
        </w:tc>
      </w:tr>
      <w:tr w:rsidR="00D3342A" w:rsidRPr="00B032C8" w14:paraId="63A4901C" w14:textId="77777777" w:rsidTr="007D38F7">
        <w:tc>
          <w:tcPr>
            <w:tcW w:w="2498" w:type="dxa"/>
            <w:vAlign w:val="center"/>
          </w:tcPr>
          <w:p w14:paraId="6167B2B8" w14:textId="77777777" w:rsidR="00D3342A" w:rsidRPr="00B032C8" w:rsidRDefault="00D3342A" w:rsidP="007D38F7">
            <w:pPr>
              <w:jc w:val="left"/>
              <w:rPr>
                <w:sz w:val="20"/>
                <w:szCs w:val="20"/>
                <w:lang w:val="es-ES_tradnl"/>
              </w:rPr>
            </w:pPr>
            <w:r w:rsidRPr="00B032C8">
              <w:rPr>
                <w:sz w:val="20"/>
                <w:szCs w:val="20"/>
                <w:lang w:val="es-ES_tradnl"/>
              </w:rPr>
              <w:t>Todos los demás sectores</w:t>
            </w:r>
          </w:p>
        </w:tc>
        <w:tc>
          <w:tcPr>
            <w:tcW w:w="2146" w:type="dxa"/>
            <w:vAlign w:val="center"/>
          </w:tcPr>
          <w:p w14:paraId="62401DE0" w14:textId="77777777" w:rsidR="00D3342A" w:rsidRPr="00B032C8" w:rsidRDefault="00D3342A" w:rsidP="007D38F7">
            <w:pPr>
              <w:jc w:val="center"/>
              <w:rPr>
                <w:sz w:val="20"/>
                <w:szCs w:val="20"/>
                <w:lang w:val="es-ES_tradnl"/>
              </w:rPr>
            </w:pPr>
            <w:r w:rsidRPr="00B032C8">
              <w:rPr>
                <w:sz w:val="20"/>
                <w:szCs w:val="20"/>
                <w:lang w:val="es-ES_tradnl"/>
              </w:rPr>
              <w:t>Caso a caso</w:t>
            </w:r>
          </w:p>
        </w:tc>
        <w:tc>
          <w:tcPr>
            <w:tcW w:w="1879" w:type="dxa"/>
            <w:vAlign w:val="center"/>
          </w:tcPr>
          <w:p w14:paraId="50C6FCD4" w14:textId="77777777" w:rsidR="00D3342A" w:rsidRPr="00B032C8" w:rsidRDefault="00D3342A" w:rsidP="007D38F7">
            <w:pPr>
              <w:jc w:val="center"/>
              <w:rPr>
                <w:sz w:val="20"/>
                <w:szCs w:val="20"/>
                <w:lang w:val="es-ES_tradnl"/>
              </w:rPr>
            </w:pPr>
            <w:r w:rsidRPr="00B032C8">
              <w:rPr>
                <w:sz w:val="20"/>
                <w:szCs w:val="20"/>
                <w:lang w:val="es-ES_tradnl"/>
              </w:rPr>
              <w:t>Caso a caso</w:t>
            </w:r>
          </w:p>
        </w:tc>
        <w:tc>
          <w:tcPr>
            <w:tcW w:w="2042" w:type="dxa"/>
            <w:vAlign w:val="center"/>
          </w:tcPr>
          <w:p w14:paraId="7CDE44C7" w14:textId="77777777" w:rsidR="00D3342A" w:rsidRPr="00B032C8" w:rsidRDefault="00D3342A" w:rsidP="007D38F7">
            <w:pPr>
              <w:jc w:val="center"/>
              <w:rPr>
                <w:sz w:val="20"/>
                <w:szCs w:val="20"/>
                <w:lang w:val="es-ES_tradnl"/>
              </w:rPr>
            </w:pPr>
            <w:r w:rsidRPr="00B032C8">
              <w:rPr>
                <w:sz w:val="20"/>
                <w:szCs w:val="20"/>
                <w:lang w:val="es-ES_tradnl"/>
              </w:rPr>
              <w:t>Caso a caso</w:t>
            </w:r>
          </w:p>
        </w:tc>
        <w:tc>
          <w:tcPr>
            <w:tcW w:w="1863" w:type="dxa"/>
            <w:vAlign w:val="center"/>
          </w:tcPr>
          <w:p w14:paraId="7601787B" w14:textId="77777777" w:rsidR="00D3342A" w:rsidRPr="00B032C8" w:rsidRDefault="00D3342A" w:rsidP="007D38F7">
            <w:pPr>
              <w:jc w:val="center"/>
              <w:rPr>
                <w:sz w:val="20"/>
                <w:szCs w:val="20"/>
                <w:lang w:val="es-ES_tradnl"/>
              </w:rPr>
            </w:pPr>
            <w:r w:rsidRPr="00B032C8">
              <w:rPr>
                <w:sz w:val="20"/>
                <w:szCs w:val="20"/>
                <w:lang w:val="es-ES_tradnl"/>
              </w:rPr>
              <w:t>Caso a caso</w:t>
            </w:r>
          </w:p>
        </w:tc>
        <w:tc>
          <w:tcPr>
            <w:tcW w:w="2497" w:type="dxa"/>
            <w:vAlign w:val="center"/>
          </w:tcPr>
          <w:p w14:paraId="3177FFFE" w14:textId="77777777" w:rsidR="00D3342A" w:rsidRPr="00B032C8" w:rsidRDefault="00D3342A" w:rsidP="007D38F7">
            <w:pPr>
              <w:jc w:val="center"/>
              <w:rPr>
                <w:sz w:val="20"/>
                <w:szCs w:val="20"/>
                <w:lang w:val="es-ES_tradnl"/>
              </w:rPr>
            </w:pPr>
            <w:r w:rsidRPr="00B032C8">
              <w:rPr>
                <w:sz w:val="20"/>
                <w:szCs w:val="20"/>
                <w:lang w:val="es-ES_tradnl"/>
              </w:rPr>
              <w:t>Caso a caso</w:t>
            </w:r>
          </w:p>
        </w:tc>
      </w:tr>
    </w:tbl>
    <w:p w14:paraId="3B395E09" w14:textId="77777777" w:rsidR="00D3342A" w:rsidRPr="00B032C8" w:rsidRDefault="00D3342A" w:rsidP="00D3342A">
      <w:pPr>
        <w:rPr>
          <w:sz w:val="20"/>
          <w:szCs w:val="20"/>
          <w:lang w:val="es-ES_tradnl"/>
        </w:rPr>
      </w:pPr>
      <w:r w:rsidRPr="00B032C8">
        <w:rPr>
          <w:sz w:val="20"/>
          <w:szCs w:val="20"/>
          <w:lang w:val="es-ES_tradnl"/>
        </w:rPr>
        <w:br w:type="textWrapping" w:clear="all"/>
      </w:r>
    </w:p>
    <w:p w14:paraId="31FC5C42" w14:textId="77777777" w:rsidR="00FC01F5" w:rsidRDefault="00FC01F5" w:rsidP="00FC01F5"/>
    <w:p w14:paraId="396C28D8" w14:textId="77777777" w:rsidR="00FC01F5" w:rsidRDefault="00FC01F5" w:rsidP="00FC01F5"/>
    <w:p w14:paraId="0567AA48" w14:textId="77777777" w:rsidR="00FC01F5" w:rsidRDefault="00FC01F5" w:rsidP="00FC01F5">
      <w:pPr>
        <w:sectPr w:rsidR="00FC01F5" w:rsidSect="00A46382">
          <w:headerReference w:type="even" r:id="rId22"/>
          <w:headerReference w:type="default" r:id="rId23"/>
          <w:footnotePr>
            <w:numRestart w:val="eachSect"/>
          </w:footnotePr>
          <w:pgSz w:w="15840" w:h="12240" w:orient="landscape" w:code="1"/>
          <w:pgMar w:top="1440" w:right="720" w:bottom="1440" w:left="864" w:header="720" w:footer="475" w:gutter="0"/>
          <w:pgNumType w:start="1"/>
          <w:cols w:space="720"/>
          <w:docGrid w:linePitch="299"/>
        </w:sectPr>
      </w:pPr>
    </w:p>
    <w:p w14:paraId="1C21EB17" w14:textId="27293DC6" w:rsidR="008D1E76" w:rsidRDefault="008D1E76" w:rsidP="008D1E76">
      <w:pPr>
        <w:widowControl w:val="0"/>
        <w:spacing w:after="240"/>
        <w:jc w:val="center"/>
        <w:rPr>
          <w:b/>
          <w:bCs/>
          <w:lang w:val="es-ES_tradnl"/>
        </w:rPr>
      </w:pPr>
      <w:r w:rsidRPr="00D832E5">
        <w:rPr>
          <w:b/>
          <w:bCs/>
          <w:lang w:val="es-ES_tradnl"/>
        </w:rPr>
        <w:lastRenderedPageBreak/>
        <w:t xml:space="preserve">Anexo </w:t>
      </w:r>
      <w:r w:rsidRPr="00D832E5">
        <w:rPr>
          <w:b/>
          <w:lang w:val="es-ES_tradnl"/>
        </w:rPr>
        <w:t>I</w:t>
      </w:r>
      <w:r>
        <w:rPr>
          <w:b/>
          <w:lang w:val="es-ES_tradnl"/>
        </w:rPr>
        <w:t>V</w:t>
      </w:r>
    </w:p>
    <w:p w14:paraId="5C448009" w14:textId="77777777" w:rsidR="008D1E76" w:rsidRDefault="008D1E76" w:rsidP="008D1E76">
      <w:pPr>
        <w:spacing w:after="120"/>
        <w:jc w:val="center"/>
        <w:rPr>
          <w:b/>
          <w:bCs/>
          <w:lang w:val="es-ES_tradnl"/>
        </w:rPr>
      </w:pPr>
      <w:r w:rsidRPr="00D832E5">
        <w:rPr>
          <w:b/>
          <w:bCs/>
          <w:lang w:val="es-ES_tradnl"/>
        </w:rPr>
        <w:t>TEXTO TENTATIVO SOBRE LA DEFINICIÓN</w:t>
      </w:r>
    </w:p>
    <w:p w14:paraId="4AF0B954" w14:textId="77777777" w:rsidR="008D1E76" w:rsidRDefault="008D1E76" w:rsidP="008D1E76">
      <w:pPr>
        <w:spacing w:after="120"/>
        <w:jc w:val="center"/>
        <w:rPr>
          <w:b/>
          <w:bCs/>
          <w:lang w:val="es-ES_tradnl"/>
        </w:rPr>
      </w:pPr>
      <w:r w:rsidRPr="00D832E5">
        <w:rPr>
          <w:b/>
          <w:bCs/>
          <w:lang w:val="es-ES_tradnl"/>
        </w:rPr>
        <w:t>DE PEQUEÑA Y MEDIANA EMPRESA</w:t>
      </w:r>
    </w:p>
    <w:p w14:paraId="1002A01D" w14:textId="77777777" w:rsidR="008D1E76" w:rsidRPr="00D832E5" w:rsidRDefault="008D1E76" w:rsidP="008D1E76">
      <w:pPr>
        <w:spacing w:after="360"/>
        <w:jc w:val="center"/>
        <w:rPr>
          <w:bCs/>
          <w:lang w:val="es-ES_tradnl"/>
        </w:rPr>
      </w:pPr>
      <w:r w:rsidRPr="00D832E5">
        <w:rPr>
          <w:bCs/>
          <w:lang w:val="es-ES_tradnl"/>
        </w:rPr>
        <w:t>(</w:t>
      </w:r>
      <w:r>
        <w:rPr>
          <w:bCs/>
          <w:lang w:val="es-ES_tradnl"/>
        </w:rPr>
        <w:t>Anexo LXII del documento UNEP/</w:t>
      </w:r>
      <w:proofErr w:type="spellStart"/>
      <w:r>
        <w:rPr>
          <w:bCs/>
          <w:lang w:val="es-ES_tradnl"/>
        </w:rPr>
        <w:t>OzL.Pro</w:t>
      </w:r>
      <w:proofErr w:type="spellEnd"/>
      <w:r>
        <w:rPr>
          <w:bCs/>
          <w:lang w:val="es-ES_tradnl"/>
        </w:rPr>
        <w:t>/</w:t>
      </w:r>
      <w:proofErr w:type="spellStart"/>
      <w:r>
        <w:rPr>
          <w:bCs/>
          <w:lang w:val="es-ES_tradnl"/>
        </w:rPr>
        <w:t>ExCom</w:t>
      </w:r>
      <w:proofErr w:type="spellEnd"/>
      <w:r>
        <w:rPr>
          <w:bCs/>
          <w:lang w:val="es-ES_tradnl"/>
        </w:rPr>
        <w:t>/93/105</w:t>
      </w:r>
      <w:r w:rsidRPr="00D832E5">
        <w:rPr>
          <w:bCs/>
          <w:lang w:val="es-ES_tradnl"/>
        </w:rPr>
        <w:t>)</w:t>
      </w:r>
    </w:p>
    <w:p w14:paraId="4FC52EC8" w14:textId="77777777" w:rsidR="008D1E76" w:rsidRPr="00D832E5" w:rsidRDefault="008D1E76" w:rsidP="008D1E76">
      <w:pPr>
        <w:pStyle w:val="Heading1"/>
        <w:keepNext/>
        <w:numPr>
          <w:ilvl w:val="0"/>
          <w:numId w:val="23"/>
        </w:numPr>
        <w:shd w:val="clear" w:color="auto" w:fill="FFFFFF" w:themeFill="background1"/>
        <w:tabs>
          <w:tab w:val="clear" w:pos="0"/>
          <w:tab w:val="num" w:pos="1080"/>
        </w:tabs>
        <w:ind w:left="1080" w:hanging="360"/>
        <w:rPr>
          <w:rFonts w:eastAsia="SimSun"/>
          <w:lang w:val="es-ES_tradnl"/>
        </w:rPr>
      </w:pPr>
      <w:r w:rsidRPr="00D832E5">
        <w:rPr>
          <w:lang w:val="es-ES_tradnl"/>
        </w:rPr>
        <w:t xml:space="preserve">El Comité Ejecutivo podrá estimar oportuno definir </w:t>
      </w:r>
      <w:r>
        <w:rPr>
          <w:lang w:val="es-ES_tradnl"/>
        </w:rPr>
        <w:t xml:space="preserve">a </w:t>
      </w:r>
      <w:r w:rsidRPr="00D832E5">
        <w:rPr>
          <w:lang w:val="es-ES_tradnl"/>
        </w:rPr>
        <w:t xml:space="preserve">las pequeñas y medianas empresas </w:t>
      </w:r>
      <w:r>
        <w:rPr>
          <w:lang w:val="es-ES_tradnl"/>
        </w:rPr>
        <w:t xml:space="preserve">fabricantes </w:t>
      </w:r>
      <w:r w:rsidRPr="00D832E5">
        <w:rPr>
          <w:lang w:val="es-ES_tradnl"/>
        </w:rPr>
        <w:t xml:space="preserve">de equipos comerciales de refrigeración y aire acondicionado como </w:t>
      </w:r>
      <w:r>
        <w:rPr>
          <w:lang w:val="es-ES_tradnl"/>
        </w:rPr>
        <w:t>aquellas</w:t>
      </w:r>
      <w:r w:rsidRPr="00D832E5">
        <w:rPr>
          <w:lang w:val="es-ES_tradnl"/>
        </w:rPr>
        <w:t xml:space="preserve"> c</w:t>
      </w:r>
      <w:r>
        <w:rPr>
          <w:lang w:val="es-ES_tradnl"/>
        </w:rPr>
        <w:t xml:space="preserve">on un consumo </w:t>
      </w:r>
      <w:r w:rsidRPr="00B2078C">
        <w:rPr>
          <w:lang w:val="es-ES_tradnl"/>
        </w:rPr>
        <w:t xml:space="preserve">máximo </w:t>
      </w:r>
      <w:r>
        <w:rPr>
          <w:lang w:val="es-ES_tradnl"/>
        </w:rPr>
        <w:t>de HFC de [pequeñas:</w:t>
      </w:r>
      <w:r w:rsidRPr="00D832E5">
        <w:rPr>
          <w:lang w:val="es-ES_tradnl"/>
        </w:rPr>
        <w:t xml:space="preserve"> </w:t>
      </w:r>
      <w:r>
        <w:rPr>
          <w:lang w:val="es-ES_tradnl"/>
        </w:rPr>
        <w:t>1 a</w:t>
      </w:r>
      <w:r w:rsidRPr="00D832E5">
        <w:rPr>
          <w:lang w:val="es-ES_tradnl"/>
        </w:rPr>
        <w:t xml:space="preserve"> 10 </w:t>
      </w:r>
      <w:proofErr w:type="spellStart"/>
      <w:r w:rsidRPr="00D832E5">
        <w:rPr>
          <w:lang w:val="es-ES_tradnl"/>
        </w:rPr>
        <w:t>t</w:t>
      </w:r>
      <w:r>
        <w:rPr>
          <w:lang w:val="es-ES_tradnl"/>
        </w:rPr>
        <w:t>ons</w:t>
      </w:r>
      <w:proofErr w:type="spellEnd"/>
      <w:r>
        <w:rPr>
          <w:lang w:val="es-ES_tradnl"/>
        </w:rPr>
        <w:t xml:space="preserve">.] [medianas: 10 a 15 </w:t>
      </w:r>
      <w:proofErr w:type="spellStart"/>
      <w:r w:rsidRPr="00E764E4">
        <w:rPr>
          <w:lang w:val="es-ES_tradnl"/>
        </w:rPr>
        <w:t>tons</w:t>
      </w:r>
      <w:proofErr w:type="spellEnd"/>
      <w:r w:rsidRPr="00E764E4">
        <w:rPr>
          <w:lang w:val="es-ES_tradnl"/>
        </w:rPr>
        <w:t>.</w:t>
      </w:r>
      <w:r w:rsidRPr="00D832E5">
        <w:rPr>
          <w:lang w:val="es-ES_tradnl"/>
        </w:rPr>
        <w:t>] [micro</w:t>
      </w:r>
      <w:r>
        <w:rPr>
          <w:lang w:val="es-ES_tradnl"/>
        </w:rPr>
        <w:t>empresas: &lt; 1 ton</w:t>
      </w:r>
      <w:r w:rsidRPr="004C7CB0">
        <w:rPr>
          <w:lang w:val="es-ES_tradnl"/>
        </w:rPr>
        <w:t>.</w:t>
      </w:r>
      <w:r>
        <w:rPr>
          <w:lang w:val="es-ES_tradnl"/>
        </w:rPr>
        <w:t xml:space="preserve">] [7 </w:t>
      </w:r>
      <w:proofErr w:type="spellStart"/>
      <w:r w:rsidRPr="00B96C6E">
        <w:rPr>
          <w:lang w:val="es-ES_tradnl"/>
        </w:rPr>
        <w:t>tons</w:t>
      </w:r>
      <w:proofErr w:type="spellEnd"/>
      <w:r w:rsidRPr="00B96C6E">
        <w:rPr>
          <w:lang w:val="es-ES_tradnl"/>
        </w:rPr>
        <w:t>.</w:t>
      </w:r>
      <w:r>
        <w:rPr>
          <w:lang w:val="es-ES_tradnl"/>
        </w:rPr>
        <w:t xml:space="preserve">] [15 </w:t>
      </w:r>
      <w:proofErr w:type="spellStart"/>
      <w:r w:rsidRPr="00B96C6E">
        <w:rPr>
          <w:lang w:val="es-ES_tradnl"/>
        </w:rPr>
        <w:t>tons</w:t>
      </w:r>
      <w:proofErr w:type="spellEnd"/>
      <w:r w:rsidRPr="00B96C6E">
        <w:rPr>
          <w:lang w:val="es-ES_tradnl"/>
        </w:rPr>
        <w:t>.</w:t>
      </w:r>
      <w:r>
        <w:rPr>
          <w:lang w:val="es-ES_tradnl"/>
        </w:rPr>
        <w:t>]</w:t>
      </w:r>
      <w:r w:rsidRPr="00D832E5">
        <w:rPr>
          <w:lang w:val="es-ES_tradnl"/>
        </w:rPr>
        <w:t>, en el entendido de que:</w:t>
      </w:r>
    </w:p>
    <w:p w14:paraId="5AA09BFA" w14:textId="77777777" w:rsidR="008D1E76" w:rsidRPr="00D832E5" w:rsidRDefault="008D1E76" w:rsidP="008D1E76">
      <w:pPr>
        <w:pStyle w:val="Heading2"/>
        <w:rPr>
          <w:rFonts w:eastAsia="SimSun"/>
          <w:lang w:val="es-ES_tradnl"/>
        </w:rPr>
      </w:pPr>
      <w:r w:rsidRPr="00D832E5">
        <w:rPr>
          <w:lang w:val="es-ES_tradnl"/>
        </w:rPr>
        <w:t>Se considerará la totalidad del consumo</w:t>
      </w:r>
      <w:r>
        <w:rPr>
          <w:lang w:val="es-ES_tradnl"/>
        </w:rPr>
        <w:t xml:space="preserve"> de HFC por parte de la empresa, y no sólo </w:t>
      </w:r>
      <w:r w:rsidRPr="00D832E5">
        <w:rPr>
          <w:lang w:val="es-ES_tradnl"/>
        </w:rPr>
        <w:t>el consumo de la línea o</w:t>
      </w:r>
      <w:r>
        <w:rPr>
          <w:lang w:val="es-ES_tradnl"/>
        </w:rPr>
        <w:t xml:space="preserve"> proceso a reconvertir</w:t>
      </w:r>
      <w:r w:rsidRPr="00D832E5">
        <w:rPr>
          <w:lang w:val="es-ES_tradnl"/>
        </w:rPr>
        <w:t>;</w:t>
      </w:r>
    </w:p>
    <w:p w14:paraId="5E8CA02F" w14:textId="77777777" w:rsidR="008D1E76" w:rsidRPr="00D832E5" w:rsidRDefault="008D1E76" w:rsidP="008D1E76">
      <w:pPr>
        <w:pStyle w:val="Heading2"/>
        <w:rPr>
          <w:rFonts w:eastAsia="SimSun"/>
          <w:lang w:val="es-ES_tradnl"/>
        </w:rPr>
      </w:pPr>
      <w:r>
        <w:rPr>
          <w:lang w:val="es-ES_tradnl"/>
        </w:rPr>
        <w:t>Una empresa que fabrique</w:t>
      </w:r>
      <w:r w:rsidRPr="00D832E5">
        <w:rPr>
          <w:lang w:val="es-ES_tradnl"/>
        </w:rPr>
        <w:t xml:space="preserve"> más de 40.000 aparatos al </w:t>
      </w:r>
      <w:proofErr w:type="gramStart"/>
      <w:r w:rsidRPr="00D832E5">
        <w:rPr>
          <w:lang w:val="es-ES_tradnl"/>
        </w:rPr>
        <w:t>año,</w:t>
      </w:r>
      <w:proofErr w:type="gramEnd"/>
      <w:r w:rsidRPr="00D832E5">
        <w:rPr>
          <w:lang w:val="es-ES_tradnl"/>
        </w:rPr>
        <w:t xml:space="preserve"> </w:t>
      </w:r>
      <w:r>
        <w:rPr>
          <w:lang w:val="es-ES_tradnl"/>
        </w:rPr>
        <w:t>utilice HFC o no</w:t>
      </w:r>
      <w:r w:rsidRPr="00D832E5">
        <w:rPr>
          <w:lang w:val="es-ES_tradnl"/>
        </w:rPr>
        <w:t xml:space="preserve">, no </w:t>
      </w:r>
      <w:r>
        <w:rPr>
          <w:lang w:val="es-ES_tradnl"/>
        </w:rPr>
        <w:t xml:space="preserve">podrá ser </w:t>
      </w:r>
      <w:r w:rsidRPr="00D832E5">
        <w:rPr>
          <w:lang w:val="es-ES_tradnl"/>
        </w:rPr>
        <w:t>conside</w:t>
      </w:r>
      <w:r>
        <w:rPr>
          <w:lang w:val="es-ES_tradnl"/>
        </w:rPr>
        <w:t>rada</w:t>
      </w:r>
      <w:r w:rsidRPr="00D832E5">
        <w:rPr>
          <w:lang w:val="es-ES_tradnl"/>
        </w:rPr>
        <w:t xml:space="preserve"> como </w:t>
      </w:r>
      <w:r>
        <w:rPr>
          <w:lang w:val="es-ES_tradnl"/>
        </w:rPr>
        <w:t>pequeña o</w:t>
      </w:r>
      <w:r w:rsidRPr="00D832E5">
        <w:rPr>
          <w:lang w:val="es-ES_tradnl"/>
        </w:rPr>
        <w:t xml:space="preserve"> mediana a los fines de</w:t>
      </w:r>
      <w:r>
        <w:rPr>
          <w:lang w:val="es-ES_tradnl"/>
        </w:rPr>
        <w:t>l</w:t>
      </w:r>
      <w:r w:rsidRPr="00D832E5">
        <w:rPr>
          <w:lang w:val="es-ES_tradnl"/>
        </w:rPr>
        <w:t xml:space="preserve"> </w:t>
      </w:r>
      <w:r>
        <w:rPr>
          <w:lang w:val="es-ES_tradnl"/>
        </w:rPr>
        <w:t>financiamiento</w:t>
      </w:r>
      <w:r w:rsidRPr="00D832E5">
        <w:rPr>
          <w:lang w:val="es-ES_tradnl"/>
        </w:rPr>
        <w:t>; y</w:t>
      </w:r>
    </w:p>
    <w:p w14:paraId="53EA0729" w14:textId="77777777" w:rsidR="008D1E76" w:rsidRPr="00D832E5" w:rsidRDefault="008D1E76" w:rsidP="008D1E76">
      <w:pPr>
        <w:pStyle w:val="Heading2"/>
        <w:widowControl/>
        <w:rPr>
          <w:lang w:val="es-ES_tradnl"/>
        </w:rPr>
      </w:pPr>
      <w:r w:rsidRPr="00D832E5">
        <w:rPr>
          <w:lang w:val="es-ES_tradnl"/>
        </w:rPr>
        <w:t>[No se considerará</w:t>
      </w:r>
      <w:r>
        <w:rPr>
          <w:lang w:val="es-ES_tradnl"/>
        </w:rPr>
        <w:t>n</w:t>
      </w:r>
      <w:r w:rsidRPr="00D832E5">
        <w:rPr>
          <w:lang w:val="es-ES_tradnl"/>
        </w:rPr>
        <w:t xml:space="preserve"> pequeña</w:t>
      </w:r>
      <w:r>
        <w:rPr>
          <w:lang w:val="es-ES_tradnl"/>
        </w:rPr>
        <w:t>s o</w:t>
      </w:r>
      <w:r w:rsidRPr="00D832E5">
        <w:rPr>
          <w:lang w:val="es-ES_tradnl"/>
        </w:rPr>
        <w:t xml:space="preserve"> mediana</w:t>
      </w:r>
      <w:r>
        <w:rPr>
          <w:lang w:val="es-ES_tradnl"/>
        </w:rPr>
        <w:t>s</w:t>
      </w:r>
      <w:r w:rsidRPr="00D832E5">
        <w:rPr>
          <w:lang w:val="es-ES_tradnl"/>
        </w:rPr>
        <w:t xml:space="preserve"> empresa</w:t>
      </w:r>
      <w:r>
        <w:rPr>
          <w:lang w:val="es-ES_tradnl"/>
        </w:rPr>
        <w:t>s</w:t>
      </w:r>
      <w:r w:rsidRPr="00D832E5">
        <w:rPr>
          <w:lang w:val="es-ES_tradnl"/>
        </w:rPr>
        <w:t xml:space="preserve"> </w:t>
      </w:r>
      <w:r>
        <w:rPr>
          <w:lang w:val="es-ES_tradnl"/>
        </w:rPr>
        <w:t>de</w:t>
      </w:r>
      <w:r w:rsidRPr="00DA1ECF">
        <w:rPr>
          <w:lang w:val="es-ES_tradnl"/>
        </w:rPr>
        <w:t xml:space="preserve"> </w:t>
      </w:r>
      <w:r w:rsidRPr="000A6B35">
        <w:rPr>
          <w:lang w:val="es-ES_tradnl"/>
        </w:rPr>
        <w:t>propiedad</w:t>
      </w:r>
      <w:r>
        <w:rPr>
          <w:lang w:val="es-ES_tradnl"/>
        </w:rPr>
        <w:t xml:space="preserve"> exclusiva o parcial </w:t>
      </w:r>
      <w:r w:rsidRPr="00D832E5">
        <w:rPr>
          <w:lang w:val="es-ES_tradnl"/>
        </w:rPr>
        <w:t xml:space="preserve">de una multinacional, independientemente de </w:t>
      </w:r>
      <w:r>
        <w:rPr>
          <w:lang w:val="es-ES_tradnl"/>
        </w:rPr>
        <w:t xml:space="preserve">que ésta sea de </w:t>
      </w:r>
      <w:r w:rsidRPr="00D832E5">
        <w:rPr>
          <w:lang w:val="es-ES_tradnl"/>
        </w:rPr>
        <w:t xml:space="preserve">propiedad de </w:t>
      </w:r>
      <w:r>
        <w:rPr>
          <w:lang w:val="es-ES_tradnl"/>
        </w:rPr>
        <w:t>un país del Artículo 5</w:t>
      </w:r>
      <w:r w:rsidRPr="00D832E5">
        <w:rPr>
          <w:lang w:val="es-ES_tradnl"/>
        </w:rPr>
        <w:t xml:space="preserve"> o </w:t>
      </w:r>
      <w:r>
        <w:rPr>
          <w:lang w:val="es-ES_tradnl"/>
        </w:rPr>
        <w:t xml:space="preserve">de </w:t>
      </w:r>
      <w:r w:rsidRPr="00D832E5">
        <w:rPr>
          <w:lang w:val="es-ES_tradnl"/>
        </w:rPr>
        <w:t>si exporta más del 10 por ciento de sus productos a países no acogidos al Artículo 5].</w:t>
      </w:r>
    </w:p>
    <w:p w14:paraId="542192CD" w14:textId="77777777" w:rsidR="008D1E76" w:rsidRPr="006A3824" w:rsidRDefault="008D1E76" w:rsidP="008D1E76">
      <w:pPr>
        <w:pStyle w:val="Heading2"/>
        <w:widowControl/>
        <w:rPr>
          <w:lang w:val="es-ES_tradnl"/>
        </w:rPr>
      </w:pPr>
      <w:r w:rsidRPr="00242E63">
        <w:rPr>
          <w:lang w:val="es-ES_tradnl"/>
        </w:rPr>
        <w:t xml:space="preserve">[Las microempresas con un consumo menor a 1 </w:t>
      </w:r>
      <w:proofErr w:type="spellStart"/>
      <w:r w:rsidRPr="00242E63">
        <w:rPr>
          <w:lang w:val="es-ES_tradnl"/>
        </w:rPr>
        <w:t>tm</w:t>
      </w:r>
      <w:proofErr w:type="spellEnd"/>
      <w:r w:rsidRPr="00242E63">
        <w:rPr>
          <w:lang w:val="es-ES_tradnl"/>
        </w:rPr>
        <w:t xml:space="preserve"> que formen parte de un proyecto mayor podrán recibir hasta el doble del umbral acordado, siempre y cuando la relaci</w:t>
      </w:r>
      <w:r>
        <w:rPr>
          <w:lang w:val="es-ES_tradnl"/>
        </w:rPr>
        <w:t>ón costo-beneficio del proyecto mayor esté dentro de los límites</w:t>
      </w:r>
      <w:r w:rsidRPr="00242E63">
        <w:rPr>
          <w:lang w:val="es-ES_tradnl"/>
        </w:rPr>
        <w:t xml:space="preserve"> acordados por el Comité Ejecutivo </w:t>
      </w:r>
      <w:r>
        <w:rPr>
          <w:lang w:val="es-ES_tradnl"/>
        </w:rPr>
        <w:t xml:space="preserve">para el sector y que </w:t>
      </w:r>
      <w:r w:rsidRPr="00242E63">
        <w:rPr>
          <w:lang w:val="es-ES_tradnl"/>
        </w:rPr>
        <w:t xml:space="preserve">el proyecto </w:t>
      </w:r>
      <w:r>
        <w:rPr>
          <w:lang w:val="es-ES_tradnl"/>
        </w:rPr>
        <w:t>mayor incluy</w:t>
      </w:r>
      <w:r w:rsidRPr="00242E63">
        <w:rPr>
          <w:lang w:val="es-ES_tradnl"/>
        </w:rPr>
        <w:t xml:space="preserve">a </w:t>
      </w:r>
      <w:r>
        <w:rPr>
          <w:lang w:val="es-ES_tradnl"/>
        </w:rPr>
        <w:t xml:space="preserve">a </w:t>
      </w:r>
      <w:r w:rsidRPr="00242E63">
        <w:rPr>
          <w:lang w:val="es-ES_tradnl"/>
        </w:rPr>
        <w:t xml:space="preserve">todas las </w:t>
      </w:r>
      <w:r>
        <w:rPr>
          <w:lang w:val="es-ES_tradnl"/>
        </w:rPr>
        <w:t xml:space="preserve">demás </w:t>
      </w:r>
      <w:r w:rsidRPr="00242E63">
        <w:rPr>
          <w:lang w:val="es-ES_tradnl"/>
        </w:rPr>
        <w:t xml:space="preserve">empresas de </w:t>
      </w:r>
      <w:r>
        <w:rPr>
          <w:lang w:val="es-ES_tradnl"/>
        </w:rPr>
        <w:t xml:space="preserve">aquellos </w:t>
      </w:r>
      <w:r w:rsidRPr="00242E63">
        <w:rPr>
          <w:lang w:val="es-ES_tradnl"/>
        </w:rPr>
        <w:t>sector</w:t>
      </w:r>
      <w:r>
        <w:rPr>
          <w:lang w:val="es-ES_tradnl"/>
        </w:rPr>
        <w:t>es</w:t>
      </w:r>
      <w:r w:rsidRPr="00242E63">
        <w:rPr>
          <w:lang w:val="es-ES_tradnl"/>
        </w:rPr>
        <w:t xml:space="preserve"> o subsector</w:t>
      </w:r>
      <w:r>
        <w:rPr>
          <w:lang w:val="es-ES_tradnl"/>
        </w:rPr>
        <w:t>es para los cuales se ha</w:t>
      </w:r>
      <w:r w:rsidRPr="00242E63">
        <w:rPr>
          <w:lang w:val="es-ES_tradnl"/>
        </w:rPr>
        <w:t xml:space="preserve">n </w:t>
      </w:r>
      <w:r>
        <w:rPr>
          <w:lang w:val="es-ES_tradnl"/>
        </w:rPr>
        <w:t xml:space="preserve">fijado </w:t>
      </w:r>
      <w:r w:rsidRPr="00242E63">
        <w:rPr>
          <w:lang w:val="es-ES_tradnl"/>
        </w:rPr>
        <w:t xml:space="preserve">umbrales </w:t>
      </w:r>
      <w:r w:rsidRPr="00513CBB">
        <w:rPr>
          <w:lang w:val="es-ES_tradnl"/>
        </w:rPr>
        <w:t>costo-beneficio</w:t>
      </w:r>
      <w:r>
        <w:rPr>
          <w:lang w:val="es-ES_tradnl"/>
        </w:rPr>
        <w:t>,</w:t>
      </w:r>
      <w:r w:rsidRPr="00242E63">
        <w:rPr>
          <w:lang w:val="es-ES_tradnl"/>
        </w:rPr>
        <w:t xml:space="preserve"> </w:t>
      </w:r>
      <w:r>
        <w:rPr>
          <w:lang w:val="es-ES_tradnl"/>
        </w:rPr>
        <w:t xml:space="preserve">en el entendido de </w:t>
      </w:r>
      <w:r w:rsidRPr="00242E63">
        <w:rPr>
          <w:lang w:val="es-ES_tradnl"/>
        </w:rPr>
        <w:t>que e</w:t>
      </w:r>
      <w:r>
        <w:rPr>
          <w:lang w:val="es-ES_tradnl"/>
        </w:rPr>
        <w:t xml:space="preserve">l país en cuestión no volverá a solicitar fondos </w:t>
      </w:r>
      <w:r w:rsidRPr="009A4691">
        <w:rPr>
          <w:lang w:val="es-ES_tradnl"/>
        </w:rPr>
        <w:t xml:space="preserve">al Fondo Multilateral </w:t>
      </w:r>
      <w:r w:rsidRPr="00242E63">
        <w:rPr>
          <w:lang w:val="es-ES_tradnl"/>
        </w:rPr>
        <w:t>para empresa</w:t>
      </w:r>
      <w:r>
        <w:rPr>
          <w:lang w:val="es-ES_tradnl"/>
        </w:rPr>
        <w:t>s</w:t>
      </w:r>
      <w:r w:rsidRPr="00242E63">
        <w:rPr>
          <w:lang w:val="es-ES_tradnl"/>
        </w:rPr>
        <w:t xml:space="preserve"> de dicho</w:t>
      </w:r>
      <w:r>
        <w:rPr>
          <w:lang w:val="es-ES_tradnl"/>
        </w:rPr>
        <w:t>s</w:t>
      </w:r>
      <w:r w:rsidRPr="00242E63">
        <w:rPr>
          <w:lang w:val="es-ES_tradnl"/>
        </w:rPr>
        <w:t xml:space="preserve"> sector</w:t>
      </w:r>
      <w:r>
        <w:rPr>
          <w:lang w:val="es-ES_tradnl"/>
        </w:rPr>
        <w:t>es</w:t>
      </w:r>
      <w:r w:rsidRPr="00242E63">
        <w:rPr>
          <w:lang w:val="es-ES_tradnl"/>
        </w:rPr>
        <w:t xml:space="preserve"> o subsector</w:t>
      </w:r>
      <w:r>
        <w:rPr>
          <w:lang w:val="es-ES_tradnl"/>
        </w:rPr>
        <w:t>es</w:t>
      </w:r>
      <w:r w:rsidRPr="00242E63">
        <w:rPr>
          <w:lang w:val="es-ES_tradnl"/>
        </w:rPr>
        <w:t>, conforme a la decisión 19/32 a)].</w:t>
      </w:r>
    </w:p>
    <w:p w14:paraId="0E88232C" w14:textId="77777777" w:rsidR="00FC01F5" w:rsidRPr="008D1E76" w:rsidRDefault="00FC01F5" w:rsidP="00FC01F5">
      <w:pPr>
        <w:rPr>
          <w:lang w:val="es-ES_tradnl"/>
        </w:rPr>
      </w:pPr>
    </w:p>
    <w:p w14:paraId="17BA0E9A" w14:textId="77777777" w:rsidR="00FC01F5" w:rsidRPr="008D1E76" w:rsidRDefault="00FC01F5" w:rsidP="00FC01F5">
      <w:pPr>
        <w:rPr>
          <w:lang w:val="es-ES_tradnl"/>
        </w:rPr>
      </w:pPr>
    </w:p>
    <w:p w14:paraId="57CEE596" w14:textId="77777777" w:rsidR="00FC01F5" w:rsidRPr="008D1E76" w:rsidRDefault="00FC01F5" w:rsidP="00FC01F5">
      <w:pPr>
        <w:rPr>
          <w:lang w:val="es-ES_tradnl"/>
        </w:rPr>
      </w:pPr>
    </w:p>
    <w:p w14:paraId="374A9BD0" w14:textId="77777777" w:rsidR="00FC01F5" w:rsidRPr="008D1E76" w:rsidRDefault="00FC01F5" w:rsidP="00FC01F5">
      <w:pPr>
        <w:rPr>
          <w:lang w:val="es-ES_tradnl"/>
        </w:rPr>
        <w:sectPr w:rsidR="00FC01F5" w:rsidRPr="008D1E76" w:rsidSect="00FC01F5">
          <w:headerReference w:type="default" r:id="rId24"/>
          <w:pgSz w:w="12240" w:h="15840" w:code="1"/>
          <w:pgMar w:top="720" w:right="1440" w:bottom="864" w:left="1440" w:header="720" w:footer="475" w:gutter="0"/>
          <w:pgNumType w:start="1"/>
          <w:cols w:space="720"/>
          <w:docGrid w:linePitch="299"/>
        </w:sectPr>
      </w:pPr>
    </w:p>
    <w:p w14:paraId="263421FE" w14:textId="77777777" w:rsidR="00561F6A" w:rsidRPr="00D832E5" w:rsidRDefault="00561F6A" w:rsidP="00561F6A">
      <w:pPr>
        <w:widowControl w:val="0"/>
        <w:spacing w:after="240"/>
        <w:jc w:val="center"/>
        <w:rPr>
          <w:b/>
          <w:bCs/>
          <w:lang w:val="es-ES_tradnl"/>
        </w:rPr>
      </w:pPr>
      <w:r w:rsidRPr="00D832E5">
        <w:rPr>
          <w:b/>
          <w:bCs/>
          <w:lang w:val="es-ES_tradnl"/>
        </w:rPr>
        <w:lastRenderedPageBreak/>
        <w:t xml:space="preserve">Anexo </w:t>
      </w:r>
      <w:r>
        <w:rPr>
          <w:b/>
          <w:lang w:val="es-ES_tradnl"/>
        </w:rPr>
        <w:t>V</w:t>
      </w:r>
    </w:p>
    <w:p w14:paraId="3908E71D" w14:textId="77777777" w:rsidR="00561F6A" w:rsidRDefault="00561F6A" w:rsidP="00561F6A">
      <w:pPr>
        <w:spacing w:after="120"/>
        <w:jc w:val="center"/>
        <w:rPr>
          <w:b/>
          <w:lang w:val="es-ES_tradnl"/>
        </w:rPr>
      </w:pPr>
      <w:r w:rsidRPr="006E26BA">
        <w:rPr>
          <w:b/>
          <w:caps/>
          <w:lang w:val="es-ES_tradnl"/>
        </w:rPr>
        <w:t xml:space="preserve">TEXTO TENTATIVO </w:t>
      </w:r>
      <w:r>
        <w:rPr>
          <w:b/>
          <w:caps/>
          <w:lang w:val="es-ES_tradnl"/>
        </w:rPr>
        <w:t xml:space="preserve">SOBRE EL PUNTO DE PARTIDA PARA </w:t>
      </w:r>
      <w:r w:rsidRPr="006E26BA">
        <w:rPr>
          <w:b/>
          <w:caps/>
          <w:lang w:val="es-ES_tradnl"/>
        </w:rPr>
        <w:t>REDUCCIONES ACUMULATIVAS SOSTENIDAS en EL CONSUMO DE HFC</w:t>
      </w:r>
    </w:p>
    <w:p w14:paraId="25971535" w14:textId="77777777" w:rsidR="00561F6A" w:rsidRPr="00D832E5" w:rsidRDefault="00561F6A" w:rsidP="00561F6A">
      <w:pPr>
        <w:spacing w:before="120"/>
        <w:jc w:val="center"/>
        <w:rPr>
          <w:b/>
          <w:lang w:val="es-ES_tradnl"/>
        </w:rPr>
      </w:pPr>
      <w:r w:rsidRPr="00D832E5">
        <w:rPr>
          <w:b/>
          <w:lang w:val="es-ES_tradnl"/>
        </w:rPr>
        <w:t>Presentado por el Gobierno de Australia</w:t>
      </w:r>
    </w:p>
    <w:p w14:paraId="30156BA5" w14:textId="77777777" w:rsidR="00561F6A" w:rsidRPr="00D832E5" w:rsidRDefault="00561F6A" w:rsidP="00561F6A">
      <w:pPr>
        <w:spacing w:before="120" w:after="360"/>
        <w:jc w:val="center"/>
        <w:rPr>
          <w:lang w:val="es-ES_tradnl"/>
        </w:rPr>
      </w:pPr>
      <w:r w:rsidRPr="00D832E5">
        <w:rPr>
          <w:bCs/>
          <w:lang w:val="es-ES_tradnl"/>
        </w:rPr>
        <w:t>(</w:t>
      </w:r>
      <w:r>
        <w:rPr>
          <w:bCs/>
          <w:lang w:val="es-ES_tradnl"/>
        </w:rPr>
        <w:t>Anexo LXII del documento UNEP/</w:t>
      </w:r>
      <w:proofErr w:type="spellStart"/>
      <w:r>
        <w:rPr>
          <w:bCs/>
          <w:lang w:val="es-ES_tradnl"/>
        </w:rPr>
        <w:t>OzL.Pro</w:t>
      </w:r>
      <w:proofErr w:type="spellEnd"/>
      <w:r>
        <w:rPr>
          <w:bCs/>
          <w:lang w:val="es-ES_tradnl"/>
        </w:rPr>
        <w:t>/</w:t>
      </w:r>
      <w:proofErr w:type="spellStart"/>
      <w:r>
        <w:rPr>
          <w:bCs/>
          <w:lang w:val="es-ES_tradnl"/>
        </w:rPr>
        <w:t>ExCom</w:t>
      </w:r>
      <w:proofErr w:type="spellEnd"/>
      <w:r>
        <w:rPr>
          <w:bCs/>
          <w:lang w:val="es-ES_tradnl"/>
        </w:rPr>
        <w:t>/93/105</w:t>
      </w:r>
      <w:r w:rsidRPr="00D832E5">
        <w:rPr>
          <w:bCs/>
          <w:lang w:val="es-ES_tradnl"/>
        </w:rPr>
        <w:t>)</w:t>
      </w:r>
    </w:p>
    <w:p w14:paraId="40CF672B" w14:textId="77777777" w:rsidR="00561F6A" w:rsidRPr="00D832E5" w:rsidRDefault="00561F6A" w:rsidP="00561F6A">
      <w:pPr>
        <w:pStyle w:val="ListParagraph"/>
        <w:keepNext/>
        <w:keepLines/>
        <w:widowControl w:val="0"/>
        <w:numPr>
          <w:ilvl w:val="0"/>
          <w:numId w:val="31"/>
        </w:numPr>
        <w:spacing w:after="360"/>
        <w:ind w:hanging="630"/>
        <w:rPr>
          <w:b/>
          <w:lang w:val="es-ES_tradnl"/>
        </w:rPr>
      </w:pPr>
      <w:r w:rsidRPr="00D832E5">
        <w:rPr>
          <w:lang w:val="es-ES_tradnl"/>
        </w:rPr>
        <w:t xml:space="preserve">El Comité Ejecutivo </w:t>
      </w:r>
      <w:r w:rsidRPr="00D832E5">
        <w:rPr>
          <w:u w:val="single"/>
          <w:lang w:val="es-ES_tradnl"/>
        </w:rPr>
        <w:t>decidió</w:t>
      </w:r>
      <w:r w:rsidRPr="00D832E5">
        <w:rPr>
          <w:lang w:val="es-ES_tradnl"/>
        </w:rPr>
        <w:t>:</w:t>
      </w:r>
    </w:p>
    <w:p w14:paraId="6FB5A85F" w14:textId="77777777" w:rsidR="00561F6A" w:rsidRPr="00FA61A3" w:rsidRDefault="00561F6A" w:rsidP="00FA61A3">
      <w:pPr>
        <w:pStyle w:val="Heading2"/>
        <w:keepNext/>
        <w:keepLines/>
        <w:numPr>
          <w:ilvl w:val="1"/>
          <w:numId w:val="34"/>
        </w:numPr>
        <w:rPr>
          <w:lang w:val="es-ES_tradnl"/>
        </w:rPr>
      </w:pPr>
      <w:r w:rsidRPr="00FA61A3">
        <w:rPr>
          <w:lang w:val="es-ES_tradnl"/>
        </w:rPr>
        <w:t>Tomar nota del estudio sobre el punto de partida para reducciones acumulativas sostenidas en el consumo de HFC que recoge el documento UNEP/</w:t>
      </w:r>
      <w:proofErr w:type="spellStart"/>
      <w:r w:rsidRPr="00FA61A3">
        <w:rPr>
          <w:lang w:val="es-ES_tradnl"/>
        </w:rPr>
        <w:t>OzL.Pro</w:t>
      </w:r>
      <w:proofErr w:type="spellEnd"/>
      <w:r w:rsidRPr="00FA61A3">
        <w:rPr>
          <w:lang w:val="es-ES_tradnl"/>
        </w:rPr>
        <w:t>/</w:t>
      </w:r>
      <w:proofErr w:type="spellStart"/>
      <w:r w:rsidRPr="00FA61A3">
        <w:rPr>
          <w:lang w:val="es-ES_tradnl"/>
        </w:rPr>
        <w:t>ExCom</w:t>
      </w:r>
      <w:proofErr w:type="spellEnd"/>
      <w:r w:rsidRPr="00FA61A3">
        <w:rPr>
          <w:lang w:val="es-ES_tradnl"/>
        </w:rPr>
        <w:t>/93/97;</w:t>
      </w:r>
    </w:p>
    <w:p w14:paraId="270936DB" w14:textId="77777777" w:rsidR="00561F6A" w:rsidRPr="00D832E5" w:rsidRDefault="00561F6A" w:rsidP="00561F6A">
      <w:pPr>
        <w:pStyle w:val="Heading2"/>
        <w:keepNext/>
        <w:keepLines/>
        <w:rPr>
          <w:lang w:val="es-ES_tradnl"/>
        </w:rPr>
      </w:pPr>
      <w:r>
        <w:rPr>
          <w:lang w:val="es-ES_tradnl"/>
        </w:rPr>
        <w:t xml:space="preserve">Adoptar las </w:t>
      </w:r>
      <w:r w:rsidRPr="0068751A">
        <w:rPr>
          <w:lang w:val="es-ES_tradnl"/>
        </w:rPr>
        <w:t xml:space="preserve">toneladas de </w:t>
      </w:r>
      <w:r w:rsidRPr="00255126">
        <w:rPr>
          <w:rFonts w:eastAsia="MS Mincho"/>
          <w:lang w:val="es-ES_tradnl"/>
        </w:rPr>
        <w:t>CO</w:t>
      </w:r>
      <w:r w:rsidRPr="00255126">
        <w:rPr>
          <w:rFonts w:eastAsia="MS Mincho"/>
          <w:vertAlign w:val="subscript"/>
          <w:lang w:val="es-ES_tradnl"/>
        </w:rPr>
        <w:t>2</w:t>
      </w:r>
      <w:r w:rsidRPr="0068751A">
        <w:rPr>
          <w:lang w:val="es-ES_tradnl"/>
        </w:rPr>
        <w:t xml:space="preserve"> equivalente</w:t>
      </w:r>
      <w:r w:rsidRPr="00DA1ECF">
        <w:rPr>
          <w:lang w:val="es-ES_tradnl"/>
        </w:rPr>
        <w:t xml:space="preserve"> </w:t>
      </w:r>
      <w:r w:rsidRPr="00DC4EDE">
        <w:rPr>
          <w:lang w:val="es-ES_tradnl"/>
        </w:rPr>
        <w:t>como unidad de medida para el punto de partida</w:t>
      </w:r>
      <w:r w:rsidRPr="00D832E5">
        <w:rPr>
          <w:lang w:val="es-ES_tradnl"/>
        </w:rPr>
        <w:t xml:space="preserve">, en el entendido de que </w:t>
      </w:r>
      <w:r>
        <w:rPr>
          <w:lang w:val="es-ES_tradnl"/>
        </w:rPr>
        <w:t xml:space="preserve">el volumen a descontar del </w:t>
      </w:r>
      <w:r w:rsidRPr="00D832E5">
        <w:rPr>
          <w:lang w:val="es-ES_tradnl"/>
        </w:rPr>
        <w:t>pu</w:t>
      </w:r>
      <w:r>
        <w:rPr>
          <w:lang w:val="es-ES_tradnl"/>
        </w:rPr>
        <w:t>nto de partida se contabilizará</w:t>
      </w:r>
      <w:r w:rsidRPr="00D832E5">
        <w:rPr>
          <w:lang w:val="es-ES_tradnl"/>
        </w:rPr>
        <w:t xml:space="preserve"> </w:t>
      </w:r>
      <w:r>
        <w:rPr>
          <w:lang w:val="es-ES_tradnl"/>
        </w:rPr>
        <w:t xml:space="preserve">según </w:t>
      </w:r>
      <w:r w:rsidRPr="00D832E5">
        <w:rPr>
          <w:lang w:val="es-ES_tradnl"/>
        </w:rPr>
        <w:t>el método descrito en los párrafos 8 a 15 del documento 93/97;</w:t>
      </w:r>
    </w:p>
    <w:p w14:paraId="278A2A3B" w14:textId="77777777" w:rsidR="00561F6A" w:rsidRPr="00D832E5" w:rsidRDefault="00561F6A" w:rsidP="00561F6A">
      <w:pPr>
        <w:pStyle w:val="Heading2"/>
        <w:keepNext/>
        <w:keepLines/>
        <w:rPr>
          <w:lang w:val="es-ES_tradnl"/>
        </w:rPr>
      </w:pPr>
      <w:r w:rsidRPr="00D832E5">
        <w:rPr>
          <w:lang w:val="es-ES_tradnl"/>
        </w:rPr>
        <w:t xml:space="preserve">Que </w:t>
      </w:r>
      <w:r>
        <w:rPr>
          <w:lang w:val="es-ES_tradnl"/>
        </w:rPr>
        <w:t xml:space="preserve">el volumen </w:t>
      </w:r>
      <w:r w:rsidRPr="00D832E5">
        <w:rPr>
          <w:lang w:val="es-ES_tradnl"/>
        </w:rPr>
        <w:t xml:space="preserve">de HFC </w:t>
      </w:r>
      <w:r>
        <w:rPr>
          <w:lang w:val="es-ES_tradnl"/>
        </w:rPr>
        <w:t>de menor PCA generado</w:t>
      </w:r>
      <w:r w:rsidRPr="00D832E5">
        <w:rPr>
          <w:lang w:val="es-ES_tradnl"/>
        </w:rPr>
        <w:t xml:space="preserve"> por empresas </w:t>
      </w:r>
      <w:r>
        <w:rPr>
          <w:lang w:val="es-ES_tradnl"/>
        </w:rPr>
        <w:t>reconvertidas con ayuda d</w:t>
      </w:r>
      <w:r w:rsidRPr="00D832E5">
        <w:rPr>
          <w:lang w:val="es-ES_tradnl"/>
        </w:rPr>
        <w:t xml:space="preserve">el Fondo Multilateral </w:t>
      </w:r>
      <w:r>
        <w:rPr>
          <w:lang w:val="es-ES_tradnl"/>
        </w:rPr>
        <w:t>será admisible</w:t>
      </w:r>
      <w:r w:rsidRPr="00D832E5">
        <w:rPr>
          <w:lang w:val="es-ES_tradnl"/>
        </w:rPr>
        <w:t xml:space="preserve"> para </w:t>
      </w:r>
      <w:r>
        <w:rPr>
          <w:lang w:val="es-ES_tradnl"/>
        </w:rPr>
        <w:t>financiamiento</w:t>
      </w:r>
      <w:r w:rsidRPr="00D832E5">
        <w:rPr>
          <w:lang w:val="es-ES_tradnl"/>
        </w:rPr>
        <w:t xml:space="preserve"> </w:t>
      </w:r>
      <w:r>
        <w:rPr>
          <w:lang w:val="es-ES_tradnl"/>
        </w:rPr>
        <w:t xml:space="preserve">cuando sea </w:t>
      </w:r>
      <w:r w:rsidRPr="00D832E5">
        <w:rPr>
          <w:lang w:val="es-ES_tradnl"/>
        </w:rPr>
        <w:t>necesario para que el</w:t>
      </w:r>
      <w:r w:rsidRPr="00DA1ECF">
        <w:rPr>
          <w:lang w:val="es-ES_tradnl"/>
        </w:rPr>
        <w:t xml:space="preserve"> </w:t>
      </w:r>
      <w:r w:rsidRPr="00D832E5">
        <w:rPr>
          <w:lang w:val="es-ES_tradnl"/>
        </w:rPr>
        <w:t xml:space="preserve">país pueda cumplir con la </w:t>
      </w:r>
      <w:r>
        <w:rPr>
          <w:lang w:val="es-ES_tradnl"/>
        </w:rPr>
        <w:t xml:space="preserve">etapa </w:t>
      </w:r>
      <w:r w:rsidRPr="00D832E5">
        <w:rPr>
          <w:lang w:val="es-ES_tradnl"/>
        </w:rPr>
        <w:t xml:space="preserve">final de </w:t>
      </w:r>
      <w:r>
        <w:rPr>
          <w:lang w:val="es-ES_tradnl"/>
        </w:rPr>
        <w:t xml:space="preserve">la </w:t>
      </w:r>
      <w:r w:rsidRPr="00D832E5">
        <w:rPr>
          <w:lang w:val="es-ES_tradnl"/>
        </w:rPr>
        <w:t xml:space="preserve">reducción de HFC, independientemente de </w:t>
      </w:r>
      <w:r>
        <w:rPr>
          <w:lang w:val="es-ES_tradnl"/>
        </w:rPr>
        <w:t>que</w:t>
      </w:r>
      <w:r w:rsidRPr="00D832E5">
        <w:rPr>
          <w:lang w:val="es-ES_tradnl"/>
        </w:rPr>
        <w:t xml:space="preserve"> el consumo </w:t>
      </w:r>
      <w:r>
        <w:rPr>
          <w:lang w:val="es-ES_tradnl"/>
        </w:rPr>
        <w:t>remanente</w:t>
      </w:r>
      <w:r w:rsidRPr="00D832E5">
        <w:rPr>
          <w:lang w:val="es-ES_tradnl"/>
        </w:rPr>
        <w:t xml:space="preserve"> </w:t>
      </w:r>
      <w:r>
        <w:rPr>
          <w:lang w:val="es-ES_tradnl"/>
        </w:rPr>
        <w:t xml:space="preserve">sea </w:t>
      </w:r>
      <w:r w:rsidRPr="00D832E5">
        <w:rPr>
          <w:lang w:val="es-ES_tradnl"/>
        </w:rPr>
        <w:t xml:space="preserve">admisible para </w:t>
      </w:r>
      <w:r>
        <w:rPr>
          <w:lang w:val="es-ES_tradnl"/>
        </w:rPr>
        <w:t>financiamiento</w:t>
      </w:r>
      <w:r w:rsidRPr="00D832E5">
        <w:rPr>
          <w:lang w:val="es-ES_tradnl"/>
        </w:rPr>
        <w:t>, de conformi</w:t>
      </w:r>
      <w:r>
        <w:rPr>
          <w:lang w:val="es-ES_tradnl"/>
        </w:rPr>
        <w:t>dad con el párrafo 18 e) de la d</w:t>
      </w:r>
      <w:r w:rsidRPr="00D832E5">
        <w:rPr>
          <w:lang w:val="es-ES_tradnl"/>
        </w:rPr>
        <w:t xml:space="preserve">ecisión XXVIII/2 y </w:t>
      </w:r>
      <w:r>
        <w:rPr>
          <w:lang w:val="es-ES_tradnl"/>
        </w:rPr>
        <w:t xml:space="preserve">con </w:t>
      </w:r>
      <w:r w:rsidRPr="00D832E5">
        <w:rPr>
          <w:lang w:val="es-ES_tradnl"/>
        </w:rPr>
        <w:t>los requisitos de admisibilidad acordados por el Fondo Multilateral;</w:t>
      </w:r>
    </w:p>
    <w:p w14:paraId="7A82D586" w14:textId="77777777" w:rsidR="00561F6A" w:rsidRPr="00D832E5" w:rsidRDefault="00561F6A" w:rsidP="00561F6A">
      <w:pPr>
        <w:pStyle w:val="Heading2"/>
        <w:keepNext/>
        <w:keepLines/>
        <w:rPr>
          <w:lang w:val="es-ES_tradnl"/>
        </w:rPr>
      </w:pPr>
      <w:r>
        <w:rPr>
          <w:lang w:val="es-ES_tradnl"/>
        </w:rPr>
        <w:t>Que</w:t>
      </w:r>
      <w:r w:rsidRPr="00D832E5">
        <w:rPr>
          <w:lang w:val="es-ES_tradnl"/>
        </w:rPr>
        <w:t xml:space="preserve"> durante cada etapa de un </w:t>
      </w:r>
      <w:r>
        <w:rPr>
          <w:lang w:val="es-ES_tradnl"/>
        </w:rPr>
        <w:t>plan de aplicación de la Enmienda de Kigali</w:t>
      </w:r>
      <w:r w:rsidRPr="00D832E5">
        <w:rPr>
          <w:lang w:val="es-ES_tradnl"/>
        </w:rPr>
        <w:t xml:space="preserve"> para un país </w:t>
      </w:r>
      <w:r>
        <w:rPr>
          <w:lang w:val="es-ES_tradnl"/>
        </w:rPr>
        <w:t xml:space="preserve">cuyo </w:t>
      </w:r>
      <w:r w:rsidRPr="00642F71">
        <w:rPr>
          <w:lang w:val="es-ES_tradnl"/>
        </w:rPr>
        <w:t xml:space="preserve">sector de fabricación </w:t>
      </w:r>
      <w:r>
        <w:rPr>
          <w:lang w:val="es-ES_tradnl"/>
        </w:rPr>
        <w:t>consuma</w:t>
      </w:r>
      <w:r w:rsidRPr="00D832E5">
        <w:rPr>
          <w:lang w:val="es-ES_tradnl"/>
        </w:rPr>
        <w:t xml:space="preserve"> HFC, los organismos bilaterales y de ejecución </w:t>
      </w:r>
      <w:r>
        <w:rPr>
          <w:lang w:val="es-ES_tradnl"/>
        </w:rPr>
        <w:t xml:space="preserve">deberán determinar </w:t>
      </w:r>
      <w:r w:rsidRPr="00D832E5">
        <w:rPr>
          <w:lang w:val="es-ES_tradnl"/>
        </w:rPr>
        <w:t>e informa</w:t>
      </w:r>
      <w:r>
        <w:rPr>
          <w:lang w:val="es-ES_tradnl"/>
        </w:rPr>
        <w:t>r</w:t>
      </w:r>
      <w:r w:rsidRPr="00D832E5">
        <w:rPr>
          <w:lang w:val="es-ES_tradnl"/>
        </w:rPr>
        <w:t xml:space="preserve"> </w:t>
      </w:r>
      <w:r>
        <w:rPr>
          <w:lang w:val="es-ES_tradnl"/>
        </w:rPr>
        <w:t>el</w:t>
      </w:r>
      <w:r w:rsidRPr="00D832E5">
        <w:rPr>
          <w:lang w:val="es-ES_tradnl"/>
        </w:rPr>
        <w:t xml:space="preserve"> consumo en empresas no admisibles, </w:t>
      </w:r>
      <w:r>
        <w:rPr>
          <w:lang w:val="es-ES_tradnl"/>
        </w:rPr>
        <w:t>el consumo</w:t>
      </w:r>
      <w:r w:rsidRPr="00D832E5">
        <w:rPr>
          <w:lang w:val="es-ES_tradnl"/>
        </w:rPr>
        <w:t xml:space="preserve"> no admisible y </w:t>
      </w:r>
      <w:r>
        <w:rPr>
          <w:lang w:val="es-ES_tradnl"/>
        </w:rPr>
        <w:t>el consumo</w:t>
      </w:r>
      <w:r w:rsidRPr="00D832E5">
        <w:rPr>
          <w:lang w:val="es-ES_tradnl"/>
        </w:rPr>
        <w:t xml:space="preserve"> </w:t>
      </w:r>
      <w:r>
        <w:rPr>
          <w:lang w:val="es-ES_tradnl"/>
        </w:rPr>
        <w:t>eliminado</w:t>
      </w:r>
      <w:r w:rsidRPr="00D832E5">
        <w:rPr>
          <w:lang w:val="es-ES_tradnl"/>
        </w:rPr>
        <w:t xml:space="preserve"> </w:t>
      </w:r>
      <w:r>
        <w:rPr>
          <w:lang w:val="es-ES_tradnl"/>
        </w:rPr>
        <w:t xml:space="preserve">por los fabricantes </w:t>
      </w:r>
      <w:r w:rsidRPr="00D832E5">
        <w:rPr>
          <w:lang w:val="es-ES_tradnl"/>
        </w:rPr>
        <w:t xml:space="preserve">sin </w:t>
      </w:r>
      <w:r w:rsidRPr="007630D8">
        <w:rPr>
          <w:lang w:val="es-ES_tradnl"/>
        </w:rPr>
        <w:t xml:space="preserve">ayuda </w:t>
      </w:r>
      <w:r w:rsidRPr="00D832E5">
        <w:rPr>
          <w:lang w:val="es-ES_tradnl"/>
        </w:rPr>
        <w:t>del Fondo Multilateral; y</w:t>
      </w:r>
    </w:p>
    <w:p w14:paraId="08466973" w14:textId="77777777" w:rsidR="00561F6A" w:rsidRPr="00D832E5" w:rsidRDefault="00561F6A" w:rsidP="00561F6A">
      <w:pPr>
        <w:pStyle w:val="Heading2"/>
        <w:rPr>
          <w:lang w:val="es-ES_tradnl"/>
        </w:rPr>
      </w:pPr>
      <w:r>
        <w:rPr>
          <w:lang w:val="es-ES_tradnl"/>
        </w:rPr>
        <w:t>Hacer notar que</w:t>
      </w:r>
      <w:r w:rsidRPr="00D832E5">
        <w:rPr>
          <w:lang w:val="es-ES_tradnl"/>
        </w:rPr>
        <w:t xml:space="preserve"> [</w:t>
      </w:r>
      <w:r>
        <w:rPr>
          <w:lang w:val="es-ES_tradnl"/>
        </w:rPr>
        <w:t xml:space="preserve">al igual que se hizo con los parámetros de </w:t>
      </w:r>
      <w:r w:rsidRPr="00D832E5">
        <w:rPr>
          <w:lang w:val="es-ES_tradnl"/>
        </w:rPr>
        <w:t xml:space="preserve">costos de los HCFC], </w:t>
      </w:r>
      <w:r w:rsidRPr="000348AB">
        <w:rPr>
          <w:lang w:val="es-ES_tradnl"/>
        </w:rPr>
        <w:t xml:space="preserve">no </w:t>
      </w:r>
      <w:r>
        <w:rPr>
          <w:lang w:val="es-ES_tradnl"/>
        </w:rPr>
        <w:t xml:space="preserve">habrá </w:t>
      </w:r>
      <w:r w:rsidRPr="000348AB">
        <w:rPr>
          <w:lang w:val="es-ES_tradnl"/>
        </w:rPr>
        <w:t xml:space="preserve">punto de partida </w:t>
      </w:r>
      <w:r>
        <w:rPr>
          <w:lang w:val="es-ES_tradnl"/>
        </w:rPr>
        <w:t xml:space="preserve">en </w:t>
      </w:r>
      <w:r w:rsidRPr="00D832E5">
        <w:rPr>
          <w:lang w:val="es-ES_tradnl"/>
        </w:rPr>
        <w:t>pa</w:t>
      </w:r>
      <w:r>
        <w:rPr>
          <w:lang w:val="es-ES_tradnl"/>
        </w:rPr>
        <w:t>íses de bajo consumo que consuma</w:t>
      </w:r>
      <w:r w:rsidRPr="00D832E5">
        <w:rPr>
          <w:lang w:val="es-ES_tradnl"/>
        </w:rPr>
        <w:t xml:space="preserve">n únicamente en el sector de servicio </w:t>
      </w:r>
      <w:r>
        <w:rPr>
          <w:lang w:val="es-ES_tradnl"/>
        </w:rPr>
        <w:t>técnico</w:t>
      </w:r>
      <w:r w:rsidRPr="00D832E5">
        <w:rPr>
          <w:lang w:val="es-ES_tradnl"/>
        </w:rPr>
        <w:t xml:space="preserve">, dado que </w:t>
      </w:r>
      <w:r>
        <w:rPr>
          <w:lang w:val="es-ES_tradnl"/>
        </w:rPr>
        <w:t>el financiamiento</w:t>
      </w:r>
      <w:r w:rsidRPr="00D832E5">
        <w:rPr>
          <w:lang w:val="es-ES_tradnl"/>
        </w:rPr>
        <w:t xml:space="preserve"> se </w:t>
      </w:r>
      <w:r>
        <w:rPr>
          <w:lang w:val="es-ES_tradnl"/>
        </w:rPr>
        <w:t xml:space="preserve">determinará conforme a </w:t>
      </w:r>
      <w:r w:rsidRPr="00D832E5">
        <w:rPr>
          <w:lang w:val="es-ES_tradnl"/>
        </w:rPr>
        <w:t xml:space="preserve">la modalidad </w:t>
      </w:r>
      <w:r>
        <w:rPr>
          <w:lang w:val="es-ES_tradnl"/>
        </w:rPr>
        <w:t>descrita</w:t>
      </w:r>
      <w:r w:rsidRPr="00D832E5">
        <w:rPr>
          <w:lang w:val="es-ES_tradnl"/>
        </w:rPr>
        <w:t xml:space="preserve"> en el cuadro que figura en la decisión 92/37.</w:t>
      </w:r>
    </w:p>
    <w:p w14:paraId="73E3B708" w14:textId="77777777" w:rsidR="00BA3DF8" w:rsidRPr="00561F6A" w:rsidRDefault="00BA3DF8" w:rsidP="00BA3DF8">
      <w:pPr>
        <w:jc w:val="center"/>
        <w:rPr>
          <w:b/>
          <w:bCs/>
          <w:lang w:val="es-ES_tradnl"/>
        </w:rPr>
      </w:pPr>
    </w:p>
    <w:p w14:paraId="01F1B5E8" w14:textId="77777777" w:rsidR="00BA3DF8" w:rsidRPr="00561F6A" w:rsidRDefault="00BA3DF8" w:rsidP="00BA3DF8">
      <w:pPr>
        <w:rPr>
          <w:lang w:val="fr-CA"/>
        </w:rPr>
      </w:pPr>
    </w:p>
    <w:p w14:paraId="30DC2C78" w14:textId="77777777" w:rsidR="00BA3DF8" w:rsidRPr="00561F6A" w:rsidRDefault="00BA3DF8" w:rsidP="00BA3DF8">
      <w:pPr>
        <w:rPr>
          <w:lang w:val="fr-CA"/>
        </w:rPr>
      </w:pPr>
    </w:p>
    <w:p w14:paraId="09A2D15D" w14:textId="77777777" w:rsidR="00BA3DF8" w:rsidRPr="00561F6A" w:rsidRDefault="00BA3DF8" w:rsidP="00BA3DF8">
      <w:pPr>
        <w:rPr>
          <w:lang w:val="fr-CA"/>
        </w:rPr>
      </w:pPr>
    </w:p>
    <w:p w14:paraId="46469821" w14:textId="77777777" w:rsidR="00BA3DF8" w:rsidRPr="00561F6A" w:rsidRDefault="00BA3DF8" w:rsidP="00BA3DF8">
      <w:pPr>
        <w:rPr>
          <w:lang w:val="fr-CA"/>
        </w:rPr>
        <w:sectPr w:rsidR="00BA3DF8" w:rsidRPr="00561F6A" w:rsidSect="00BA3DF8">
          <w:headerReference w:type="default" r:id="rId25"/>
          <w:pgSz w:w="12240" w:h="15840" w:code="1"/>
          <w:pgMar w:top="720" w:right="1440" w:bottom="864" w:left="1440" w:header="720" w:footer="475" w:gutter="0"/>
          <w:pgNumType w:start="1"/>
          <w:cols w:space="720"/>
          <w:docGrid w:linePitch="299"/>
        </w:sectPr>
      </w:pPr>
    </w:p>
    <w:p w14:paraId="3313FA2D" w14:textId="77777777" w:rsidR="0061561A" w:rsidRPr="0045080D" w:rsidRDefault="0061561A" w:rsidP="0061561A">
      <w:pPr>
        <w:widowControl w:val="0"/>
        <w:tabs>
          <w:tab w:val="left" w:pos="8280"/>
        </w:tabs>
        <w:spacing w:after="240"/>
        <w:jc w:val="center"/>
        <w:rPr>
          <w:b/>
          <w:lang w:val="es-ES"/>
        </w:rPr>
      </w:pPr>
      <w:r w:rsidRPr="007F3FC5">
        <w:rPr>
          <w:b/>
          <w:lang w:val="es-ES"/>
        </w:rPr>
        <w:lastRenderedPageBreak/>
        <w:t>Anexo V</w:t>
      </w:r>
      <w:r>
        <w:rPr>
          <w:b/>
          <w:lang w:val="es-ES"/>
        </w:rPr>
        <w:t>I</w:t>
      </w:r>
    </w:p>
    <w:p w14:paraId="20716C36" w14:textId="77777777" w:rsidR="0061561A" w:rsidRPr="0045080D" w:rsidRDefault="0061561A" w:rsidP="0061561A">
      <w:pPr>
        <w:widowControl w:val="0"/>
        <w:tabs>
          <w:tab w:val="left" w:pos="0"/>
          <w:tab w:val="left" w:pos="8280"/>
        </w:tabs>
        <w:spacing w:after="240"/>
        <w:jc w:val="center"/>
        <w:rPr>
          <w:b/>
          <w:sz w:val="24"/>
          <w:szCs w:val="24"/>
          <w:lang w:val="es-ES"/>
        </w:rPr>
      </w:pPr>
      <w:r w:rsidRPr="0045080D">
        <w:rPr>
          <w:b/>
          <w:sz w:val="24"/>
          <w:lang w:val="es-ES"/>
        </w:rPr>
        <w:t>PROPUESTA DE PLANTILLA PARA LAS DIRECTRICES DE COSTOS PARA LA REDUCCIÓN DE LOS HFC</w:t>
      </w:r>
    </w:p>
    <w:p w14:paraId="3A51219E" w14:textId="77777777" w:rsidR="0061561A" w:rsidRPr="0045080D" w:rsidRDefault="0061561A" w:rsidP="0061561A">
      <w:pPr>
        <w:widowControl w:val="0"/>
        <w:shd w:val="clear" w:color="auto" w:fill="FFFFFF" w:themeFill="background1"/>
        <w:tabs>
          <w:tab w:val="left" w:pos="8280"/>
        </w:tabs>
        <w:spacing w:after="240"/>
        <w:jc w:val="center"/>
        <w:rPr>
          <w:b/>
          <w:bCs/>
          <w:lang w:val="es-ES"/>
        </w:rPr>
      </w:pPr>
      <w:r w:rsidRPr="0045080D">
        <w:rPr>
          <w:b/>
          <w:lang w:val="es-ES"/>
        </w:rPr>
        <w:t>(Vigente a partir de la 9</w:t>
      </w:r>
      <w:r>
        <w:rPr>
          <w:b/>
          <w:lang w:val="es-ES"/>
        </w:rPr>
        <w:t>4</w:t>
      </w:r>
      <w:r w:rsidRPr="0045080D">
        <w:rPr>
          <w:b/>
          <w:vertAlign w:val="superscript"/>
          <w:lang w:val="es-ES"/>
        </w:rPr>
        <w:t>a</w:t>
      </w:r>
      <w:r w:rsidRPr="0045080D">
        <w:rPr>
          <w:b/>
          <w:lang w:val="es-ES"/>
        </w:rPr>
        <w:t> reunión)</w:t>
      </w:r>
    </w:p>
    <w:p w14:paraId="5583879C" w14:textId="77777777" w:rsidR="0061561A" w:rsidRPr="00AD40B7" w:rsidRDefault="0061561A" w:rsidP="0061561A">
      <w:pPr>
        <w:widowControl w:val="0"/>
        <w:spacing w:after="240"/>
        <w:rPr>
          <w:u w:val="single"/>
          <w:lang w:val="es-ES_tradnl"/>
        </w:rPr>
      </w:pPr>
      <w:r w:rsidRPr="00AD40B7">
        <w:rPr>
          <w:u w:val="single"/>
          <w:lang w:val="es-ES_tradnl"/>
        </w:rPr>
        <w:t>Antecedentes</w:t>
      </w:r>
    </w:p>
    <w:p w14:paraId="31F64403" w14:textId="77777777" w:rsidR="0061561A" w:rsidRPr="00EE57D0" w:rsidRDefault="0061561A" w:rsidP="00EE57D0">
      <w:pPr>
        <w:pStyle w:val="Heading1"/>
        <w:numPr>
          <w:ilvl w:val="0"/>
          <w:numId w:val="32"/>
        </w:numPr>
        <w:tabs>
          <w:tab w:val="clear" w:pos="0"/>
          <w:tab w:val="num" w:pos="360"/>
        </w:tabs>
        <w:rPr>
          <w:lang w:val="es-ES"/>
        </w:rPr>
      </w:pPr>
      <w:r w:rsidRPr="00EE57D0">
        <w:rPr>
          <w:lang w:val="es-ES"/>
        </w:rPr>
        <w:t>El presente anexo contiene el proyecto de directrices relativas a los costos de reducir los HFC elaborado a partir de los elementos pertinentes de la decisión XXVIII/2 acordada en la 28ª reunión de las Partes. Este proyecto contiene los elementos acordados en la 78ª reunión y posteriores reuniones del Comité Ejecutivo y se actualizará de conformidad con las deliberaciones que se sostengan en futuras reuniones del Comité Ejecutivo.</w:t>
      </w:r>
    </w:p>
    <w:p w14:paraId="4F9C06D9" w14:textId="77777777" w:rsidR="0061561A" w:rsidRPr="0045080D" w:rsidRDefault="0061561A" w:rsidP="0061561A">
      <w:pPr>
        <w:widowControl w:val="0"/>
        <w:spacing w:after="240"/>
        <w:rPr>
          <w:u w:val="single"/>
          <w:lang w:val="es-ES"/>
        </w:rPr>
      </w:pPr>
      <w:r w:rsidRPr="0045080D">
        <w:rPr>
          <w:u w:val="single"/>
          <w:lang w:val="es-ES"/>
        </w:rPr>
        <w:t>Proyecto de directrices de costos de la reducción de los HFC</w:t>
      </w:r>
    </w:p>
    <w:p w14:paraId="2FBF91EB" w14:textId="77777777" w:rsidR="0061561A" w:rsidRPr="0045080D" w:rsidRDefault="0061561A" w:rsidP="0061561A">
      <w:pPr>
        <w:widowControl w:val="0"/>
        <w:spacing w:after="240"/>
        <w:rPr>
          <w:b/>
          <w:lang w:val="es-ES"/>
        </w:rPr>
      </w:pPr>
      <w:r w:rsidRPr="0045080D">
        <w:rPr>
          <w:b/>
          <w:lang w:val="es-ES"/>
        </w:rPr>
        <w:t>Flexibilidad en la aplicación que permita a las Partes seleccionar sus propias estrategias y prioridades en relación con los sectores y las tecnologías</w:t>
      </w:r>
    </w:p>
    <w:p w14:paraId="634DAB1A" w14:textId="77777777" w:rsidR="0061561A" w:rsidRPr="00433974" w:rsidRDefault="0061561A" w:rsidP="0061561A">
      <w:pPr>
        <w:pStyle w:val="Heading1"/>
        <w:numPr>
          <w:ilvl w:val="0"/>
          <w:numId w:val="23"/>
        </w:numPr>
        <w:rPr>
          <w:lang w:val="es-ES"/>
        </w:rPr>
      </w:pPr>
      <w:r w:rsidRPr="00433974">
        <w:rPr>
          <w:lang w:val="es-ES"/>
        </w:rPr>
        <w:t>Los países del artículo 5 dispondrán de flexibilidad para priorizar los HFC, definir sectores, seleccionar tecnologías y alternativas y elaborar y aplicar estrategias para cumplir con las obligaciones relativas a los HFC sobre la base de sus necesidades específicas y circunstancias nacionales y aplicando los criterios que determine cada país.</w:t>
      </w:r>
    </w:p>
    <w:p w14:paraId="35A9F045" w14:textId="77777777" w:rsidR="0061561A" w:rsidRPr="0045080D" w:rsidRDefault="0061561A" w:rsidP="0061561A">
      <w:pPr>
        <w:widowControl w:val="0"/>
        <w:spacing w:after="240"/>
        <w:rPr>
          <w:b/>
          <w:lang w:val="es-ES"/>
        </w:rPr>
      </w:pPr>
      <w:r w:rsidRPr="0045080D">
        <w:rPr>
          <w:b/>
          <w:lang w:val="es-ES"/>
        </w:rPr>
        <w:t>Fecha límite para las capacidades subvencionables</w:t>
      </w:r>
    </w:p>
    <w:p w14:paraId="53734927" w14:textId="77777777" w:rsidR="0061561A" w:rsidRPr="0045080D" w:rsidRDefault="0061561A" w:rsidP="0061561A">
      <w:pPr>
        <w:pStyle w:val="Heading1"/>
        <w:rPr>
          <w:lang w:val="es-ES"/>
        </w:rPr>
      </w:pPr>
      <w:r w:rsidRPr="0045080D">
        <w:rPr>
          <w:lang w:val="es-ES"/>
        </w:rPr>
        <w:t>La fecha límite para las capacidades subvencionables será el 1ºde enero de 2020 para las Partes cuyos años de referencia se sitúen entre 2020 y 2022 y el 1 de enero de 2024 para las Partes cuyos años de referencia se sitúen entre 2024 y 2026.</w:t>
      </w:r>
    </w:p>
    <w:p w14:paraId="08CA3EF4" w14:textId="77777777" w:rsidR="0061561A" w:rsidRPr="00AD40B7" w:rsidRDefault="0061561A" w:rsidP="0061561A">
      <w:pPr>
        <w:widowControl w:val="0"/>
        <w:spacing w:after="240"/>
        <w:rPr>
          <w:b/>
          <w:lang w:val="es-ES_tradnl"/>
        </w:rPr>
      </w:pPr>
      <w:r w:rsidRPr="00AD40B7">
        <w:rPr>
          <w:b/>
          <w:lang w:val="es-ES_tradnl"/>
        </w:rPr>
        <w:t>Conversiones segunda y tercera</w:t>
      </w:r>
    </w:p>
    <w:p w14:paraId="51DDCBB0" w14:textId="77777777" w:rsidR="0061561A" w:rsidRPr="0045080D" w:rsidRDefault="0061561A" w:rsidP="0061561A">
      <w:pPr>
        <w:pStyle w:val="Heading1"/>
        <w:rPr>
          <w:lang w:val="es-ES"/>
        </w:rPr>
      </w:pPr>
      <w:r w:rsidRPr="0045080D">
        <w:rPr>
          <w:lang w:val="es-ES"/>
        </w:rPr>
        <w:t>Para proyectos de segundas y terceras conversiones se aplicarán los siguientes principios:</w:t>
      </w:r>
    </w:p>
    <w:p w14:paraId="44DC0FDB" w14:textId="77777777" w:rsidR="0061561A" w:rsidRPr="0045080D" w:rsidRDefault="0061561A" w:rsidP="0061561A">
      <w:pPr>
        <w:pStyle w:val="Heading2"/>
        <w:rPr>
          <w:lang w:val="es-ES"/>
        </w:rPr>
      </w:pPr>
      <w:r w:rsidRPr="0045080D">
        <w:rPr>
          <w:lang w:val="es-ES"/>
        </w:rPr>
        <w:t xml:space="preserve">Se entiende por primera conversión, en el contexto de la reducción de los HFC, la conversión de empresas a sustancias alternativas de bajo o nulo potencial de calentamiento atmosférico (PCA) que </w:t>
      </w:r>
      <w:r>
        <w:rPr>
          <w:lang w:val="es-ES"/>
        </w:rPr>
        <w:t>no</w:t>
      </w:r>
      <w:r w:rsidRPr="0045080D">
        <w:rPr>
          <w:lang w:val="es-ES"/>
        </w:rPr>
        <w:t xml:space="preserve"> hayan recibido </w:t>
      </w:r>
      <w:r>
        <w:rPr>
          <w:lang w:val="es-ES"/>
        </w:rPr>
        <w:t xml:space="preserve">nunca </w:t>
      </w:r>
      <w:r w:rsidRPr="0045080D">
        <w:rPr>
          <w:lang w:val="es-ES"/>
        </w:rPr>
        <w:t>apoyo directo o indirecto total o parcial del Fondo Multilateral; esto incluye las que se hayan convertido a HFC con recursos propios;</w:t>
      </w:r>
    </w:p>
    <w:p w14:paraId="49591422" w14:textId="77777777" w:rsidR="0061561A" w:rsidRPr="0045080D" w:rsidRDefault="0061561A" w:rsidP="0061561A">
      <w:pPr>
        <w:widowControl w:val="0"/>
        <w:numPr>
          <w:ilvl w:val="1"/>
          <w:numId w:val="1"/>
        </w:numPr>
        <w:spacing w:after="240"/>
        <w:ind w:left="1440" w:hanging="720"/>
        <w:outlineLvl w:val="1"/>
        <w:rPr>
          <w:lang w:val="es-ES"/>
        </w:rPr>
      </w:pPr>
      <w:r w:rsidRPr="0045080D">
        <w:rPr>
          <w:lang w:val="es-ES"/>
        </w:rPr>
        <w:t>Las empresas que hayan realizado la conversión a HFC para la eliminación de los CFC o HCFC reúnen las condiciones para recibir financia</w:t>
      </w:r>
      <w:r>
        <w:rPr>
          <w:lang w:val="es-ES"/>
        </w:rPr>
        <w:t>ción</w:t>
      </w:r>
      <w:r w:rsidRPr="0045080D">
        <w:rPr>
          <w:lang w:val="es-ES"/>
        </w:rPr>
        <w:t xml:space="preserve"> del Fondo Multilateral para sufragar los costos adicionales acordados de la misma manera que las empresas que cumplen con los requisitos para primeras conversiones;</w:t>
      </w:r>
    </w:p>
    <w:p w14:paraId="79663271" w14:textId="77777777" w:rsidR="0061561A" w:rsidRPr="0045080D" w:rsidRDefault="0061561A" w:rsidP="0061561A">
      <w:pPr>
        <w:widowControl w:val="0"/>
        <w:numPr>
          <w:ilvl w:val="1"/>
          <w:numId w:val="1"/>
        </w:numPr>
        <w:spacing w:after="240"/>
        <w:ind w:left="1440" w:hanging="720"/>
        <w:outlineLvl w:val="1"/>
        <w:rPr>
          <w:lang w:val="es-ES"/>
        </w:rPr>
      </w:pPr>
      <w:r w:rsidRPr="0045080D">
        <w:rPr>
          <w:lang w:val="es-ES"/>
        </w:rPr>
        <w:t>Las empresas que realicen la conversión de HCFC a HFC de alto PCA, después de la fecha de aprobación de la Enmienda, con arreglo a los planes de gestión de eliminación de los HCFC (PGEH) ya aprobados por el Comité Ejecutivo podrán recibir financia</w:t>
      </w:r>
      <w:r>
        <w:rPr>
          <w:lang w:val="es-ES"/>
        </w:rPr>
        <w:t>ción</w:t>
      </w:r>
      <w:r w:rsidRPr="0045080D">
        <w:rPr>
          <w:lang w:val="es-ES"/>
        </w:rPr>
        <w:t xml:space="preserve"> del Fondo Multilateral para una conversión posterior a sustancias alternativas de bajo o nulo PCA para sufragar los costos adicionales convenidos de la misma manera que las empresas admisibles para las primeras conversiones; </w:t>
      </w:r>
    </w:p>
    <w:p w14:paraId="60AA0DF0" w14:textId="77777777" w:rsidR="0061561A" w:rsidRPr="0045080D" w:rsidRDefault="0061561A" w:rsidP="0061561A">
      <w:pPr>
        <w:widowControl w:val="0"/>
        <w:numPr>
          <w:ilvl w:val="1"/>
          <w:numId w:val="1"/>
        </w:numPr>
        <w:spacing w:after="240"/>
        <w:ind w:left="1440" w:hanging="720"/>
        <w:outlineLvl w:val="1"/>
        <w:rPr>
          <w:lang w:val="es-ES"/>
        </w:rPr>
      </w:pPr>
      <w:r w:rsidRPr="0045080D">
        <w:rPr>
          <w:lang w:val="es-ES"/>
        </w:rPr>
        <w:t xml:space="preserve">Las empresas que realicen la conversión de HCFC a HFC de alto PCA con recursos propios </w:t>
      </w:r>
      <w:r w:rsidRPr="0045080D">
        <w:rPr>
          <w:lang w:val="es-ES"/>
        </w:rPr>
        <w:lastRenderedPageBreak/>
        <w:t>antes de 2025 y con arreglo a la Enmienda podrán recibir financiación del Fondo Multilateral para sufragar los costos adicionales convenidos de la misma manera que las empresas admisibles para las primeras conversiones; y</w:t>
      </w:r>
    </w:p>
    <w:p w14:paraId="76E597CF" w14:textId="77777777" w:rsidR="0061561A" w:rsidRPr="0045080D" w:rsidRDefault="0061561A" w:rsidP="0061561A">
      <w:pPr>
        <w:numPr>
          <w:ilvl w:val="1"/>
          <w:numId w:val="1"/>
        </w:numPr>
        <w:tabs>
          <w:tab w:val="num" w:pos="0"/>
        </w:tabs>
        <w:ind w:left="1440" w:hanging="720"/>
        <w:outlineLvl w:val="1"/>
        <w:rPr>
          <w:lang w:val="es-ES"/>
        </w:rPr>
      </w:pPr>
      <w:r w:rsidRPr="0045080D">
        <w:rPr>
          <w:lang w:val="es-ES"/>
        </w:rPr>
        <w:t>Las empresas que se conviertan de HFC a HFC de menor PCA con apoyo del Fondo Multilateral cuando no existan otras alternativas podrán recibir recursos para una conversión posterior a sustancias alternativas de bajo o nulo PCA cuando sea necesario para cumplir con la etapa final de reducción de los HFC.</w:t>
      </w:r>
    </w:p>
    <w:p w14:paraId="60FDE86B" w14:textId="77777777" w:rsidR="0061561A" w:rsidRPr="00AD40B7" w:rsidRDefault="0061561A" w:rsidP="0061561A">
      <w:pPr>
        <w:widowControl w:val="0"/>
        <w:spacing w:before="240" w:after="240"/>
        <w:rPr>
          <w:b/>
          <w:lang w:val="es-ES_tradnl"/>
        </w:rPr>
      </w:pPr>
      <w:r w:rsidRPr="00AD40B7">
        <w:rPr>
          <w:b/>
          <w:lang w:val="es-ES_tradnl"/>
        </w:rPr>
        <w:t>Reducciones acumuladas sostenidas</w:t>
      </w:r>
    </w:p>
    <w:p w14:paraId="07CA3368" w14:textId="77777777" w:rsidR="0061561A" w:rsidRPr="0045080D" w:rsidRDefault="0061561A" w:rsidP="0061561A">
      <w:pPr>
        <w:pStyle w:val="Heading1"/>
        <w:rPr>
          <w:lang w:val="es-ES"/>
        </w:rPr>
      </w:pPr>
      <w:r w:rsidRPr="0045080D">
        <w:rPr>
          <w:lang w:val="es-ES"/>
        </w:rPr>
        <w:t>El consumo admisible para la financiación restante en toneladas se determinará sobre la base del punto de partida del consumo nacional acumulado menos la cantidad financiada de proyectos aprobados con anterioridad en futuras plantillas de acuerdos plurianuales correspondientes a planes de ejecución de Kigali para los HFC (KIP).</w:t>
      </w:r>
    </w:p>
    <w:p w14:paraId="7322CAC9" w14:textId="77777777" w:rsidR="0061561A" w:rsidRPr="0045080D" w:rsidRDefault="0061561A" w:rsidP="0061561A">
      <w:pPr>
        <w:widowControl w:val="0"/>
        <w:spacing w:after="240"/>
        <w:rPr>
          <w:b/>
          <w:lang w:val="es-ES"/>
        </w:rPr>
      </w:pPr>
      <w:r w:rsidRPr="0045080D">
        <w:rPr>
          <w:b/>
          <w:lang w:val="es-ES"/>
        </w:rPr>
        <w:t>Costos adicionales admisibles</w:t>
      </w:r>
    </w:p>
    <w:p w14:paraId="18CA6F18" w14:textId="77777777" w:rsidR="0061561A" w:rsidRPr="0045080D" w:rsidRDefault="0061561A" w:rsidP="0061561A">
      <w:pPr>
        <w:widowControl w:val="0"/>
        <w:spacing w:after="240"/>
        <w:ind w:firstLine="720"/>
        <w:rPr>
          <w:i/>
          <w:lang w:val="es-ES"/>
        </w:rPr>
      </w:pPr>
      <w:r w:rsidRPr="0045080D">
        <w:rPr>
          <w:i/>
          <w:lang w:val="es-ES"/>
        </w:rPr>
        <w:t>Sector de fabricación para el consumo</w:t>
      </w:r>
    </w:p>
    <w:p w14:paraId="291498C1" w14:textId="77777777" w:rsidR="0061561A" w:rsidRPr="0045080D" w:rsidRDefault="0061561A" w:rsidP="0061561A">
      <w:pPr>
        <w:pStyle w:val="Heading1"/>
        <w:rPr>
          <w:lang w:val="es-ES"/>
        </w:rPr>
      </w:pPr>
      <w:r w:rsidRPr="0045080D">
        <w:rPr>
          <w:lang w:val="es-ES"/>
        </w:rPr>
        <w:t>Hacer admisibles las siguientes categorías e incluirlas en el cálculo de los costos asociados con la reducción de los HFC en el sector de fabricación para el consumo:</w:t>
      </w:r>
    </w:p>
    <w:p w14:paraId="1634DDF6" w14:textId="77777777" w:rsidR="0061561A" w:rsidRPr="00AD40B7" w:rsidRDefault="0061561A" w:rsidP="0061561A">
      <w:pPr>
        <w:widowControl w:val="0"/>
        <w:numPr>
          <w:ilvl w:val="1"/>
          <w:numId w:val="1"/>
        </w:numPr>
        <w:spacing w:after="240"/>
        <w:ind w:left="1440" w:hanging="720"/>
        <w:outlineLvl w:val="1"/>
        <w:rPr>
          <w:lang w:val="es-ES_tradnl"/>
        </w:rPr>
      </w:pPr>
      <w:r w:rsidRPr="00AD40B7">
        <w:rPr>
          <w:lang w:val="es-ES_tradnl"/>
        </w:rPr>
        <w:t>Costos adicionales de capital;</w:t>
      </w:r>
    </w:p>
    <w:p w14:paraId="0533E28A" w14:textId="77777777" w:rsidR="0061561A" w:rsidRPr="0045080D" w:rsidRDefault="0061561A" w:rsidP="0061561A">
      <w:pPr>
        <w:widowControl w:val="0"/>
        <w:numPr>
          <w:ilvl w:val="1"/>
          <w:numId w:val="1"/>
        </w:numPr>
        <w:spacing w:after="240"/>
        <w:ind w:left="1440" w:hanging="720"/>
        <w:outlineLvl w:val="1"/>
        <w:rPr>
          <w:lang w:val="es-ES"/>
        </w:rPr>
      </w:pPr>
      <w:r w:rsidRPr="0045080D">
        <w:rPr>
          <w:lang w:val="es-ES"/>
        </w:rPr>
        <w:t>Costos adicionales de explotación durante un período que determinará el Comité Ejecutivo;</w:t>
      </w:r>
    </w:p>
    <w:p w14:paraId="32867624" w14:textId="77777777" w:rsidR="0061561A" w:rsidRPr="00AD40B7" w:rsidRDefault="0061561A" w:rsidP="0061561A">
      <w:pPr>
        <w:widowControl w:val="0"/>
        <w:numPr>
          <w:ilvl w:val="1"/>
          <w:numId w:val="1"/>
        </w:numPr>
        <w:spacing w:after="240"/>
        <w:ind w:left="1440" w:hanging="720"/>
        <w:outlineLvl w:val="1"/>
        <w:rPr>
          <w:lang w:val="es-ES_tradnl"/>
        </w:rPr>
      </w:pPr>
      <w:r w:rsidRPr="00AD40B7">
        <w:rPr>
          <w:lang w:val="es-ES_tradnl"/>
        </w:rPr>
        <w:t xml:space="preserve">Actividades de asistencia técnica; </w:t>
      </w:r>
    </w:p>
    <w:p w14:paraId="6B6F0AC8" w14:textId="77777777" w:rsidR="0061561A" w:rsidRPr="0045080D" w:rsidRDefault="0061561A" w:rsidP="0061561A">
      <w:pPr>
        <w:widowControl w:val="0"/>
        <w:numPr>
          <w:ilvl w:val="1"/>
          <w:numId w:val="1"/>
        </w:numPr>
        <w:spacing w:after="240"/>
        <w:ind w:left="1440" w:hanging="720"/>
        <w:outlineLvl w:val="1"/>
        <w:rPr>
          <w:lang w:val="es-ES"/>
        </w:rPr>
      </w:pPr>
      <w:r w:rsidRPr="0045080D">
        <w:rPr>
          <w:lang w:val="es-ES"/>
        </w:rPr>
        <w:t>Investigación y desarrollo, cuando sea menester para adaptar y optimizar alternativas de bajo o nulo PCA;</w:t>
      </w:r>
    </w:p>
    <w:p w14:paraId="1DFD9458" w14:textId="77777777" w:rsidR="0061561A" w:rsidRPr="0045080D" w:rsidRDefault="0061561A" w:rsidP="0061561A">
      <w:pPr>
        <w:widowControl w:val="0"/>
        <w:numPr>
          <w:ilvl w:val="1"/>
          <w:numId w:val="1"/>
        </w:numPr>
        <w:spacing w:after="240"/>
        <w:ind w:left="1440" w:hanging="720"/>
        <w:outlineLvl w:val="1"/>
        <w:rPr>
          <w:lang w:val="es-ES"/>
        </w:rPr>
      </w:pPr>
      <w:r w:rsidRPr="0045080D">
        <w:rPr>
          <w:lang w:val="es-ES"/>
        </w:rPr>
        <w:t>Costos de patentes y diseños y costos adicionales por regalías, cuando sea necesario y tenga sentido económicamente, y</w:t>
      </w:r>
    </w:p>
    <w:p w14:paraId="2430A6D9" w14:textId="77777777" w:rsidR="0061561A" w:rsidRPr="0045080D" w:rsidRDefault="0061561A" w:rsidP="0061561A">
      <w:pPr>
        <w:widowControl w:val="0"/>
        <w:numPr>
          <w:ilvl w:val="1"/>
          <w:numId w:val="1"/>
        </w:numPr>
        <w:spacing w:after="240"/>
        <w:ind w:left="1440" w:hanging="720"/>
        <w:outlineLvl w:val="1"/>
        <w:rPr>
          <w:lang w:val="es-ES"/>
        </w:rPr>
      </w:pPr>
      <w:r w:rsidRPr="0045080D">
        <w:rPr>
          <w:lang w:val="es-ES"/>
        </w:rPr>
        <w:t>Costos de la introducción segura de sustancias alternativas inflamables y tóxicas.</w:t>
      </w:r>
    </w:p>
    <w:p w14:paraId="797D931E" w14:textId="77777777" w:rsidR="0061561A" w:rsidRPr="00AD40B7" w:rsidRDefault="0061561A" w:rsidP="0061561A">
      <w:pPr>
        <w:widowControl w:val="0"/>
        <w:spacing w:after="240"/>
        <w:ind w:left="720"/>
        <w:rPr>
          <w:i/>
          <w:lang w:val="es-ES_tradnl"/>
        </w:rPr>
      </w:pPr>
      <w:r w:rsidRPr="00AD40B7">
        <w:rPr>
          <w:i/>
          <w:lang w:val="es-ES_tradnl"/>
        </w:rPr>
        <w:t>Sector de la producción</w:t>
      </w:r>
    </w:p>
    <w:p w14:paraId="6181E041" w14:textId="77777777" w:rsidR="0061561A" w:rsidRPr="0045080D" w:rsidRDefault="0061561A" w:rsidP="0061561A">
      <w:pPr>
        <w:pStyle w:val="Heading1"/>
        <w:rPr>
          <w:lang w:val="es-ES"/>
        </w:rPr>
      </w:pPr>
      <w:r w:rsidRPr="0045080D">
        <w:rPr>
          <w:lang w:val="es-ES"/>
        </w:rPr>
        <w:t>Hacer admisibles las siguientes categorías e incluirlas en el cálculo de los costos asociados con la reducción de los HFC en el sector de producción:</w:t>
      </w:r>
    </w:p>
    <w:p w14:paraId="4E850F47" w14:textId="77777777" w:rsidR="0061561A" w:rsidRPr="00AD40B7" w:rsidRDefault="0061561A" w:rsidP="0061561A">
      <w:pPr>
        <w:widowControl w:val="0"/>
        <w:numPr>
          <w:ilvl w:val="1"/>
          <w:numId w:val="1"/>
        </w:numPr>
        <w:spacing w:after="240"/>
        <w:ind w:left="1440" w:hanging="720"/>
        <w:outlineLvl w:val="1"/>
        <w:rPr>
          <w:lang w:val="es-ES"/>
        </w:rPr>
      </w:pPr>
      <w:r w:rsidRPr="00AD40B7">
        <w:rPr>
          <w:lang w:val="es-ES"/>
        </w:rPr>
        <w:t>Lucro cesante por concepto de cierre o clausura de plantas o menor producción;</w:t>
      </w:r>
    </w:p>
    <w:p w14:paraId="61A805AF" w14:textId="77777777" w:rsidR="0061561A" w:rsidRPr="00AD40B7" w:rsidRDefault="0061561A" w:rsidP="0061561A">
      <w:pPr>
        <w:widowControl w:val="0"/>
        <w:numPr>
          <w:ilvl w:val="1"/>
          <w:numId w:val="1"/>
        </w:numPr>
        <w:spacing w:after="240"/>
        <w:ind w:left="1440" w:hanging="720"/>
        <w:outlineLvl w:val="1"/>
        <w:rPr>
          <w:lang w:val="es-ES"/>
        </w:rPr>
      </w:pPr>
      <w:r w:rsidRPr="00AD40B7">
        <w:rPr>
          <w:lang w:val="es-ES"/>
        </w:rPr>
        <w:t>Indemnizaciones a trabajadores desvinculados;</w:t>
      </w:r>
    </w:p>
    <w:p w14:paraId="05EF0430" w14:textId="77777777" w:rsidR="0061561A" w:rsidRPr="00AD40B7" w:rsidRDefault="0061561A" w:rsidP="0061561A">
      <w:pPr>
        <w:widowControl w:val="0"/>
        <w:numPr>
          <w:ilvl w:val="1"/>
          <w:numId w:val="1"/>
        </w:numPr>
        <w:spacing w:after="240"/>
        <w:ind w:left="1440" w:hanging="720"/>
        <w:outlineLvl w:val="1"/>
        <w:rPr>
          <w:lang w:val="es-ES"/>
        </w:rPr>
      </w:pPr>
      <w:r w:rsidRPr="00AD40B7">
        <w:rPr>
          <w:lang w:val="es-ES"/>
        </w:rPr>
        <w:t>Desmantelamiento de plantas;</w:t>
      </w:r>
    </w:p>
    <w:p w14:paraId="3D805159" w14:textId="77777777" w:rsidR="0061561A" w:rsidRPr="00AD40B7" w:rsidRDefault="0061561A" w:rsidP="0061561A">
      <w:pPr>
        <w:widowControl w:val="0"/>
        <w:numPr>
          <w:ilvl w:val="1"/>
          <w:numId w:val="1"/>
        </w:numPr>
        <w:spacing w:after="240"/>
        <w:ind w:left="1440" w:hanging="720"/>
        <w:outlineLvl w:val="1"/>
        <w:rPr>
          <w:lang w:val="es-ES"/>
        </w:rPr>
      </w:pPr>
      <w:r w:rsidRPr="00AD40B7">
        <w:rPr>
          <w:lang w:val="es-ES"/>
        </w:rPr>
        <w:t>Actividades de asistencia técnica;</w:t>
      </w:r>
    </w:p>
    <w:p w14:paraId="7EBD87BD" w14:textId="77777777" w:rsidR="0061561A" w:rsidRPr="0045080D" w:rsidRDefault="0061561A" w:rsidP="0061561A">
      <w:pPr>
        <w:widowControl w:val="0"/>
        <w:numPr>
          <w:ilvl w:val="1"/>
          <w:numId w:val="1"/>
        </w:numPr>
        <w:spacing w:after="240"/>
        <w:ind w:left="1440" w:hanging="720"/>
        <w:outlineLvl w:val="1"/>
        <w:rPr>
          <w:lang w:val="es-ES"/>
        </w:rPr>
      </w:pPr>
      <w:r w:rsidRPr="0045080D">
        <w:rPr>
          <w:lang w:val="es-ES"/>
        </w:rPr>
        <w:t xml:space="preserve">Investigación y desarrollo relacionados con la producción de alternativas de bajo o nulo </w:t>
      </w:r>
      <w:r w:rsidRPr="0045080D">
        <w:rPr>
          <w:lang w:val="es-ES"/>
        </w:rPr>
        <w:lastRenderedPageBreak/>
        <w:t xml:space="preserve">PCA con miras a reducir su costo; </w:t>
      </w:r>
    </w:p>
    <w:p w14:paraId="480D57A5" w14:textId="77777777" w:rsidR="0061561A" w:rsidRPr="0045080D" w:rsidRDefault="0061561A" w:rsidP="0061561A">
      <w:pPr>
        <w:widowControl w:val="0"/>
        <w:numPr>
          <w:ilvl w:val="1"/>
          <w:numId w:val="1"/>
        </w:numPr>
        <w:spacing w:after="240"/>
        <w:ind w:left="1440" w:hanging="720"/>
        <w:outlineLvl w:val="1"/>
        <w:rPr>
          <w:lang w:val="es-ES"/>
        </w:rPr>
      </w:pPr>
      <w:r w:rsidRPr="0045080D">
        <w:rPr>
          <w:lang w:val="es-ES"/>
        </w:rPr>
        <w:t>Costos de patentes y diseños o sobrecostos de las regalías;</w:t>
      </w:r>
    </w:p>
    <w:p w14:paraId="42E823B1" w14:textId="77777777" w:rsidR="0061561A" w:rsidRPr="0045080D" w:rsidRDefault="0061561A" w:rsidP="0061561A">
      <w:pPr>
        <w:numPr>
          <w:ilvl w:val="1"/>
          <w:numId w:val="1"/>
        </w:numPr>
        <w:tabs>
          <w:tab w:val="num" w:pos="0"/>
        </w:tabs>
        <w:spacing w:after="240"/>
        <w:ind w:left="1440" w:hanging="720"/>
        <w:outlineLvl w:val="1"/>
        <w:rPr>
          <w:lang w:val="es-ES"/>
        </w:rPr>
      </w:pPr>
      <w:r w:rsidRPr="0045080D">
        <w:rPr>
          <w:lang w:val="es-ES"/>
        </w:rPr>
        <w:t>Costos de la conversión de instalaciones para producir alternativas de bajo o nulo PCA, cuando resulte técnicamente viable y tenga sentido económicamente, y</w:t>
      </w:r>
    </w:p>
    <w:p w14:paraId="5EAE1377" w14:textId="77777777" w:rsidR="0061561A" w:rsidRPr="0045080D" w:rsidRDefault="0061561A" w:rsidP="0061561A">
      <w:pPr>
        <w:keepNext/>
        <w:numPr>
          <w:ilvl w:val="1"/>
          <w:numId w:val="1"/>
        </w:numPr>
        <w:spacing w:after="240"/>
        <w:ind w:left="1440" w:hanging="720"/>
        <w:outlineLvl w:val="1"/>
        <w:rPr>
          <w:lang w:val="es-ES"/>
        </w:rPr>
      </w:pPr>
      <w:r w:rsidRPr="0045080D">
        <w:rPr>
          <w:lang w:val="es-ES"/>
        </w:rPr>
        <w:t>Costos de reducir las emisiones de HFC-23, un subproducto del proceso de producción del HCFC-22, sea disminuyendo las emisiones durante el proceso, destruyéndolo en el gas residual o bien recuperándolo y transformándolo en otras sustancias químicas más ecológicas; dichos costos deberán ser financiados por el Fondo Multilateral a fin de cumplir las obligaciones que especifica la Enmienda para los países del artículo 5.</w:t>
      </w:r>
    </w:p>
    <w:p w14:paraId="572DB816" w14:textId="77777777" w:rsidR="0061561A" w:rsidRPr="0045080D" w:rsidRDefault="0061561A" w:rsidP="0061561A">
      <w:pPr>
        <w:pStyle w:val="Heading1"/>
        <w:rPr>
          <w:lang w:val="es-ES"/>
        </w:rPr>
      </w:pPr>
      <w:r w:rsidRPr="0045080D">
        <w:rPr>
          <w:lang w:val="es-ES"/>
        </w:rPr>
        <w:t>El Subgrupo sobre el Sector de Producción considerará establecer una compensación por las obligaciones de control relacionadas con el cumplimiento para el sector de producción, caso por caso, una vez que los países del artículo 5 hayan comunicado oficialmente su producción de HFC.</w:t>
      </w:r>
    </w:p>
    <w:p w14:paraId="0FFC0780" w14:textId="77777777" w:rsidR="0061561A" w:rsidRPr="0045080D" w:rsidRDefault="0061561A" w:rsidP="0061561A">
      <w:pPr>
        <w:widowControl w:val="0"/>
        <w:spacing w:after="240"/>
        <w:ind w:left="720"/>
        <w:rPr>
          <w:i/>
          <w:lang w:val="es-ES"/>
        </w:rPr>
      </w:pPr>
      <w:r w:rsidRPr="0045080D">
        <w:rPr>
          <w:i/>
          <w:lang w:val="es-ES"/>
        </w:rPr>
        <w:t>Sector de mantenimiento de equipos de refrigeración</w:t>
      </w:r>
    </w:p>
    <w:p w14:paraId="52B8755E" w14:textId="77777777" w:rsidR="0061561A" w:rsidRPr="0045080D" w:rsidRDefault="0061561A" w:rsidP="0061561A">
      <w:pPr>
        <w:pStyle w:val="Heading1"/>
        <w:rPr>
          <w:lang w:val="es-ES"/>
        </w:rPr>
      </w:pPr>
      <w:r w:rsidRPr="0045080D">
        <w:rPr>
          <w:lang w:val="es-ES"/>
        </w:rPr>
        <w:t>Hacer admisibles las siguientes categorías e incluirlas en el cálculo de los costos asociados con la reducción de los HFC en el sector de mantenimiento de equipos de refrigeración:</w:t>
      </w:r>
    </w:p>
    <w:p w14:paraId="097B7603" w14:textId="77777777" w:rsidR="0061561A" w:rsidRPr="0045080D" w:rsidRDefault="0061561A" w:rsidP="0061561A">
      <w:pPr>
        <w:widowControl w:val="0"/>
        <w:numPr>
          <w:ilvl w:val="1"/>
          <w:numId w:val="1"/>
        </w:numPr>
        <w:spacing w:after="240"/>
        <w:ind w:left="1440" w:hanging="720"/>
        <w:outlineLvl w:val="1"/>
        <w:rPr>
          <w:lang w:val="es-ES"/>
        </w:rPr>
      </w:pPr>
      <w:r w:rsidRPr="0045080D">
        <w:rPr>
          <w:lang w:val="es-ES"/>
        </w:rPr>
        <w:t>Actividades de sensibilización del público;</w:t>
      </w:r>
    </w:p>
    <w:p w14:paraId="606B02EA" w14:textId="77777777" w:rsidR="0061561A" w:rsidRPr="0045080D" w:rsidRDefault="0061561A" w:rsidP="0061561A">
      <w:pPr>
        <w:widowControl w:val="0"/>
        <w:numPr>
          <w:ilvl w:val="1"/>
          <w:numId w:val="1"/>
        </w:numPr>
        <w:spacing w:after="240"/>
        <w:ind w:left="1440" w:hanging="720"/>
        <w:outlineLvl w:val="1"/>
        <w:rPr>
          <w:lang w:val="es-ES"/>
        </w:rPr>
      </w:pPr>
      <w:r w:rsidRPr="0045080D">
        <w:rPr>
          <w:lang w:val="es-ES"/>
        </w:rPr>
        <w:t>Elaboración y aplicación de políticas;</w:t>
      </w:r>
    </w:p>
    <w:p w14:paraId="045BC332" w14:textId="77777777" w:rsidR="0061561A" w:rsidRPr="0045080D" w:rsidRDefault="0061561A" w:rsidP="0061561A">
      <w:pPr>
        <w:widowControl w:val="0"/>
        <w:numPr>
          <w:ilvl w:val="1"/>
          <w:numId w:val="1"/>
        </w:numPr>
        <w:spacing w:after="240"/>
        <w:ind w:left="1440" w:hanging="720"/>
        <w:outlineLvl w:val="1"/>
        <w:rPr>
          <w:lang w:val="es-ES"/>
        </w:rPr>
      </w:pPr>
      <w:r w:rsidRPr="0045080D">
        <w:rPr>
          <w:lang w:val="es-ES"/>
        </w:rPr>
        <w:t>Programas de certificación y formación técnica en relación con el manejo seguro, las buenas prácticas y la seguridad de las sustancias alternativas, incluidos equipos para la capacitación;</w:t>
      </w:r>
    </w:p>
    <w:p w14:paraId="4F5C1620" w14:textId="77777777" w:rsidR="0061561A" w:rsidRPr="0045080D" w:rsidRDefault="0061561A" w:rsidP="0061561A">
      <w:pPr>
        <w:widowControl w:val="0"/>
        <w:numPr>
          <w:ilvl w:val="1"/>
          <w:numId w:val="1"/>
        </w:numPr>
        <w:spacing w:after="240"/>
        <w:ind w:left="1440" w:hanging="720"/>
        <w:outlineLvl w:val="1"/>
        <w:rPr>
          <w:lang w:val="es-ES"/>
        </w:rPr>
      </w:pPr>
      <w:r w:rsidRPr="0045080D">
        <w:rPr>
          <w:lang w:val="es-ES"/>
        </w:rPr>
        <w:t>Capacitación de funcionarios de aduanas;</w:t>
      </w:r>
    </w:p>
    <w:p w14:paraId="1AC9B5F9" w14:textId="77777777" w:rsidR="0061561A" w:rsidRPr="0045080D" w:rsidRDefault="0061561A" w:rsidP="0061561A">
      <w:pPr>
        <w:widowControl w:val="0"/>
        <w:numPr>
          <w:ilvl w:val="1"/>
          <w:numId w:val="1"/>
        </w:numPr>
        <w:spacing w:after="240"/>
        <w:ind w:left="1440" w:hanging="720"/>
        <w:outlineLvl w:val="1"/>
        <w:rPr>
          <w:lang w:val="es-ES"/>
        </w:rPr>
      </w:pPr>
      <w:r w:rsidRPr="0045080D">
        <w:rPr>
          <w:lang w:val="es-ES"/>
        </w:rPr>
        <w:t>Prevención del comercio ilegal de HFC;</w:t>
      </w:r>
    </w:p>
    <w:p w14:paraId="4756DDF5" w14:textId="77777777" w:rsidR="0061561A" w:rsidRPr="00AD40B7" w:rsidRDefault="0061561A" w:rsidP="0061561A">
      <w:pPr>
        <w:widowControl w:val="0"/>
        <w:numPr>
          <w:ilvl w:val="1"/>
          <w:numId w:val="1"/>
        </w:numPr>
        <w:spacing w:after="240"/>
        <w:ind w:left="1440" w:hanging="720"/>
        <w:outlineLvl w:val="1"/>
        <w:rPr>
          <w:lang w:val="es-ES_tradnl"/>
        </w:rPr>
      </w:pPr>
      <w:r w:rsidRPr="00AD40B7">
        <w:rPr>
          <w:lang w:val="es-ES_tradnl"/>
        </w:rPr>
        <w:t xml:space="preserve">Herramientas de mantenimiento; </w:t>
      </w:r>
    </w:p>
    <w:p w14:paraId="6A8DEB4D" w14:textId="77777777" w:rsidR="0061561A" w:rsidRPr="0045080D" w:rsidRDefault="0061561A" w:rsidP="0061561A">
      <w:pPr>
        <w:widowControl w:val="0"/>
        <w:numPr>
          <w:ilvl w:val="1"/>
          <w:numId w:val="1"/>
        </w:numPr>
        <w:spacing w:after="240"/>
        <w:ind w:left="1440" w:hanging="720"/>
        <w:outlineLvl w:val="1"/>
        <w:rPr>
          <w:lang w:val="es-ES"/>
        </w:rPr>
      </w:pPr>
      <w:r w:rsidRPr="0045080D">
        <w:rPr>
          <w:lang w:val="es-ES"/>
        </w:rPr>
        <w:t>Instrumentos de prueba de refrigerantes, y</w:t>
      </w:r>
    </w:p>
    <w:p w14:paraId="6188C702" w14:textId="77777777" w:rsidR="0061561A" w:rsidRPr="0045080D" w:rsidRDefault="0061561A" w:rsidP="0061561A">
      <w:pPr>
        <w:widowControl w:val="0"/>
        <w:numPr>
          <w:ilvl w:val="1"/>
          <w:numId w:val="1"/>
        </w:numPr>
        <w:spacing w:after="240"/>
        <w:ind w:left="1440" w:hanging="720"/>
        <w:outlineLvl w:val="1"/>
        <w:rPr>
          <w:lang w:val="es-ES"/>
        </w:rPr>
      </w:pPr>
      <w:r w:rsidRPr="0045080D">
        <w:rPr>
          <w:lang w:val="es-ES"/>
        </w:rPr>
        <w:t>Reciclaje y recuperación de HFC.</w:t>
      </w:r>
    </w:p>
    <w:p w14:paraId="57476FFE" w14:textId="77777777" w:rsidR="0061561A" w:rsidRPr="0045080D" w:rsidRDefault="0061561A" w:rsidP="0061561A">
      <w:pPr>
        <w:pStyle w:val="Heading1"/>
        <w:rPr>
          <w:lang w:val="es-ES"/>
        </w:rPr>
      </w:pPr>
      <w:r w:rsidRPr="0045080D">
        <w:rPr>
          <w:lang w:val="es-ES"/>
        </w:rPr>
        <w:t>En relación con el nivel y las modalidades de financiación para la reducción de los HFC en el sector de mantenimiento de equipos de refrigeración, en línea con la decisión 92/37:</w:t>
      </w:r>
    </w:p>
    <w:p w14:paraId="6AA03C10" w14:textId="77777777" w:rsidR="0061561A" w:rsidRPr="0045080D" w:rsidRDefault="0061561A" w:rsidP="0061561A">
      <w:pPr>
        <w:pStyle w:val="Heading2"/>
        <w:numPr>
          <w:ilvl w:val="1"/>
          <w:numId w:val="23"/>
        </w:numPr>
        <w:tabs>
          <w:tab w:val="num" w:pos="360"/>
        </w:tabs>
        <w:rPr>
          <w:lang w:val="es-ES"/>
        </w:rPr>
      </w:pPr>
      <w:r w:rsidRPr="0045080D">
        <w:rPr>
          <w:lang w:val="es-ES"/>
        </w:rPr>
        <w:t xml:space="preserve">Aplicar los siguientes principios </w:t>
      </w:r>
      <w:proofErr w:type="gramStart"/>
      <w:r w:rsidRPr="0045080D">
        <w:rPr>
          <w:lang w:val="es-ES"/>
        </w:rPr>
        <w:t>en relación a</w:t>
      </w:r>
      <w:proofErr w:type="gramEnd"/>
      <w:r w:rsidRPr="0045080D">
        <w:rPr>
          <w:lang w:val="es-ES"/>
        </w:rPr>
        <w:t xml:space="preserve"> los costos adicionales admisibles en el sector de mantenimiento de equipos de refrigeración de la etapa I de los KIP, en el entendido de que los niveles de financiación especificados más adelante podrán ser revisados para las actividades presentadas en futuras etapas de los KIP, una vez que se hayan completado las actividades pertenecientes a los PGEH:</w:t>
      </w:r>
    </w:p>
    <w:p w14:paraId="202D1505" w14:textId="77777777" w:rsidR="0061561A" w:rsidRPr="0045080D" w:rsidRDefault="0061561A" w:rsidP="002F124B">
      <w:pPr>
        <w:pStyle w:val="Heading2"/>
        <w:numPr>
          <w:ilvl w:val="2"/>
          <w:numId w:val="22"/>
        </w:numPr>
        <w:rPr>
          <w:lang w:val="es-ES"/>
        </w:rPr>
      </w:pPr>
      <w:r w:rsidRPr="0045080D">
        <w:rPr>
          <w:lang w:val="es-ES"/>
        </w:rPr>
        <w:t xml:space="preserve">Los KIP de los países del artículo 5 deberán incluir, como mínimo: </w:t>
      </w:r>
    </w:p>
    <w:p w14:paraId="7C8C272C" w14:textId="77777777" w:rsidR="0061561A" w:rsidRPr="0045080D" w:rsidRDefault="0061561A" w:rsidP="0061561A">
      <w:pPr>
        <w:pStyle w:val="Header4"/>
        <w:rPr>
          <w:lang w:val="es-ES"/>
        </w:rPr>
      </w:pPr>
      <w:r w:rsidRPr="0045080D">
        <w:rPr>
          <w:lang w:val="es-ES"/>
        </w:rPr>
        <w:t>El compromiso de lograr, sin nuevas solicitudes de financiación, al menos el 10 por ciento del objetivo de reducción del consumo de HFC establecid</w:t>
      </w:r>
      <w:r>
        <w:rPr>
          <w:lang w:val="es-ES"/>
        </w:rPr>
        <w:t>o</w:t>
      </w:r>
      <w:r w:rsidRPr="0045080D">
        <w:rPr>
          <w:lang w:val="es-ES"/>
        </w:rPr>
        <w:t xml:space="preserve"> en el calendario de cumplimiento del Protocolo de Montreal y restringir la </w:t>
      </w:r>
      <w:r w:rsidRPr="0045080D">
        <w:rPr>
          <w:lang w:val="es-ES"/>
        </w:rPr>
        <w:lastRenderedPageBreak/>
        <w:t>importación de equipos que empleen HFC, en la medida de lo posible, cuando sea necesario para cumplir con el calendario y facilitar las correspondientes actividades de eliminación;</w:t>
      </w:r>
    </w:p>
    <w:p w14:paraId="27C7B254" w14:textId="77777777" w:rsidR="0061561A" w:rsidRPr="0045080D" w:rsidRDefault="0061561A" w:rsidP="0061561A">
      <w:pPr>
        <w:pStyle w:val="Header4"/>
        <w:rPr>
          <w:lang w:val="es-ES"/>
        </w:rPr>
      </w:pPr>
      <w:r w:rsidRPr="0045080D">
        <w:rPr>
          <w:lang w:val="es-ES"/>
        </w:rPr>
        <w:t>La notificación con carácter obligatorio, a más tardar en el momento en que se solicitaron los tramos de financiación de los KIP, de las actividades ejecutadas durante el tramo anterior en los sectores de mantenimiento y fabricación de equipos de refrigeración, cuando sea aplicable, así como un detallado plan anual de ejecución de las actividades del tramo siguiente;</w:t>
      </w:r>
    </w:p>
    <w:p w14:paraId="3311175C" w14:textId="77777777" w:rsidR="0061561A" w:rsidRPr="0045080D" w:rsidRDefault="0061561A" w:rsidP="0061561A">
      <w:pPr>
        <w:pStyle w:val="Header4"/>
        <w:rPr>
          <w:lang w:val="es-ES"/>
        </w:rPr>
      </w:pPr>
      <w:r w:rsidRPr="0045080D">
        <w:rPr>
          <w:lang w:val="es-ES"/>
        </w:rPr>
        <w:t>Una descripción de los papeles y responsabilidades de los principales actores involucrados, del organismo de ejecución principal y de los organismos cooperantes, cuando corresponda;</w:t>
      </w:r>
    </w:p>
    <w:p w14:paraId="31B9EBE8" w14:textId="77777777" w:rsidR="0061561A" w:rsidRPr="0045080D" w:rsidRDefault="0061561A" w:rsidP="0061561A">
      <w:pPr>
        <w:pStyle w:val="Header4"/>
        <w:rPr>
          <w:lang w:val="es-ES"/>
        </w:rPr>
      </w:pPr>
      <w:r w:rsidRPr="0045080D">
        <w:rPr>
          <w:lang w:val="es-ES"/>
        </w:rPr>
        <w:t>Una descripción de cómo se coordinará la ejecución de las actividades de los KIP y los PGEH del sector de mantenimiento en el marco de los KIP y los PGEH;</w:t>
      </w:r>
    </w:p>
    <w:p w14:paraId="449BE1B2" w14:textId="77777777" w:rsidR="0061561A" w:rsidRPr="0045080D" w:rsidRDefault="0061561A" w:rsidP="00981DD1">
      <w:pPr>
        <w:pStyle w:val="Heading2"/>
        <w:numPr>
          <w:ilvl w:val="2"/>
          <w:numId w:val="22"/>
        </w:numPr>
        <w:rPr>
          <w:lang w:val="es-ES"/>
        </w:rPr>
      </w:pPr>
      <w:r w:rsidRPr="0045080D">
        <w:rPr>
          <w:lang w:val="es-ES"/>
        </w:rPr>
        <w:t>Los países del artículo 5 que durante los años de referencia hayan tenido un consumo medio de HFC de hasta 360 toneladas métricas (t) recibirán una financiación acorde con el nivel de consumo que registre el sector de mantenimiento de equipos de refrigeración, según se muestra en el cuadro que sigue, en el entendido de que las propuestas de proyecto seguirán necesitando demostrar que la financiación solicitada es necesaria para lograr alcanzar, al menos, el 10 por ciento del objetivo de reducción de HFC establecido en el Protocolo de Montreal.</w:t>
      </w:r>
    </w:p>
    <w:tbl>
      <w:tblPr>
        <w:tblStyle w:val="TableGrid"/>
        <w:tblW w:w="0" w:type="auto"/>
        <w:tblInd w:w="2122" w:type="dxa"/>
        <w:tblLook w:val="04A0" w:firstRow="1" w:lastRow="0" w:firstColumn="1" w:lastColumn="0" w:noHBand="0" w:noVBand="1"/>
      </w:tblPr>
      <w:tblGrid>
        <w:gridCol w:w="3373"/>
        <w:gridCol w:w="3855"/>
      </w:tblGrid>
      <w:tr w:rsidR="0061561A" w:rsidRPr="001B00D1" w14:paraId="686BBAFE" w14:textId="77777777" w:rsidTr="00A32443">
        <w:tc>
          <w:tcPr>
            <w:tcW w:w="3373" w:type="dxa"/>
          </w:tcPr>
          <w:p w14:paraId="2B2E4F45" w14:textId="77777777" w:rsidR="0061561A" w:rsidRPr="0045080D" w:rsidRDefault="0061561A" w:rsidP="007D38F7">
            <w:pPr>
              <w:jc w:val="center"/>
              <w:rPr>
                <w:b/>
                <w:bCs/>
                <w:sz w:val="20"/>
                <w:szCs w:val="20"/>
                <w:lang w:val="es-ES"/>
              </w:rPr>
            </w:pPr>
            <w:r w:rsidRPr="0045080D">
              <w:rPr>
                <w:b/>
                <w:sz w:val="20"/>
                <w:lang w:val="es-ES"/>
              </w:rPr>
              <w:t>Consumo medio de HFC en mantenimiento</w:t>
            </w:r>
            <w:r w:rsidRPr="0045080D">
              <w:rPr>
                <w:b/>
                <w:sz w:val="20"/>
                <w:lang w:val="es-ES"/>
              </w:rPr>
              <w:br/>
              <w:t>en los años de referencia (t)</w:t>
            </w:r>
          </w:p>
        </w:tc>
        <w:tc>
          <w:tcPr>
            <w:tcW w:w="3855" w:type="dxa"/>
          </w:tcPr>
          <w:p w14:paraId="2AA3C93C" w14:textId="77777777" w:rsidR="0061561A" w:rsidRPr="0045080D" w:rsidRDefault="0061561A" w:rsidP="007D38F7">
            <w:pPr>
              <w:jc w:val="center"/>
              <w:rPr>
                <w:b/>
                <w:bCs/>
                <w:sz w:val="20"/>
                <w:szCs w:val="20"/>
                <w:lang w:val="es-ES"/>
              </w:rPr>
            </w:pPr>
            <w:r w:rsidRPr="0045080D">
              <w:rPr>
                <w:b/>
                <w:sz w:val="20"/>
                <w:lang w:val="es-ES"/>
              </w:rPr>
              <w:t>Financiación para alcanzar el 10 % del objetivo de reducción de HFC establecido en el protocolo de Montreal ($EUA)</w:t>
            </w:r>
          </w:p>
        </w:tc>
      </w:tr>
      <w:tr w:rsidR="0061561A" w:rsidRPr="000F434D" w14:paraId="5A2837BE" w14:textId="77777777" w:rsidTr="00A32443">
        <w:tc>
          <w:tcPr>
            <w:tcW w:w="3373" w:type="dxa"/>
          </w:tcPr>
          <w:p w14:paraId="07F184F5" w14:textId="77777777" w:rsidR="0061561A" w:rsidRPr="000F434D" w:rsidRDefault="0061561A" w:rsidP="007D38F7">
            <w:pPr>
              <w:ind w:left="602" w:hanging="142"/>
              <w:rPr>
                <w:sz w:val="20"/>
                <w:szCs w:val="20"/>
              </w:rPr>
            </w:pPr>
            <w:r>
              <w:rPr>
                <w:sz w:val="20"/>
              </w:rPr>
              <w:t>&gt;0 &lt;15</w:t>
            </w:r>
          </w:p>
        </w:tc>
        <w:tc>
          <w:tcPr>
            <w:tcW w:w="3855" w:type="dxa"/>
          </w:tcPr>
          <w:p w14:paraId="578666F2" w14:textId="77777777" w:rsidR="0061561A" w:rsidRPr="000F434D" w:rsidRDefault="0061561A" w:rsidP="007D38F7">
            <w:pPr>
              <w:ind w:right="605"/>
              <w:jc w:val="right"/>
              <w:rPr>
                <w:sz w:val="20"/>
                <w:szCs w:val="20"/>
              </w:rPr>
            </w:pPr>
            <w:r>
              <w:rPr>
                <w:sz w:val="20"/>
              </w:rPr>
              <w:t>135.000</w:t>
            </w:r>
          </w:p>
        </w:tc>
      </w:tr>
      <w:tr w:rsidR="0061561A" w:rsidRPr="000F434D" w14:paraId="26E9FED0" w14:textId="77777777" w:rsidTr="00A32443">
        <w:tc>
          <w:tcPr>
            <w:tcW w:w="3373" w:type="dxa"/>
          </w:tcPr>
          <w:p w14:paraId="53EF4818" w14:textId="77777777" w:rsidR="0061561A" w:rsidRPr="000F434D" w:rsidRDefault="0061561A" w:rsidP="007D38F7">
            <w:pPr>
              <w:ind w:left="602" w:hanging="142"/>
              <w:rPr>
                <w:sz w:val="20"/>
                <w:szCs w:val="20"/>
              </w:rPr>
            </w:pPr>
            <w:r>
              <w:rPr>
                <w:sz w:val="20"/>
              </w:rPr>
              <w:t>15 &lt; 40</w:t>
            </w:r>
          </w:p>
        </w:tc>
        <w:tc>
          <w:tcPr>
            <w:tcW w:w="3855" w:type="dxa"/>
          </w:tcPr>
          <w:p w14:paraId="1DAD92EB" w14:textId="77777777" w:rsidR="0061561A" w:rsidRPr="000F434D" w:rsidRDefault="0061561A" w:rsidP="007D38F7">
            <w:pPr>
              <w:ind w:right="605"/>
              <w:jc w:val="right"/>
              <w:rPr>
                <w:sz w:val="20"/>
                <w:szCs w:val="20"/>
              </w:rPr>
            </w:pPr>
            <w:r>
              <w:rPr>
                <w:sz w:val="20"/>
              </w:rPr>
              <w:t>145.000</w:t>
            </w:r>
          </w:p>
        </w:tc>
      </w:tr>
      <w:tr w:rsidR="0061561A" w:rsidRPr="000F434D" w14:paraId="118936F6" w14:textId="77777777" w:rsidTr="00A32443">
        <w:tc>
          <w:tcPr>
            <w:tcW w:w="3373" w:type="dxa"/>
          </w:tcPr>
          <w:p w14:paraId="79E1494D" w14:textId="77777777" w:rsidR="0061561A" w:rsidRPr="000F434D" w:rsidRDefault="0061561A" w:rsidP="007D38F7">
            <w:pPr>
              <w:ind w:left="602" w:hanging="142"/>
              <w:rPr>
                <w:sz w:val="20"/>
                <w:szCs w:val="20"/>
              </w:rPr>
            </w:pPr>
            <w:r>
              <w:rPr>
                <w:sz w:val="20"/>
              </w:rPr>
              <w:t>40 &lt; 80</w:t>
            </w:r>
          </w:p>
        </w:tc>
        <w:tc>
          <w:tcPr>
            <w:tcW w:w="3855" w:type="dxa"/>
          </w:tcPr>
          <w:p w14:paraId="52C603B6" w14:textId="77777777" w:rsidR="0061561A" w:rsidRPr="000F434D" w:rsidRDefault="0061561A" w:rsidP="007D38F7">
            <w:pPr>
              <w:ind w:right="605"/>
              <w:jc w:val="right"/>
              <w:rPr>
                <w:sz w:val="20"/>
                <w:szCs w:val="20"/>
              </w:rPr>
            </w:pPr>
            <w:r>
              <w:rPr>
                <w:sz w:val="20"/>
              </w:rPr>
              <w:t>158.000</w:t>
            </w:r>
          </w:p>
        </w:tc>
      </w:tr>
      <w:tr w:rsidR="0061561A" w:rsidRPr="000F434D" w14:paraId="28B9B663" w14:textId="77777777" w:rsidTr="00A32443">
        <w:tc>
          <w:tcPr>
            <w:tcW w:w="3373" w:type="dxa"/>
          </w:tcPr>
          <w:p w14:paraId="580E26AD" w14:textId="77777777" w:rsidR="0061561A" w:rsidRPr="000F434D" w:rsidRDefault="0061561A" w:rsidP="007D38F7">
            <w:pPr>
              <w:ind w:left="602" w:hanging="142"/>
              <w:rPr>
                <w:sz w:val="20"/>
                <w:szCs w:val="20"/>
              </w:rPr>
            </w:pPr>
            <w:r>
              <w:rPr>
                <w:sz w:val="20"/>
              </w:rPr>
              <w:t>80 &lt; 120</w:t>
            </w:r>
          </w:p>
        </w:tc>
        <w:tc>
          <w:tcPr>
            <w:tcW w:w="3855" w:type="dxa"/>
          </w:tcPr>
          <w:p w14:paraId="31EE943D" w14:textId="77777777" w:rsidR="0061561A" w:rsidRPr="000F434D" w:rsidRDefault="0061561A" w:rsidP="007D38F7">
            <w:pPr>
              <w:ind w:right="605"/>
              <w:jc w:val="right"/>
              <w:rPr>
                <w:sz w:val="20"/>
                <w:szCs w:val="20"/>
              </w:rPr>
            </w:pPr>
            <w:r>
              <w:rPr>
                <w:sz w:val="20"/>
              </w:rPr>
              <w:t>170.000</w:t>
            </w:r>
          </w:p>
        </w:tc>
      </w:tr>
      <w:tr w:rsidR="0061561A" w:rsidRPr="000F434D" w14:paraId="28297653" w14:textId="77777777" w:rsidTr="00A32443">
        <w:tc>
          <w:tcPr>
            <w:tcW w:w="3373" w:type="dxa"/>
          </w:tcPr>
          <w:p w14:paraId="7796BFB7" w14:textId="77777777" w:rsidR="0061561A" w:rsidRPr="000F434D" w:rsidRDefault="0061561A" w:rsidP="007D38F7">
            <w:pPr>
              <w:ind w:left="602" w:hanging="142"/>
              <w:rPr>
                <w:sz w:val="20"/>
                <w:szCs w:val="20"/>
              </w:rPr>
            </w:pPr>
            <w:r>
              <w:rPr>
                <w:sz w:val="20"/>
              </w:rPr>
              <w:t>120 &lt; 160</w:t>
            </w:r>
          </w:p>
        </w:tc>
        <w:tc>
          <w:tcPr>
            <w:tcW w:w="3855" w:type="dxa"/>
          </w:tcPr>
          <w:p w14:paraId="6D45C1D2" w14:textId="77777777" w:rsidR="0061561A" w:rsidRPr="000F434D" w:rsidRDefault="0061561A" w:rsidP="007D38F7">
            <w:pPr>
              <w:ind w:right="605"/>
              <w:jc w:val="right"/>
              <w:rPr>
                <w:sz w:val="20"/>
                <w:szCs w:val="20"/>
              </w:rPr>
            </w:pPr>
            <w:r>
              <w:rPr>
                <w:sz w:val="20"/>
              </w:rPr>
              <w:t>180.000</w:t>
            </w:r>
          </w:p>
        </w:tc>
      </w:tr>
      <w:tr w:rsidR="0061561A" w:rsidRPr="000F434D" w14:paraId="4CE5AC9A" w14:textId="77777777" w:rsidTr="00A32443">
        <w:tc>
          <w:tcPr>
            <w:tcW w:w="3373" w:type="dxa"/>
          </w:tcPr>
          <w:p w14:paraId="59AD0A52" w14:textId="77777777" w:rsidR="0061561A" w:rsidRPr="000F434D" w:rsidRDefault="0061561A" w:rsidP="007D38F7">
            <w:pPr>
              <w:ind w:left="602" w:hanging="142"/>
              <w:rPr>
                <w:sz w:val="20"/>
                <w:szCs w:val="20"/>
              </w:rPr>
            </w:pPr>
            <w:r>
              <w:rPr>
                <w:sz w:val="20"/>
              </w:rPr>
              <w:t>160 &lt; 200</w:t>
            </w:r>
          </w:p>
        </w:tc>
        <w:tc>
          <w:tcPr>
            <w:tcW w:w="3855" w:type="dxa"/>
          </w:tcPr>
          <w:p w14:paraId="5E71C028" w14:textId="77777777" w:rsidR="0061561A" w:rsidRPr="000F434D" w:rsidRDefault="0061561A" w:rsidP="007D38F7">
            <w:pPr>
              <w:ind w:right="605"/>
              <w:jc w:val="right"/>
              <w:rPr>
                <w:sz w:val="20"/>
                <w:szCs w:val="20"/>
              </w:rPr>
            </w:pPr>
            <w:r>
              <w:rPr>
                <w:sz w:val="20"/>
              </w:rPr>
              <w:t>190.000</w:t>
            </w:r>
          </w:p>
        </w:tc>
      </w:tr>
      <w:tr w:rsidR="0061561A" w:rsidRPr="000F434D" w14:paraId="3A7D0434" w14:textId="77777777" w:rsidTr="00A32443">
        <w:tc>
          <w:tcPr>
            <w:tcW w:w="3373" w:type="dxa"/>
          </w:tcPr>
          <w:p w14:paraId="221B6345" w14:textId="77777777" w:rsidR="0061561A" w:rsidRPr="000F434D" w:rsidRDefault="0061561A" w:rsidP="007D38F7">
            <w:pPr>
              <w:ind w:left="602" w:hanging="142"/>
              <w:rPr>
                <w:sz w:val="20"/>
                <w:szCs w:val="20"/>
              </w:rPr>
            </w:pPr>
            <w:r>
              <w:rPr>
                <w:sz w:val="20"/>
              </w:rPr>
              <w:t>200 &lt; 300</w:t>
            </w:r>
          </w:p>
        </w:tc>
        <w:tc>
          <w:tcPr>
            <w:tcW w:w="3855" w:type="dxa"/>
          </w:tcPr>
          <w:p w14:paraId="0FBC00F2" w14:textId="77777777" w:rsidR="0061561A" w:rsidRPr="000F434D" w:rsidRDefault="0061561A" w:rsidP="007D38F7">
            <w:pPr>
              <w:ind w:right="605"/>
              <w:jc w:val="right"/>
              <w:rPr>
                <w:sz w:val="20"/>
                <w:szCs w:val="20"/>
              </w:rPr>
            </w:pPr>
            <w:r>
              <w:rPr>
                <w:sz w:val="20"/>
              </w:rPr>
              <w:t>325.000</w:t>
            </w:r>
          </w:p>
        </w:tc>
      </w:tr>
      <w:tr w:rsidR="0061561A" w:rsidRPr="000F434D" w14:paraId="6749C339" w14:textId="77777777" w:rsidTr="00A32443">
        <w:tc>
          <w:tcPr>
            <w:tcW w:w="3373" w:type="dxa"/>
          </w:tcPr>
          <w:p w14:paraId="691712E2" w14:textId="77777777" w:rsidR="0061561A" w:rsidRPr="000F434D" w:rsidRDefault="0061561A" w:rsidP="007D38F7">
            <w:pPr>
              <w:ind w:left="602" w:hanging="142"/>
              <w:rPr>
                <w:sz w:val="20"/>
                <w:szCs w:val="20"/>
              </w:rPr>
            </w:pPr>
            <w:r>
              <w:rPr>
                <w:sz w:val="20"/>
              </w:rPr>
              <w:t>300 &lt; 360</w:t>
            </w:r>
          </w:p>
        </w:tc>
        <w:tc>
          <w:tcPr>
            <w:tcW w:w="3855" w:type="dxa"/>
          </w:tcPr>
          <w:p w14:paraId="353C59B2" w14:textId="77777777" w:rsidR="0061561A" w:rsidRPr="000F434D" w:rsidRDefault="0061561A" w:rsidP="007D38F7">
            <w:pPr>
              <w:ind w:right="605"/>
              <w:jc w:val="right"/>
              <w:rPr>
                <w:sz w:val="20"/>
                <w:szCs w:val="20"/>
              </w:rPr>
            </w:pPr>
            <w:r>
              <w:rPr>
                <w:sz w:val="20"/>
              </w:rPr>
              <w:t>360.000</w:t>
            </w:r>
          </w:p>
        </w:tc>
      </w:tr>
    </w:tbl>
    <w:p w14:paraId="13D35F71" w14:textId="253D022E" w:rsidR="0061561A" w:rsidRPr="0045080D" w:rsidRDefault="0061561A" w:rsidP="00A32443">
      <w:pPr>
        <w:spacing w:after="240"/>
        <w:ind w:left="2160"/>
        <w:rPr>
          <w:sz w:val="18"/>
          <w:szCs w:val="18"/>
          <w:lang w:val="es-ES"/>
        </w:rPr>
      </w:pPr>
      <w:r w:rsidRPr="0045080D">
        <w:rPr>
          <w:sz w:val="18"/>
          <w:lang w:val="es-ES"/>
        </w:rPr>
        <w:t>*Más un 20 por ciento de financiación para los países que se comprometen a reducir el consumo en un 10 por ciento respecto del consumo medio de HFC en los años de referencia</w:t>
      </w:r>
    </w:p>
    <w:p w14:paraId="2F011D96" w14:textId="77777777" w:rsidR="0061561A" w:rsidRPr="0045080D" w:rsidRDefault="0061561A" w:rsidP="00601CE8">
      <w:pPr>
        <w:pStyle w:val="Heading2"/>
        <w:numPr>
          <w:ilvl w:val="2"/>
          <w:numId w:val="22"/>
        </w:numPr>
        <w:rPr>
          <w:lang w:val="es-ES"/>
        </w:rPr>
      </w:pPr>
      <w:r w:rsidRPr="0045080D">
        <w:rPr>
          <w:lang w:val="es-ES"/>
        </w:rPr>
        <w:t xml:space="preserve">Los países del artículo 5 con un consumo medio de HFC superior a 360 t e inferior a 25.000 t en el sector de mantenimiento durante los años de referencia recibirán financiamiento, que se descontará de su punto de partida para las reducciones acumuladas del consumo de HFC, por </w:t>
      </w:r>
      <w:r>
        <w:rPr>
          <w:lang w:val="es-ES"/>
        </w:rPr>
        <w:t xml:space="preserve">un valor de </w:t>
      </w:r>
      <w:r w:rsidRPr="0045080D">
        <w:rPr>
          <w:lang w:val="es-ES"/>
        </w:rPr>
        <w:t>hasta 5,10 $EUA/kg en el entendido de que las propuestas de proyecto seguirán sujetas a demostrar que la financiación solicitada es necesaria para lograr al menos un 10 por ciento del objetivo de reducción de HFC.</w:t>
      </w:r>
    </w:p>
    <w:p w14:paraId="58D8CB6C" w14:textId="77777777" w:rsidR="0061561A" w:rsidRPr="0045080D" w:rsidRDefault="0061561A" w:rsidP="00601CE8">
      <w:pPr>
        <w:pStyle w:val="Heading2"/>
        <w:numPr>
          <w:ilvl w:val="2"/>
          <w:numId w:val="22"/>
        </w:numPr>
        <w:rPr>
          <w:lang w:val="es-ES"/>
        </w:rPr>
      </w:pPr>
      <w:r w:rsidRPr="0045080D">
        <w:rPr>
          <w:lang w:val="es-ES"/>
        </w:rPr>
        <w:t>La financiación para países del artículo 5 que hayan tenido un consumo medio de HFC para mantenimiento superior a 25.000 toneladas métricas durante los años de referencia se evaluará caso por caso;</w:t>
      </w:r>
    </w:p>
    <w:p w14:paraId="1000D676" w14:textId="77777777" w:rsidR="0061561A" w:rsidRPr="0045080D" w:rsidRDefault="0061561A" w:rsidP="00651549">
      <w:pPr>
        <w:pStyle w:val="Heading2"/>
        <w:rPr>
          <w:lang w:val="es-ES"/>
        </w:rPr>
      </w:pPr>
      <w:r w:rsidRPr="0045080D">
        <w:rPr>
          <w:lang w:val="es-ES"/>
        </w:rPr>
        <w:lastRenderedPageBreak/>
        <w:t>Que los países del artículo 5 a los que se refiere el apartado b) </w:t>
      </w:r>
      <w:proofErr w:type="spellStart"/>
      <w:r w:rsidRPr="0045080D">
        <w:rPr>
          <w:lang w:val="es-ES"/>
        </w:rPr>
        <w:t>iii</w:t>
      </w:r>
      <w:proofErr w:type="spellEnd"/>
      <w:r w:rsidRPr="0045080D">
        <w:rPr>
          <w:lang w:val="es-ES"/>
        </w:rPr>
        <w:t xml:space="preserve">) anterior que puedan lograr el 10 por ciento de la reducción del consumo de HFC prevista en el calendario del Protocolo de Montreal </w:t>
      </w:r>
      <w:r>
        <w:rPr>
          <w:lang w:val="es-ES"/>
        </w:rPr>
        <w:t>puedan</w:t>
      </w:r>
      <w:r w:rsidRPr="0045080D">
        <w:rPr>
          <w:lang w:val="es-ES"/>
        </w:rPr>
        <w:t xml:space="preserve"> recibir financiación hasta el nivel fijado para los países de bajo consumo que durante los años de referencia hayan tenido un consumo medio de HFC en tareas de mantenimiento entre 300 t y 360 t, tal como se específica en el anterior apartado a) </w:t>
      </w:r>
      <w:proofErr w:type="spellStart"/>
      <w:r w:rsidRPr="0045080D">
        <w:rPr>
          <w:lang w:val="es-ES"/>
        </w:rPr>
        <w:t>ii</w:t>
      </w:r>
      <w:proofErr w:type="spellEnd"/>
      <w:r w:rsidRPr="0045080D">
        <w:rPr>
          <w:lang w:val="es-ES"/>
        </w:rPr>
        <w:t>), en el entendido de que deberán incluir en sus planes de reducción de los HFC, como mínimo, los requisitos descritos en el apartado a) i) anterior; y</w:t>
      </w:r>
    </w:p>
    <w:p w14:paraId="0B3039BF" w14:textId="77777777" w:rsidR="0061561A" w:rsidRPr="0045080D" w:rsidRDefault="0061561A" w:rsidP="0061561A">
      <w:pPr>
        <w:pStyle w:val="Heading2"/>
        <w:widowControl/>
        <w:rPr>
          <w:lang w:val="es-ES"/>
        </w:rPr>
      </w:pPr>
      <w:r w:rsidRPr="0045080D">
        <w:rPr>
          <w:lang w:val="es-ES"/>
        </w:rPr>
        <w:t>Volver a examinar en 2028 los principios a los que se hace referencia en los apartados a) y b) para la financiación de las futuras etapas de los KIP.</w:t>
      </w:r>
    </w:p>
    <w:p w14:paraId="542415CC" w14:textId="77777777" w:rsidR="0061561A" w:rsidRPr="0045080D" w:rsidRDefault="0061561A" w:rsidP="0061561A">
      <w:pPr>
        <w:keepNext/>
        <w:spacing w:after="240"/>
        <w:rPr>
          <w:b/>
          <w:lang w:val="es-ES"/>
        </w:rPr>
      </w:pPr>
      <w:r w:rsidRPr="0045080D">
        <w:rPr>
          <w:b/>
          <w:lang w:val="es-ES"/>
        </w:rPr>
        <w:t>Eficiencia energética</w:t>
      </w:r>
    </w:p>
    <w:p w14:paraId="076522E8" w14:textId="77777777" w:rsidR="0061561A" w:rsidRPr="0045080D" w:rsidRDefault="0061561A" w:rsidP="0061561A">
      <w:pPr>
        <w:widowControl w:val="0"/>
        <w:spacing w:after="240"/>
        <w:rPr>
          <w:b/>
          <w:lang w:val="es-ES"/>
        </w:rPr>
      </w:pPr>
      <w:r w:rsidRPr="0045080D">
        <w:rPr>
          <w:b/>
          <w:lang w:val="es-ES"/>
        </w:rPr>
        <w:t xml:space="preserve">Creación de capacidad para abordar la seguridad </w:t>
      </w:r>
      <w:r w:rsidRPr="0045080D">
        <w:rPr>
          <w:lang w:val="es-ES"/>
        </w:rPr>
        <w:t>(</w:t>
      </w:r>
      <w:r>
        <w:rPr>
          <w:lang w:val="es-ES"/>
        </w:rPr>
        <w:t>se aborda</w:t>
      </w:r>
      <w:r w:rsidRPr="0045080D">
        <w:rPr>
          <w:lang w:val="es-ES"/>
        </w:rPr>
        <w:t xml:space="preserve"> como parte del sector de mantenimiento de conformidad con la decisión 81/67 c))</w:t>
      </w:r>
    </w:p>
    <w:p w14:paraId="4DF8D20E" w14:textId="77777777" w:rsidR="0061561A" w:rsidRPr="0045080D" w:rsidRDefault="0061561A" w:rsidP="0061561A">
      <w:pPr>
        <w:widowControl w:val="0"/>
        <w:spacing w:after="240"/>
        <w:rPr>
          <w:b/>
          <w:lang w:val="es-ES"/>
        </w:rPr>
      </w:pPr>
      <w:r w:rsidRPr="0045080D">
        <w:rPr>
          <w:b/>
          <w:lang w:val="es-ES"/>
        </w:rPr>
        <w:t>Destrucción</w:t>
      </w:r>
    </w:p>
    <w:p w14:paraId="5D9F50A1" w14:textId="77777777" w:rsidR="0061561A" w:rsidRPr="0045080D" w:rsidRDefault="0061561A" w:rsidP="0061561A">
      <w:pPr>
        <w:widowControl w:val="0"/>
        <w:spacing w:after="240"/>
        <w:rPr>
          <w:b/>
          <w:lang w:val="es-ES"/>
        </w:rPr>
      </w:pPr>
      <w:r w:rsidRPr="0045080D">
        <w:rPr>
          <w:b/>
          <w:lang w:val="es-ES"/>
        </w:rPr>
        <w:t>Admisibilidad de las sustancias del anexo F sujetas a exención por altas temperaturas ambiente</w:t>
      </w:r>
    </w:p>
    <w:p w14:paraId="43E51FC2" w14:textId="77777777" w:rsidR="0061561A" w:rsidRPr="0045080D" w:rsidRDefault="0061561A" w:rsidP="0061561A">
      <w:pPr>
        <w:pStyle w:val="Heading1"/>
        <w:numPr>
          <w:ilvl w:val="0"/>
          <w:numId w:val="0"/>
        </w:numPr>
        <w:rPr>
          <w:lang w:val="es-ES"/>
        </w:rPr>
      </w:pPr>
      <w:r w:rsidRPr="0045080D">
        <w:rPr>
          <w:lang w:val="es-ES"/>
        </w:rPr>
        <w:t>Que las sustancias incluidas en el anexo F que están sujetas a exención por concepto de altas temperaturas ambiente no podrán recibir recursos del Fondo Multilateral mientras estén exentas para esa Parte.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1561A" w:rsidRPr="001B00D1" w14:paraId="3467F6A0" w14:textId="77777777" w:rsidTr="007D38F7">
        <w:tc>
          <w:tcPr>
            <w:tcW w:w="1871" w:type="dxa"/>
          </w:tcPr>
          <w:p w14:paraId="48002533" w14:textId="77777777" w:rsidR="0061561A" w:rsidRPr="008F314A" w:rsidRDefault="0061561A" w:rsidP="007D38F7">
            <w:pPr>
              <w:rPr>
                <w:lang w:val="fr-CA"/>
              </w:rPr>
            </w:pPr>
            <w:r>
              <w:rPr>
                <w:lang w:val="es-ES"/>
              </w:rPr>
              <w:br w:type="page"/>
            </w:r>
          </w:p>
        </w:tc>
        <w:tc>
          <w:tcPr>
            <w:tcW w:w="1872" w:type="dxa"/>
          </w:tcPr>
          <w:p w14:paraId="489FF98E" w14:textId="77777777" w:rsidR="0061561A" w:rsidRPr="008F314A" w:rsidRDefault="0061561A" w:rsidP="007D38F7">
            <w:pPr>
              <w:rPr>
                <w:lang w:val="fr-CA"/>
              </w:rPr>
            </w:pPr>
          </w:p>
        </w:tc>
        <w:tc>
          <w:tcPr>
            <w:tcW w:w="1872" w:type="dxa"/>
            <w:tcBorders>
              <w:bottom w:val="single" w:sz="4" w:space="0" w:color="auto"/>
            </w:tcBorders>
          </w:tcPr>
          <w:p w14:paraId="3C35A93C" w14:textId="77777777" w:rsidR="0061561A" w:rsidRPr="008F314A" w:rsidRDefault="0061561A" w:rsidP="007D38F7">
            <w:pPr>
              <w:jc w:val="center"/>
              <w:rPr>
                <w:lang w:val="fr-CA"/>
              </w:rPr>
            </w:pPr>
          </w:p>
        </w:tc>
        <w:tc>
          <w:tcPr>
            <w:tcW w:w="1872" w:type="dxa"/>
          </w:tcPr>
          <w:p w14:paraId="71AA24CE" w14:textId="77777777" w:rsidR="0061561A" w:rsidRPr="008F314A" w:rsidRDefault="0061561A" w:rsidP="007D38F7">
            <w:pPr>
              <w:jc w:val="center"/>
              <w:rPr>
                <w:lang w:val="fr-CA"/>
              </w:rPr>
            </w:pPr>
          </w:p>
        </w:tc>
        <w:tc>
          <w:tcPr>
            <w:tcW w:w="1873" w:type="dxa"/>
          </w:tcPr>
          <w:p w14:paraId="2752F404" w14:textId="77777777" w:rsidR="0061561A" w:rsidRPr="008F314A" w:rsidRDefault="0061561A" w:rsidP="007D38F7">
            <w:pPr>
              <w:jc w:val="center"/>
              <w:rPr>
                <w:lang w:val="fr-CA"/>
              </w:rPr>
            </w:pPr>
          </w:p>
        </w:tc>
      </w:tr>
    </w:tbl>
    <w:p w14:paraId="136D224F" w14:textId="77777777" w:rsidR="0061561A" w:rsidRPr="007F3FC5" w:rsidRDefault="0061561A" w:rsidP="0061561A">
      <w:pPr>
        <w:jc w:val="center"/>
        <w:rPr>
          <w:lang w:val="es-ES"/>
        </w:rPr>
      </w:pPr>
    </w:p>
    <w:p w14:paraId="604D685A" w14:textId="77777777" w:rsidR="00BA3DF8" w:rsidRPr="0061561A" w:rsidRDefault="00BA3DF8" w:rsidP="00BA3DF8">
      <w:pPr>
        <w:rPr>
          <w:lang w:val="es-ES"/>
        </w:rPr>
      </w:pPr>
    </w:p>
    <w:p w14:paraId="367CE24D" w14:textId="14A93D8F" w:rsidR="00E85409" w:rsidRPr="00057C8F" w:rsidRDefault="00E85409" w:rsidP="00BA3DF8">
      <w:pPr>
        <w:pStyle w:val="Heading2"/>
        <w:numPr>
          <w:ilvl w:val="0"/>
          <w:numId w:val="0"/>
        </w:numPr>
        <w:rPr>
          <w:lang w:val="es-ES"/>
        </w:rPr>
      </w:pPr>
    </w:p>
    <w:sectPr w:rsidR="00E85409" w:rsidRPr="00057C8F" w:rsidSect="00BA3DF8">
      <w:headerReference w:type="even" r:id="rId26"/>
      <w:headerReference w:type="default" r:id="rId27"/>
      <w:footerReference w:type="even" r:id="rId28"/>
      <w:footerReference w:type="first" r:id="rId2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18DDF7" w14:textId="77777777" w:rsidR="00AD1870" w:rsidRDefault="00AD1870" w:rsidP="004A504B">
      <w:r>
        <w:separator/>
      </w:r>
    </w:p>
  </w:endnote>
  <w:endnote w:type="continuationSeparator" w:id="0">
    <w:p w14:paraId="4074A3F2" w14:textId="77777777" w:rsidR="00AD1870" w:rsidRDefault="00AD187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02A673" w14:textId="77777777" w:rsidR="00FC01F5" w:rsidRPr="0033525D" w:rsidRDefault="00FC01F5">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99242A" w14:textId="77777777" w:rsidR="00FC01F5" w:rsidRPr="0033525D" w:rsidRDefault="00FC01F5">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368178" w14:textId="1694A1E2" w:rsidR="00FC01F5" w:rsidRDefault="002572C6" w:rsidP="000420DC">
    <w:pPr>
      <w:pBdr>
        <w:top w:val="single" w:sz="4" w:space="1" w:color="auto"/>
        <w:left w:val="single" w:sz="4" w:space="4" w:color="auto"/>
        <w:bottom w:val="single" w:sz="4" w:space="1" w:color="auto"/>
        <w:right w:val="single" w:sz="4" w:space="16" w:color="auto"/>
      </w:pBdr>
      <w:rPr>
        <w:sz w:val="18"/>
        <w:szCs w:val="18"/>
        <w:lang w:val="es-ES"/>
      </w:rPr>
    </w:pPr>
    <w:r w:rsidRPr="002572C6">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2572C6">
      <w:rPr>
        <w:sz w:val="18"/>
        <w:szCs w:val="18"/>
        <w:lang w:val="es-ES"/>
      </w:rPr>
      <w:t>los mismos</w:t>
    </w:r>
    <w:proofErr w:type="gramEnd"/>
    <w:r w:rsidRPr="002572C6">
      <w:rPr>
        <w:sz w:val="18"/>
        <w:szCs w:val="18"/>
        <w:lang w:val="es-ES"/>
      </w:rPr>
      <w:t>.</w:t>
    </w:r>
  </w:p>
  <w:p w14:paraId="4C6841F8" w14:textId="77777777" w:rsidR="000420DC" w:rsidRPr="002572C6" w:rsidRDefault="000420DC" w:rsidP="000420DC">
    <w:pPr>
      <w:pBdr>
        <w:top w:val="single" w:sz="4" w:space="1" w:color="auto"/>
        <w:left w:val="single" w:sz="4" w:space="4" w:color="auto"/>
        <w:bottom w:val="single" w:sz="4" w:space="1" w:color="auto"/>
        <w:right w:val="single" w:sz="4" w:space="16" w:color="auto"/>
      </w:pBdr>
      <w:rPr>
        <w:sz w:val="18"/>
        <w:szCs w:val="18"/>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2C0C8" w14:textId="77777777" w:rsidR="00FC01F5" w:rsidRPr="0033525D" w:rsidRDefault="00FC01F5">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20232"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p w14:paraId="35E6EF75" w14:textId="77777777" w:rsidR="00E80985" w:rsidRDefault="00E80985"/>
  <w:p w14:paraId="5C166FF6" w14:textId="77777777" w:rsidR="00E80985" w:rsidRDefault="00E80985"/>
  <w:p w14:paraId="6B35E66B" w14:textId="77777777" w:rsidR="00E80985" w:rsidRDefault="00E8098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402580" w14:textId="77777777" w:rsidR="006A24A7" w:rsidRPr="002B7A86" w:rsidRDefault="006A24A7" w:rsidP="006A24A7">
    <w:pPr>
      <w:pBdr>
        <w:top w:val="single" w:sz="4" w:space="0" w:color="auto"/>
        <w:left w:val="single" w:sz="4" w:space="4" w:color="auto"/>
        <w:bottom w:val="single" w:sz="4" w:space="1" w:color="auto"/>
        <w:right w:val="single" w:sz="4" w:space="4" w:color="auto"/>
      </w:pBdr>
      <w:jc w:val="center"/>
      <w:rPr>
        <w:sz w:val="18"/>
        <w:szCs w:val="18"/>
        <w:lang w:val="es-ES"/>
      </w:rPr>
    </w:pPr>
    <w:r w:rsidRPr="002B7A86">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2B7A86">
      <w:rPr>
        <w:sz w:val="18"/>
        <w:szCs w:val="18"/>
        <w:lang w:val="es-ES"/>
      </w:rPr>
      <w:t>los mismos</w:t>
    </w:r>
    <w:proofErr w:type="gramEnd"/>
    <w:r w:rsidRPr="002B7A86">
      <w:rPr>
        <w:sz w:val="18"/>
        <w:szCs w:val="18"/>
        <w:lang w:val="es-ES"/>
      </w:rPr>
      <w:t>.</w:t>
    </w:r>
  </w:p>
  <w:p w14:paraId="62EB71C5" w14:textId="77777777" w:rsidR="00D8111D" w:rsidRPr="002B7A86" w:rsidRDefault="00D8111D" w:rsidP="006A24A7">
    <w:pPr>
      <w:pBdr>
        <w:top w:val="single" w:sz="4" w:space="0" w:color="auto"/>
        <w:left w:val="single" w:sz="4" w:space="4" w:color="auto"/>
        <w:bottom w:val="single" w:sz="4" w:space="1" w:color="auto"/>
        <w:right w:val="single" w:sz="4" w:space="4" w:color="auto"/>
      </w:pBdr>
      <w:jc w:val="center"/>
      <w:rPr>
        <w:sz w:val="18"/>
        <w:szCs w:val="18"/>
        <w:lang w:val="es-ES"/>
      </w:rPr>
    </w:pPr>
  </w:p>
  <w:p w14:paraId="7D787D56" w14:textId="77777777" w:rsidR="004E7F9C" w:rsidRPr="002B7A86" w:rsidRDefault="004E7F9C" w:rsidP="006A24A7">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10F963" w14:textId="77777777" w:rsidR="00AD1870" w:rsidRDefault="00AD1870" w:rsidP="004A504B">
      <w:r>
        <w:separator/>
      </w:r>
    </w:p>
  </w:footnote>
  <w:footnote w:type="continuationSeparator" w:id="0">
    <w:p w14:paraId="40EF5DEA" w14:textId="77777777" w:rsidR="00AD1870" w:rsidRDefault="00AD1870" w:rsidP="004A504B">
      <w:r>
        <w:continuationSeparator/>
      </w:r>
    </w:p>
  </w:footnote>
  <w:footnote w:id="1">
    <w:p w14:paraId="014F6776" w14:textId="77777777" w:rsidR="006A24A7" w:rsidRPr="008D6E8D" w:rsidRDefault="006A24A7" w:rsidP="006A24A7">
      <w:pPr>
        <w:pStyle w:val="FootnoteText"/>
        <w:spacing w:after="120"/>
        <w:rPr>
          <w:lang w:val="fr-CA"/>
        </w:rPr>
      </w:pPr>
      <w:r>
        <w:rPr>
          <w:rStyle w:val="FootnoteReference"/>
        </w:rPr>
        <w:footnoteRef/>
      </w:r>
      <w:r w:rsidRPr="008D6E8D">
        <w:rPr>
          <w:lang w:val="fr-CA"/>
        </w:rPr>
        <w:t xml:space="preserve"> UNEP/</w:t>
      </w:r>
      <w:proofErr w:type="spellStart"/>
      <w:r w:rsidRPr="008D6E8D">
        <w:rPr>
          <w:lang w:val="fr-CA"/>
        </w:rPr>
        <w:t>OzL.Pro</w:t>
      </w:r>
      <w:proofErr w:type="spellEnd"/>
      <w:r w:rsidRPr="008D6E8D">
        <w:rPr>
          <w:lang w:val="fr-CA"/>
        </w:rPr>
        <w:t>/</w:t>
      </w:r>
      <w:proofErr w:type="spellStart"/>
      <w:r w:rsidRPr="008D6E8D">
        <w:rPr>
          <w:lang w:val="fr-CA"/>
        </w:rPr>
        <w:t>ExCom</w:t>
      </w:r>
      <w:proofErr w:type="spellEnd"/>
      <w:r w:rsidRPr="008D6E8D">
        <w:rPr>
          <w:lang w:val="fr-CA"/>
        </w:rPr>
        <w:t>/95/1</w:t>
      </w:r>
    </w:p>
  </w:footnote>
  <w:footnote w:id="2">
    <w:p w14:paraId="424039BA" w14:textId="77777777" w:rsidR="00F55255" w:rsidRPr="00F55255" w:rsidRDefault="00F55255" w:rsidP="000420DC">
      <w:pPr>
        <w:pStyle w:val="FootnoteText"/>
        <w:spacing w:after="120"/>
        <w:rPr>
          <w:lang w:val="es-ES"/>
        </w:rPr>
      </w:pPr>
      <w:r>
        <w:rPr>
          <w:rStyle w:val="FootnoteReference"/>
        </w:rPr>
        <w:footnoteRef/>
      </w:r>
      <w:r w:rsidRPr="00F55255">
        <w:rPr>
          <w:lang w:val="es-ES"/>
        </w:rPr>
        <w:t xml:space="preserve"> La decisión XXVIII/2, relacionada con la enmienda relativa a la reducción de los HFC, incluye varios elementos relativos al funcionamiento del Fondo Multilateral y que, por tanto, deben someterse a su examen por parte del Comité Ejecutivo; la decisión XXX/4 estaba relacionada con los progresos realizados por el Comité Ejecutivo del Fondo Multilateral en la elaboración de las directrices para financiar la reducción de los HFC.</w:t>
      </w:r>
    </w:p>
  </w:footnote>
  <w:footnote w:id="3">
    <w:p w14:paraId="34F37275" w14:textId="77777777" w:rsidR="00F55255" w:rsidRPr="00F55255" w:rsidRDefault="00F55255" w:rsidP="00F55255">
      <w:pPr>
        <w:pStyle w:val="FootnoteText"/>
        <w:rPr>
          <w:lang w:val="es-ES"/>
        </w:rPr>
      </w:pPr>
      <w:r>
        <w:rPr>
          <w:rStyle w:val="FootnoteReference"/>
        </w:rPr>
        <w:footnoteRef/>
      </w:r>
      <w:r w:rsidRPr="00F55255">
        <w:rPr>
          <w:lang w:val="es-ES"/>
        </w:rPr>
        <w:t xml:space="preserve"> UNEP/</w:t>
      </w:r>
      <w:proofErr w:type="spellStart"/>
      <w:r w:rsidRPr="00F55255">
        <w:rPr>
          <w:lang w:val="es-ES"/>
        </w:rPr>
        <w:t>OzL.Pro</w:t>
      </w:r>
      <w:proofErr w:type="spellEnd"/>
      <w:r w:rsidRPr="00F55255">
        <w:rPr>
          <w:lang w:val="es-ES"/>
        </w:rPr>
        <w:t>/</w:t>
      </w:r>
      <w:proofErr w:type="spellStart"/>
      <w:r w:rsidRPr="00F55255">
        <w:rPr>
          <w:lang w:val="es-ES"/>
        </w:rPr>
        <w:t>ExCom</w:t>
      </w:r>
      <w:proofErr w:type="spellEnd"/>
      <w:r w:rsidRPr="00F55255">
        <w:rPr>
          <w:lang w:val="es-ES"/>
        </w:rPr>
        <w:t>/92/46</w:t>
      </w:r>
    </w:p>
  </w:footnote>
  <w:footnote w:id="4">
    <w:p w14:paraId="7A7ABCD4" w14:textId="77777777" w:rsidR="00F55255" w:rsidRPr="00F55255" w:rsidRDefault="00F55255" w:rsidP="00F55255">
      <w:pPr>
        <w:pStyle w:val="FootnoteText"/>
        <w:rPr>
          <w:lang w:val="es-ES"/>
        </w:rPr>
      </w:pPr>
      <w:r>
        <w:rPr>
          <w:rStyle w:val="FootnoteReference"/>
        </w:rPr>
        <w:footnoteRef/>
      </w:r>
      <w:r w:rsidRPr="00F55255">
        <w:rPr>
          <w:lang w:val="es-ES"/>
        </w:rPr>
        <w:t> Complementado por la información correspondiente de los documentos UNEP/</w:t>
      </w:r>
      <w:proofErr w:type="spellStart"/>
      <w:r w:rsidRPr="00F55255">
        <w:rPr>
          <w:lang w:val="es-ES"/>
        </w:rPr>
        <w:t>OzL.Pro</w:t>
      </w:r>
      <w:proofErr w:type="spellEnd"/>
      <w:r w:rsidRPr="00F55255">
        <w:rPr>
          <w:lang w:val="es-ES"/>
        </w:rPr>
        <w:t>/</w:t>
      </w:r>
      <w:proofErr w:type="spellStart"/>
      <w:r w:rsidRPr="00F55255">
        <w:rPr>
          <w:lang w:val="es-ES"/>
        </w:rPr>
        <w:t>ExCom</w:t>
      </w:r>
      <w:proofErr w:type="spellEnd"/>
      <w:r w:rsidRPr="00F55255">
        <w:rPr>
          <w:lang w:val="es-ES"/>
        </w:rPr>
        <w:t>/89/10/Rev.1 y UNEP/</w:t>
      </w:r>
      <w:proofErr w:type="spellStart"/>
      <w:r w:rsidRPr="00F55255">
        <w:rPr>
          <w:lang w:val="es-ES"/>
        </w:rPr>
        <w:t>OzL.Pro</w:t>
      </w:r>
      <w:proofErr w:type="spellEnd"/>
      <w:r w:rsidRPr="00F55255">
        <w:rPr>
          <w:lang w:val="es-ES"/>
        </w:rPr>
        <w:t>/</w:t>
      </w:r>
      <w:proofErr w:type="spellStart"/>
      <w:r w:rsidRPr="00F55255">
        <w:rPr>
          <w:lang w:val="es-ES"/>
        </w:rPr>
        <w:t>ExCom</w:t>
      </w:r>
      <w:proofErr w:type="spellEnd"/>
      <w:r w:rsidRPr="00F55255">
        <w:rPr>
          <w:lang w:val="es-ES"/>
        </w:rPr>
        <w:t>/89/10/Add.1 (umbrales de relación de costo a eficacia), UNEP/</w:t>
      </w:r>
      <w:proofErr w:type="spellStart"/>
      <w:r w:rsidRPr="00F55255">
        <w:rPr>
          <w:lang w:val="es-ES"/>
        </w:rPr>
        <w:t>OzL</w:t>
      </w:r>
      <w:proofErr w:type="spellEnd"/>
      <w:r w:rsidRPr="00F55255">
        <w:rPr>
          <w:lang w:val="es-ES"/>
        </w:rPr>
        <w:t xml:space="preserve"> Pro/</w:t>
      </w:r>
      <w:proofErr w:type="spellStart"/>
      <w:r w:rsidRPr="00F55255">
        <w:rPr>
          <w:lang w:val="es-ES"/>
        </w:rPr>
        <w:t>ExCom</w:t>
      </w:r>
      <w:proofErr w:type="spellEnd"/>
      <w:r w:rsidRPr="00F55255">
        <w:rPr>
          <w:lang w:val="es-ES"/>
        </w:rPr>
        <w:t>/91/66 (eliminación) y UNEP/</w:t>
      </w:r>
      <w:proofErr w:type="spellStart"/>
      <w:r w:rsidRPr="00F55255">
        <w:rPr>
          <w:lang w:val="es-ES"/>
        </w:rPr>
        <w:t>OzL.Pro</w:t>
      </w:r>
      <w:proofErr w:type="spellEnd"/>
      <w:r w:rsidRPr="00F55255">
        <w:rPr>
          <w:lang w:val="es-ES"/>
        </w:rPr>
        <w:t>/</w:t>
      </w:r>
      <w:proofErr w:type="spellStart"/>
      <w:r w:rsidRPr="00F55255">
        <w:rPr>
          <w:lang w:val="es-ES"/>
        </w:rPr>
        <w:t>ExCom</w:t>
      </w:r>
      <w:proofErr w:type="spellEnd"/>
      <w:r w:rsidRPr="00F55255">
        <w:rPr>
          <w:lang w:val="es-ES"/>
        </w:rPr>
        <w:t>/93/97 (punto de partida).</w:t>
      </w:r>
    </w:p>
  </w:footnote>
  <w:footnote w:id="5">
    <w:p w14:paraId="647ADC95" w14:textId="77777777" w:rsidR="00F55255" w:rsidRPr="00F55255" w:rsidRDefault="00F55255" w:rsidP="00F55255">
      <w:pPr>
        <w:pStyle w:val="FootnoteText"/>
        <w:shd w:val="clear" w:color="auto" w:fill="FFFFFF" w:themeFill="background1"/>
        <w:rPr>
          <w:lang w:val="es-ES"/>
        </w:rPr>
      </w:pPr>
      <w:r>
        <w:rPr>
          <w:rStyle w:val="FootnoteReference"/>
        </w:rPr>
        <w:footnoteRef/>
      </w:r>
      <w:r w:rsidRPr="00F55255">
        <w:rPr>
          <w:lang w:val="es-ES"/>
        </w:rPr>
        <w:t xml:space="preserve"> Las Partes del Protocolo de Montreal pueden identificar otras partidas que sea necesario agregar a la lista indicativa de los costos adicionales que emanan de la conversión a alternativas de bajo potencial de calentamiento atmosférico.</w:t>
      </w:r>
    </w:p>
  </w:footnote>
  <w:footnote w:id="6">
    <w:p w14:paraId="586D1A91" w14:textId="77777777" w:rsidR="00F55255" w:rsidRPr="00F55255" w:rsidRDefault="00F55255" w:rsidP="00F55255">
      <w:pPr>
        <w:pStyle w:val="FootnoteText"/>
        <w:rPr>
          <w:lang w:val="es-ES"/>
        </w:rPr>
      </w:pPr>
      <w:r>
        <w:rPr>
          <w:rStyle w:val="FootnoteReference"/>
        </w:rPr>
        <w:footnoteRef/>
      </w:r>
      <w:r w:rsidRPr="00F55255">
        <w:rPr>
          <w:lang w:val="es-ES"/>
        </w:rPr>
        <w:t xml:space="preserve"> Basado en los párrafos 8 a 38 del documento UNEP/</w:t>
      </w:r>
      <w:proofErr w:type="spellStart"/>
      <w:r w:rsidRPr="00F55255">
        <w:rPr>
          <w:lang w:val="es-ES"/>
        </w:rPr>
        <w:t>OzL.Pro</w:t>
      </w:r>
      <w:proofErr w:type="spellEnd"/>
      <w:r w:rsidRPr="00F55255">
        <w:rPr>
          <w:lang w:val="es-ES"/>
        </w:rPr>
        <w:t>/</w:t>
      </w:r>
      <w:proofErr w:type="spellStart"/>
      <w:r w:rsidRPr="00F55255">
        <w:rPr>
          <w:lang w:val="es-ES"/>
        </w:rPr>
        <w:t>ExCom</w:t>
      </w:r>
      <w:proofErr w:type="spellEnd"/>
      <w:r w:rsidRPr="00F55255">
        <w:rPr>
          <w:lang w:val="es-ES"/>
        </w:rPr>
        <w:t>/94/61.</w:t>
      </w:r>
    </w:p>
  </w:footnote>
  <w:footnote w:id="7">
    <w:p w14:paraId="6CA10FBB" w14:textId="77777777" w:rsidR="00F55255" w:rsidRPr="00F55255" w:rsidRDefault="00F55255" w:rsidP="00F55255">
      <w:pPr>
        <w:pStyle w:val="FootnoteText"/>
        <w:rPr>
          <w:lang w:val="es-ES"/>
        </w:rPr>
      </w:pPr>
      <w:r>
        <w:rPr>
          <w:rStyle w:val="FootnoteReference"/>
        </w:rPr>
        <w:footnoteRef/>
      </w:r>
      <w:r w:rsidRPr="00F55255">
        <w:rPr>
          <w:lang w:val="es-ES"/>
        </w:rPr>
        <w:t xml:space="preserve"> En la 93</w:t>
      </w:r>
      <w:r w:rsidRPr="00F55255">
        <w:rPr>
          <w:vertAlign w:val="superscript"/>
          <w:lang w:val="es-ES"/>
        </w:rPr>
        <w:t>a</w:t>
      </w:r>
      <w:r w:rsidRPr="00F55255">
        <w:rPr>
          <w:lang w:val="es-ES"/>
        </w:rPr>
        <w:t> reunión, el Comité Ejecutivo decidió solicitar a la Secretaría que preparara, para su consideración por el Comité en su 97ª reunión, un informe que proporcionara un resumen del informe del Grupo de Evaluación Tecnológica y Económica y los resultados del taller que estaba previsto celebrar en línea con la decisión XXXV/11 de la 35ª Reunión de las Partes; y del estado de ejecución y los resultados preliminares de los proyectos presentados en virtud de la decisión 91/66, con miras a considerar el establecimiento de una ventana de financiación de conformidad con la decisión XXXV/11 (decisión 93/104).</w:t>
      </w:r>
    </w:p>
  </w:footnote>
  <w:footnote w:id="8">
    <w:p w14:paraId="1004CF0E" w14:textId="77777777" w:rsidR="00F55255" w:rsidRPr="00F55255" w:rsidRDefault="00F55255" w:rsidP="00F55255">
      <w:pPr>
        <w:pStyle w:val="FootnoteText"/>
        <w:rPr>
          <w:lang w:val="es-ES"/>
        </w:rPr>
      </w:pPr>
      <w:r>
        <w:rPr>
          <w:rStyle w:val="FootnoteReference"/>
        </w:rPr>
        <w:footnoteRef/>
      </w:r>
      <w:r w:rsidRPr="00F55255">
        <w:rPr>
          <w:lang w:val="es-ES"/>
        </w:rPr>
        <w:t xml:space="preserve"> Los costos adicionales comprenden los costos adicionales de capital y los costos adicionales de explotación. </w:t>
      </w:r>
    </w:p>
  </w:footnote>
  <w:footnote w:id="9">
    <w:p w14:paraId="2387F90C" w14:textId="77777777" w:rsidR="00F55255" w:rsidRPr="00F55255" w:rsidRDefault="00F55255" w:rsidP="00F55255">
      <w:pPr>
        <w:pStyle w:val="FootnoteText"/>
        <w:rPr>
          <w:lang w:val="es-ES"/>
        </w:rPr>
      </w:pPr>
      <w:r>
        <w:rPr>
          <w:rStyle w:val="FootnoteReference"/>
        </w:rPr>
        <w:footnoteRef/>
      </w:r>
      <w:r w:rsidRPr="00F55255">
        <w:rPr>
          <w:lang w:val="es-ES"/>
        </w:rPr>
        <w:t xml:space="preserve"> Decisiones 18/25 y 25/48</w:t>
      </w:r>
    </w:p>
  </w:footnote>
  <w:footnote w:id="10">
    <w:p w14:paraId="3269F43D" w14:textId="77777777" w:rsidR="00F55255" w:rsidRPr="00F55255" w:rsidRDefault="00F55255" w:rsidP="00F55255">
      <w:pPr>
        <w:pStyle w:val="FootnoteText"/>
        <w:widowControl w:val="0"/>
        <w:rPr>
          <w:lang w:val="es-ES"/>
        </w:rPr>
      </w:pPr>
      <w:r>
        <w:rPr>
          <w:rStyle w:val="FootnoteReference"/>
        </w:rPr>
        <w:footnoteRef/>
      </w:r>
      <w:r w:rsidRPr="00F55255">
        <w:rPr>
          <w:lang w:val="es-ES"/>
        </w:rPr>
        <w:t xml:space="preserve"> El Comité Ejecutivo consideró aprobar un número limitado de proyectos relacionados con los HFC únicamente en el sector de fabricación, sin perjuicio de utilizar diferentes tipos de tecnologías, a más tardar en la primera reunión de 2019, a fin de que el Comité pudiera adquirir experiencia en los costos adicionales de capital y costos adicionales de explotación que pudieran ir asociados a la reducción gradual de los HFC en los países que operan al amparo del artículo 5.</w:t>
      </w:r>
    </w:p>
  </w:footnote>
  <w:footnote w:id="11">
    <w:p w14:paraId="25CB8873" w14:textId="77777777" w:rsidR="00F55255" w:rsidRPr="00F55255" w:rsidRDefault="00F55255" w:rsidP="00F55255">
      <w:pPr>
        <w:pStyle w:val="FootnoteText"/>
        <w:widowControl w:val="0"/>
        <w:rPr>
          <w:lang w:val="es-ES"/>
        </w:rPr>
      </w:pPr>
      <w:r>
        <w:rPr>
          <w:rStyle w:val="FootnoteReference"/>
        </w:rPr>
        <w:footnoteRef/>
      </w:r>
      <w:r w:rsidRPr="00F55255">
        <w:rPr>
          <w:lang w:val="es-ES"/>
        </w:rPr>
        <w:t xml:space="preserve"> Los proyectos presentados con arreglo a la decisión 78/3 g) se considerarían caso por caso; deberían corresponder a empresas individuales que hubieran decidido realizar la conversión a tecnologías maduras, deben poder repetirse ampliamente en el país o región o sector y tener en cuenta la distribución geográfica; los proyectos deben ejecutarse por completo a más tardar dos años desde el momento de su aprobación, los informes de terminación de proyecto respectivos serían exhaustivos y contendrían información detallada sobre los costos adicionales de capital y de explotación admisibles y cualquier ahorro potencial logrado durante la conversión y los factores pertinentes que facilitaron la ejecución, y todos los fondos restantes se devolverían al Fondo Multilateral a más tardar un año después de la fecha de terminación de proyecto según lo indicado en las propuestas de proyectos.</w:t>
      </w:r>
    </w:p>
  </w:footnote>
  <w:footnote w:id="12">
    <w:p w14:paraId="0C3E77C7" w14:textId="77777777" w:rsidR="00F55255" w:rsidRPr="00F55255" w:rsidRDefault="00F55255" w:rsidP="00F55255">
      <w:pPr>
        <w:pStyle w:val="FootnoteText"/>
        <w:widowControl w:val="0"/>
        <w:rPr>
          <w:lang w:val="es-ES"/>
        </w:rPr>
      </w:pPr>
      <w:r>
        <w:rPr>
          <w:rStyle w:val="FootnoteReference"/>
        </w:rPr>
        <w:footnoteRef/>
      </w:r>
      <w:r w:rsidRPr="00F55255">
        <w:rPr>
          <w:lang w:val="es-ES"/>
        </w:rPr>
        <w:t xml:space="preserve"> Invitar a los organismos bilaterales y de ejecución a preparar y presentar propuestas de proyecto para la conversión a sustancias alternativas a los HFC y la promoción de nuevas tecnologías, para su presentación hasta la 84ª reunión inclusive, especialmente en sectores y regiones que no estuvieron cubiertos por proyectos aprobados hasta la 81ª reunión inclusive.</w:t>
      </w:r>
    </w:p>
  </w:footnote>
  <w:footnote w:id="13">
    <w:p w14:paraId="5385B228" w14:textId="77777777" w:rsidR="00F55255" w:rsidRPr="00F55255" w:rsidRDefault="00F55255" w:rsidP="00F55255">
      <w:pPr>
        <w:pStyle w:val="FootnoteText"/>
        <w:widowControl w:val="0"/>
        <w:rPr>
          <w:lang w:val="es-ES"/>
        </w:rPr>
      </w:pPr>
      <w:r>
        <w:rPr>
          <w:rStyle w:val="FootnoteReference"/>
        </w:rPr>
        <w:footnoteRef/>
      </w:r>
      <w:r w:rsidRPr="00F55255">
        <w:rPr>
          <w:lang w:val="es-ES"/>
        </w:rPr>
        <w:t xml:space="preserve"> Considerar propuestas para proyectos de inversión individuales relativos a HFC hasta la 87ª reunión, de acuerdo con los criterios establecidos en las decisiones 78/3 g), 79/45 y 81/53, y dar la prioridad a los proyectos de los sectores de equipos fijos de aire acondicionado, refrigeración comercial y equipos portátiles de aire acondicionado.</w:t>
      </w:r>
    </w:p>
  </w:footnote>
  <w:footnote w:id="14">
    <w:p w14:paraId="4B109075" w14:textId="77777777" w:rsidR="00F55255" w:rsidRPr="00F55255" w:rsidRDefault="00F55255" w:rsidP="00F55255">
      <w:pPr>
        <w:pStyle w:val="FootnoteText"/>
        <w:widowControl w:val="0"/>
        <w:rPr>
          <w:lang w:val="es-ES"/>
        </w:rPr>
      </w:pPr>
      <w:r>
        <w:rPr>
          <w:rStyle w:val="FootnoteReference"/>
        </w:rPr>
        <w:footnoteRef/>
      </w:r>
      <w:r w:rsidRPr="00F55255">
        <w:rPr>
          <w:lang w:val="es-ES"/>
        </w:rPr>
        <w:t xml:space="preserve"> Se aprobaron proyectos por un valor total de 13.397.249 $EUA (más gastos de apoyo al organismo) en la Argentina, Bangladesh, China, Jordania, el Líbano, México (dos), la República Dominicana, Tailandia y </w:t>
      </w:r>
      <w:proofErr w:type="spellStart"/>
      <w:r w:rsidRPr="00F55255">
        <w:rPr>
          <w:lang w:val="es-ES"/>
        </w:rPr>
        <w:t>Zimbabwe</w:t>
      </w:r>
      <w:proofErr w:type="spellEnd"/>
      <w:r w:rsidRPr="00F55255">
        <w:rPr>
          <w:lang w:val="es-ES"/>
        </w:rPr>
        <w:t xml:space="preserve"> para reducir 1.090 t (1,63 millones de toneladas de CO</w:t>
      </w:r>
      <w:r w:rsidRPr="00F55255">
        <w:rPr>
          <w:vertAlign w:val="subscript"/>
          <w:lang w:val="es-ES"/>
        </w:rPr>
        <w:t>2</w:t>
      </w:r>
      <w:r w:rsidRPr="00F55255">
        <w:rPr>
          <w:lang w:val="es-ES"/>
        </w:rPr>
        <w:t> </w:t>
      </w:r>
      <w:proofErr w:type="spellStart"/>
      <w:r w:rsidRPr="00F55255">
        <w:rPr>
          <w:lang w:val="es-ES"/>
        </w:rPr>
        <w:t>eq</w:t>
      </w:r>
      <w:proofErr w:type="spellEnd"/>
      <w:r w:rsidRPr="00F55255">
        <w:rPr>
          <w:lang w:val="es-ES"/>
        </w:rPr>
        <w:t>) de HFC.</w:t>
      </w:r>
    </w:p>
  </w:footnote>
  <w:footnote w:id="15">
    <w:p w14:paraId="5582AFDF" w14:textId="77777777" w:rsidR="00F55255" w:rsidRPr="00F55255" w:rsidRDefault="00F55255" w:rsidP="00F55255">
      <w:pPr>
        <w:pStyle w:val="FootnoteText"/>
        <w:rPr>
          <w:lang w:val="es-ES"/>
        </w:rPr>
      </w:pPr>
      <w:r>
        <w:rPr>
          <w:rStyle w:val="FootnoteReference"/>
        </w:rPr>
        <w:footnoteRef/>
      </w:r>
      <w:r w:rsidRPr="00F55255">
        <w:rPr>
          <w:lang w:val="es-ES"/>
        </w:rPr>
        <w:t xml:space="preserve"> Anexo XXXII del documento UNEP/</w:t>
      </w:r>
      <w:proofErr w:type="spellStart"/>
      <w:r w:rsidRPr="00F55255">
        <w:rPr>
          <w:lang w:val="es-ES"/>
        </w:rPr>
        <w:t>OzL.Pro</w:t>
      </w:r>
      <w:proofErr w:type="spellEnd"/>
      <w:r w:rsidRPr="00F55255">
        <w:rPr>
          <w:lang w:val="es-ES"/>
        </w:rPr>
        <w:t>/</w:t>
      </w:r>
      <w:proofErr w:type="spellStart"/>
      <w:r w:rsidRPr="00F55255">
        <w:rPr>
          <w:lang w:val="es-ES"/>
        </w:rPr>
        <w:t>ExCom</w:t>
      </w:r>
      <w:proofErr w:type="spellEnd"/>
      <w:r w:rsidRPr="00F55255">
        <w:rPr>
          <w:lang w:val="es-ES"/>
        </w:rPr>
        <w:t>/91/72</w:t>
      </w:r>
    </w:p>
  </w:footnote>
  <w:footnote w:id="16">
    <w:p w14:paraId="11A1CFE9" w14:textId="77777777" w:rsidR="00F55255" w:rsidRPr="00F55255" w:rsidRDefault="00F55255" w:rsidP="00F55255">
      <w:pPr>
        <w:pStyle w:val="FootnoteText"/>
        <w:rPr>
          <w:lang w:val="es-ES"/>
        </w:rPr>
      </w:pPr>
      <w:r>
        <w:rPr>
          <w:rStyle w:val="FootnoteReference"/>
        </w:rPr>
        <w:footnoteRef/>
      </w:r>
      <w:r w:rsidRPr="00F55255">
        <w:rPr>
          <w:lang w:val="es-ES"/>
        </w:rPr>
        <w:t xml:space="preserve"> Los umbrales de relación de costo a eficacia son para las grandes empresas.</w:t>
      </w:r>
    </w:p>
  </w:footnote>
  <w:footnote w:id="17">
    <w:p w14:paraId="07B1E594" w14:textId="77777777" w:rsidR="00F55255" w:rsidRPr="00F55255" w:rsidRDefault="00F55255" w:rsidP="00F55255">
      <w:pPr>
        <w:pStyle w:val="FootnoteText"/>
        <w:rPr>
          <w:lang w:val="es-ES"/>
        </w:rPr>
      </w:pPr>
      <w:r>
        <w:rPr>
          <w:rStyle w:val="FootnoteReference"/>
        </w:rPr>
        <w:footnoteRef/>
      </w:r>
      <w:r w:rsidRPr="00F55255">
        <w:rPr>
          <w:lang w:val="es-ES"/>
        </w:rPr>
        <w:t xml:space="preserve"> Anexo XXXII del documento UNEP/</w:t>
      </w:r>
      <w:proofErr w:type="spellStart"/>
      <w:r w:rsidRPr="00F55255">
        <w:rPr>
          <w:lang w:val="es-ES"/>
        </w:rPr>
        <w:t>OzL.Pro</w:t>
      </w:r>
      <w:proofErr w:type="spellEnd"/>
      <w:r w:rsidRPr="00F55255">
        <w:rPr>
          <w:lang w:val="es-ES"/>
        </w:rPr>
        <w:t>/</w:t>
      </w:r>
      <w:proofErr w:type="spellStart"/>
      <w:r w:rsidRPr="00F55255">
        <w:rPr>
          <w:lang w:val="es-ES"/>
        </w:rPr>
        <w:t>ExCom</w:t>
      </w:r>
      <w:proofErr w:type="spellEnd"/>
      <w:r w:rsidRPr="00F55255">
        <w:rPr>
          <w:lang w:val="es-ES"/>
        </w:rPr>
        <w:t>/91/72</w:t>
      </w:r>
    </w:p>
  </w:footnote>
  <w:footnote w:id="18">
    <w:p w14:paraId="4EC120A1" w14:textId="77777777" w:rsidR="00F55255" w:rsidRPr="00F55255" w:rsidRDefault="00F55255" w:rsidP="00F55255">
      <w:pPr>
        <w:pStyle w:val="FootnoteText"/>
        <w:rPr>
          <w:lang w:val="es-ES"/>
        </w:rPr>
      </w:pPr>
      <w:r>
        <w:rPr>
          <w:rStyle w:val="FootnoteReference"/>
        </w:rPr>
        <w:footnoteRef/>
      </w:r>
      <w:r w:rsidRPr="00F55255">
        <w:rPr>
          <w:lang w:val="es-ES"/>
        </w:rPr>
        <w:t xml:space="preserve"> Informe de síntesis en el que se describen las buenas prácticas y las maneras en que el Comité Ejecutivo puede considerar cómo llevar a la práctica el párrafo 24 de la decisión XXVIII/2 (decisión 84/87 b));</w:t>
      </w:r>
    </w:p>
  </w:footnote>
  <w:footnote w:id="19">
    <w:p w14:paraId="620D8D5D" w14:textId="77777777" w:rsidR="00F55255" w:rsidRPr="00F55255" w:rsidRDefault="00F55255" w:rsidP="00F55255">
      <w:pPr>
        <w:pStyle w:val="FootnoteText"/>
        <w:rPr>
          <w:lang w:val="es-ES"/>
        </w:rPr>
      </w:pPr>
      <w:r>
        <w:rPr>
          <w:rStyle w:val="FootnoteReference"/>
        </w:rPr>
        <w:footnoteRef/>
      </w:r>
      <w:r w:rsidRPr="00F55255">
        <w:rPr>
          <w:lang w:val="es-ES"/>
        </w:rPr>
        <w:t xml:space="preserve"> UNEP/</w:t>
      </w:r>
      <w:proofErr w:type="spellStart"/>
      <w:r w:rsidRPr="00F55255">
        <w:rPr>
          <w:lang w:val="es-ES"/>
        </w:rPr>
        <w:t>OzL.Pro</w:t>
      </w:r>
      <w:proofErr w:type="spellEnd"/>
      <w:r w:rsidRPr="00F55255">
        <w:rPr>
          <w:lang w:val="es-ES"/>
        </w:rPr>
        <w:t>/</w:t>
      </w:r>
      <w:proofErr w:type="spellStart"/>
      <w:r w:rsidRPr="00F55255">
        <w:rPr>
          <w:lang w:val="es-ES"/>
        </w:rPr>
        <w:t>ExCom</w:t>
      </w:r>
      <w:proofErr w:type="spellEnd"/>
      <w:r w:rsidRPr="00F55255">
        <w:rPr>
          <w:lang w:val="es-ES"/>
        </w:rPr>
        <w:t>/91/66</w:t>
      </w:r>
    </w:p>
  </w:footnote>
  <w:footnote w:id="20">
    <w:p w14:paraId="3CF51090" w14:textId="77777777" w:rsidR="00F55255" w:rsidRPr="00F55255" w:rsidRDefault="00F55255" w:rsidP="00F55255">
      <w:pPr>
        <w:pStyle w:val="FootnoteText"/>
        <w:rPr>
          <w:lang w:val="es-ES"/>
        </w:rPr>
      </w:pPr>
      <w:r>
        <w:rPr>
          <w:rStyle w:val="FootnoteReference"/>
        </w:rPr>
        <w:footnoteRef/>
      </w:r>
      <w:r w:rsidRPr="00F55255">
        <w:rPr>
          <w:lang w:val="es-ES"/>
        </w:rPr>
        <w:t xml:space="preserve"> El anexo VI del documento UNEP/</w:t>
      </w:r>
      <w:proofErr w:type="spellStart"/>
      <w:r w:rsidRPr="00F55255">
        <w:rPr>
          <w:lang w:val="es-ES"/>
        </w:rPr>
        <w:t>OzL.Pro</w:t>
      </w:r>
      <w:proofErr w:type="spellEnd"/>
      <w:r w:rsidRPr="00F55255">
        <w:rPr>
          <w:lang w:val="es-ES"/>
        </w:rPr>
        <w:t>/</w:t>
      </w:r>
      <w:proofErr w:type="spellStart"/>
      <w:r w:rsidRPr="00F55255">
        <w:rPr>
          <w:lang w:val="es-ES"/>
        </w:rPr>
        <w:t>ExCom</w:t>
      </w:r>
      <w:proofErr w:type="spellEnd"/>
      <w:r w:rsidRPr="00F55255">
        <w:rPr>
          <w:lang w:val="es-ES"/>
        </w:rPr>
        <w:t>/94/60 contiene la consideración histórica de las pymes por parte del Comité Ejecutivo.</w:t>
      </w:r>
    </w:p>
  </w:footnote>
  <w:footnote w:id="21">
    <w:p w14:paraId="20892DBF" w14:textId="77777777" w:rsidR="00F55255" w:rsidRPr="00F55255" w:rsidRDefault="00F55255" w:rsidP="00F55255">
      <w:pPr>
        <w:pStyle w:val="FootnoteText"/>
        <w:rPr>
          <w:lang w:val="es-ES"/>
        </w:rPr>
      </w:pPr>
      <w:r>
        <w:rPr>
          <w:rStyle w:val="FootnoteReference"/>
        </w:rPr>
        <w:footnoteRef/>
      </w:r>
      <w:r w:rsidRPr="00F55255">
        <w:rPr>
          <w:lang w:val="es-ES"/>
        </w:rPr>
        <w:t xml:space="preserve"> </w:t>
      </w:r>
      <w:r w:rsidRPr="00F55255">
        <w:rPr>
          <w:i/>
          <w:iCs/>
          <w:lang w:val="es-ES"/>
        </w:rPr>
        <w:t>Ibid</w:t>
      </w:r>
      <w:r w:rsidRPr="00F55255">
        <w:rPr>
          <w:lang w:val="es-ES"/>
        </w:rPr>
        <w:t>.</w:t>
      </w:r>
    </w:p>
  </w:footnote>
  <w:footnote w:id="22">
    <w:p w14:paraId="49ACAC29" w14:textId="77777777" w:rsidR="00F55255" w:rsidRPr="00F55255" w:rsidRDefault="00F55255" w:rsidP="00F55255">
      <w:pPr>
        <w:pStyle w:val="FootnoteText"/>
        <w:rPr>
          <w:lang w:val="es-ES"/>
        </w:rPr>
      </w:pPr>
      <w:r>
        <w:rPr>
          <w:rStyle w:val="FootnoteReference"/>
        </w:rPr>
        <w:footnoteRef/>
      </w:r>
      <w:r w:rsidRPr="00F55255">
        <w:rPr>
          <w:lang w:val="es-ES"/>
        </w:rPr>
        <w:t xml:space="preserve"> El documento UNEP/</w:t>
      </w:r>
      <w:proofErr w:type="spellStart"/>
      <w:r w:rsidRPr="00F55255">
        <w:rPr>
          <w:lang w:val="es-ES"/>
        </w:rPr>
        <w:t>OzL.Pro</w:t>
      </w:r>
      <w:proofErr w:type="spellEnd"/>
      <w:r w:rsidRPr="00F55255">
        <w:rPr>
          <w:lang w:val="es-ES"/>
        </w:rPr>
        <w:t>/</w:t>
      </w:r>
      <w:proofErr w:type="spellStart"/>
      <w:r w:rsidRPr="00F55255">
        <w:rPr>
          <w:lang w:val="es-ES"/>
        </w:rPr>
        <w:t>ExCom</w:t>
      </w:r>
      <w:proofErr w:type="spellEnd"/>
      <w:r w:rsidRPr="00F55255">
        <w:rPr>
          <w:lang w:val="es-ES"/>
        </w:rPr>
        <w:t>/92/45 indicaba, incorrectamente, que el análisis estaba basado en 89 empresas.</w:t>
      </w:r>
    </w:p>
  </w:footnote>
  <w:footnote w:id="23">
    <w:p w14:paraId="00558E72" w14:textId="77777777" w:rsidR="00F55255" w:rsidRPr="00F55255" w:rsidRDefault="00F55255" w:rsidP="00F55255">
      <w:pPr>
        <w:pStyle w:val="FootnoteText"/>
        <w:rPr>
          <w:lang w:val="es-ES"/>
        </w:rPr>
      </w:pPr>
      <w:r>
        <w:rPr>
          <w:rStyle w:val="FootnoteReference"/>
        </w:rPr>
        <w:footnoteRef/>
      </w:r>
      <w:r w:rsidRPr="00F55255">
        <w:rPr>
          <w:lang w:val="es-ES"/>
        </w:rPr>
        <w:t xml:space="preserve"> Calculado sobre la base de un consumo de 7 t y una carga de refrigerante de 175 g/unidad, umbral por debajo del cual no se fabrican equipos de refrigeración y aire acondicionado comerciales.</w:t>
      </w:r>
    </w:p>
  </w:footnote>
  <w:footnote w:id="24">
    <w:p w14:paraId="0675729F" w14:textId="77777777" w:rsidR="00727648" w:rsidRPr="00AA35CD" w:rsidRDefault="00727648" w:rsidP="00727648">
      <w:pPr>
        <w:pStyle w:val="FootnoteText"/>
        <w:jc w:val="left"/>
        <w:rPr>
          <w:lang w:val="es-ES_tradnl"/>
        </w:rPr>
      </w:pPr>
      <w:r w:rsidRPr="00AA35CD">
        <w:rPr>
          <w:rStyle w:val="FootnoteReference"/>
          <w:lang w:val="es-ES_tradnl"/>
        </w:rPr>
        <w:footnoteRef/>
      </w:r>
      <w:r w:rsidRPr="00AA35CD">
        <w:rPr>
          <w:lang w:val="es-ES_tradnl"/>
        </w:rPr>
        <w:t xml:space="preserve"> </w:t>
      </w:r>
      <w:r>
        <w:rPr>
          <w:lang w:val="es-ES_tradnl"/>
        </w:rPr>
        <w:t xml:space="preserve">Propuesta </w:t>
      </w:r>
      <w:r w:rsidRPr="00753C79">
        <w:rPr>
          <w:lang w:val="es-ES_tradnl"/>
        </w:rPr>
        <w:t>posterior presentada por países no acogidos al Artículo 5</w:t>
      </w:r>
      <w:r>
        <w:rPr>
          <w:lang w:val="es-ES_tradnl"/>
        </w:rPr>
        <w:t xml:space="preserve"> (véase el</w:t>
      </w:r>
      <w:r w:rsidRPr="00601B4C">
        <w:rPr>
          <w:lang w:val="es-ES_tradnl"/>
        </w:rPr>
        <w:t xml:space="preserve"> Anexo</w:t>
      </w:r>
      <w:r>
        <w:rPr>
          <w:lang w:val="es-ES_tradnl"/>
        </w:rPr>
        <w:t xml:space="preserve"> I)</w:t>
      </w:r>
      <w:r w:rsidRPr="00AA35CD">
        <w:rPr>
          <w:lang w:val="es-ES_tradnl"/>
        </w:rPr>
        <w:t>.</w:t>
      </w:r>
    </w:p>
  </w:footnote>
  <w:footnote w:id="25">
    <w:p w14:paraId="22D94D46" w14:textId="77777777" w:rsidR="00D3342A" w:rsidRPr="00AA35CD" w:rsidRDefault="00D3342A" w:rsidP="00D3342A">
      <w:pPr>
        <w:pStyle w:val="FootnoteText"/>
        <w:rPr>
          <w:lang w:val="es-ES_tradnl"/>
        </w:rPr>
      </w:pPr>
      <w:r w:rsidRPr="00AA35CD">
        <w:rPr>
          <w:rStyle w:val="FootnoteReference"/>
          <w:lang w:val="es-ES_tradnl"/>
        </w:rPr>
        <w:footnoteRef/>
      </w:r>
      <w:r w:rsidRPr="00AA35CD">
        <w:rPr>
          <w:lang w:val="es-ES_tradnl"/>
        </w:rPr>
        <w:t xml:space="preserve"> </w:t>
      </w:r>
      <w:r w:rsidRPr="00994AA5">
        <w:rPr>
          <w:lang w:val="es-ES_tradnl"/>
        </w:rPr>
        <w:t xml:space="preserve">Propuesta posterior presentada por países </w:t>
      </w:r>
      <w:r>
        <w:rPr>
          <w:lang w:val="es-ES_tradnl"/>
        </w:rPr>
        <w:t xml:space="preserve">del </w:t>
      </w:r>
      <w:r w:rsidRPr="00994AA5">
        <w:rPr>
          <w:lang w:val="es-ES_tradnl"/>
        </w:rPr>
        <w:t>Artículo 5 (</w:t>
      </w:r>
      <w:r>
        <w:rPr>
          <w:lang w:val="es-ES_tradnl"/>
        </w:rPr>
        <w:t>véase el</w:t>
      </w:r>
      <w:r w:rsidRPr="00601B4C">
        <w:rPr>
          <w:lang w:val="es-ES_tradnl"/>
        </w:rPr>
        <w:t xml:space="preserve"> Anexo</w:t>
      </w:r>
      <w:r>
        <w:rPr>
          <w:lang w:val="es-ES_tradnl"/>
        </w:rPr>
        <w:t xml:space="preserve"> I</w:t>
      </w:r>
      <w:r w:rsidRPr="00994AA5">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7C45BB" w14:textId="7E85E6DA" w:rsidR="00FC01F5" w:rsidRDefault="00FC01F5">
    <w:r>
      <w:fldChar w:fldCharType="begin"/>
    </w:r>
    <w:r>
      <w:instrText xml:space="preserve"> DOCPROPERTY "Document number"  \* MERGEFORMAT </w:instrText>
    </w:r>
    <w:r>
      <w:fldChar w:fldCharType="separate"/>
    </w:r>
    <w:r>
      <w:t>UNEP/</w:t>
    </w:r>
    <w:proofErr w:type="spellStart"/>
    <w:r>
      <w:t>OzL.Pro</w:t>
    </w:r>
    <w:proofErr w:type="spellEnd"/>
    <w:r>
      <w:t>/ExCom/95/86</w:t>
    </w:r>
    <w:r>
      <w:fldChar w:fldCharType="end"/>
    </w:r>
  </w:p>
  <w:p w14:paraId="76F50F9F" w14:textId="77777777" w:rsidR="0063535B" w:rsidRDefault="0063535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5F18DD" w14:textId="77777777" w:rsidR="00FC01F5" w:rsidRPr="0033525D" w:rsidRDefault="00FC01F5">
    <w:pPr>
      <w:jc w:val="right"/>
    </w:pPr>
    <w:r>
      <w:fldChar w:fldCharType="begin"/>
    </w:r>
    <w:r>
      <w:instrText xml:space="preserve"> DOCPROPERTY "Document number"  \* MERGEFORMAT </w:instrText>
    </w:r>
    <w:r>
      <w:fldChar w:fldCharType="separate"/>
    </w:r>
    <w:r>
      <w:t>UNEP/</w:t>
    </w:r>
    <w:proofErr w:type="spellStart"/>
    <w:r>
      <w:t>OzL.Pro</w:t>
    </w:r>
    <w:proofErr w:type="spellEnd"/>
    <w:r>
      <w:t>/ExCom/95/86</w:t>
    </w:r>
    <w:r>
      <w:fldChar w:fldCharType="end"/>
    </w:r>
  </w:p>
  <w:p w14:paraId="3A49D9A3" w14:textId="77777777" w:rsidR="00FC01F5" w:rsidRPr="0033525D" w:rsidRDefault="00FC01F5" w:rsidP="00DA0406">
    <w:pPr>
      <w:jc w:val="right"/>
    </w:pPr>
  </w:p>
  <w:p w14:paraId="3E2F05BA" w14:textId="77777777" w:rsidR="00FC01F5" w:rsidRPr="0033525D" w:rsidRDefault="00FC01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B707E8" w14:textId="77777777" w:rsidR="001067F0" w:rsidRDefault="001067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0B1195" w14:textId="77777777" w:rsidR="00FC01F5" w:rsidRPr="0033525D" w:rsidRDefault="00FC01F5">
    <w:pPr>
      <w:jc w:val="right"/>
    </w:pPr>
    <w:r>
      <w:fldChar w:fldCharType="begin"/>
    </w:r>
    <w:r>
      <w:instrText xml:space="preserve"> DOCPROPERTY "Document number"  \* MERGEFORMAT </w:instrText>
    </w:r>
    <w:r>
      <w:fldChar w:fldCharType="separate"/>
    </w:r>
    <w:r>
      <w:t>UNEP/</w:t>
    </w:r>
    <w:proofErr w:type="spellStart"/>
    <w:r>
      <w:t>OzL.Pro</w:t>
    </w:r>
    <w:proofErr w:type="spellEnd"/>
    <w:r>
      <w:t>/ExCom/95/86</w:t>
    </w:r>
    <w:r>
      <w:fldChar w:fldCharType="end"/>
    </w:r>
  </w:p>
  <w:p w14:paraId="7AAE4E87" w14:textId="2422669F" w:rsidR="00FC01F5" w:rsidRPr="0033525D" w:rsidRDefault="00FC01F5" w:rsidP="00DA0406">
    <w:pPr>
      <w:jc w:val="right"/>
    </w:pPr>
    <w:r>
      <w:t>Anex</w:t>
    </w:r>
    <w:r w:rsidR="00931D12">
      <w:t>o</w:t>
    </w:r>
    <w:r>
      <w:t xml:space="preserve"> I</w:t>
    </w:r>
  </w:p>
  <w:p w14:paraId="0C07833D" w14:textId="77777777" w:rsidR="00FC01F5" w:rsidRPr="0033525D" w:rsidRDefault="00FC01F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D4EA21" w14:textId="77777777" w:rsidR="00FC01F5" w:rsidRPr="0033525D" w:rsidRDefault="00FC01F5" w:rsidP="00DA0406">
    <w:pPr>
      <w:jc w:val="right"/>
    </w:pPr>
    <w:r>
      <w:fldChar w:fldCharType="begin"/>
    </w:r>
    <w:r>
      <w:instrText xml:space="preserve"> DOCPROPERTY "Document number"  \* MERGEFORMAT </w:instrText>
    </w:r>
    <w:r>
      <w:fldChar w:fldCharType="separate"/>
    </w:r>
    <w:r>
      <w:t>UNEP/</w:t>
    </w:r>
    <w:proofErr w:type="spellStart"/>
    <w:r>
      <w:t>OzL.Pro</w:t>
    </w:r>
    <w:proofErr w:type="spellEnd"/>
    <w:r>
      <w:t>/ExCom/95/1</w:t>
    </w:r>
    <w:r>
      <w:fldChar w:fldCharType="end"/>
    </w:r>
  </w:p>
  <w:p w14:paraId="6426D0D3" w14:textId="77777777" w:rsidR="00FC01F5" w:rsidRDefault="00FC01F5" w:rsidP="00DA0406">
    <w:pPr>
      <w:pStyle w:val="Header"/>
      <w:jc w:val="right"/>
    </w:pPr>
    <w:r>
      <w:tab/>
    </w:r>
    <w:r>
      <w:tab/>
      <w:t>Annex I</w:t>
    </w:r>
  </w:p>
  <w:p w14:paraId="40260A84" w14:textId="77777777" w:rsidR="00FC01F5" w:rsidRDefault="00FC01F5" w:rsidP="00DA0406">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B74636" w14:textId="77777777" w:rsidR="003B06E7" w:rsidRDefault="003B06E7" w:rsidP="001B00D1">
    <w:pPr>
      <w:jc w:val="right"/>
    </w:pPr>
    <w:r>
      <w:fldChar w:fldCharType="begin"/>
    </w:r>
    <w:r>
      <w:instrText xml:space="preserve"> DOCPROPERTY "Document number"  \* MERGEFORMAT </w:instrText>
    </w:r>
    <w:r>
      <w:fldChar w:fldCharType="separate"/>
    </w:r>
    <w:r>
      <w:t>UNEP/</w:t>
    </w:r>
    <w:proofErr w:type="spellStart"/>
    <w:r>
      <w:t>OzL.Pro</w:t>
    </w:r>
    <w:proofErr w:type="spellEnd"/>
    <w:r>
      <w:t>/ExCom/95/86</w:t>
    </w:r>
    <w:r>
      <w:fldChar w:fldCharType="end"/>
    </w:r>
  </w:p>
  <w:p w14:paraId="28EABCA9" w14:textId="77777777" w:rsidR="003B06E7" w:rsidRPr="0033525D" w:rsidRDefault="003B06E7" w:rsidP="001B00D1">
    <w:pPr>
      <w:jc w:val="right"/>
    </w:pPr>
    <w:r>
      <w:t>Anexo III</w:t>
    </w:r>
  </w:p>
  <w:p w14:paraId="610D593C" w14:textId="77777777" w:rsidR="003B06E7" w:rsidRDefault="003B06E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680B9" w14:textId="77777777" w:rsidR="00FC01F5" w:rsidRPr="0033525D" w:rsidRDefault="00FC01F5" w:rsidP="001B00D1">
    <w:pPr>
      <w:jc w:val="left"/>
    </w:pPr>
    <w:r>
      <w:fldChar w:fldCharType="begin"/>
    </w:r>
    <w:r>
      <w:instrText xml:space="preserve"> DOCPROPERTY "Document number"  \* MERGEFORMAT </w:instrText>
    </w:r>
    <w:r>
      <w:fldChar w:fldCharType="separate"/>
    </w:r>
    <w:r>
      <w:t>UNEP/</w:t>
    </w:r>
    <w:proofErr w:type="spellStart"/>
    <w:r>
      <w:t>OzL.Pro</w:t>
    </w:r>
    <w:proofErr w:type="spellEnd"/>
    <w:r>
      <w:t>/ExCom/95/86</w:t>
    </w:r>
    <w:r>
      <w:fldChar w:fldCharType="end"/>
    </w:r>
  </w:p>
  <w:p w14:paraId="3154FEAB" w14:textId="3540DBF8" w:rsidR="00FC01F5" w:rsidRPr="0033525D" w:rsidRDefault="00FC01F5" w:rsidP="001B00D1">
    <w:pPr>
      <w:jc w:val="left"/>
    </w:pPr>
    <w:r>
      <w:t>Ane</w:t>
    </w:r>
    <w:r w:rsidR="00057C8F">
      <w:t>xo</w:t>
    </w:r>
    <w:r>
      <w:t xml:space="preserve"> II</w:t>
    </w:r>
  </w:p>
  <w:p w14:paraId="24BAA836" w14:textId="77777777" w:rsidR="00FC01F5" w:rsidRPr="0033525D" w:rsidRDefault="00FC01F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86C3B0" w14:textId="77777777" w:rsidR="00FC01F5" w:rsidRPr="0033525D" w:rsidRDefault="00FC01F5" w:rsidP="001B00D1">
    <w:pPr>
      <w:jc w:val="left"/>
    </w:pPr>
    <w:r>
      <w:fldChar w:fldCharType="begin"/>
    </w:r>
    <w:r>
      <w:instrText xml:space="preserve"> DOCPROPERTY "Document number"  \* MERGEFORMAT </w:instrText>
    </w:r>
    <w:r>
      <w:fldChar w:fldCharType="separate"/>
    </w:r>
    <w:r>
      <w:t>UNEP/</w:t>
    </w:r>
    <w:proofErr w:type="spellStart"/>
    <w:r>
      <w:t>OzL.Pro</w:t>
    </w:r>
    <w:proofErr w:type="spellEnd"/>
    <w:r>
      <w:t>/ExCom/95/86</w:t>
    </w:r>
    <w:r>
      <w:fldChar w:fldCharType="end"/>
    </w:r>
  </w:p>
  <w:p w14:paraId="1E0DDB21" w14:textId="5AD05FBB" w:rsidR="00FC01F5" w:rsidRPr="0033525D" w:rsidRDefault="00FC01F5" w:rsidP="001B00D1">
    <w:pPr>
      <w:jc w:val="left"/>
    </w:pPr>
    <w:r>
      <w:t>Anex</w:t>
    </w:r>
    <w:r w:rsidR="008D1E76">
      <w:t>o</w:t>
    </w:r>
    <w:r>
      <w:t xml:space="preserve"> IV</w:t>
    </w:r>
  </w:p>
  <w:p w14:paraId="149C5091" w14:textId="77777777" w:rsidR="00FC01F5" w:rsidRPr="0033525D" w:rsidRDefault="00FC01F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AB49E7" w14:textId="77777777" w:rsidR="00BA3DF8" w:rsidRPr="0033525D" w:rsidRDefault="00BA3DF8" w:rsidP="001B00D1">
    <w:pPr>
      <w:jc w:val="right"/>
    </w:pPr>
    <w:r>
      <w:fldChar w:fldCharType="begin"/>
    </w:r>
    <w:r>
      <w:instrText xml:space="preserve"> DOCPROPERTY "Document number"  \* MERGEFORMAT </w:instrText>
    </w:r>
    <w:r>
      <w:fldChar w:fldCharType="separate"/>
    </w:r>
    <w:r>
      <w:t>UNEP/</w:t>
    </w:r>
    <w:proofErr w:type="spellStart"/>
    <w:r>
      <w:t>OzL.Pro</w:t>
    </w:r>
    <w:proofErr w:type="spellEnd"/>
    <w:r>
      <w:t>/ExCom/95/86</w:t>
    </w:r>
    <w:r>
      <w:fldChar w:fldCharType="end"/>
    </w:r>
  </w:p>
  <w:p w14:paraId="353EEA2D" w14:textId="10A2A96A" w:rsidR="00BA3DF8" w:rsidRPr="0033525D" w:rsidRDefault="00BA3DF8" w:rsidP="001B00D1">
    <w:pPr>
      <w:jc w:val="right"/>
    </w:pPr>
    <w:r>
      <w:t>Anex</w:t>
    </w:r>
    <w:r w:rsidR="00DA4E39">
      <w:t>o</w:t>
    </w:r>
    <w:r>
      <w:t xml:space="preserve"> V</w:t>
    </w:r>
  </w:p>
  <w:p w14:paraId="49AA9039" w14:textId="77777777" w:rsidR="00BA3DF8" w:rsidRPr="0033525D" w:rsidRDefault="00BA3DF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2EC4E" w14:textId="77777777" w:rsidR="00BA3DF8" w:rsidRPr="0033525D" w:rsidRDefault="00BA3DF8" w:rsidP="001B00D1">
    <w:pPr>
      <w:jc w:val="right"/>
    </w:pPr>
    <w:r>
      <w:fldChar w:fldCharType="begin"/>
    </w:r>
    <w:r>
      <w:instrText xml:space="preserve"> DOCPROPERTY "Document number"  \* MERGEFORMAT </w:instrText>
    </w:r>
    <w:r>
      <w:fldChar w:fldCharType="separate"/>
    </w:r>
    <w:r>
      <w:t>UNEP/</w:t>
    </w:r>
    <w:proofErr w:type="spellStart"/>
    <w:r>
      <w:t>OzL.Pro</w:t>
    </w:r>
    <w:proofErr w:type="spellEnd"/>
    <w:r>
      <w:t>/ExCom/95/86</w:t>
    </w:r>
    <w:r>
      <w:fldChar w:fldCharType="end"/>
    </w:r>
  </w:p>
  <w:p w14:paraId="6B5041FA" w14:textId="77777777" w:rsidR="00BA3DF8" w:rsidRPr="0033525D" w:rsidRDefault="00BA3DF8" w:rsidP="001B00D1">
    <w:pPr>
      <w:jc w:val="right"/>
    </w:pPr>
    <w:r>
      <w:t>Annex VI</w:t>
    </w:r>
  </w:p>
  <w:p w14:paraId="48E27167" w14:textId="77777777" w:rsidR="00DC6A10" w:rsidRPr="0033525D" w:rsidRDefault="00DC6A10"/>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22EB5F" w14:textId="5284FD1A" w:rsidR="00DC6A10" w:rsidRPr="002B7A86" w:rsidRDefault="000D3331" w:rsidP="001B00D1">
    <w:pPr>
      <w:jc w:val="left"/>
      <w:rPr>
        <w:lang w:val="pt-BR"/>
      </w:rPr>
    </w:pPr>
    <w:r>
      <w:fldChar w:fldCharType="begin"/>
    </w:r>
    <w:r w:rsidRPr="002B7A86">
      <w:rPr>
        <w:lang w:val="pt-BR"/>
      </w:rPr>
      <w:instrText xml:space="preserve"> DOCPROPERTY "Document number"  \* MERGEFORMAT </w:instrText>
    </w:r>
    <w:r>
      <w:fldChar w:fldCharType="separate"/>
    </w:r>
    <w:r w:rsidR="002B7A86" w:rsidRPr="002B7A86">
      <w:rPr>
        <w:lang w:val="pt-BR"/>
      </w:rPr>
      <w:t>UNEP/OzL.Pro/ExCom/95/</w:t>
    </w:r>
    <w:r w:rsidR="009E7BC4">
      <w:rPr>
        <w:lang w:val="pt-BR"/>
      </w:rPr>
      <w:t>86</w:t>
    </w:r>
    <w:r>
      <w:fldChar w:fldCharType="end"/>
    </w:r>
  </w:p>
  <w:p w14:paraId="7CAC79B1" w14:textId="4AC5EB27" w:rsidR="006A24A7" w:rsidRPr="002B7A86" w:rsidRDefault="006A24A7" w:rsidP="001B00D1">
    <w:pPr>
      <w:pStyle w:val="Header"/>
      <w:jc w:val="left"/>
      <w:rPr>
        <w:lang w:val="pt-BR"/>
      </w:rPr>
    </w:pPr>
    <w:r w:rsidRPr="002B7A86">
      <w:rPr>
        <w:lang w:val="pt-BR"/>
      </w:rPr>
      <w:t xml:space="preserve">Anexo </w:t>
    </w:r>
    <w:r w:rsidR="00BA3DF8">
      <w:rPr>
        <w:lang w:val="pt-BR"/>
      </w:rPr>
      <w:t>V</w:t>
    </w:r>
    <w:r w:rsidRPr="002B7A86">
      <w:rPr>
        <w:lang w:val="pt-BR"/>
      </w:rPr>
      <w:t>I</w:t>
    </w:r>
  </w:p>
  <w:p w14:paraId="1AE9AA5F" w14:textId="77777777" w:rsidR="00E80985" w:rsidRPr="00F55255" w:rsidRDefault="00E80985">
    <w:pP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CF2C5A6"/>
    <w:lvl w:ilvl="0">
      <w:start w:val="1"/>
      <w:numFmt w:val="decimal"/>
      <w:pStyle w:val="Heading1"/>
      <w:lvlText w:val="%1."/>
      <w:lvlJc w:val="left"/>
      <w:pPr>
        <w:tabs>
          <w:tab w:val="num" w:pos="0"/>
        </w:tabs>
        <w:ind w:left="0" w:firstLine="0"/>
      </w:pPr>
    </w:lvl>
    <w:lvl w:ilvl="1">
      <w:start w:val="1"/>
      <w:numFmt w:val="lowerLetter"/>
      <w:pStyle w:val="Heading2"/>
      <w:lvlText w:val="%2)"/>
      <w:lvlJc w:val="left"/>
      <w:pPr>
        <w:ind w:left="1080" w:hanging="360"/>
      </w:pPr>
    </w:lvl>
    <w:lvl w:ilvl="2">
      <w:start w:val="1"/>
      <w:numFmt w:val="lowerRoman"/>
      <w:lvlText w:val="%3)"/>
      <w:lvlJc w:val="lef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1604D77"/>
    <w:multiLevelType w:val="hybridMultilevel"/>
    <w:tmpl w:val="F6E0B0D4"/>
    <w:lvl w:ilvl="0" w:tplc="0722DD00">
      <w:start w:val="1"/>
      <w:numFmt w:val="lowerRoman"/>
      <w:lvlText w:val="(%1)"/>
      <w:lvlJc w:val="left"/>
      <w:pPr>
        <w:ind w:left="720" w:hanging="72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CC90EC2"/>
    <w:multiLevelType w:val="hybridMultilevel"/>
    <w:tmpl w:val="D8908A4C"/>
    <w:lvl w:ilvl="0" w:tplc="E7207CDC">
      <w:start w:val="1"/>
      <w:numFmt w:val="decimal"/>
      <w:lvlText w:val="%1."/>
      <w:lvlJc w:val="left"/>
      <w:pPr>
        <w:ind w:left="720" w:hanging="360"/>
      </w:pPr>
      <w:rPr>
        <w:b w:val="0"/>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45E0B41"/>
    <w:multiLevelType w:val="hybridMultilevel"/>
    <w:tmpl w:val="A61E656A"/>
    <w:lvl w:ilvl="0" w:tplc="77E642F2">
      <w:start w:val="10"/>
      <w:numFmt w:val="bullet"/>
      <w:lvlText w:val="-"/>
      <w:lvlJc w:val="left"/>
      <w:pPr>
        <w:ind w:left="360" w:hanging="360"/>
      </w:pPr>
      <w:rPr>
        <w:rFonts w:ascii="Calibri" w:eastAsiaTheme="minorHAnsi" w:hAnsi="Calibri" w:cs="Calibri"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8"/>
  </w:num>
  <w:num w:numId="20" w16cid:durableId="444007775">
    <w:abstractNumId w:val="13"/>
  </w:num>
  <w:num w:numId="21" w16cid:durableId="22099822">
    <w:abstractNumId w:val="10"/>
  </w:num>
  <w:num w:numId="22" w16cid:durableId="1045986551">
    <w:abstractNumId w:val="10"/>
  </w:num>
  <w:num w:numId="23" w16cid:durableId="943240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06102288">
    <w:abstractNumId w:val="11"/>
  </w:num>
  <w:num w:numId="25" w16cid:durableId="2014338048">
    <w:abstractNumId w:val="17"/>
  </w:num>
  <w:num w:numId="26" w16cid:durableId="1926901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394468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073761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971027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370017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24385604">
    <w:abstractNumId w:val="14"/>
  </w:num>
  <w:num w:numId="32" w16cid:durableId="9173216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2928330">
    <w:abstractNumId w:val="10"/>
  </w:num>
  <w:num w:numId="34" w16cid:durableId="529806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B7A86"/>
    <w:rsid w:val="00000FED"/>
    <w:rsid w:val="0000434E"/>
    <w:rsid w:val="00011FE5"/>
    <w:rsid w:val="000211A9"/>
    <w:rsid w:val="00021238"/>
    <w:rsid w:val="00022071"/>
    <w:rsid w:val="00026875"/>
    <w:rsid w:val="00031260"/>
    <w:rsid w:val="0003681A"/>
    <w:rsid w:val="000372B7"/>
    <w:rsid w:val="000420DC"/>
    <w:rsid w:val="00050F6E"/>
    <w:rsid w:val="00057C8F"/>
    <w:rsid w:val="00061EC2"/>
    <w:rsid w:val="00066CE8"/>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02DFC"/>
    <w:rsid w:val="001067F0"/>
    <w:rsid w:val="00113CCA"/>
    <w:rsid w:val="00122F25"/>
    <w:rsid w:val="00135980"/>
    <w:rsid w:val="0013786F"/>
    <w:rsid w:val="00164719"/>
    <w:rsid w:val="00166FC4"/>
    <w:rsid w:val="001677AC"/>
    <w:rsid w:val="00173B0F"/>
    <w:rsid w:val="001804EA"/>
    <w:rsid w:val="00190A61"/>
    <w:rsid w:val="00197179"/>
    <w:rsid w:val="001A2215"/>
    <w:rsid w:val="001A3342"/>
    <w:rsid w:val="001A3E3D"/>
    <w:rsid w:val="001A7049"/>
    <w:rsid w:val="001B00D1"/>
    <w:rsid w:val="001B1E40"/>
    <w:rsid w:val="001C764E"/>
    <w:rsid w:val="001E1052"/>
    <w:rsid w:val="001E21B1"/>
    <w:rsid w:val="001E2F93"/>
    <w:rsid w:val="001E4554"/>
    <w:rsid w:val="001E4D3C"/>
    <w:rsid w:val="001E61E5"/>
    <w:rsid w:val="001F2159"/>
    <w:rsid w:val="001F53FD"/>
    <w:rsid w:val="00210B8B"/>
    <w:rsid w:val="00214863"/>
    <w:rsid w:val="002156B4"/>
    <w:rsid w:val="00224FCD"/>
    <w:rsid w:val="002276F5"/>
    <w:rsid w:val="00253222"/>
    <w:rsid w:val="002572C6"/>
    <w:rsid w:val="00261C13"/>
    <w:rsid w:val="00262847"/>
    <w:rsid w:val="00281BB2"/>
    <w:rsid w:val="00292402"/>
    <w:rsid w:val="002A03C3"/>
    <w:rsid w:val="002B254E"/>
    <w:rsid w:val="002B4CE8"/>
    <w:rsid w:val="002B72E9"/>
    <w:rsid w:val="002B7A86"/>
    <w:rsid w:val="002C7998"/>
    <w:rsid w:val="002F124B"/>
    <w:rsid w:val="002F1E53"/>
    <w:rsid w:val="002F2CAA"/>
    <w:rsid w:val="0030052C"/>
    <w:rsid w:val="003122F2"/>
    <w:rsid w:val="00317537"/>
    <w:rsid w:val="003306E1"/>
    <w:rsid w:val="003320E4"/>
    <w:rsid w:val="0033525D"/>
    <w:rsid w:val="003414F3"/>
    <w:rsid w:val="0034343A"/>
    <w:rsid w:val="0035613E"/>
    <w:rsid w:val="00363EE9"/>
    <w:rsid w:val="00376128"/>
    <w:rsid w:val="0037742E"/>
    <w:rsid w:val="00377D56"/>
    <w:rsid w:val="0038245A"/>
    <w:rsid w:val="003840E6"/>
    <w:rsid w:val="00385CFC"/>
    <w:rsid w:val="0039337A"/>
    <w:rsid w:val="003A3189"/>
    <w:rsid w:val="003A3CA7"/>
    <w:rsid w:val="003B06E7"/>
    <w:rsid w:val="003B33BD"/>
    <w:rsid w:val="003B569D"/>
    <w:rsid w:val="003C3C0E"/>
    <w:rsid w:val="003D33F6"/>
    <w:rsid w:val="003D42A6"/>
    <w:rsid w:val="003D4F21"/>
    <w:rsid w:val="003D4FAC"/>
    <w:rsid w:val="003E1885"/>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0750E"/>
    <w:rsid w:val="00512B09"/>
    <w:rsid w:val="005220ED"/>
    <w:rsid w:val="00533796"/>
    <w:rsid w:val="00537343"/>
    <w:rsid w:val="005516F3"/>
    <w:rsid w:val="00555D75"/>
    <w:rsid w:val="00560DF0"/>
    <w:rsid w:val="00561F6A"/>
    <w:rsid w:val="00565BEE"/>
    <w:rsid w:val="0056759C"/>
    <w:rsid w:val="00581E63"/>
    <w:rsid w:val="00584E86"/>
    <w:rsid w:val="0059513E"/>
    <w:rsid w:val="005A6AA4"/>
    <w:rsid w:val="005A6D9F"/>
    <w:rsid w:val="005B48FF"/>
    <w:rsid w:val="005C1E32"/>
    <w:rsid w:val="005C670D"/>
    <w:rsid w:val="005D363F"/>
    <w:rsid w:val="00601CE8"/>
    <w:rsid w:val="00604C15"/>
    <w:rsid w:val="0061561A"/>
    <w:rsid w:val="006158D5"/>
    <w:rsid w:val="00625D83"/>
    <w:rsid w:val="0063535B"/>
    <w:rsid w:val="00651549"/>
    <w:rsid w:val="00651984"/>
    <w:rsid w:val="006623E7"/>
    <w:rsid w:val="00662B80"/>
    <w:rsid w:val="0066768F"/>
    <w:rsid w:val="00670F6C"/>
    <w:rsid w:val="00676E58"/>
    <w:rsid w:val="006852C7"/>
    <w:rsid w:val="006852CE"/>
    <w:rsid w:val="00692D14"/>
    <w:rsid w:val="006A24A7"/>
    <w:rsid w:val="006A7A3B"/>
    <w:rsid w:val="006B65C7"/>
    <w:rsid w:val="006C1727"/>
    <w:rsid w:val="006C32FD"/>
    <w:rsid w:val="006C39CE"/>
    <w:rsid w:val="006D0FCC"/>
    <w:rsid w:val="006D21F5"/>
    <w:rsid w:val="006D3089"/>
    <w:rsid w:val="006E126D"/>
    <w:rsid w:val="006E1FC3"/>
    <w:rsid w:val="006F21B7"/>
    <w:rsid w:val="00704CE9"/>
    <w:rsid w:val="0070616B"/>
    <w:rsid w:val="00706295"/>
    <w:rsid w:val="00706FDA"/>
    <w:rsid w:val="00711F9A"/>
    <w:rsid w:val="00713810"/>
    <w:rsid w:val="00724E7A"/>
    <w:rsid w:val="00727648"/>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6871"/>
    <w:rsid w:val="007B7A2F"/>
    <w:rsid w:val="007C32EE"/>
    <w:rsid w:val="007C3D33"/>
    <w:rsid w:val="007D294A"/>
    <w:rsid w:val="007D2C0F"/>
    <w:rsid w:val="007D47D2"/>
    <w:rsid w:val="007D6EC0"/>
    <w:rsid w:val="007D7E1D"/>
    <w:rsid w:val="007E2462"/>
    <w:rsid w:val="007E503C"/>
    <w:rsid w:val="0080345C"/>
    <w:rsid w:val="0082522F"/>
    <w:rsid w:val="00831979"/>
    <w:rsid w:val="0084314F"/>
    <w:rsid w:val="00851352"/>
    <w:rsid w:val="00857077"/>
    <w:rsid w:val="00863230"/>
    <w:rsid w:val="0086383D"/>
    <w:rsid w:val="00865BD0"/>
    <w:rsid w:val="008717D8"/>
    <w:rsid w:val="0087215C"/>
    <w:rsid w:val="00875D25"/>
    <w:rsid w:val="00880E35"/>
    <w:rsid w:val="008875FE"/>
    <w:rsid w:val="00887F8E"/>
    <w:rsid w:val="00896234"/>
    <w:rsid w:val="00897E43"/>
    <w:rsid w:val="008C222B"/>
    <w:rsid w:val="008C5738"/>
    <w:rsid w:val="008C7EAD"/>
    <w:rsid w:val="008D0CFE"/>
    <w:rsid w:val="008D1E76"/>
    <w:rsid w:val="008D6152"/>
    <w:rsid w:val="008D6E8D"/>
    <w:rsid w:val="008D76AF"/>
    <w:rsid w:val="008E390D"/>
    <w:rsid w:val="008E7BA9"/>
    <w:rsid w:val="008F0F81"/>
    <w:rsid w:val="008F27BF"/>
    <w:rsid w:val="008F2E64"/>
    <w:rsid w:val="009142EC"/>
    <w:rsid w:val="009145E4"/>
    <w:rsid w:val="009145F5"/>
    <w:rsid w:val="009154C3"/>
    <w:rsid w:val="00923540"/>
    <w:rsid w:val="00926767"/>
    <w:rsid w:val="00931D12"/>
    <w:rsid w:val="009361D5"/>
    <w:rsid w:val="00941B77"/>
    <w:rsid w:val="009428A4"/>
    <w:rsid w:val="009659F4"/>
    <w:rsid w:val="00970D60"/>
    <w:rsid w:val="00981DD1"/>
    <w:rsid w:val="00982753"/>
    <w:rsid w:val="009874D0"/>
    <w:rsid w:val="0099390E"/>
    <w:rsid w:val="009960E5"/>
    <w:rsid w:val="009A7ADC"/>
    <w:rsid w:val="009B0D30"/>
    <w:rsid w:val="009C19B7"/>
    <w:rsid w:val="009C5ABB"/>
    <w:rsid w:val="009D7C51"/>
    <w:rsid w:val="009E196C"/>
    <w:rsid w:val="009E6A0A"/>
    <w:rsid w:val="009E7BC4"/>
    <w:rsid w:val="009F36BF"/>
    <w:rsid w:val="00A111B6"/>
    <w:rsid w:val="00A26D27"/>
    <w:rsid w:val="00A32443"/>
    <w:rsid w:val="00A36760"/>
    <w:rsid w:val="00A376EE"/>
    <w:rsid w:val="00A42A99"/>
    <w:rsid w:val="00A46382"/>
    <w:rsid w:val="00A5151A"/>
    <w:rsid w:val="00A57E0A"/>
    <w:rsid w:val="00A606EC"/>
    <w:rsid w:val="00A72E62"/>
    <w:rsid w:val="00A77919"/>
    <w:rsid w:val="00A823F6"/>
    <w:rsid w:val="00A8719E"/>
    <w:rsid w:val="00AA0A89"/>
    <w:rsid w:val="00AA5368"/>
    <w:rsid w:val="00AA6429"/>
    <w:rsid w:val="00AA6EDA"/>
    <w:rsid w:val="00AC01AA"/>
    <w:rsid w:val="00AC3EE9"/>
    <w:rsid w:val="00AC4F72"/>
    <w:rsid w:val="00AC5041"/>
    <w:rsid w:val="00AD1870"/>
    <w:rsid w:val="00AE482E"/>
    <w:rsid w:val="00AF1B39"/>
    <w:rsid w:val="00AF5BC6"/>
    <w:rsid w:val="00AF741A"/>
    <w:rsid w:val="00B01ADB"/>
    <w:rsid w:val="00B04161"/>
    <w:rsid w:val="00B056F9"/>
    <w:rsid w:val="00B11E3D"/>
    <w:rsid w:val="00B14D2C"/>
    <w:rsid w:val="00B17E82"/>
    <w:rsid w:val="00B33C2F"/>
    <w:rsid w:val="00B4575A"/>
    <w:rsid w:val="00B470E1"/>
    <w:rsid w:val="00B54171"/>
    <w:rsid w:val="00B575BA"/>
    <w:rsid w:val="00B71608"/>
    <w:rsid w:val="00B76429"/>
    <w:rsid w:val="00B86471"/>
    <w:rsid w:val="00B956D4"/>
    <w:rsid w:val="00B97446"/>
    <w:rsid w:val="00BA3DF8"/>
    <w:rsid w:val="00BA7432"/>
    <w:rsid w:val="00BB2764"/>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4B61"/>
    <w:rsid w:val="00BF5573"/>
    <w:rsid w:val="00C15867"/>
    <w:rsid w:val="00C22398"/>
    <w:rsid w:val="00C2296D"/>
    <w:rsid w:val="00C23155"/>
    <w:rsid w:val="00C40C41"/>
    <w:rsid w:val="00C45885"/>
    <w:rsid w:val="00C50F22"/>
    <w:rsid w:val="00C51FDE"/>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22D33"/>
    <w:rsid w:val="00D3342A"/>
    <w:rsid w:val="00D4741C"/>
    <w:rsid w:val="00D57918"/>
    <w:rsid w:val="00D73DC6"/>
    <w:rsid w:val="00D74C1A"/>
    <w:rsid w:val="00D754C1"/>
    <w:rsid w:val="00D77393"/>
    <w:rsid w:val="00D77A35"/>
    <w:rsid w:val="00D8111D"/>
    <w:rsid w:val="00D81B3E"/>
    <w:rsid w:val="00D90C70"/>
    <w:rsid w:val="00D90E49"/>
    <w:rsid w:val="00D96ADE"/>
    <w:rsid w:val="00DA0CE2"/>
    <w:rsid w:val="00DA2387"/>
    <w:rsid w:val="00DA4E39"/>
    <w:rsid w:val="00DC6A10"/>
    <w:rsid w:val="00DE657E"/>
    <w:rsid w:val="00DF4704"/>
    <w:rsid w:val="00E024AA"/>
    <w:rsid w:val="00E15C77"/>
    <w:rsid w:val="00E1693E"/>
    <w:rsid w:val="00E250F1"/>
    <w:rsid w:val="00E3550D"/>
    <w:rsid w:val="00E52838"/>
    <w:rsid w:val="00E614E0"/>
    <w:rsid w:val="00E73F7F"/>
    <w:rsid w:val="00E753E8"/>
    <w:rsid w:val="00E80985"/>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E57D0"/>
    <w:rsid w:val="00EF06EA"/>
    <w:rsid w:val="00F07604"/>
    <w:rsid w:val="00F2077A"/>
    <w:rsid w:val="00F21088"/>
    <w:rsid w:val="00F326BF"/>
    <w:rsid w:val="00F327E7"/>
    <w:rsid w:val="00F35746"/>
    <w:rsid w:val="00F447C7"/>
    <w:rsid w:val="00F459B4"/>
    <w:rsid w:val="00F5211B"/>
    <w:rsid w:val="00F55255"/>
    <w:rsid w:val="00F554A9"/>
    <w:rsid w:val="00F716FD"/>
    <w:rsid w:val="00F76679"/>
    <w:rsid w:val="00F80355"/>
    <w:rsid w:val="00F87C43"/>
    <w:rsid w:val="00FA5722"/>
    <w:rsid w:val="00FA61A3"/>
    <w:rsid w:val="00FB0C81"/>
    <w:rsid w:val="00FC01F5"/>
    <w:rsid w:val="00FC2200"/>
    <w:rsid w:val="00FC2540"/>
    <w:rsid w:val="00FD1D97"/>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03CCC7"/>
  <w15:docId w15:val="{8F937246-10F2-4841-80B6-5965E8936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55255"/>
    <w:pPr>
      <w:spacing w:after="160" w:line="240" w:lineRule="exact"/>
    </w:pPr>
    <w:rPr>
      <w:sz w:val="20"/>
      <w:szCs w:val="20"/>
      <w:vertAlign w:val="superscript"/>
      <w:lang w:val="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locked/>
    <w:rsid w:val="00FC01F5"/>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FC01F5"/>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FC01F5"/>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178201">
      <w:bodyDiv w:val="1"/>
      <w:marLeft w:val="0"/>
      <w:marRight w:val="0"/>
      <w:marTop w:val="0"/>
      <w:marBottom w:val="0"/>
      <w:divBdr>
        <w:top w:val="none" w:sz="0" w:space="0" w:color="auto"/>
        <w:left w:val="none" w:sz="0" w:space="0" w:color="auto"/>
        <w:bottom w:val="none" w:sz="0" w:space="0" w:color="auto"/>
        <w:right w:val="none" w:sz="0" w:space="0" w:color="auto"/>
      </w:divBdr>
    </w:div>
    <w:div w:id="182399857">
      <w:bodyDiv w:val="1"/>
      <w:marLeft w:val="0"/>
      <w:marRight w:val="0"/>
      <w:marTop w:val="0"/>
      <w:marBottom w:val="0"/>
      <w:divBdr>
        <w:top w:val="none" w:sz="0" w:space="0" w:color="auto"/>
        <w:left w:val="none" w:sz="0" w:space="0" w:color="auto"/>
        <w:bottom w:val="none" w:sz="0" w:space="0" w:color="auto"/>
        <w:right w:val="none" w:sz="0" w:space="0" w:color="auto"/>
      </w:divBdr>
    </w:div>
    <w:div w:id="23647611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25993934">
      <w:bodyDiv w:val="1"/>
      <w:marLeft w:val="0"/>
      <w:marRight w:val="0"/>
      <w:marTop w:val="0"/>
      <w:marBottom w:val="0"/>
      <w:divBdr>
        <w:top w:val="none" w:sz="0" w:space="0" w:color="auto"/>
        <w:left w:val="none" w:sz="0" w:space="0" w:color="auto"/>
        <w:bottom w:val="none" w:sz="0" w:space="0" w:color="auto"/>
        <w:right w:val="none" w:sz="0" w:space="0" w:color="auto"/>
      </w:divBdr>
    </w:div>
    <w:div w:id="577133470">
      <w:bodyDiv w:val="1"/>
      <w:marLeft w:val="0"/>
      <w:marRight w:val="0"/>
      <w:marTop w:val="0"/>
      <w:marBottom w:val="0"/>
      <w:divBdr>
        <w:top w:val="none" w:sz="0" w:space="0" w:color="auto"/>
        <w:left w:val="none" w:sz="0" w:space="0" w:color="auto"/>
        <w:bottom w:val="none" w:sz="0" w:space="0" w:color="auto"/>
        <w:right w:val="none" w:sz="0" w:space="0" w:color="auto"/>
      </w:divBdr>
    </w:div>
    <w:div w:id="588122826">
      <w:bodyDiv w:val="1"/>
      <w:marLeft w:val="0"/>
      <w:marRight w:val="0"/>
      <w:marTop w:val="0"/>
      <w:marBottom w:val="0"/>
      <w:divBdr>
        <w:top w:val="none" w:sz="0" w:space="0" w:color="auto"/>
        <w:left w:val="none" w:sz="0" w:space="0" w:color="auto"/>
        <w:bottom w:val="none" w:sz="0" w:space="0" w:color="auto"/>
        <w:right w:val="none" w:sz="0" w:space="0" w:color="auto"/>
      </w:divBdr>
    </w:div>
    <w:div w:id="65353270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45900398">
      <w:bodyDiv w:val="1"/>
      <w:marLeft w:val="0"/>
      <w:marRight w:val="0"/>
      <w:marTop w:val="0"/>
      <w:marBottom w:val="0"/>
      <w:divBdr>
        <w:top w:val="none" w:sz="0" w:space="0" w:color="auto"/>
        <w:left w:val="none" w:sz="0" w:space="0" w:color="auto"/>
        <w:bottom w:val="none" w:sz="0" w:space="0" w:color="auto"/>
        <w:right w:val="none" w:sz="0" w:space="0" w:color="auto"/>
      </w:divBdr>
    </w:div>
    <w:div w:id="989869964">
      <w:bodyDiv w:val="1"/>
      <w:marLeft w:val="0"/>
      <w:marRight w:val="0"/>
      <w:marTop w:val="0"/>
      <w:marBottom w:val="0"/>
      <w:divBdr>
        <w:top w:val="none" w:sz="0" w:space="0" w:color="auto"/>
        <w:left w:val="none" w:sz="0" w:space="0" w:color="auto"/>
        <w:bottom w:val="none" w:sz="0" w:space="0" w:color="auto"/>
        <w:right w:val="none" w:sz="0" w:space="0" w:color="auto"/>
      </w:divBdr>
    </w:div>
    <w:div w:id="1010835235">
      <w:bodyDiv w:val="1"/>
      <w:marLeft w:val="0"/>
      <w:marRight w:val="0"/>
      <w:marTop w:val="0"/>
      <w:marBottom w:val="0"/>
      <w:divBdr>
        <w:top w:val="none" w:sz="0" w:space="0" w:color="auto"/>
        <w:left w:val="none" w:sz="0" w:space="0" w:color="auto"/>
        <w:bottom w:val="none" w:sz="0" w:space="0" w:color="auto"/>
        <w:right w:val="none" w:sz="0" w:space="0" w:color="auto"/>
      </w:divBdr>
    </w:div>
    <w:div w:id="1043479138">
      <w:bodyDiv w:val="1"/>
      <w:marLeft w:val="0"/>
      <w:marRight w:val="0"/>
      <w:marTop w:val="0"/>
      <w:marBottom w:val="0"/>
      <w:divBdr>
        <w:top w:val="none" w:sz="0" w:space="0" w:color="auto"/>
        <w:left w:val="none" w:sz="0" w:space="0" w:color="auto"/>
        <w:bottom w:val="none" w:sz="0" w:space="0" w:color="auto"/>
        <w:right w:val="none" w:sz="0" w:space="0" w:color="auto"/>
      </w:divBdr>
    </w:div>
    <w:div w:id="1146048501">
      <w:bodyDiv w:val="1"/>
      <w:marLeft w:val="0"/>
      <w:marRight w:val="0"/>
      <w:marTop w:val="0"/>
      <w:marBottom w:val="0"/>
      <w:divBdr>
        <w:top w:val="none" w:sz="0" w:space="0" w:color="auto"/>
        <w:left w:val="none" w:sz="0" w:space="0" w:color="auto"/>
        <w:bottom w:val="none" w:sz="0" w:space="0" w:color="auto"/>
        <w:right w:val="none" w:sz="0" w:space="0" w:color="auto"/>
      </w:divBdr>
    </w:div>
    <w:div w:id="1349453058">
      <w:bodyDiv w:val="1"/>
      <w:marLeft w:val="0"/>
      <w:marRight w:val="0"/>
      <w:marTop w:val="0"/>
      <w:marBottom w:val="0"/>
      <w:divBdr>
        <w:top w:val="none" w:sz="0" w:space="0" w:color="auto"/>
        <w:left w:val="none" w:sz="0" w:space="0" w:color="auto"/>
        <w:bottom w:val="none" w:sz="0" w:space="0" w:color="auto"/>
        <w:right w:val="none" w:sz="0" w:space="0" w:color="auto"/>
      </w:divBdr>
    </w:div>
    <w:div w:id="185507284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2468419">
      <w:bodyDiv w:val="1"/>
      <w:marLeft w:val="0"/>
      <w:marRight w:val="0"/>
      <w:marTop w:val="0"/>
      <w:marBottom w:val="0"/>
      <w:divBdr>
        <w:top w:val="none" w:sz="0" w:space="0" w:color="auto"/>
        <w:left w:val="none" w:sz="0" w:space="0" w:color="auto"/>
        <w:bottom w:val="none" w:sz="0" w:space="0" w:color="auto"/>
        <w:right w:val="none" w:sz="0" w:space="0" w:color="auto"/>
      </w:divBdr>
    </w:div>
    <w:div w:id="2026132663">
      <w:bodyDiv w:val="1"/>
      <w:marLeft w:val="0"/>
      <w:marRight w:val="0"/>
      <w:marTop w:val="0"/>
      <w:marBottom w:val="0"/>
      <w:divBdr>
        <w:top w:val="none" w:sz="0" w:space="0" w:color="auto"/>
        <w:left w:val="none" w:sz="0" w:space="0" w:color="auto"/>
        <w:bottom w:val="none" w:sz="0" w:space="0" w:color="auto"/>
        <w:right w:val="none" w:sz="0" w:space="0" w:color="auto"/>
      </w:divBdr>
    </w:div>
    <w:div w:id="210071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10.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11.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Microsoft\Windows\INetCache\Content.Outlook\L1F1LSYQ\S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documentManagement/types"/>
    <ds:schemaRef ds:uri="http://purl.org/dc/dcmitype/"/>
    <ds:schemaRef ds:uri="http://www.w3.org/XML/1998/namespace"/>
    <ds:schemaRef ds:uri="http://schemas.microsoft.com/office/2006/metadata/properties"/>
    <ds:schemaRef ds:uri="http://purl.org/dc/elements/1.1/"/>
    <ds:schemaRef ds:uri="eb6c2e4c-3f1c-4103-a37b-37c984dbe58f"/>
    <ds:schemaRef ds:uri="http://purl.org/dc/terms/"/>
    <ds:schemaRef ds:uri="http://schemas.microsoft.com/office/infopath/2007/PartnerControls"/>
    <ds:schemaRef ds:uri="http://schemas.openxmlformats.org/package/2006/metadata/core-properties"/>
    <ds:schemaRef ds:uri="b93c647f-d63b-431a-95c8-8e00048cff2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S95-General template</Template>
  <TotalTime>64</TotalTime>
  <Pages>27</Pages>
  <Words>10237</Words>
  <Characters>53630</Characters>
  <Application>Microsoft Office Word</Application>
  <DocSecurity>0</DocSecurity>
  <Lines>446</Lines>
  <Paragraphs>127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Proyecto de directrices para la financiación de la reducción de los HFC en los países del artículo 5, incluida la consideración de la puesta en práctica del párrafo 24 de la decisión XXVIII/2</vt:lpstr>
      <vt:lpstr/>
    </vt:vector>
  </TitlesOfParts>
  <Company>UNMFS</Company>
  <LinksUpToDate>false</LinksUpToDate>
  <CharactersWithSpaces>63740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Proyecto de directrices para la financiación de la reducción de los HFC en los países del artículo 5, incluida la consideración de la puesta en práctica del párrafo 24 de la decisión XXVIII/2</dc:title>
  <dc:creator>Diana Llorente</dc:creator>
  <cp:lastModifiedBy>Angela Xue He Yan</cp:lastModifiedBy>
  <cp:revision>39</cp:revision>
  <cp:lastPrinted>2001-05-26T16:40:00Z</cp:lastPrinted>
  <dcterms:created xsi:type="dcterms:W3CDTF">2024-10-14T12:53:00Z</dcterms:created>
  <dcterms:modified xsi:type="dcterms:W3CDTF">2024-10-14T16:20:00Z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UNEP/OzL.Pro/ExCom/95/86</vt:lpwstr>
  </property>
  <property fmtid="{D5CDD505-2E9C-101B-9397-08002B2CF9AE}" pid="3" name="Revision date">
    <vt:lpwstr>10/9/2024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